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400" w:before="2800" w:lineRule="auto"/>
        <w:rPr/>
      </w:pPr>
      <w:r w:rsidDel="00000000" w:rsidR="00000000" w:rsidRPr="00000000">
        <w:rPr>
          <w:rtl w:val="0"/>
        </w:rPr>
      </w:r>
    </w:p>
    <w:p w:rsidR="00000000" w:rsidDel="00000000" w:rsidP="00000000" w:rsidRDefault="00000000" w:rsidRPr="00000000" w14:paraId="00000002">
      <w:pPr>
        <w:spacing w:after="200" w:lineRule="auto"/>
        <w:jc w:val="center"/>
        <w:rPr/>
      </w:pPr>
      <w:r w:rsidDel="00000000" w:rsidR="00000000" w:rsidRPr="00000000">
        <w:rPr>
          <w:rFonts w:ascii="Arial" w:cs="Arial" w:eastAsia="Arial" w:hAnsi="Arial"/>
          <w:b w:val="1"/>
          <w:bCs w:val="1"/>
          <w:sz w:val="28"/>
          <w:szCs w:val="28"/>
          <w:rtl w:val="0"/>
        </w:rPr>
        <w:t xml:space="preserve">DEMENTIA:</w:t>
      </w:r>
      <w:r w:rsidDel="00000000" w:rsidR="00000000" w:rsidRPr="00000000">
        <w:rPr>
          <w:rtl w:val="0"/>
        </w:rPr>
      </w:r>
    </w:p>
    <w:p w:rsidR="00000000" w:rsidDel="00000000" w:rsidP="00000000" w:rsidRDefault="00000000" w:rsidRPr="00000000" w14:paraId="00000003">
      <w:pPr>
        <w:spacing w:after="800" w:lineRule="auto"/>
        <w:jc w:val="center"/>
        <w:rPr/>
      </w:pPr>
      <w:r w:rsidDel="00000000" w:rsidR="00000000" w:rsidRPr="00000000">
        <w:rPr>
          <w:rFonts w:ascii="Arial" w:cs="Arial" w:eastAsia="Arial" w:hAnsi="Arial"/>
          <w:b w:val="1"/>
          <w:bCs w:val="1"/>
          <w:sz w:val="24"/>
          <w:szCs w:val="24"/>
          <w:rtl w:val="0"/>
        </w:rPr>
        <w:t xml:space="preserve">A Report on Causes, Control, Measurement and Community Impact</w:t>
      </w:r>
      <w:r w:rsidDel="00000000" w:rsidR="00000000" w:rsidRPr="00000000">
        <w:rPr>
          <w:rtl w:val="0"/>
        </w:rPr>
      </w:r>
    </w:p>
    <w:p w:rsidR="00000000" w:rsidDel="00000000" w:rsidP="00000000" w:rsidRDefault="00000000" w:rsidRPr="00000000" w14:paraId="00000004">
      <w:pPr>
        <w:spacing w:after="200" w:lineRule="auto"/>
        <w:jc w:val="center"/>
        <w:rPr/>
      </w:pPr>
      <w:r w:rsidDel="00000000" w:rsidR="00000000" w:rsidRPr="00000000">
        <w:rPr>
          <w:rFonts w:ascii="Arial" w:cs="Arial" w:eastAsia="Arial" w:hAnsi="Arial"/>
          <w:b w:val="0"/>
          <w:bCs w:val="0"/>
          <w:i w:val="0"/>
          <w:iCs w:val="0"/>
          <w:sz w:val="22"/>
          <w:szCs w:val="22"/>
          <w:rtl w:val="0"/>
        </w:rPr>
        <w:t xml:space="preserve">Student Name: </w:t>
      </w:r>
      <w:r w:rsidDel="00000000" w:rsidR="00000000" w:rsidRPr="00000000">
        <w:rPr>
          <w:rtl w:val="0"/>
        </w:rPr>
      </w:r>
    </w:p>
    <w:p w:rsidR="00000000" w:rsidDel="00000000" w:rsidP="00000000" w:rsidRDefault="00000000" w:rsidRPr="00000000" w14:paraId="00000005">
      <w:pPr>
        <w:spacing w:after="200" w:lineRule="auto"/>
        <w:jc w:val="center"/>
        <w:rPr/>
      </w:pPr>
      <w:r w:rsidDel="00000000" w:rsidR="00000000" w:rsidRPr="00000000">
        <w:rPr>
          <w:rFonts w:ascii="Arial" w:cs="Arial" w:eastAsia="Arial" w:hAnsi="Arial"/>
          <w:b w:val="0"/>
          <w:bCs w:val="0"/>
          <w:i w:val="0"/>
          <w:iCs w:val="0"/>
          <w:sz w:val="22"/>
          <w:szCs w:val="22"/>
          <w:rtl w:val="0"/>
        </w:rPr>
        <w:t xml:space="preserve">Student Number:</w:t>
      </w:r>
      <w:r w:rsidDel="00000000" w:rsidR="00000000" w:rsidRPr="00000000">
        <w:rPr>
          <w:rtl w:val="0"/>
        </w:rPr>
      </w:r>
    </w:p>
    <w:p w:rsidR="00000000" w:rsidDel="00000000" w:rsidP="00000000" w:rsidRDefault="00000000" w:rsidRPr="00000000" w14:paraId="00000006">
      <w:pPr>
        <w:spacing w:after="200" w:lineRule="auto"/>
        <w:jc w:val="center"/>
        <w:rPr/>
      </w:pPr>
      <w:r w:rsidDel="00000000" w:rsidR="00000000" w:rsidRPr="00000000">
        <w:rPr>
          <w:rFonts w:ascii="Arial" w:cs="Arial" w:eastAsia="Arial" w:hAnsi="Arial"/>
          <w:b w:val="0"/>
          <w:bCs w:val="0"/>
          <w:i w:val="0"/>
          <w:iCs w:val="0"/>
          <w:sz w:val="22"/>
          <w:szCs w:val="22"/>
          <w:rtl w:val="0"/>
        </w:rPr>
        <w:t xml:space="preserve">Module Code and Title: LCHS4008 – Health and Social Care</w:t>
      </w:r>
      <w:r w:rsidDel="00000000" w:rsidR="00000000" w:rsidRPr="00000000">
        <w:rPr>
          <w:rtl w:val="0"/>
        </w:rPr>
      </w:r>
    </w:p>
    <w:p w:rsidR="00000000" w:rsidDel="00000000" w:rsidP="00000000" w:rsidRDefault="00000000" w:rsidRPr="00000000" w14:paraId="00000007">
      <w:pPr>
        <w:spacing w:after="200" w:lineRule="auto"/>
        <w:jc w:val="center"/>
        <w:rPr/>
      </w:pPr>
      <w:r w:rsidDel="00000000" w:rsidR="00000000" w:rsidRPr="00000000">
        <w:rPr>
          <w:rFonts w:ascii="Arial" w:cs="Arial" w:eastAsia="Arial" w:hAnsi="Arial"/>
          <w:b w:val="0"/>
          <w:bCs w:val="0"/>
          <w:i w:val="0"/>
          <w:iCs w:val="0"/>
          <w:sz w:val="22"/>
          <w:szCs w:val="22"/>
          <w:rtl w:val="0"/>
        </w:rPr>
        <w:t xml:space="preserve">Lecturer's Name:</w:t>
      </w:r>
      <w:r w:rsidDel="00000000" w:rsidR="00000000" w:rsidRPr="00000000">
        <w:rPr>
          <w:rtl w:val="0"/>
        </w:rPr>
      </w:r>
    </w:p>
    <w:p w:rsidR="00000000" w:rsidDel="00000000" w:rsidP="00000000" w:rsidRDefault="00000000" w:rsidRPr="00000000" w14:paraId="00000008">
      <w:pPr>
        <w:spacing w:after="200" w:lineRule="auto"/>
        <w:jc w:val="center"/>
        <w:rPr/>
      </w:pPr>
      <w:r w:rsidDel="00000000" w:rsidR="00000000" w:rsidRPr="00000000">
        <w:rPr>
          <w:rFonts w:ascii="Arial" w:cs="Arial" w:eastAsia="Arial" w:hAnsi="Arial"/>
          <w:b w:val="0"/>
          <w:bCs w:val="0"/>
          <w:i w:val="0"/>
          <w:iCs w:val="0"/>
          <w:sz w:val="22"/>
          <w:szCs w:val="22"/>
          <w:rtl w:val="0"/>
        </w:rPr>
        <w:t xml:space="preserve">Assignment Title: Written Report – Dementia</w:t>
      </w:r>
      <w:r w:rsidDel="00000000" w:rsidR="00000000" w:rsidRPr="00000000">
        <w:rPr>
          <w:rtl w:val="0"/>
        </w:rPr>
      </w:r>
    </w:p>
    <w:p w:rsidR="00000000" w:rsidDel="00000000" w:rsidP="00000000" w:rsidRDefault="00000000" w:rsidRPr="00000000" w14:paraId="00000009">
      <w:pPr>
        <w:spacing w:after="200" w:lineRule="auto"/>
        <w:jc w:val="center"/>
        <w:rPr/>
        <w:sectPr>
          <w:pgSz w:h="16838" w:w="11906" w:orient="portrait"/>
          <w:pgMar w:bottom="1440" w:top="1440" w:left="1440" w:right="1440" w:header="708" w:footer="708"/>
          <w:pgNumType w:start="1"/>
        </w:sectPr>
      </w:pPr>
      <w:r w:rsidDel="00000000" w:rsidR="00000000" w:rsidRPr="00000000">
        <w:rPr>
          <w:rFonts w:ascii="Arial" w:cs="Arial" w:eastAsia="Arial" w:hAnsi="Arial"/>
          <w:b w:val="0"/>
          <w:bCs w:val="0"/>
          <w:i w:val="0"/>
          <w:iCs w:val="0"/>
          <w:sz w:val="22"/>
          <w:szCs w:val="22"/>
          <w:rtl w:val="0"/>
        </w:rPr>
        <w:t xml:space="preserve">Date of Submission: </w:t>
      </w:r>
      <w:r w:rsidDel="00000000" w:rsidR="00000000" w:rsidRPr="00000000">
        <w:rPr>
          <w:rtl w:val="0"/>
        </w:rPr>
      </w:r>
    </w:p>
    <w:p w:rsidR="00000000" w:rsidDel="00000000" w:rsidP="00000000" w:rsidRDefault="00000000" w:rsidRPr="00000000" w14:paraId="0000000A">
      <w:pPr>
        <w:spacing w:after="600" w:before="400" w:lineRule="auto"/>
        <w:jc w:val="center"/>
        <w:rPr/>
      </w:pPr>
      <w:r w:rsidDel="00000000" w:rsidR="00000000" w:rsidRPr="00000000">
        <w:rPr>
          <w:rFonts w:ascii="Arial" w:cs="Arial" w:eastAsia="Arial" w:hAnsi="Arial"/>
          <w:b w:val="1"/>
          <w:bCs w:val="1"/>
          <w:sz w:val="28"/>
          <w:szCs w:val="28"/>
          <w:rtl w:val="0"/>
        </w:rPr>
        <w:t xml:space="preserve">Table of Contents</w:t>
      </w:r>
      <w:r w:rsidDel="00000000" w:rsidR="00000000" w:rsidRPr="00000000">
        <w:rPr>
          <w:rtl w:val="0"/>
        </w:rPr>
      </w:r>
    </w:p>
    <w:sdt>
      <w:sdtPr>
        <w:id w:val="-1026212771"/>
        <w:docPartObj>
          <w:docPartGallery w:val="Table of Contents"/>
          <w:docPartUnique w:val="1"/>
        </w:docPartObj>
      </w:sdtPr>
      <w:sdtContent>
        <w:p w:rsidR="00000000" w:rsidDel="00000000" w:rsidP="00000000" w:rsidRDefault="00000000" w:rsidRPr="00000000" w14:paraId="0000000B">
          <w:pPr>
            <w:widowControl w:val="0"/>
            <w:tabs>
              <w:tab w:val="right" w:leader="none" w:pos="9025.511811023624"/>
            </w:tabs>
            <w:spacing w:before="60" w:lineRule="auto"/>
            <w:rPr>
              <w:b w:val="1"/>
              <w:bCs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
            <w:r w:rsidDel="00000000" w:rsidR="00000000" w:rsidRPr="00000000">
              <w:rPr>
                <w:b w:val="1"/>
                <w:bCs w:val="1"/>
                <w:color w:val="000000"/>
                <w:u w:val="none"/>
                <w:rtl w:val="0"/>
              </w:rPr>
              <w:t xml:space="preserve">Introduction</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C">
          <w:pPr>
            <w:widowControl w:val="0"/>
            <w:tabs>
              <w:tab w:val="right" w:leader="none" w:pos="9025.511811023624"/>
            </w:tabs>
            <w:spacing w:before="60" w:lineRule="auto"/>
            <w:rPr>
              <w:b w:val="1"/>
              <w:bCs w:val="1"/>
              <w:color w:val="000000"/>
              <w:u w:val="none"/>
            </w:rPr>
          </w:pPr>
          <w:hyperlink w:anchor="_heading=">
            <w:r w:rsidDel="00000000" w:rsidR="00000000" w:rsidRPr="00000000">
              <w:rPr>
                <w:b w:val="1"/>
                <w:bCs w:val="1"/>
                <w:color w:val="000000"/>
                <w:u w:val="none"/>
                <w:rtl w:val="0"/>
              </w:rPr>
              <w:t xml:space="preserve">Main Body</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D">
          <w:pPr>
            <w:widowControl w:val="0"/>
            <w:tabs>
              <w:tab w:val="right" w:leader="none" w:pos="9025.511811023624"/>
            </w:tabs>
            <w:spacing w:before="60" w:lineRule="auto"/>
            <w:ind w:left="360" w:firstLine="0"/>
            <w:rPr>
              <w:color w:val="000000"/>
              <w:u w:val="none"/>
            </w:rPr>
          </w:pPr>
          <w:hyperlink w:anchor="_heading=">
            <w:r w:rsidDel="00000000" w:rsidR="00000000" w:rsidRPr="00000000">
              <w:rPr>
                <w:color w:val="000000"/>
                <w:u w:val="none"/>
                <w:rtl w:val="0"/>
              </w:rPr>
              <w:t xml:space="preserve">1. Approaches to Measuring and Monitoring Dementia</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E">
          <w:pPr>
            <w:widowControl w:val="0"/>
            <w:tabs>
              <w:tab w:val="right" w:leader="none" w:pos="9025.511811023624"/>
            </w:tabs>
            <w:spacing w:before="60" w:lineRule="auto"/>
            <w:ind w:left="360" w:firstLine="0"/>
            <w:rPr>
              <w:color w:val="000000"/>
              <w:u w:val="none"/>
            </w:rPr>
          </w:pPr>
          <w:hyperlink w:anchor="_heading=">
            <w:r w:rsidDel="00000000" w:rsidR="00000000" w:rsidRPr="00000000">
              <w:rPr>
                <w:color w:val="000000"/>
                <w:u w:val="none"/>
                <w:rtl w:val="0"/>
              </w:rPr>
              <w:t xml:space="preserve">2. How Dementia is Controlled</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4</w:t>
          </w:r>
          <w:r w:rsidDel="00000000" w:rsidR="00000000" w:rsidRPr="00000000">
            <w:fldChar w:fldCharType="end"/>
          </w:r>
          <w:r w:rsidDel="00000000" w:rsidR="00000000" w:rsidRPr="00000000">
            <w:rPr>
              <w:rtl w:val="0"/>
            </w:rPr>
          </w:r>
        </w:p>
        <w:p w:rsidR="00000000" w:rsidDel="00000000" w:rsidP="00000000" w:rsidRDefault="00000000" w:rsidRPr="00000000" w14:paraId="0000000F">
          <w:pPr>
            <w:widowControl w:val="0"/>
            <w:tabs>
              <w:tab w:val="right" w:leader="none" w:pos="9025.511811023624"/>
            </w:tabs>
            <w:spacing w:before="60" w:lineRule="auto"/>
            <w:ind w:left="360" w:firstLine="0"/>
            <w:rPr>
              <w:color w:val="000000"/>
              <w:u w:val="none"/>
            </w:rPr>
          </w:pPr>
          <w:hyperlink w:anchor="_heading=">
            <w:r w:rsidDel="00000000" w:rsidR="00000000" w:rsidRPr="00000000">
              <w:rPr>
                <w:color w:val="000000"/>
                <w:u w:val="none"/>
                <w:rtl w:val="0"/>
              </w:rPr>
              <w:t xml:space="preserve">3. Consequences of Dementia on People in the Community</w:t>
              <w:tab/>
            </w:r>
          </w:hyperlink>
          <w:r w:rsidDel="00000000" w:rsidR="00000000" w:rsidRPr="00000000">
            <w:fldChar w:fldCharType="begin"/>
            <w:instrText xml:space="preserve"> PAGEREF _heading= \h </w:instrText>
            <w:fldChar w:fldCharType="separate"/>
          </w:r>
          <w:r w:rsidDel="00000000" w:rsidR="00000000" w:rsidRPr="00000000">
            <w:rPr>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0">
          <w:pPr>
            <w:widowControl w:val="0"/>
            <w:tabs>
              <w:tab w:val="right" w:leader="none" w:pos="9025.511811023624"/>
            </w:tabs>
            <w:spacing w:before="60" w:lineRule="auto"/>
            <w:rPr>
              <w:b w:val="1"/>
              <w:bCs w:val="1"/>
              <w:color w:val="000000"/>
              <w:u w:val="none"/>
            </w:rPr>
          </w:pPr>
          <w:hyperlink w:anchor="_heading=">
            <w:r w:rsidDel="00000000" w:rsidR="00000000" w:rsidRPr="00000000">
              <w:rPr>
                <w:b w:val="1"/>
                <w:bCs w:val="1"/>
                <w:color w:val="000000"/>
                <w:u w:val="none"/>
                <w:rtl w:val="0"/>
              </w:rPr>
              <w:t xml:space="preserve">Conclusion</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11">
          <w:pPr>
            <w:widowControl w:val="0"/>
            <w:tabs>
              <w:tab w:val="right" w:leader="none" w:pos="9025.511811023624"/>
            </w:tabs>
            <w:spacing w:before="60" w:lineRule="auto"/>
            <w:rPr>
              <w:b w:val="1"/>
              <w:bCs w:val="1"/>
              <w:color w:val="000000"/>
              <w:u w:val="none"/>
            </w:rPr>
          </w:pPr>
          <w:hyperlink w:anchor="_heading=">
            <w:r w:rsidDel="00000000" w:rsidR="00000000" w:rsidRPr="00000000">
              <w:rPr>
                <w:b w:val="1"/>
                <w:bCs w:val="1"/>
                <w:color w:val="000000"/>
                <w:u w:val="none"/>
                <w:rtl w:val="0"/>
              </w:rPr>
              <w:t xml:space="preserve">References</w:t>
              <w:tab/>
            </w:r>
          </w:hyperlink>
          <w:r w:rsidDel="00000000" w:rsidR="00000000" w:rsidRPr="00000000">
            <w:fldChar w:fldCharType="begin"/>
            <w:instrText xml:space="preserve"> PAGEREF _heading= \h </w:instrText>
            <w:fldChar w:fldCharType="separate"/>
          </w:r>
          <w:r w:rsidDel="00000000" w:rsidR="00000000" w:rsidRPr="00000000">
            <w:rPr>
              <w:b w:val="1"/>
              <w:bCs w:val="1"/>
              <w:rtl w:val="0"/>
            </w:rPr>
            <w:t xml:space="preserve">6</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2">
      <w:pPr>
        <w:spacing w:after="100" w:line="360" w:lineRule="auto"/>
        <w:rPr/>
        <w:sectPr>
          <w:type w:val="nextPage"/>
          <w:pgSz w:h="16838" w:w="11906" w:orient="portrait"/>
          <w:pgMar w:bottom="1440" w:top="1440" w:left="1440" w:right="1440" w:header="708" w:footer="708"/>
        </w:sectPr>
      </w:pPr>
      <w:r w:rsidDel="00000000" w:rsidR="00000000" w:rsidRPr="00000000">
        <w:rPr>
          <w:rtl w:val="0"/>
        </w:rPr>
      </w:r>
    </w:p>
    <w:p w:rsidR="00000000" w:rsidDel="00000000" w:rsidP="00000000" w:rsidRDefault="00000000" w:rsidRPr="00000000" w14:paraId="00000013">
      <w:pPr>
        <w:pStyle w:val="Heading1"/>
        <w:spacing w:after="200" w:before="360" w:lineRule="auto"/>
        <w:rPr/>
      </w:pPr>
      <w:r w:rsidDel="00000000" w:rsidR="00000000" w:rsidRPr="00000000">
        <w:rPr>
          <w:rFonts w:ascii="Arial" w:cs="Arial" w:eastAsia="Arial" w:hAnsi="Arial"/>
          <w:b w:val="1"/>
          <w:bCs w:val="1"/>
          <w:sz w:val="28"/>
          <w:szCs w:val="28"/>
          <w:rtl w:val="0"/>
        </w:rPr>
        <w:t xml:space="preserve">Introduction</w:t>
      </w:r>
      <w:r w:rsidDel="00000000" w:rsidR="00000000" w:rsidRPr="00000000">
        <w:rPr>
          <w:rtl w:val="0"/>
        </w:rPr>
      </w:r>
    </w:p>
    <w:p w:rsidR="00000000" w:rsidDel="00000000" w:rsidP="00000000" w:rsidRDefault="00000000" w:rsidRPr="00000000" w14:paraId="00000014">
      <w:pPr>
        <w:spacing w:after="160" w:line="360" w:lineRule="auto"/>
        <w:rPr>
          <w:rFonts w:ascii="Arial" w:cs="Arial" w:eastAsia="Arial" w:hAnsi="Arial"/>
          <w:b w:val="0"/>
          <w:bCs w:val="0"/>
          <w:i w:val="0"/>
          <w:iCs w:val="0"/>
          <w:sz w:val="22"/>
          <w:szCs w:val="22"/>
        </w:rPr>
      </w:pPr>
      <w:r w:rsidDel="00000000" w:rsidR="00000000" w:rsidRPr="00000000">
        <w:rPr>
          <w:rtl w:val="0"/>
        </w:rPr>
        <w:t xml:space="preserve">Dementia is a progressive neurological syndrome characterised by a decline in cognitive function — including memory, language, problem-solving, and the ability to perform everyday activities — to an extent that interferes with daily life and independence (World Health Organization, 2023). It is not a single disease but an umbrella term encompassing several conditions, the most common of which is Alzheimer's disease, accounting for approximately 60–70% of cases. Other forms include vascular dementia, Lewy body dementia, and frontotemporal dementia (Alzheimer's Research UK, 2023). The signs and symptoms of dementia vary depending on the type and stage of the condition but commonly include persistent memory loss, confusion and disorientation, difficulties with language and communication, changes in mood and behaviour, and the gradual loss of ability to carry out activities of daily living such as dressing, cooking, and managing finances (NICE, 2018). In the early stages, symptoms may be subtle and often dismissed as normal ageing; however, as the condition progresses, the level of support required increases significantly. In terms of health and social care support, individuals living with dementia typically require a range of services to meet their needs within the community. These include memory clinic assessments and ongoing specialist support from dementia care nurses, GP involvement for medication management including the prescription of cognitive enhancers such as donepezil, social care support including domiciliary care for personal care and daily tasks, and support for family carers through carer assessments and respite care services. Psychological therapies, occupational therapy, and community mental health team input also play vital roles in maintaining quality of life and managing behavioural symptoms (NHS England, 2023).</w:t>
      </w:r>
      <w:r w:rsidDel="00000000" w:rsidR="00000000" w:rsidRPr="00000000">
        <w:rPr>
          <w:rtl w:val="0"/>
        </w:rPr>
      </w:r>
    </w:p>
    <w:p w:rsidR="00000000" w:rsidDel="00000000" w:rsidP="00000000" w:rsidRDefault="00000000" w:rsidRPr="00000000" w14:paraId="00000015">
      <w:pPr>
        <w:spacing w:after="160" w:line="360" w:lineRule="auto"/>
        <w:rPr/>
      </w:pPr>
      <w:r w:rsidDel="00000000" w:rsidR="00000000" w:rsidRPr="00000000">
        <w:rPr>
          <w:rtl w:val="0"/>
        </w:rPr>
      </w:r>
    </w:p>
    <w:p w:rsidR="00000000" w:rsidDel="00000000" w:rsidP="00000000" w:rsidRDefault="00000000" w:rsidRPr="00000000" w14:paraId="00000016">
      <w:pPr>
        <w:pStyle w:val="Heading1"/>
        <w:spacing w:after="200" w:before="360" w:lineRule="auto"/>
        <w:rPr/>
      </w:pPr>
      <w:r w:rsidDel="00000000" w:rsidR="00000000" w:rsidRPr="00000000">
        <w:rPr>
          <w:rFonts w:ascii="Arial" w:cs="Arial" w:eastAsia="Arial" w:hAnsi="Arial"/>
          <w:b w:val="1"/>
          <w:bCs w:val="1"/>
          <w:sz w:val="28"/>
          <w:szCs w:val="28"/>
          <w:rtl w:val="0"/>
        </w:rPr>
        <w:t xml:space="preserve">Main Body</w:t>
      </w:r>
      <w:r w:rsidDel="00000000" w:rsidR="00000000" w:rsidRPr="00000000">
        <w:rPr>
          <w:rtl w:val="0"/>
        </w:rPr>
      </w:r>
    </w:p>
    <w:p w:rsidR="00000000" w:rsidDel="00000000" w:rsidP="00000000" w:rsidRDefault="00000000" w:rsidRPr="00000000" w14:paraId="00000017">
      <w:pPr>
        <w:pStyle w:val="Heading2"/>
        <w:spacing w:after="160" w:before="280" w:lineRule="auto"/>
        <w:rPr/>
      </w:pPr>
      <w:r w:rsidDel="00000000" w:rsidR="00000000" w:rsidRPr="00000000">
        <w:rPr>
          <w:rFonts w:ascii="Arial" w:cs="Arial" w:eastAsia="Arial" w:hAnsi="Arial"/>
          <w:b w:val="1"/>
          <w:bCs w:val="1"/>
          <w:sz w:val="24"/>
          <w:szCs w:val="24"/>
          <w:rtl w:val="0"/>
        </w:rPr>
        <w:t xml:space="preserve">1. Approaches to Measuring and Monitoring Dementia</w:t>
      </w:r>
      <w:r w:rsidDel="00000000" w:rsidR="00000000" w:rsidRPr="00000000">
        <w:rPr>
          <w:rtl w:val="0"/>
        </w:rPr>
      </w:r>
    </w:p>
    <w:p w:rsidR="00000000" w:rsidDel="00000000" w:rsidP="00000000" w:rsidRDefault="00000000" w:rsidRPr="00000000" w14:paraId="00000018">
      <w:pPr>
        <w:spacing w:after="160" w:line="360" w:lineRule="auto"/>
        <w:rPr/>
      </w:pPr>
      <w:r w:rsidDel="00000000" w:rsidR="00000000" w:rsidRPr="00000000">
        <w:rPr>
          <w:rtl w:val="0"/>
        </w:rPr>
        <w:t xml:space="preserve">Both the clinical and epidemiological measurement and monitoring of dementia at the individual and population level are done. Such methods are needed for diagnosing, monitoring the course of the disease, ascertaining the success of therapeutic methods, and for guiding public health policy. At the clinical level for individual dementia, standard cognitive assessment tools are preferred based on standard measure cognitive evaluation. The Mini-Mental State Examination (MMSE) is the most commonly used test in UK clinical practice and measures orientation, memory, attention, language, and visuospatial ability on a 30-point scale (Folstein et al., 1975). Typically a lower score than 24 is indicative of impaired cognition. One of the most popular standardized clinical measures is the Montreal Cognitive Assessment (MoCA), as its sensitivity to mild cognitive impairment and broader measurement of executive function makes it a more accurate measure of executive function (Nasreddine et al., 2005). Additionally, the General Practitioner Assessment of Cognition (GPCOG) is a brief screening tool for primary care that helps GPs ascertain patients in need of specialist testing. Neuroimaging is also important in diagnosing and monitoring dementia. Magnetic resonance imaging (MRI) can also detect structural brain alterations specific to distinct subtypes of dementia — e.g., hippocampal atrophy present in Alzheimer's disease, or white matter lesions common in vascular dementia — and exclude other contributing factors to cognitive decline such as tumours or normal pressure hydrocephalus (NICE, 2018). More recently, positron emission tomography (PET) scans with amyloid and tau tracers have allowed the detection of Alzheimer's-associated pathology in living patients, a notable advance in biomarker-based diagnosis. On a population level, dementia is tracked via national surveys, disease registers, and routine health data. In England, the NHS Dementia Strategy and the Quality and Outcomes Framework (QOF) have incentives for GPs to maintain dementia registers to track their diagnosis rates and the quality of care that falls within their geographic areas. The Cognitive Function and Ageing Studies (CFAS), carried out by the Medical Research Council, contain critical longitudinal data on the prevalence and incidence of dementia across the UK over time (Matthews et al., 2013).</w:t>
      </w:r>
      <w:r w:rsidDel="00000000" w:rsidR="00000000" w:rsidRPr="00000000">
        <w:rPr>
          <w:rtl w:val="0"/>
        </w:rPr>
      </w:r>
    </w:p>
    <w:p w:rsidR="00000000" w:rsidDel="00000000" w:rsidP="00000000" w:rsidRDefault="00000000" w:rsidRPr="00000000" w14:paraId="00000019">
      <w:pPr>
        <w:pStyle w:val="Heading2"/>
        <w:spacing w:after="160" w:before="280" w:lineRule="auto"/>
        <w:rPr/>
      </w:pPr>
      <w:r w:rsidDel="00000000" w:rsidR="00000000" w:rsidRPr="00000000">
        <w:rPr>
          <w:rFonts w:ascii="Arial" w:cs="Arial" w:eastAsia="Arial" w:hAnsi="Arial"/>
          <w:b w:val="1"/>
          <w:bCs w:val="1"/>
          <w:sz w:val="24"/>
          <w:szCs w:val="24"/>
          <w:rtl w:val="0"/>
        </w:rPr>
        <w:t xml:space="preserve">2. How Dementia is Controlled</w:t>
      </w:r>
      <w:r w:rsidDel="00000000" w:rsidR="00000000" w:rsidRPr="00000000">
        <w:rPr>
          <w:rtl w:val="0"/>
        </w:rPr>
      </w:r>
    </w:p>
    <w:p w:rsidR="00000000" w:rsidDel="00000000" w:rsidP="00000000" w:rsidRDefault="00000000" w:rsidRPr="00000000" w14:paraId="0000001A">
      <w:pPr>
        <w:spacing w:after="160" w:line="360" w:lineRule="auto"/>
        <w:rPr/>
      </w:pPr>
      <w:r w:rsidDel="00000000" w:rsidR="00000000" w:rsidRPr="00000000">
        <w:rPr>
          <w:rtl w:val="0"/>
        </w:rPr>
        <w:t xml:space="preserve">In the absence of any cure for dementia, the concept of ‘control’ means prevention measures, not only pharmacological, but also non-pharmacological means for symptom control and slowing progression to manageable levels; and public health measures aimed at reducing incidence. At the primary prevention level, more and more studies indicate that modifiable lifestyle risk factors such as sedentary lifestyle, smoking, heavy alcohol consumption, obesity, hypertension, type 2 diabetes, and social isolation are responsible for large amounts of dementia. The Lancet Commission on Dementia Prevention, Intervention and Care (Livingston et al., 2020) reported on 12 modifiable risk factors that collectively contribute to c. 40% of dementia globally. Therefore, public health interventions promoting physical activity, nutrition, reduced alcohol consumption, and cessation of smoking will be crucial in minimising the risk of dementia at the population level. Pharmacologic agents may treat some types of dementia, particularly Alzheimer's disease. Acetylcholinesterase inhibitors, such as donepezil, rivastigmine and galantamine, are NICE promoted and approved for mild to moderate Alzheimer’s disease and act to facilitate acetylcholine, a neurotransmitter used in enhancing learning and memory (NICE, 2018). Memantine, a NMDA receptor antagonist, is approved in moderate to severe Alzheimer's disease. Although the drugs do not slow disease progression, modest levels of symptomatic improvement and reduction in functional decline may be achieved with some success. Non-pharmacological strategies are more widely seen as a part of dementia treatment. Cognitive stimulation therapy (CST), as the name suggests, is a style of group therapy that uses common activities designed to stimulate thinking, concentration, and memory (Spector et al., 2003), and may significantly improve quality of life and cognition in people with mild to moderate dementia. Other methods are reminiscence therapy, music therapy and exercise programmes. Person centred care — which seeks support that is specific to a person’s history, preferences and needs — is now the gold standard for dementia care, in both community and residential settings (Kitwood, 1997). At the policy level, the UK government's National Dementia Strategy, as well as the dementia care plans which follow it, set targets on how to improve rates of diagnosis, grow post-diagnostic support, and build dementia-friendly societies. NHS England's Dementia Well Pathway offers guidance on strengthening care coordination between health and social care services.</w:t>
      </w:r>
      <w:r w:rsidDel="00000000" w:rsidR="00000000" w:rsidRPr="00000000">
        <w:rPr>
          <w:rtl w:val="0"/>
        </w:rPr>
      </w:r>
    </w:p>
    <w:p w:rsidR="00000000" w:rsidDel="00000000" w:rsidP="00000000" w:rsidRDefault="00000000" w:rsidRPr="00000000" w14:paraId="0000001B">
      <w:pPr>
        <w:pStyle w:val="Heading2"/>
        <w:spacing w:after="160" w:before="280" w:lineRule="auto"/>
        <w:rPr/>
      </w:pPr>
      <w:r w:rsidDel="00000000" w:rsidR="00000000" w:rsidRPr="00000000">
        <w:rPr>
          <w:rFonts w:ascii="Arial" w:cs="Arial" w:eastAsia="Arial" w:hAnsi="Arial"/>
          <w:b w:val="1"/>
          <w:bCs w:val="1"/>
          <w:sz w:val="24"/>
          <w:szCs w:val="24"/>
          <w:rtl w:val="0"/>
        </w:rPr>
        <w:t xml:space="preserve">3. Consequences of Dementia on People in the Community</w:t>
      </w:r>
      <w:r w:rsidDel="00000000" w:rsidR="00000000" w:rsidRPr="00000000">
        <w:rPr>
          <w:rtl w:val="0"/>
        </w:rPr>
      </w:r>
    </w:p>
    <w:p w:rsidR="00000000" w:rsidDel="00000000" w:rsidP="00000000" w:rsidRDefault="00000000" w:rsidRPr="00000000" w14:paraId="0000001C">
      <w:pPr>
        <w:spacing w:after="160" w:line="360" w:lineRule="auto"/>
        <w:rPr/>
      </w:pPr>
      <w:r w:rsidDel="00000000" w:rsidR="00000000" w:rsidRPr="00000000">
        <w:rPr>
          <w:rtl w:val="0"/>
        </w:rPr>
        <w:t xml:space="preserve">Dementia impacts beyond the individual, families, carers, the community, society more broadly. These impact factors are physical, psychological, social and economic. The person living with dementia and the progressive nature of the disease leaves them losing more and more independence and autonomy. For those who face difficulties with day-to-day tasks, communication and self-care, they require increasing levels of support, frequently requiring moving to residential care in advanced stages. The psychological toll is considerable too — depression and anxiety are commonly comorbid, and many people with dementia undergo extreme distress around their consciousness of cognitive decline in its early phases (Alzheimer’s Society, 2022). The consequences can be significant for family caregivers. There are about 700,000 unpaid carers of a person with dementia in the UK alone (Alzheimer’s Research UK, 2023). However, as we know, caring for someone with dementia is associated with high caregiver burden, high stress and depression, financial hardship due to shorter working hours or the avoidance of employment altogether. Carers are often left feeling isolated, poorly supported by services, and overwhelmed by the demands of caring for others. Increasing numbers of people with dementia can also impact communities. Enterprises, transport, and public services must adapt to make them more dementia-friendly so that people living with the condition continue in their communities for as long as possible. The Dementia Friends initiative is run by Alzheimer's Society. Its goal is to increase public understanding of dementia, break down prejudice and improve the experience people with the disease face in their own communities. Dementia is one of the UK's most expensive conditions economically. The overall annual cost from dementia to the UK economy – including health and social care and unpaid care – is estimated at over £34 billion, a figure projected to more than double by 2050. This increases with an ageing population at the cost of the entire population (Alzheimer's Research UK, 2023).</w:t>
      </w:r>
      <w:r w:rsidDel="00000000" w:rsidR="00000000" w:rsidRPr="00000000">
        <w:rPr>
          <w:rtl w:val="0"/>
        </w:rPr>
      </w:r>
    </w:p>
    <w:p w:rsidR="00000000" w:rsidDel="00000000" w:rsidP="00000000" w:rsidRDefault="00000000" w:rsidRPr="00000000" w14:paraId="0000001D">
      <w:pPr>
        <w:pStyle w:val="Heading1"/>
        <w:spacing w:after="200" w:before="360" w:lineRule="auto"/>
        <w:rPr/>
      </w:pPr>
      <w:r w:rsidDel="00000000" w:rsidR="00000000" w:rsidRPr="00000000">
        <w:rPr>
          <w:rFonts w:ascii="Arial" w:cs="Arial" w:eastAsia="Arial" w:hAnsi="Arial"/>
          <w:b w:val="1"/>
          <w:bCs w:val="1"/>
          <w:sz w:val="28"/>
          <w:szCs w:val="28"/>
          <w:rtl w:val="0"/>
        </w:rPr>
        <w:t xml:space="preserve">Conclusion</w:t>
      </w:r>
      <w:r w:rsidDel="00000000" w:rsidR="00000000" w:rsidRPr="00000000">
        <w:rPr>
          <w:rtl w:val="0"/>
        </w:rPr>
      </w:r>
    </w:p>
    <w:p w:rsidR="00000000" w:rsidDel="00000000" w:rsidP="00000000" w:rsidRDefault="00000000" w:rsidRPr="00000000" w14:paraId="0000001E">
      <w:pPr>
        <w:spacing w:after="160" w:line="360" w:lineRule="auto"/>
        <w:rPr/>
      </w:pPr>
      <w:r w:rsidDel="00000000" w:rsidR="00000000" w:rsidRPr="00000000">
        <w:rPr>
          <w:rtl w:val="0"/>
        </w:rPr>
        <w:t xml:space="preserve">Dementia is one of the major public health challenges of the twenty-first century. Globally, around 55 million people presently suffer from dementia, with almost 10 million new diagnoses each year (WHO, 2023). According to estimates, there are around 944,000 people living with dementia in the UK and as of 2040 this figure is expected to exceed 1.6 million (Alzheimer's Research UK, 2023). This reflects the severe and ever-increasing burden the condition places on individuals, families, health and social care systems and economies. It is particularly relevant in relation to the fact that dementia is the leading cause of death in England and Wales - accounting for approximately 12% of all deaths in 2022 – and highlights the fact that dementia is a severe global health challenge (Office for National Statistics, 2023). Without a cure, early diagnosis, reducing risk, person-centred care and other improvements present real chances to make a difference for the lives and quality of life of people with dementia. There is a need for investment in dementia research, workforce development and community support systems in the health and care sector to tackle the increasing burden of dementia.</w:t>
      </w:r>
      <w:r w:rsidDel="00000000" w:rsidR="00000000" w:rsidRPr="00000000">
        <w:rPr>
          <w:rtl w:val="0"/>
        </w:rPr>
      </w:r>
    </w:p>
    <w:p w:rsidR="00000000" w:rsidDel="00000000" w:rsidP="00000000" w:rsidRDefault="00000000" w:rsidRPr="00000000" w14:paraId="0000001F">
      <w:pPr>
        <w:pStyle w:val="Heading1"/>
        <w:spacing w:after="200" w:before="360" w:lineRule="auto"/>
        <w:rPr/>
      </w:pPr>
      <w:r w:rsidDel="00000000" w:rsidR="00000000" w:rsidRPr="00000000">
        <w:rPr>
          <w:rFonts w:ascii="Arial" w:cs="Arial" w:eastAsia="Arial" w:hAnsi="Arial"/>
          <w:b w:val="1"/>
          <w:bCs w:val="1"/>
          <w:sz w:val="28"/>
          <w:szCs w:val="28"/>
          <w:rtl w:val="0"/>
        </w:rPr>
        <w:t xml:space="preserve">References</w:t>
      </w:r>
      <w:r w:rsidDel="00000000" w:rsidR="00000000" w:rsidRPr="00000000">
        <w:rPr>
          <w:rtl w:val="0"/>
        </w:rPr>
      </w:r>
    </w:p>
    <w:p w:rsidR="00000000" w:rsidDel="00000000" w:rsidP="00000000" w:rsidRDefault="00000000" w:rsidRPr="00000000" w14:paraId="00000020">
      <w:pPr>
        <w:spacing w:after="160" w:line="360" w:lineRule="auto"/>
        <w:rPr/>
      </w:pPr>
      <w:r w:rsidDel="00000000" w:rsidR="00000000" w:rsidRPr="00000000">
        <w:rPr>
          <w:rFonts w:ascii="Arial" w:cs="Arial" w:eastAsia="Arial" w:hAnsi="Arial"/>
          <w:b w:val="0"/>
          <w:bCs w:val="0"/>
          <w:i w:val="0"/>
          <w:iCs w:val="0"/>
          <w:sz w:val="22"/>
          <w:szCs w:val="22"/>
          <w:rtl w:val="0"/>
        </w:rPr>
        <w:t xml:space="preserve">Alzheimer's Research UK (2023) </w:t>
      </w:r>
      <w:r w:rsidDel="00000000" w:rsidR="00000000" w:rsidRPr="00000000">
        <w:rPr>
          <w:rFonts w:ascii="Arial" w:cs="Arial" w:eastAsia="Arial" w:hAnsi="Arial"/>
          <w:b w:val="0"/>
          <w:bCs w:val="0"/>
          <w:i w:val="1"/>
          <w:iCs w:val="1"/>
          <w:sz w:val="22"/>
          <w:szCs w:val="22"/>
          <w:rtl w:val="0"/>
        </w:rPr>
        <w:t xml:space="preserve">Dementia Statistics Hub.</w:t>
      </w:r>
      <w:r w:rsidDel="00000000" w:rsidR="00000000" w:rsidRPr="00000000">
        <w:rPr>
          <w:rFonts w:ascii="Arial" w:cs="Arial" w:eastAsia="Arial" w:hAnsi="Arial"/>
          <w:b w:val="0"/>
          <w:bCs w:val="0"/>
          <w:i w:val="0"/>
          <w:iCs w:val="0"/>
          <w:sz w:val="22"/>
          <w:szCs w:val="22"/>
          <w:rtl w:val="0"/>
        </w:rPr>
        <w:t xml:space="preserve"> Cambridge: Alzheimer's Research UK. Available at: https://www.dementiastatistics.org (Accessed: 15 April 2025).</w:t>
      </w:r>
      <w:r w:rsidDel="00000000" w:rsidR="00000000" w:rsidRPr="00000000">
        <w:rPr>
          <w:rtl w:val="0"/>
        </w:rPr>
      </w:r>
    </w:p>
    <w:p w:rsidR="00000000" w:rsidDel="00000000" w:rsidP="00000000" w:rsidRDefault="00000000" w:rsidRPr="00000000" w14:paraId="00000021">
      <w:pPr>
        <w:spacing w:after="160" w:line="360" w:lineRule="auto"/>
        <w:rPr/>
      </w:pPr>
      <w:r w:rsidDel="00000000" w:rsidR="00000000" w:rsidRPr="00000000">
        <w:rPr>
          <w:rFonts w:ascii="Arial" w:cs="Arial" w:eastAsia="Arial" w:hAnsi="Arial"/>
          <w:b w:val="0"/>
          <w:bCs w:val="0"/>
          <w:i w:val="0"/>
          <w:iCs w:val="0"/>
          <w:sz w:val="22"/>
          <w:szCs w:val="22"/>
          <w:rtl w:val="0"/>
        </w:rPr>
        <w:t xml:space="preserve">Alzheimer's Society (2022) </w:t>
      </w:r>
      <w:r w:rsidDel="00000000" w:rsidR="00000000" w:rsidRPr="00000000">
        <w:rPr>
          <w:rFonts w:ascii="Arial" w:cs="Arial" w:eastAsia="Arial" w:hAnsi="Arial"/>
          <w:b w:val="0"/>
          <w:bCs w:val="0"/>
          <w:i w:val="1"/>
          <w:iCs w:val="1"/>
          <w:sz w:val="22"/>
          <w:szCs w:val="22"/>
          <w:rtl w:val="0"/>
        </w:rPr>
        <w:t xml:space="preserve">Dementia UK Report.</w:t>
      </w:r>
      <w:r w:rsidDel="00000000" w:rsidR="00000000" w:rsidRPr="00000000">
        <w:rPr>
          <w:rFonts w:ascii="Arial" w:cs="Arial" w:eastAsia="Arial" w:hAnsi="Arial"/>
          <w:b w:val="0"/>
          <w:bCs w:val="0"/>
          <w:i w:val="0"/>
          <w:iCs w:val="0"/>
          <w:sz w:val="22"/>
          <w:szCs w:val="22"/>
          <w:rtl w:val="0"/>
        </w:rPr>
        <w:t xml:space="preserve"> London: Alzheimer's Society.</w:t>
      </w:r>
      <w:r w:rsidDel="00000000" w:rsidR="00000000" w:rsidRPr="00000000">
        <w:rPr>
          <w:rtl w:val="0"/>
        </w:rPr>
      </w:r>
    </w:p>
    <w:p w:rsidR="00000000" w:rsidDel="00000000" w:rsidP="00000000" w:rsidRDefault="00000000" w:rsidRPr="00000000" w14:paraId="00000022">
      <w:pPr>
        <w:spacing w:after="160" w:line="360" w:lineRule="auto"/>
        <w:rPr/>
      </w:pPr>
      <w:r w:rsidDel="00000000" w:rsidR="00000000" w:rsidRPr="00000000">
        <w:rPr>
          <w:rFonts w:ascii="Arial" w:cs="Arial" w:eastAsia="Arial" w:hAnsi="Arial"/>
          <w:b w:val="0"/>
          <w:bCs w:val="0"/>
          <w:i w:val="0"/>
          <w:iCs w:val="0"/>
          <w:sz w:val="22"/>
          <w:szCs w:val="22"/>
          <w:rtl w:val="0"/>
        </w:rPr>
        <w:t xml:space="preserve">Folstein, M.F., Folstein, S.E. and McHugh, P.R. (1975) 'Mini-mental state: a practical method for grading the cognitive state of patients for the clinician', </w:t>
      </w:r>
      <w:r w:rsidDel="00000000" w:rsidR="00000000" w:rsidRPr="00000000">
        <w:rPr>
          <w:rFonts w:ascii="Arial" w:cs="Arial" w:eastAsia="Arial" w:hAnsi="Arial"/>
          <w:b w:val="0"/>
          <w:bCs w:val="0"/>
          <w:i w:val="1"/>
          <w:iCs w:val="1"/>
          <w:sz w:val="22"/>
          <w:szCs w:val="22"/>
          <w:rtl w:val="0"/>
        </w:rPr>
        <w:t xml:space="preserve">Journal of Psychiatric Research,</w:t>
      </w:r>
      <w:r w:rsidDel="00000000" w:rsidR="00000000" w:rsidRPr="00000000">
        <w:rPr>
          <w:rFonts w:ascii="Arial" w:cs="Arial" w:eastAsia="Arial" w:hAnsi="Arial"/>
          <w:b w:val="0"/>
          <w:bCs w:val="0"/>
          <w:i w:val="0"/>
          <w:iCs w:val="0"/>
          <w:sz w:val="22"/>
          <w:szCs w:val="22"/>
          <w:rtl w:val="0"/>
        </w:rPr>
        <w:t xml:space="preserve"> 12(3), pp. 189–198.</w:t>
      </w:r>
      <w:r w:rsidDel="00000000" w:rsidR="00000000" w:rsidRPr="00000000">
        <w:rPr>
          <w:rtl w:val="0"/>
        </w:rPr>
      </w:r>
    </w:p>
    <w:p w:rsidR="00000000" w:rsidDel="00000000" w:rsidP="00000000" w:rsidRDefault="00000000" w:rsidRPr="00000000" w14:paraId="00000023">
      <w:pPr>
        <w:spacing w:after="160" w:line="360" w:lineRule="auto"/>
        <w:rPr/>
      </w:pPr>
      <w:r w:rsidDel="00000000" w:rsidR="00000000" w:rsidRPr="00000000">
        <w:rPr>
          <w:rFonts w:ascii="Arial" w:cs="Arial" w:eastAsia="Arial" w:hAnsi="Arial"/>
          <w:b w:val="0"/>
          <w:bCs w:val="0"/>
          <w:i w:val="0"/>
          <w:iCs w:val="0"/>
          <w:sz w:val="22"/>
          <w:szCs w:val="22"/>
          <w:rtl w:val="0"/>
        </w:rPr>
        <w:t xml:space="preserve">Kitwood, T. (1997) </w:t>
      </w:r>
      <w:r w:rsidDel="00000000" w:rsidR="00000000" w:rsidRPr="00000000">
        <w:rPr>
          <w:rFonts w:ascii="Arial" w:cs="Arial" w:eastAsia="Arial" w:hAnsi="Arial"/>
          <w:b w:val="0"/>
          <w:bCs w:val="0"/>
          <w:i w:val="1"/>
          <w:iCs w:val="1"/>
          <w:sz w:val="22"/>
          <w:szCs w:val="22"/>
          <w:rtl w:val="0"/>
        </w:rPr>
        <w:t xml:space="preserve">Dementia Reconsidered: The Person Comes First.</w:t>
      </w:r>
      <w:r w:rsidDel="00000000" w:rsidR="00000000" w:rsidRPr="00000000">
        <w:rPr>
          <w:rFonts w:ascii="Arial" w:cs="Arial" w:eastAsia="Arial" w:hAnsi="Arial"/>
          <w:b w:val="0"/>
          <w:bCs w:val="0"/>
          <w:i w:val="0"/>
          <w:iCs w:val="0"/>
          <w:sz w:val="22"/>
          <w:szCs w:val="22"/>
          <w:rtl w:val="0"/>
        </w:rPr>
        <w:t xml:space="preserve"> Buckingham: Open University Press.</w:t>
      </w:r>
      <w:r w:rsidDel="00000000" w:rsidR="00000000" w:rsidRPr="00000000">
        <w:rPr>
          <w:rtl w:val="0"/>
        </w:rPr>
      </w:r>
    </w:p>
    <w:p w:rsidR="00000000" w:rsidDel="00000000" w:rsidP="00000000" w:rsidRDefault="00000000" w:rsidRPr="00000000" w14:paraId="00000024">
      <w:pPr>
        <w:spacing w:after="160" w:line="360" w:lineRule="auto"/>
        <w:rPr/>
      </w:pPr>
      <w:r w:rsidDel="00000000" w:rsidR="00000000" w:rsidRPr="00000000">
        <w:rPr>
          <w:rFonts w:ascii="Arial" w:cs="Arial" w:eastAsia="Arial" w:hAnsi="Arial"/>
          <w:b w:val="0"/>
          <w:bCs w:val="0"/>
          <w:i w:val="0"/>
          <w:iCs w:val="0"/>
          <w:sz w:val="22"/>
          <w:szCs w:val="22"/>
          <w:rtl w:val="0"/>
        </w:rPr>
        <w:t xml:space="preserve">Livingston, G. et al. (2020) 'Dementia prevention, intervention, and care: 2020 report of the Lancet Commission', </w:t>
      </w:r>
      <w:r w:rsidDel="00000000" w:rsidR="00000000" w:rsidRPr="00000000">
        <w:rPr>
          <w:rFonts w:ascii="Arial" w:cs="Arial" w:eastAsia="Arial" w:hAnsi="Arial"/>
          <w:b w:val="0"/>
          <w:bCs w:val="0"/>
          <w:i w:val="1"/>
          <w:iCs w:val="1"/>
          <w:sz w:val="22"/>
          <w:szCs w:val="22"/>
          <w:rtl w:val="0"/>
        </w:rPr>
        <w:t xml:space="preserve">The Lancet,</w:t>
      </w:r>
      <w:r w:rsidDel="00000000" w:rsidR="00000000" w:rsidRPr="00000000">
        <w:rPr>
          <w:rFonts w:ascii="Arial" w:cs="Arial" w:eastAsia="Arial" w:hAnsi="Arial"/>
          <w:b w:val="0"/>
          <w:bCs w:val="0"/>
          <w:i w:val="0"/>
          <w:iCs w:val="0"/>
          <w:sz w:val="22"/>
          <w:szCs w:val="22"/>
          <w:rtl w:val="0"/>
        </w:rPr>
        <w:t xml:space="preserve"> 396(10248), pp. 413–446.</w:t>
      </w:r>
      <w:r w:rsidDel="00000000" w:rsidR="00000000" w:rsidRPr="00000000">
        <w:rPr>
          <w:rtl w:val="0"/>
        </w:rPr>
      </w:r>
    </w:p>
    <w:p w:rsidR="00000000" w:rsidDel="00000000" w:rsidP="00000000" w:rsidRDefault="00000000" w:rsidRPr="00000000" w14:paraId="00000025">
      <w:pPr>
        <w:spacing w:after="160" w:line="360" w:lineRule="auto"/>
        <w:rPr/>
      </w:pPr>
      <w:r w:rsidDel="00000000" w:rsidR="00000000" w:rsidRPr="00000000">
        <w:rPr>
          <w:rFonts w:ascii="Arial" w:cs="Arial" w:eastAsia="Arial" w:hAnsi="Arial"/>
          <w:b w:val="0"/>
          <w:bCs w:val="0"/>
          <w:i w:val="0"/>
          <w:iCs w:val="0"/>
          <w:sz w:val="22"/>
          <w:szCs w:val="22"/>
          <w:rtl w:val="0"/>
        </w:rPr>
        <w:t xml:space="preserve">Matthews, F.E. et al. (2013) 'A two-decade comparison of prevalence of dementia in individuals aged 65 years and older from three geographical areas of England', </w:t>
      </w:r>
      <w:r w:rsidDel="00000000" w:rsidR="00000000" w:rsidRPr="00000000">
        <w:rPr>
          <w:rFonts w:ascii="Arial" w:cs="Arial" w:eastAsia="Arial" w:hAnsi="Arial"/>
          <w:b w:val="0"/>
          <w:bCs w:val="0"/>
          <w:i w:val="1"/>
          <w:iCs w:val="1"/>
          <w:sz w:val="22"/>
          <w:szCs w:val="22"/>
          <w:rtl w:val="0"/>
        </w:rPr>
        <w:t xml:space="preserve">The Lancet,</w:t>
      </w:r>
      <w:r w:rsidDel="00000000" w:rsidR="00000000" w:rsidRPr="00000000">
        <w:rPr>
          <w:rFonts w:ascii="Arial" w:cs="Arial" w:eastAsia="Arial" w:hAnsi="Arial"/>
          <w:b w:val="0"/>
          <w:bCs w:val="0"/>
          <w:i w:val="0"/>
          <w:iCs w:val="0"/>
          <w:sz w:val="22"/>
          <w:szCs w:val="22"/>
          <w:rtl w:val="0"/>
        </w:rPr>
        <w:t xml:space="preserve"> 382(9902), pp. 1405–1412.</w:t>
      </w:r>
      <w:r w:rsidDel="00000000" w:rsidR="00000000" w:rsidRPr="00000000">
        <w:rPr>
          <w:rtl w:val="0"/>
        </w:rPr>
      </w:r>
    </w:p>
    <w:p w:rsidR="00000000" w:rsidDel="00000000" w:rsidP="00000000" w:rsidRDefault="00000000" w:rsidRPr="00000000" w14:paraId="00000026">
      <w:pPr>
        <w:spacing w:after="160" w:line="360" w:lineRule="auto"/>
        <w:rPr/>
      </w:pPr>
      <w:r w:rsidDel="00000000" w:rsidR="00000000" w:rsidRPr="00000000">
        <w:rPr>
          <w:rFonts w:ascii="Arial" w:cs="Arial" w:eastAsia="Arial" w:hAnsi="Arial"/>
          <w:b w:val="0"/>
          <w:bCs w:val="0"/>
          <w:i w:val="0"/>
          <w:iCs w:val="0"/>
          <w:sz w:val="22"/>
          <w:szCs w:val="22"/>
          <w:rtl w:val="0"/>
        </w:rPr>
        <w:t xml:space="preserve">Nasreddine, Z.S. et al. (2005) 'The Montreal Cognitive Assessment, MoCA: a brief screening tool for mild cognitive impairment', </w:t>
      </w:r>
      <w:r w:rsidDel="00000000" w:rsidR="00000000" w:rsidRPr="00000000">
        <w:rPr>
          <w:rFonts w:ascii="Arial" w:cs="Arial" w:eastAsia="Arial" w:hAnsi="Arial"/>
          <w:b w:val="0"/>
          <w:bCs w:val="0"/>
          <w:i w:val="1"/>
          <w:iCs w:val="1"/>
          <w:sz w:val="22"/>
          <w:szCs w:val="22"/>
          <w:rtl w:val="0"/>
        </w:rPr>
        <w:t xml:space="preserve">Journal of the American Geriatrics Society,</w:t>
      </w:r>
      <w:r w:rsidDel="00000000" w:rsidR="00000000" w:rsidRPr="00000000">
        <w:rPr>
          <w:rFonts w:ascii="Arial" w:cs="Arial" w:eastAsia="Arial" w:hAnsi="Arial"/>
          <w:b w:val="0"/>
          <w:bCs w:val="0"/>
          <w:i w:val="0"/>
          <w:iCs w:val="0"/>
          <w:sz w:val="22"/>
          <w:szCs w:val="22"/>
          <w:rtl w:val="0"/>
        </w:rPr>
        <w:t xml:space="preserve"> 53(4), pp. 695–699.</w:t>
      </w:r>
      <w:r w:rsidDel="00000000" w:rsidR="00000000" w:rsidRPr="00000000">
        <w:rPr>
          <w:rtl w:val="0"/>
        </w:rPr>
      </w:r>
    </w:p>
    <w:p w:rsidR="00000000" w:rsidDel="00000000" w:rsidP="00000000" w:rsidRDefault="00000000" w:rsidRPr="00000000" w14:paraId="00000027">
      <w:pPr>
        <w:spacing w:after="160" w:line="360" w:lineRule="auto"/>
        <w:rPr/>
      </w:pPr>
      <w:r w:rsidDel="00000000" w:rsidR="00000000" w:rsidRPr="00000000">
        <w:rPr>
          <w:rFonts w:ascii="Arial" w:cs="Arial" w:eastAsia="Arial" w:hAnsi="Arial"/>
          <w:b w:val="0"/>
          <w:bCs w:val="0"/>
          <w:i w:val="0"/>
          <w:iCs w:val="0"/>
          <w:sz w:val="22"/>
          <w:szCs w:val="22"/>
          <w:rtl w:val="0"/>
        </w:rPr>
        <w:t xml:space="preserve">NHS England (2023) </w:t>
      </w:r>
      <w:r w:rsidDel="00000000" w:rsidR="00000000" w:rsidRPr="00000000">
        <w:rPr>
          <w:rFonts w:ascii="Arial" w:cs="Arial" w:eastAsia="Arial" w:hAnsi="Arial"/>
          <w:b w:val="0"/>
          <w:bCs w:val="0"/>
          <w:i w:val="1"/>
          <w:iCs w:val="1"/>
          <w:sz w:val="22"/>
          <w:szCs w:val="22"/>
          <w:rtl w:val="0"/>
        </w:rPr>
        <w:t xml:space="preserve">Dementia Well Pathway.</w:t>
      </w:r>
      <w:r w:rsidDel="00000000" w:rsidR="00000000" w:rsidRPr="00000000">
        <w:rPr>
          <w:rFonts w:ascii="Arial" w:cs="Arial" w:eastAsia="Arial" w:hAnsi="Arial"/>
          <w:b w:val="0"/>
          <w:bCs w:val="0"/>
          <w:i w:val="0"/>
          <w:iCs w:val="0"/>
          <w:sz w:val="22"/>
          <w:szCs w:val="22"/>
          <w:rtl w:val="0"/>
        </w:rPr>
        <w:t xml:space="preserve"> London: NHS England.</w:t>
      </w:r>
      <w:r w:rsidDel="00000000" w:rsidR="00000000" w:rsidRPr="00000000">
        <w:rPr>
          <w:rtl w:val="0"/>
        </w:rPr>
      </w:r>
    </w:p>
    <w:p w:rsidR="00000000" w:rsidDel="00000000" w:rsidP="00000000" w:rsidRDefault="00000000" w:rsidRPr="00000000" w14:paraId="00000028">
      <w:pPr>
        <w:spacing w:after="160" w:line="360" w:lineRule="auto"/>
        <w:rPr/>
      </w:pPr>
      <w:r w:rsidDel="00000000" w:rsidR="00000000" w:rsidRPr="00000000">
        <w:rPr>
          <w:rFonts w:ascii="Arial" w:cs="Arial" w:eastAsia="Arial" w:hAnsi="Arial"/>
          <w:b w:val="0"/>
          <w:bCs w:val="0"/>
          <w:i w:val="0"/>
          <w:iCs w:val="0"/>
          <w:sz w:val="22"/>
          <w:szCs w:val="22"/>
          <w:rtl w:val="0"/>
        </w:rPr>
        <w:t xml:space="preserve">NICE (2018) </w:t>
      </w:r>
      <w:r w:rsidDel="00000000" w:rsidR="00000000" w:rsidRPr="00000000">
        <w:rPr>
          <w:rFonts w:ascii="Arial" w:cs="Arial" w:eastAsia="Arial" w:hAnsi="Arial"/>
          <w:b w:val="0"/>
          <w:bCs w:val="0"/>
          <w:i w:val="1"/>
          <w:iCs w:val="1"/>
          <w:sz w:val="22"/>
          <w:szCs w:val="22"/>
          <w:rtl w:val="0"/>
        </w:rPr>
        <w:t xml:space="preserve">Dementia: Assessment, Management and Support for People Living with Dementia and their Carers. NICE Guideline NG97.</w:t>
      </w:r>
      <w:r w:rsidDel="00000000" w:rsidR="00000000" w:rsidRPr="00000000">
        <w:rPr>
          <w:rFonts w:ascii="Arial" w:cs="Arial" w:eastAsia="Arial" w:hAnsi="Arial"/>
          <w:b w:val="0"/>
          <w:bCs w:val="0"/>
          <w:i w:val="0"/>
          <w:iCs w:val="0"/>
          <w:sz w:val="22"/>
          <w:szCs w:val="22"/>
          <w:rtl w:val="0"/>
        </w:rPr>
        <w:t xml:space="preserve"> London: National Institute for Health and Care Excellence.</w:t>
      </w:r>
      <w:r w:rsidDel="00000000" w:rsidR="00000000" w:rsidRPr="00000000">
        <w:rPr>
          <w:rtl w:val="0"/>
        </w:rPr>
      </w:r>
    </w:p>
    <w:p w:rsidR="00000000" w:rsidDel="00000000" w:rsidP="00000000" w:rsidRDefault="00000000" w:rsidRPr="00000000" w14:paraId="00000029">
      <w:pPr>
        <w:spacing w:after="160" w:line="360" w:lineRule="auto"/>
        <w:rPr/>
      </w:pPr>
      <w:r w:rsidDel="00000000" w:rsidR="00000000" w:rsidRPr="00000000">
        <w:rPr>
          <w:rFonts w:ascii="Arial" w:cs="Arial" w:eastAsia="Arial" w:hAnsi="Arial"/>
          <w:b w:val="0"/>
          <w:bCs w:val="0"/>
          <w:i w:val="0"/>
          <w:iCs w:val="0"/>
          <w:sz w:val="22"/>
          <w:szCs w:val="22"/>
          <w:rtl w:val="0"/>
        </w:rPr>
        <w:t xml:space="preserve">Office for National Statistics (2023) </w:t>
      </w:r>
      <w:r w:rsidDel="00000000" w:rsidR="00000000" w:rsidRPr="00000000">
        <w:rPr>
          <w:rFonts w:ascii="Arial" w:cs="Arial" w:eastAsia="Arial" w:hAnsi="Arial"/>
          <w:b w:val="0"/>
          <w:bCs w:val="0"/>
          <w:i w:val="1"/>
          <w:iCs w:val="1"/>
          <w:sz w:val="22"/>
          <w:szCs w:val="22"/>
          <w:rtl w:val="0"/>
        </w:rPr>
        <w:t xml:space="preserve">Deaths Registered in England and Wales.</w:t>
      </w:r>
      <w:r w:rsidDel="00000000" w:rsidR="00000000" w:rsidRPr="00000000">
        <w:rPr>
          <w:rFonts w:ascii="Arial" w:cs="Arial" w:eastAsia="Arial" w:hAnsi="Arial"/>
          <w:b w:val="0"/>
          <w:bCs w:val="0"/>
          <w:i w:val="0"/>
          <w:iCs w:val="0"/>
          <w:sz w:val="22"/>
          <w:szCs w:val="22"/>
          <w:rtl w:val="0"/>
        </w:rPr>
        <w:t xml:space="preserve"> Newport: ONS.</w:t>
      </w:r>
      <w:r w:rsidDel="00000000" w:rsidR="00000000" w:rsidRPr="00000000">
        <w:rPr>
          <w:rtl w:val="0"/>
        </w:rPr>
      </w:r>
    </w:p>
    <w:p w:rsidR="00000000" w:rsidDel="00000000" w:rsidP="00000000" w:rsidRDefault="00000000" w:rsidRPr="00000000" w14:paraId="0000002A">
      <w:pPr>
        <w:spacing w:after="160" w:line="360" w:lineRule="auto"/>
        <w:rPr/>
      </w:pPr>
      <w:r w:rsidDel="00000000" w:rsidR="00000000" w:rsidRPr="00000000">
        <w:rPr>
          <w:rFonts w:ascii="Arial" w:cs="Arial" w:eastAsia="Arial" w:hAnsi="Arial"/>
          <w:b w:val="0"/>
          <w:bCs w:val="0"/>
          <w:i w:val="0"/>
          <w:iCs w:val="0"/>
          <w:sz w:val="22"/>
          <w:szCs w:val="22"/>
          <w:rtl w:val="0"/>
        </w:rPr>
        <w:t xml:space="preserve">Spector, A. et al. (2003) 'Efficacy of an evidence-based cognitive stimulation therapy programme for people with dementia', </w:t>
      </w:r>
      <w:r w:rsidDel="00000000" w:rsidR="00000000" w:rsidRPr="00000000">
        <w:rPr>
          <w:rFonts w:ascii="Arial" w:cs="Arial" w:eastAsia="Arial" w:hAnsi="Arial"/>
          <w:b w:val="0"/>
          <w:bCs w:val="0"/>
          <w:i w:val="1"/>
          <w:iCs w:val="1"/>
          <w:sz w:val="22"/>
          <w:szCs w:val="22"/>
          <w:rtl w:val="0"/>
        </w:rPr>
        <w:t xml:space="preserve">British Journal of Psychiatry,</w:t>
      </w:r>
      <w:r w:rsidDel="00000000" w:rsidR="00000000" w:rsidRPr="00000000">
        <w:rPr>
          <w:rFonts w:ascii="Arial" w:cs="Arial" w:eastAsia="Arial" w:hAnsi="Arial"/>
          <w:b w:val="0"/>
          <w:bCs w:val="0"/>
          <w:i w:val="0"/>
          <w:iCs w:val="0"/>
          <w:sz w:val="22"/>
          <w:szCs w:val="22"/>
          <w:rtl w:val="0"/>
        </w:rPr>
        <w:t xml:space="preserve"> 183(3), pp. 248–254.</w:t>
      </w:r>
      <w:r w:rsidDel="00000000" w:rsidR="00000000" w:rsidRPr="00000000">
        <w:rPr>
          <w:rtl w:val="0"/>
        </w:rPr>
      </w:r>
    </w:p>
    <w:p w:rsidR="00000000" w:rsidDel="00000000" w:rsidP="00000000" w:rsidRDefault="00000000" w:rsidRPr="00000000" w14:paraId="0000002B">
      <w:pPr>
        <w:spacing w:after="160" w:line="360" w:lineRule="auto"/>
        <w:rPr/>
      </w:pPr>
      <w:r w:rsidDel="00000000" w:rsidR="00000000" w:rsidRPr="00000000">
        <w:rPr>
          <w:rFonts w:ascii="Arial" w:cs="Arial" w:eastAsia="Arial" w:hAnsi="Arial"/>
          <w:b w:val="0"/>
          <w:bCs w:val="0"/>
          <w:i w:val="0"/>
          <w:iCs w:val="0"/>
          <w:sz w:val="22"/>
          <w:szCs w:val="22"/>
          <w:rtl w:val="0"/>
        </w:rPr>
        <w:t xml:space="preserve">World Health Organization (2023) </w:t>
      </w:r>
      <w:r w:rsidDel="00000000" w:rsidR="00000000" w:rsidRPr="00000000">
        <w:rPr>
          <w:rFonts w:ascii="Arial" w:cs="Arial" w:eastAsia="Arial" w:hAnsi="Arial"/>
          <w:b w:val="0"/>
          <w:bCs w:val="0"/>
          <w:i w:val="1"/>
          <w:iCs w:val="1"/>
          <w:sz w:val="22"/>
          <w:szCs w:val="22"/>
          <w:rtl w:val="0"/>
        </w:rPr>
        <w:t xml:space="preserve">Dementia.</w:t>
      </w:r>
      <w:r w:rsidDel="00000000" w:rsidR="00000000" w:rsidRPr="00000000">
        <w:rPr>
          <w:rFonts w:ascii="Arial" w:cs="Arial" w:eastAsia="Arial" w:hAnsi="Arial"/>
          <w:b w:val="0"/>
          <w:bCs w:val="0"/>
          <w:i w:val="0"/>
          <w:iCs w:val="0"/>
          <w:sz w:val="22"/>
          <w:szCs w:val="22"/>
          <w:rtl w:val="0"/>
        </w:rPr>
        <w:t xml:space="preserve"> Geneva: WHO. Available at: https://www.who.int/news-room/fact-sheets/detail/dementia (Accessed: 15 April 2025).</w:t>
      </w:r>
      <w:r w:rsidDel="00000000" w:rsidR="00000000" w:rsidRPr="00000000">
        <w:rPr>
          <w:rtl w:val="0"/>
        </w:rPr>
      </w:r>
    </w:p>
    <w:sectPr>
      <w:footerReference r:id="rId7" w:type="default"/>
      <w:type w:val="nextPage"/>
      <w:pgSz w:h="16838" w:w="11906" w:orient="portrait"/>
      <w:pgMar w:bottom="1440" w:top="1440" w:left="1440" w:right="144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C">
    <w:pPr>
      <w:jc w:val="center"/>
      <w:rPr/>
    </w:pPr>
    <w:r w:rsidDel="00000000" w:rsidR="00000000" w:rsidRPr="00000000">
      <w:rPr>
        <w:rFonts w:ascii="Arial" w:cs="Arial" w:eastAsia="Arial" w:hAnsi="Arial"/>
        <w:sz w:val="22"/>
        <w:szCs w:val="22"/>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360" w:line="240" w:lineRule="auto"/>
      <w:ind w:left="0" w:right="0" w:firstLine="0"/>
      <w:jc w:val="left"/>
    </w:pPr>
    <w:rPr>
      <w:rFonts w:ascii="Arial" w:cs="Arial" w:eastAsia="Arial" w:hAnsi="Arial"/>
      <w:b w:val="1"/>
      <w:bCs w:val="1"/>
      <w:i w:val="0"/>
      <w:iCs w:val="0"/>
      <w:smallCaps w:val="0"/>
      <w:strike w:val="0"/>
      <w:color w:val="000000"/>
      <w:sz w:val="28"/>
      <w:szCs w:val="28"/>
      <w:u w:val="none"/>
      <w:shd w:fill="auto" w:val="clear"/>
      <w:vertAlign w:val="baseline"/>
    </w:rPr>
  </w:style>
  <w:style w:type="paragraph" w:styleId="Heading2">
    <w:name w:val="heading 2"/>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280" w:line="240" w:lineRule="auto"/>
      <w:ind w:left="0" w:right="0" w:firstLine="0"/>
      <w:jc w:val="left"/>
    </w:pPr>
    <w:rPr>
      <w:rFonts w:ascii="Arial" w:cs="Arial" w:eastAsia="Arial" w:hAnsi="Arial"/>
      <w:b w:val="1"/>
      <w:bCs w:val="1"/>
      <w:i w:val="0"/>
      <w:iCs w:val="0"/>
      <w:smallCaps w:val="0"/>
      <w:strike w:val="0"/>
      <w:color w:val="000000"/>
      <w:sz w:val="24"/>
      <w:szCs w:val="24"/>
      <w:u w:val="none"/>
      <w:shd w:fill="auto" w:val="clear"/>
      <w:vertAlign w:val="baseline"/>
    </w:rPr>
  </w:style>
  <w:style w:type="paragraph" w:styleId="Heading3">
    <w:name w:val="heading 3"/>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4"/>
      <w:szCs w:val="24"/>
      <w:u w:val="none"/>
      <w:shd w:fill="auto" w:val="clear"/>
      <w:vertAlign w:val="baseline"/>
    </w:rPr>
  </w:style>
  <w:style w:type="paragraph" w:styleId="Heading4">
    <w:name w:val="heading 4"/>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1"/>
      <w:iCs w:val="1"/>
      <w:smallCaps w:val="0"/>
      <w:strike w:val="0"/>
      <w:color w:val="2e74b5"/>
      <w:sz w:val="22"/>
      <w:szCs w:val="22"/>
      <w:u w:val="none"/>
      <w:shd w:fill="auto" w:val="clear"/>
      <w:vertAlign w:val="baseline"/>
    </w:rPr>
  </w:style>
  <w:style w:type="paragraph" w:styleId="Heading5">
    <w:name w:val="heading 5"/>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2e74b5"/>
      <w:sz w:val="22"/>
      <w:szCs w:val="22"/>
      <w:u w:val="none"/>
      <w:shd w:fill="auto" w:val="clear"/>
      <w:vertAlign w:val="baseline"/>
    </w:rPr>
  </w:style>
  <w:style w:type="paragraph" w:styleId="Heading6">
    <w:name w:val="heading 6"/>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1f4d78"/>
      <w:sz w:val="22"/>
      <w:szCs w:val="22"/>
      <w:u w:val="none"/>
      <w:shd w:fill="auto" w:val="clear"/>
      <w:vertAlign w:val="baseline"/>
    </w:rPr>
  </w:style>
  <w:style w:type="paragraph" w:styleId="Title">
    <w:name w:val="Title"/>
    <w:basedOn w:val="Normal"/>
    <w:next w:val="Normal"/>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pPr>
    <w:rPr>
      <w:rFonts w:ascii="Arial" w:cs="Arial" w:eastAsia="Arial" w:hAnsi="Arial"/>
      <w:b w:val="0"/>
      <w:bCs w:val="0"/>
      <w:i w:val="0"/>
      <w:iCs w:val="0"/>
      <w:smallCaps w:val="0"/>
      <w:strike w:val="0"/>
      <w:color w:val="000000"/>
      <w:sz w:val="56"/>
      <w:szCs w:val="56"/>
      <w:u w:val="none"/>
      <w:shd w:fill="auto" w:val="clear"/>
      <w:vertAlign w:val="baseline"/>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wGGTYF5rW/cOn2+5pRlZz9PdLA==">CgMxLjA4AHIhMUx4WjVPWTRaSjVIRzIxcDM3YklYT1huLWlwUFhDNDdI</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