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791A4" w14:textId="2CD09CC4" w:rsidR="002F5352" w:rsidRPr="002F5352" w:rsidRDefault="002F5352" w:rsidP="00B33187">
      <w:pPr>
        <w:spacing w:line="480" w:lineRule="auto"/>
        <w:jc w:val="center"/>
        <w:rPr>
          <w:rFonts w:ascii="Arial" w:hAnsi="Arial" w:cs="Arial"/>
          <w:b/>
          <w:bCs/>
        </w:rPr>
      </w:pPr>
      <w:r w:rsidRPr="002F5352">
        <w:rPr>
          <w:rFonts w:ascii="Arial" w:hAnsi="Arial" w:cs="Arial"/>
          <w:b/>
          <w:bCs/>
          <w:noProof/>
        </w:rPr>
        <w:drawing>
          <wp:inline distT="0" distB="0" distL="0" distR="0" wp14:anchorId="38C808FA" wp14:editId="13778B5F">
            <wp:extent cx="3047364" cy="1692981"/>
            <wp:effectExtent l="0" t="0" r="1270" b="2540"/>
            <wp:docPr id="1380399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61325" cy="1700737"/>
                    </a:xfrm>
                    <a:prstGeom prst="rect">
                      <a:avLst/>
                    </a:prstGeom>
                    <a:noFill/>
                  </pic:spPr>
                </pic:pic>
              </a:graphicData>
            </a:graphic>
          </wp:inline>
        </w:drawing>
      </w:r>
    </w:p>
    <w:p w14:paraId="7E717D42" w14:textId="27D4E5AE" w:rsidR="002F5352" w:rsidRPr="002F5352" w:rsidRDefault="002F5352" w:rsidP="002F5352">
      <w:pPr>
        <w:spacing w:line="360" w:lineRule="auto"/>
        <w:jc w:val="center"/>
        <w:rPr>
          <w:rFonts w:ascii="Arial" w:hAnsi="Arial" w:cs="Arial"/>
          <w:b/>
          <w:bCs/>
          <w:sz w:val="28"/>
          <w:szCs w:val="28"/>
        </w:rPr>
      </w:pPr>
      <w:r w:rsidRPr="002F5352">
        <w:rPr>
          <w:rFonts w:ascii="Arial" w:hAnsi="Arial" w:cs="Arial"/>
          <w:b/>
          <w:bCs/>
          <w:sz w:val="28"/>
          <w:szCs w:val="28"/>
        </w:rPr>
        <w:t>Programme: MSc Public Health and Social Care in Practice</w:t>
      </w:r>
    </w:p>
    <w:p w14:paraId="2C2D1B48" w14:textId="77777777" w:rsidR="002F5352" w:rsidRPr="002F5352" w:rsidRDefault="002F5352" w:rsidP="002F5352">
      <w:pPr>
        <w:spacing w:line="360" w:lineRule="auto"/>
        <w:jc w:val="center"/>
        <w:rPr>
          <w:rFonts w:ascii="Arial" w:hAnsi="Arial" w:cs="Arial"/>
          <w:b/>
          <w:bCs/>
          <w:sz w:val="28"/>
          <w:szCs w:val="28"/>
        </w:rPr>
      </w:pPr>
    </w:p>
    <w:p w14:paraId="61436590" w14:textId="687C2A59" w:rsidR="0069295A" w:rsidRPr="002F5352" w:rsidRDefault="0069295A" w:rsidP="002F5352">
      <w:pPr>
        <w:spacing w:line="360" w:lineRule="auto"/>
        <w:jc w:val="center"/>
        <w:rPr>
          <w:rFonts w:ascii="Arial" w:hAnsi="Arial" w:cs="Arial"/>
          <w:b/>
          <w:bCs/>
          <w:sz w:val="28"/>
          <w:szCs w:val="28"/>
        </w:rPr>
      </w:pPr>
      <w:r w:rsidRPr="002F5352">
        <w:rPr>
          <w:rFonts w:ascii="Arial" w:hAnsi="Arial" w:cs="Arial"/>
          <w:b/>
          <w:bCs/>
          <w:sz w:val="28"/>
          <w:szCs w:val="28"/>
        </w:rPr>
        <w:t>Module Title: Practice-Based Research</w:t>
      </w:r>
    </w:p>
    <w:p w14:paraId="171F889B" w14:textId="3124B541" w:rsidR="0069295A" w:rsidRPr="002F5352" w:rsidRDefault="0069295A" w:rsidP="002F5352">
      <w:pPr>
        <w:spacing w:line="360" w:lineRule="auto"/>
        <w:jc w:val="center"/>
        <w:rPr>
          <w:rFonts w:ascii="Arial" w:hAnsi="Arial" w:cs="Arial"/>
          <w:b/>
          <w:bCs/>
          <w:sz w:val="28"/>
          <w:szCs w:val="28"/>
        </w:rPr>
      </w:pPr>
      <w:r w:rsidRPr="002F5352">
        <w:rPr>
          <w:rFonts w:ascii="Arial" w:hAnsi="Arial" w:cs="Arial"/>
          <w:b/>
          <w:bCs/>
          <w:sz w:val="28"/>
          <w:szCs w:val="28"/>
        </w:rPr>
        <w:t>Module Code: LCHS7008</w:t>
      </w:r>
    </w:p>
    <w:p w14:paraId="0980799A" w14:textId="77777777" w:rsidR="002F5352" w:rsidRPr="002F5352" w:rsidRDefault="002F5352" w:rsidP="002F5352">
      <w:pPr>
        <w:spacing w:line="360" w:lineRule="auto"/>
        <w:jc w:val="center"/>
        <w:rPr>
          <w:rFonts w:ascii="Arial" w:hAnsi="Arial" w:cs="Arial"/>
          <w:b/>
          <w:bCs/>
          <w:sz w:val="28"/>
          <w:szCs w:val="28"/>
        </w:rPr>
      </w:pPr>
    </w:p>
    <w:p w14:paraId="5DFC9FD8" w14:textId="77777777" w:rsidR="002F5352" w:rsidRPr="002F5352" w:rsidRDefault="002F5352" w:rsidP="002F5352">
      <w:pPr>
        <w:spacing w:line="360" w:lineRule="auto"/>
        <w:jc w:val="center"/>
        <w:rPr>
          <w:rFonts w:ascii="Arial" w:hAnsi="Arial" w:cs="Arial"/>
          <w:b/>
          <w:bCs/>
          <w:sz w:val="28"/>
          <w:szCs w:val="28"/>
        </w:rPr>
      </w:pPr>
    </w:p>
    <w:p w14:paraId="1F5DEE31" w14:textId="77777777" w:rsidR="002F5352" w:rsidRPr="002F5352" w:rsidRDefault="002F5352" w:rsidP="002F5352">
      <w:pPr>
        <w:spacing w:line="360" w:lineRule="auto"/>
        <w:jc w:val="center"/>
        <w:rPr>
          <w:rFonts w:ascii="Arial" w:hAnsi="Arial" w:cs="Arial"/>
          <w:b/>
          <w:bCs/>
          <w:sz w:val="28"/>
          <w:szCs w:val="28"/>
        </w:rPr>
      </w:pPr>
    </w:p>
    <w:p w14:paraId="725F53D0" w14:textId="205468C1" w:rsidR="005A07A1" w:rsidRPr="002F5352" w:rsidRDefault="005A07A1" w:rsidP="002F5352">
      <w:pPr>
        <w:spacing w:line="360" w:lineRule="auto"/>
        <w:jc w:val="center"/>
        <w:rPr>
          <w:rFonts w:ascii="Arial" w:hAnsi="Arial" w:cs="Arial"/>
          <w:b/>
          <w:bCs/>
          <w:sz w:val="28"/>
          <w:szCs w:val="28"/>
        </w:rPr>
      </w:pPr>
      <w:r w:rsidRPr="002F5352">
        <w:rPr>
          <w:rFonts w:ascii="Arial" w:hAnsi="Arial" w:cs="Arial"/>
          <w:b/>
          <w:bCs/>
          <w:sz w:val="28"/>
          <w:szCs w:val="28"/>
        </w:rPr>
        <w:t>Evaluating the Effectiveness of Public Health Campaigns in Reducing Tobacco Use Among Teenagers in the United Kingdom: A Systematic Review</w:t>
      </w:r>
    </w:p>
    <w:p w14:paraId="2379DB86" w14:textId="77777777" w:rsidR="002F5352" w:rsidRPr="002F5352" w:rsidRDefault="002F5352" w:rsidP="002F5352">
      <w:pPr>
        <w:spacing w:line="360" w:lineRule="auto"/>
        <w:jc w:val="center"/>
        <w:rPr>
          <w:rFonts w:ascii="Arial" w:hAnsi="Arial" w:cs="Arial"/>
          <w:b/>
          <w:bCs/>
          <w:sz w:val="28"/>
          <w:szCs w:val="28"/>
        </w:rPr>
      </w:pPr>
    </w:p>
    <w:p w14:paraId="3771D843" w14:textId="77777777" w:rsidR="002F5352" w:rsidRPr="002F5352" w:rsidRDefault="002F5352" w:rsidP="002F5352">
      <w:pPr>
        <w:spacing w:line="360" w:lineRule="auto"/>
        <w:jc w:val="center"/>
        <w:rPr>
          <w:rFonts w:ascii="Arial" w:hAnsi="Arial" w:cs="Arial"/>
          <w:b/>
          <w:bCs/>
          <w:sz w:val="28"/>
          <w:szCs w:val="28"/>
        </w:rPr>
      </w:pPr>
    </w:p>
    <w:p w14:paraId="12961F3A" w14:textId="77777777" w:rsidR="002F5352" w:rsidRPr="002F5352" w:rsidRDefault="002F5352" w:rsidP="002F5352">
      <w:pPr>
        <w:spacing w:line="360" w:lineRule="auto"/>
        <w:jc w:val="center"/>
        <w:rPr>
          <w:rFonts w:ascii="Arial" w:hAnsi="Arial" w:cs="Arial"/>
          <w:b/>
          <w:bCs/>
          <w:sz w:val="28"/>
          <w:szCs w:val="28"/>
        </w:rPr>
      </w:pPr>
    </w:p>
    <w:p w14:paraId="0ACDD949" w14:textId="77777777" w:rsidR="002F5352" w:rsidRPr="002F5352" w:rsidRDefault="002F5352" w:rsidP="002F5352">
      <w:pPr>
        <w:spacing w:line="360" w:lineRule="auto"/>
        <w:jc w:val="center"/>
        <w:rPr>
          <w:rFonts w:ascii="Arial" w:hAnsi="Arial" w:cs="Arial"/>
          <w:b/>
          <w:bCs/>
          <w:sz w:val="28"/>
          <w:szCs w:val="28"/>
        </w:rPr>
      </w:pPr>
    </w:p>
    <w:p w14:paraId="3C21C911" w14:textId="4F1AB221" w:rsidR="002F5352" w:rsidRPr="002F5352" w:rsidRDefault="002F5352" w:rsidP="002F5352">
      <w:pPr>
        <w:spacing w:line="360" w:lineRule="auto"/>
        <w:jc w:val="center"/>
        <w:rPr>
          <w:rFonts w:ascii="Arial" w:hAnsi="Arial" w:cs="Arial"/>
          <w:b/>
          <w:bCs/>
          <w:sz w:val="28"/>
          <w:szCs w:val="28"/>
        </w:rPr>
      </w:pPr>
      <w:r w:rsidRPr="002F5352">
        <w:rPr>
          <w:rFonts w:ascii="Arial" w:hAnsi="Arial" w:cs="Arial"/>
          <w:b/>
          <w:bCs/>
          <w:sz w:val="28"/>
          <w:szCs w:val="28"/>
        </w:rPr>
        <w:t>Student Name: Rutvika Goswami</w:t>
      </w:r>
    </w:p>
    <w:p w14:paraId="772B53DC" w14:textId="47745263" w:rsidR="002F5352" w:rsidRPr="002F5352" w:rsidRDefault="002F5352" w:rsidP="002F5352">
      <w:pPr>
        <w:spacing w:line="360" w:lineRule="auto"/>
        <w:jc w:val="center"/>
        <w:rPr>
          <w:rFonts w:ascii="Arial" w:hAnsi="Arial" w:cs="Arial"/>
          <w:b/>
          <w:bCs/>
          <w:sz w:val="28"/>
          <w:szCs w:val="28"/>
        </w:rPr>
      </w:pPr>
      <w:r w:rsidRPr="002F5352">
        <w:rPr>
          <w:rFonts w:ascii="Arial" w:hAnsi="Arial" w:cs="Arial"/>
          <w:b/>
          <w:bCs/>
          <w:sz w:val="28"/>
          <w:szCs w:val="28"/>
        </w:rPr>
        <w:t>Student ID: 2430971</w:t>
      </w:r>
    </w:p>
    <w:p w14:paraId="52C3C9CE" w14:textId="77777777" w:rsidR="002F5352" w:rsidRPr="002F5352" w:rsidRDefault="002F5352" w:rsidP="002F5352">
      <w:pPr>
        <w:spacing w:line="360" w:lineRule="auto"/>
        <w:jc w:val="center"/>
        <w:rPr>
          <w:rFonts w:ascii="Arial" w:hAnsi="Arial" w:cs="Arial"/>
          <w:b/>
          <w:bCs/>
          <w:sz w:val="24"/>
          <w:szCs w:val="24"/>
        </w:rPr>
      </w:pPr>
    </w:p>
    <w:p w14:paraId="401D4C54" w14:textId="77777777" w:rsidR="005A07A1" w:rsidRPr="002F5352" w:rsidRDefault="005A07A1">
      <w:pPr>
        <w:rPr>
          <w:rFonts w:ascii="Arial" w:hAnsi="Arial" w:cs="Arial"/>
          <w:b/>
          <w:bCs/>
          <w:sz w:val="24"/>
          <w:szCs w:val="24"/>
        </w:rPr>
      </w:pPr>
      <w:r w:rsidRPr="002F5352">
        <w:rPr>
          <w:rFonts w:ascii="Arial" w:hAnsi="Arial" w:cs="Arial"/>
          <w:b/>
          <w:bCs/>
          <w:sz w:val="24"/>
          <w:szCs w:val="24"/>
        </w:rPr>
        <w:br w:type="page"/>
      </w:r>
    </w:p>
    <w:sdt>
      <w:sdtPr>
        <w:rPr>
          <w:rFonts w:ascii="Arial" w:eastAsia="Arial MT" w:hAnsi="Arial" w:cs="Arial"/>
          <w:color w:val="auto"/>
          <w:sz w:val="22"/>
          <w:szCs w:val="22"/>
        </w:rPr>
        <w:id w:val="2040939357"/>
        <w:docPartObj>
          <w:docPartGallery w:val="Table of Contents"/>
          <w:docPartUnique/>
        </w:docPartObj>
      </w:sdtPr>
      <w:sdtEndPr>
        <w:rPr>
          <w:b/>
          <w:bCs/>
          <w:noProof/>
        </w:rPr>
      </w:sdtEndPr>
      <w:sdtContent>
        <w:p w14:paraId="103D3572" w14:textId="19110404" w:rsidR="005A07A1" w:rsidRPr="002F5352" w:rsidRDefault="005A07A1" w:rsidP="00B753FB">
          <w:pPr>
            <w:pStyle w:val="TOCHeading"/>
            <w:spacing w:line="360" w:lineRule="auto"/>
            <w:jc w:val="center"/>
            <w:rPr>
              <w:rFonts w:ascii="Arial" w:hAnsi="Arial" w:cs="Arial"/>
              <w:b/>
              <w:bCs/>
              <w:color w:val="auto"/>
              <w:sz w:val="24"/>
              <w:szCs w:val="24"/>
            </w:rPr>
          </w:pPr>
          <w:r w:rsidRPr="002F5352">
            <w:rPr>
              <w:rFonts w:ascii="Arial" w:hAnsi="Arial" w:cs="Arial"/>
              <w:b/>
              <w:bCs/>
              <w:color w:val="auto"/>
              <w:sz w:val="24"/>
              <w:szCs w:val="24"/>
            </w:rPr>
            <w:t>Table of Contents</w:t>
          </w:r>
        </w:p>
        <w:p w14:paraId="6FB5C5D3" w14:textId="29D4A17F" w:rsidR="0016317C" w:rsidRPr="002F5352" w:rsidRDefault="005A07A1" w:rsidP="00B753FB">
          <w:pPr>
            <w:pStyle w:val="TOC1"/>
            <w:tabs>
              <w:tab w:val="right" w:leader="dot" w:pos="9350"/>
            </w:tabs>
            <w:spacing w:line="360" w:lineRule="auto"/>
            <w:rPr>
              <w:rFonts w:ascii="Arial" w:eastAsiaTheme="minorEastAsia" w:hAnsi="Arial" w:cs="Arial"/>
              <w:noProof/>
              <w:kern w:val="2"/>
              <w:lang w:val="en-IN" w:eastAsia="en-IN"/>
              <w14:ligatures w14:val="standardContextual"/>
            </w:rPr>
          </w:pPr>
          <w:r w:rsidRPr="002F5352">
            <w:rPr>
              <w:rFonts w:ascii="Arial" w:hAnsi="Arial" w:cs="Arial"/>
            </w:rPr>
            <w:fldChar w:fldCharType="begin"/>
          </w:r>
          <w:r w:rsidRPr="002F5352">
            <w:rPr>
              <w:rFonts w:ascii="Arial" w:hAnsi="Arial" w:cs="Arial"/>
            </w:rPr>
            <w:instrText xml:space="preserve"> TOC \o "1-3" \h \z \u </w:instrText>
          </w:r>
          <w:r w:rsidRPr="002F5352">
            <w:rPr>
              <w:rFonts w:ascii="Arial" w:hAnsi="Arial" w:cs="Arial"/>
            </w:rPr>
            <w:fldChar w:fldCharType="separate"/>
          </w:r>
          <w:hyperlink w:anchor="_Toc215780260" w:history="1">
            <w:r w:rsidR="0016317C" w:rsidRPr="002F5352">
              <w:rPr>
                <w:rStyle w:val="Hyperlink"/>
                <w:rFonts w:ascii="Arial" w:hAnsi="Arial" w:cs="Arial"/>
                <w:noProof/>
                <w:color w:val="auto"/>
              </w:rPr>
              <w:t>1. Prevalence of the Problem</w:t>
            </w:r>
            <w:r w:rsidR="0016317C" w:rsidRPr="002F5352">
              <w:rPr>
                <w:rFonts w:ascii="Arial" w:hAnsi="Arial" w:cs="Arial"/>
                <w:noProof/>
                <w:webHidden/>
              </w:rPr>
              <w:tab/>
            </w:r>
            <w:r w:rsidR="0016317C" w:rsidRPr="002F5352">
              <w:rPr>
                <w:rFonts w:ascii="Arial" w:hAnsi="Arial" w:cs="Arial"/>
                <w:noProof/>
                <w:webHidden/>
              </w:rPr>
              <w:fldChar w:fldCharType="begin"/>
            </w:r>
            <w:r w:rsidR="0016317C" w:rsidRPr="002F5352">
              <w:rPr>
                <w:rFonts w:ascii="Arial" w:hAnsi="Arial" w:cs="Arial"/>
                <w:noProof/>
                <w:webHidden/>
              </w:rPr>
              <w:instrText xml:space="preserve"> PAGEREF _Toc215780260 \h </w:instrText>
            </w:r>
            <w:r w:rsidR="0016317C" w:rsidRPr="002F5352">
              <w:rPr>
                <w:rFonts w:ascii="Arial" w:hAnsi="Arial" w:cs="Arial"/>
                <w:noProof/>
                <w:webHidden/>
              </w:rPr>
            </w:r>
            <w:r w:rsidR="0016317C" w:rsidRPr="002F5352">
              <w:rPr>
                <w:rFonts w:ascii="Arial" w:hAnsi="Arial" w:cs="Arial"/>
                <w:noProof/>
                <w:webHidden/>
              </w:rPr>
              <w:fldChar w:fldCharType="separate"/>
            </w:r>
            <w:r w:rsidR="0016317C" w:rsidRPr="002F5352">
              <w:rPr>
                <w:rFonts w:ascii="Arial" w:hAnsi="Arial" w:cs="Arial"/>
                <w:noProof/>
                <w:webHidden/>
              </w:rPr>
              <w:t>3</w:t>
            </w:r>
            <w:r w:rsidR="0016317C" w:rsidRPr="002F5352">
              <w:rPr>
                <w:rFonts w:ascii="Arial" w:hAnsi="Arial" w:cs="Arial"/>
                <w:noProof/>
                <w:webHidden/>
              </w:rPr>
              <w:fldChar w:fldCharType="end"/>
            </w:r>
          </w:hyperlink>
        </w:p>
        <w:p w14:paraId="2B7320DF" w14:textId="2352AA9D" w:rsidR="0016317C" w:rsidRPr="002F5352" w:rsidRDefault="0016317C" w:rsidP="00B753FB">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61" w:history="1">
            <w:r w:rsidRPr="002F5352">
              <w:rPr>
                <w:rStyle w:val="Hyperlink"/>
                <w:rFonts w:ascii="Arial" w:hAnsi="Arial" w:cs="Arial"/>
                <w:noProof/>
                <w:color w:val="auto"/>
              </w:rPr>
              <w:t>2. Introduction (Literature-Based Background)</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_Toc215780261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4</w:t>
            </w:r>
            <w:r w:rsidRPr="002F5352">
              <w:rPr>
                <w:rFonts w:ascii="Arial" w:hAnsi="Arial" w:cs="Arial"/>
                <w:noProof/>
                <w:webHidden/>
              </w:rPr>
              <w:fldChar w:fldCharType="end"/>
            </w:r>
          </w:hyperlink>
        </w:p>
        <w:p w14:paraId="7AC0D02B" w14:textId="75B5CC90" w:rsidR="0016317C" w:rsidRPr="002F5352" w:rsidRDefault="0016317C" w:rsidP="00B753FB">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62" w:history="1">
            <w:r w:rsidRPr="002F5352">
              <w:rPr>
                <w:rStyle w:val="Hyperlink"/>
                <w:rFonts w:ascii="Arial" w:hAnsi="Arial" w:cs="Arial"/>
                <w:noProof/>
                <w:color w:val="auto"/>
              </w:rPr>
              <w:t>3. Research Aims, Hypothesis/Objectives and Question</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_Toc215780262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5</w:t>
            </w:r>
            <w:r w:rsidRPr="002F5352">
              <w:rPr>
                <w:rFonts w:ascii="Arial" w:hAnsi="Arial" w:cs="Arial"/>
                <w:noProof/>
                <w:webHidden/>
              </w:rPr>
              <w:fldChar w:fldCharType="end"/>
            </w:r>
          </w:hyperlink>
        </w:p>
        <w:p w14:paraId="51FEF48F" w14:textId="6F4F51B7" w:rsidR="0016317C" w:rsidRPr="002F5352" w:rsidRDefault="0016317C" w:rsidP="00B753FB">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63" w:history="1">
            <w:r w:rsidRPr="002F5352">
              <w:rPr>
                <w:rStyle w:val="Hyperlink"/>
                <w:rFonts w:ascii="Arial" w:hAnsi="Arial" w:cs="Arial"/>
                <w:noProof/>
                <w:color w:val="auto"/>
              </w:rPr>
              <w:t>4. Rationale</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_Toc215780263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5</w:t>
            </w:r>
            <w:r w:rsidRPr="002F5352">
              <w:rPr>
                <w:rFonts w:ascii="Arial" w:hAnsi="Arial" w:cs="Arial"/>
                <w:noProof/>
                <w:webHidden/>
              </w:rPr>
              <w:fldChar w:fldCharType="end"/>
            </w:r>
          </w:hyperlink>
        </w:p>
        <w:p w14:paraId="3CF9045D" w14:textId="5AF7CB7F" w:rsidR="0016317C" w:rsidRPr="002F5352" w:rsidRDefault="0016317C" w:rsidP="00B753FB">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64" w:history="1">
            <w:r w:rsidRPr="002F5352">
              <w:rPr>
                <w:rStyle w:val="Hyperlink"/>
                <w:rFonts w:ascii="Arial" w:hAnsi="Arial" w:cs="Arial"/>
                <w:noProof/>
                <w:color w:val="auto"/>
              </w:rPr>
              <w:t>5. Research Methodology</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_Toc215780264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6</w:t>
            </w:r>
            <w:r w:rsidRPr="002F5352">
              <w:rPr>
                <w:rFonts w:ascii="Arial" w:hAnsi="Arial" w:cs="Arial"/>
                <w:noProof/>
                <w:webHidden/>
              </w:rPr>
              <w:fldChar w:fldCharType="end"/>
            </w:r>
          </w:hyperlink>
        </w:p>
        <w:p w14:paraId="38294BA3" w14:textId="0585F262" w:rsidR="0016317C" w:rsidRPr="002F5352" w:rsidRDefault="0016317C" w:rsidP="00B753FB">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65" w:history="1">
            <w:r w:rsidRPr="002F5352">
              <w:rPr>
                <w:rStyle w:val="Hyperlink"/>
                <w:rFonts w:ascii="Arial" w:hAnsi="Arial" w:cs="Arial"/>
                <w:noProof/>
                <w:color w:val="auto"/>
              </w:rPr>
              <w:t>5.1 Research Philosophy</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_Toc215780265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6</w:t>
            </w:r>
            <w:r w:rsidRPr="002F5352">
              <w:rPr>
                <w:rFonts w:ascii="Arial" w:hAnsi="Arial" w:cs="Arial"/>
                <w:noProof/>
                <w:webHidden/>
              </w:rPr>
              <w:fldChar w:fldCharType="end"/>
            </w:r>
          </w:hyperlink>
        </w:p>
        <w:p w14:paraId="23477C9D" w14:textId="4A5C2307" w:rsidR="0016317C" w:rsidRPr="002F5352" w:rsidRDefault="0016317C" w:rsidP="00B753FB">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66" w:history="1">
            <w:r w:rsidRPr="002F5352">
              <w:rPr>
                <w:rStyle w:val="Hyperlink"/>
                <w:rFonts w:ascii="Arial" w:hAnsi="Arial" w:cs="Arial"/>
                <w:noProof/>
                <w:color w:val="auto"/>
              </w:rPr>
              <w:t>5.2 Research Approach</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_Toc215780266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7</w:t>
            </w:r>
            <w:r w:rsidRPr="002F5352">
              <w:rPr>
                <w:rFonts w:ascii="Arial" w:hAnsi="Arial" w:cs="Arial"/>
                <w:noProof/>
                <w:webHidden/>
              </w:rPr>
              <w:fldChar w:fldCharType="end"/>
            </w:r>
          </w:hyperlink>
        </w:p>
        <w:p w14:paraId="0884690E" w14:textId="037D95A8" w:rsidR="0016317C" w:rsidRPr="002F5352" w:rsidRDefault="0016317C" w:rsidP="00B753FB">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67" w:history="1">
            <w:r w:rsidRPr="002F5352">
              <w:rPr>
                <w:rStyle w:val="Hyperlink"/>
                <w:rFonts w:ascii="Arial" w:hAnsi="Arial" w:cs="Arial"/>
                <w:noProof/>
                <w:color w:val="auto"/>
              </w:rPr>
              <w:t>5.3 Research Design</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_Toc215780267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7</w:t>
            </w:r>
            <w:r w:rsidRPr="002F5352">
              <w:rPr>
                <w:rFonts w:ascii="Arial" w:hAnsi="Arial" w:cs="Arial"/>
                <w:noProof/>
                <w:webHidden/>
              </w:rPr>
              <w:fldChar w:fldCharType="end"/>
            </w:r>
          </w:hyperlink>
        </w:p>
        <w:p w14:paraId="5ABF05A4" w14:textId="39474CAC" w:rsidR="0016317C" w:rsidRPr="002F5352" w:rsidRDefault="0016317C" w:rsidP="00B753FB">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68" w:history="1">
            <w:r w:rsidRPr="002F5352">
              <w:rPr>
                <w:rStyle w:val="Hyperlink"/>
                <w:rFonts w:ascii="Arial" w:hAnsi="Arial" w:cs="Arial"/>
                <w:noProof/>
                <w:color w:val="auto"/>
              </w:rPr>
              <w:t>5.4 Data Collection Method</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_Toc215780268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7</w:t>
            </w:r>
            <w:r w:rsidRPr="002F5352">
              <w:rPr>
                <w:rFonts w:ascii="Arial" w:hAnsi="Arial" w:cs="Arial"/>
                <w:noProof/>
                <w:webHidden/>
              </w:rPr>
              <w:fldChar w:fldCharType="end"/>
            </w:r>
          </w:hyperlink>
        </w:p>
        <w:p w14:paraId="6D485053" w14:textId="024EA0F8" w:rsidR="0016317C" w:rsidRPr="002F5352" w:rsidRDefault="0016317C" w:rsidP="00B753FB">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69" w:history="1">
            <w:r w:rsidRPr="002F5352">
              <w:rPr>
                <w:rStyle w:val="Hyperlink"/>
                <w:rFonts w:ascii="Arial" w:hAnsi="Arial" w:cs="Arial"/>
                <w:noProof/>
                <w:color w:val="auto"/>
              </w:rPr>
              <w:t>5.5 Data Analysis</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_Toc215780269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8</w:t>
            </w:r>
            <w:r w:rsidRPr="002F5352">
              <w:rPr>
                <w:rFonts w:ascii="Arial" w:hAnsi="Arial" w:cs="Arial"/>
                <w:noProof/>
                <w:webHidden/>
              </w:rPr>
              <w:fldChar w:fldCharType="end"/>
            </w:r>
          </w:hyperlink>
        </w:p>
        <w:p w14:paraId="0A3E61A3" w14:textId="1E48A2F5" w:rsidR="0016317C" w:rsidRPr="002F5352" w:rsidRDefault="0016317C" w:rsidP="00B753FB">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70" w:history="1">
            <w:r w:rsidRPr="002F5352">
              <w:rPr>
                <w:rStyle w:val="Hyperlink"/>
                <w:rFonts w:ascii="Arial" w:hAnsi="Arial" w:cs="Arial"/>
                <w:noProof/>
                <w:color w:val="auto"/>
              </w:rPr>
              <w:t>5.6 Recruitment, Sampling, Study Participants</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_Toc215780270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8</w:t>
            </w:r>
            <w:r w:rsidRPr="002F5352">
              <w:rPr>
                <w:rFonts w:ascii="Arial" w:hAnsi="Arial" w:cs="Arial"/>
                <w:noProof/>
                <w:webHidden/>
              </w:rPr>
              <w:fldChar w:fldCharType="end"/>
            </w:r>
          </w:hyperlink>
        </w:p>
        <w:p w14:paraId="163469D5" w14:textId="19E82C65" w:rsidR="0016317C" w:rsidRPr="002F5352" w:rsidRDefault="0016317C" w:rsidP="00B753FB">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71" w:history="1">
            <w:r w:rsidRPr="002F5352">
              <w:rPr>
                <w:rStyle w:val="Hyperlink"/>
                <w:rFonts w:ascii="Arial" w:hAnsi="Arial" w:cs="Arial"/>
                <w:noProof/>
                <w:color w:val="auto"/>
              </w:rPr>
              <w:t>5.7 Prevalence of the problem identified in the area of health and social care</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_Toc215780271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9</w:t>
            </w:r>
            <w:r w:rsidRPr="002F5352">
              <w:rPr>
                <w:rFonts w:ascii="Arial" w:hAnsi="Arial" w:cs="Arial"/>
                <w:noProof/>
                <w:webHidden/>
              </w:rPr>
              <w:fldChar w:fldCharType="end"/>
            </w:r>
          </w:hyperlink>
        </w:p>
        <w:p w14:paraId="73CCCC05" w14:textId="2E4C78A9" w:rsidR="0016317C" w:rsidRPr="002F5352" w:rsidRDefault="0016317C" w:rsidP="00B753FB">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72" w:history="1">
            <w:r w:rsidRPr="002F5352">
              <w:rPr>
                <w:rStyle w:val="Hyperlink"/>
                <w:rFonts w:ascii="Arial" w:hAnsi="Arial" w:cs="Arial"/>
                <w:noProof/>
                <w:color w:val="auto"/>
              </w:rPr>
              <w:t>5.8  Ethical Considerations</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_Toc215780272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9</w:t>
            </w:r>
            <w:r w:rsidRPr="002F5352">
              <w:rPr>
                <w:rFonts w:ascii="Arial" w:hAnsi="Arial" w:cs="Arial"/>
                <w:noProof/>
                <w:webHidden/>
              </w:rPr>
              <w:fldChar w:fldCharType="end"/>
            </w:r>
          </w:hyperlink>
        </w:p>
        <w:p w14:paraId="12BBCC23" w14:textId="751150D5" w:rsidR="0016317C" w:rsidRPr="002F5352" w:rsidRDefault="0016317C" w:rsidP="00B753FB">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73" w:history="1">
            <w:r w:rsidRPr="002F5352">
              <w:rPr>
                <w:rStyle w:val="Hyperlink"/>
                <w:rFonts w:ascii="Arial" w:hAnsi="Arial" w:cs="Arial"/>
                <w:noProof/>
                <w:color w:val="auto"/>
              </w:rPr>
              <w:t>6. Implications of Research</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_Toc215780273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9</w:t>
            </w:r>
            <w:r w:rsidRPr="002F5352">
              <w:rPr>
                <w:rFonts w:ascii="Arial" w:hAnsi="Arial" w:cs="Arial"/>
                <w:noProof/>
                <w:webHidden/>
              </w:rPr>
              <w:fldChar w:fldCharType="end"/>
            </w:r>
          </w:hyperlink>
        </w:p>
        <w:p w14:paraId="499318FB" w14:textId="08EFCA04" w:rsidR="0016317C" w:rsidRPr="002F5352" w:rsidRDefault="0016317C" w:rsidP="00B753FB">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74" w:history="1">
            <w:r w:rsidRPr="002F5352">
              <w:rPr>
                <w:rStyle w:val="Hyperlink"/>
                <w:rFonts w:ascii="Arial" w:hAnsi="Arial" w:cs="Arial"/>
                <w:noProof/>
                <w:color w:val="auto"/>
              </w:rPr>
              <w:t>7. Plan of Work and Time Schedule</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_Toc215780274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10</w:t>
            </w:r>
            <w:r w:rsidRPr="002F5352">
              <w:rPr>
                <w:rFonts w:ascii="Arial" w:hAnsi="Arial" w:cs="Arial"/>
                <w:noProof/>
                <w:webHidden/>
              </w:rPr>
              <w:fldChar w:fldCharType="end"/>
            </w:r>
          </w:hyperlink>
        </w:p>
        <w:p w14:paraId="2B322CDA" w14:textId="2B8C486F" w:rsidR="0016317C" w:rsidRPr="002F5352" w:rsidRDefault="0016317C" w:rsidP="00B753FB">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215780275" w:history="1">
            <w:r w:rsidRPr="002F5352">
              <w:rPr>
                <w:rStyle w:val="Hyperlink"/>
                <w:rFonts w:ascii="Arial" w:hAnsi="Arial" w:cs="Arial"/>
                <w:noProof/>
                <w:color w:val="auto"/>
              </w:rPr>
              <w:t>Reference List</w:t>
            </w:r>
            <w:r w:rsidRPr="002F5352">
              <w:rPr>
                <w:rFonts w:ascii="Arial" w:hAnsi="Arial" w:cs="Arial"/>
                <w:noProof/>
                <w:webHidden/>
              </w:rPr>
              <w:tab/>
            </w:r>
            <w:r w:rsidRPr="002F5352">
              <w:rPr>
                <w:rFonts w:ascii="Arial" w:hAnsi="Arial" w:cs="Arial"/>
                <w:noProof/>
                <w:webHidden/>
              </w:rPr>
              <w:fldChar w:fldCharType="begin"/>
            </w:r>
            <w:r w:rsidRPr="002F5352">
              <w:rPr>
                <w:rFonts w:ascii="Arial" w:hAnsi="Arial" w:cs="Arial"/>
                <w:noProof/>
                <w:webHidden/>
              </w:rPr>
              <w:instrText xml:space="preserve"> PAGEREF _Toc215780275 \h </w:instrText>
            </w:r>
            <w:r w:rsidRPr="002F5352">
              <w:rPr>
                <w:rFonts w:ascii="Arial" w:hAnsi="Arial" w:cs="Arial"/>
                <w:noProof/>
                <w:webHidden/>
              </w:rPr>
            </w:r>
            <w:r w:rsidRPr="002F5352">
              <w:rPr>
                <w:rFonts w:ascii="Arial" w:hAnsi="Arial" w:cs="Arial"/>
                <w:noProof/>
                <w:webHidden/>
              </w:rPr>
              <w:fldChar w:fldCharType="separate"/>
            </w:r>
            <w:r w:rsidRPr="002F5352">
              <w:rPr>
                <w:rFonts w:ascii="Arial" w:hAnsi="Arial" w:cs="Arial"/>
                <w:noProof/>
                <w:webHidden/>
              </w:rPr>
              <w:t>12</w:t>
            </w:r>
            <w:r w:rsidRPr="002F5352">
              <w:rPr>
                <w:rFonts w:ascii="Arial" w:hAnsi="Arial" w:cs="Arial"/>
                <w:noProof/>
                <w:webHidden/>
              </w:rPr>
              <w:fldChar w:fldCharType="end"/>
            </w:r>
          </w:hyperlink>
        </w:p>
        <w:p w14:paraId="17380074" w14:textId="3EEF6E9A" w:rsidR="005A07A1" w:rsidRPr="002F5352" w:rsidRDefault="005A07A1" w:rsidP="00B753FB">
          <w:pPr>
            <w:spacing w:line="360" w:lineRule="auto"/>
            <w:jc w:val="both"/>
            <w:rPr>
              <w:rFonts w:ascii="Arial" w:hAnsi="Arial" w:cs="Arial"/>
            </w:rPr>
          </w:pPr>
          <w:r w:rsidRPr="002F5352">
            <w:rPr>
              <w:rFonts w:ascii="Arial" w:hAnsi="Arial" w:cs="Arial"/>
              <w:b/>
              <w:bCs/>
              <w:noProof/>
            </w:rPr>
            <w:fldChar w:fldCharType="end"/>
          </w:r>
        </w:p>
      </w:sdtContent>
    </w:sdt>
    <w:p w14:paraId="667C4C13" w14:textId="77777777" w:rsidR="005A07A1" w:rsidRPr="002F5352" w:rsidRDefault="005A07A1">
      <w:pPr>
        <w:rPr>
          <w:rFonts w:ascii="Arial" w:hAnsi="Arial" w:cs="Arial"/>
          <w:b/>
          <w:bCs/>
        </w:rPr>
      </w:pPr>
      <w:r w:rsidRPr="002F5352">
        <w:rPr>
          <w:rFonts w:ascii="Arial" w:hAnsi="Arial" w:cs="Arial"/>
          <w:b/>
          <w:bCs/>
        </w:rPr>
        <w:br w:type="page"/>
      </w:r>
    </w:p>
    <w:p w14:paraId="4E1F5A42" w14:textId="3F060F0D" w:rsidR="005A07A1" w:rsidRPr="002F5352" w:rsidRDefault="005A07A1" w:rsidP="001F44E7">
      <w:pPr>
        <w:pStyle w:val="Heading1"/>
        <w:ind w:left="0"/>
        <w:rPr>
          <w:color w:val="auto"/>
          <w:sz w:val="22"/>
          <w:szCs w:val="22"/>
        </w:rPr>
      </w:pPr>
      <w:bookmarkStart w:id="0" w:name="_Toc215780260"/>
      <w:r w:rsidRPr="002F5352">
        <w:rPr>
          <w:color w:val="auto"/>
          <w:sz w:val="22"/>
          <w:szCs w:val="22"/>
        </w:rPr>
        <w:lastRenderedPageBreak/>
        <w:t>1. Prevalence of the Problem</w:t>
      </w:r>
      <w:bookmarkEnd w:id="0"/>
      <w:r w:rsidRPr="002F5352">
        <w:rPr>
          <w:color w:val="auto"/>
          <w:sz w:val="22"/>
          <w:szCs w:val="22"/>
        </w:rPr>
        <w:t xml:space="preserve"> </w:t>
      </w:r>
    </w:p>
    <w:p w14:paraId="23D66E05" w14:textId="6C225855" w:rsidR="005A07A1" w:rsidRPr="002F5352" w:rsidRDefault="005A07A1" w:rsidP="005A07A1">
      <w:pPr>
        <w:spacing w:line="360" w:lineRule="auto"/>
        <w:jc w:val="both"/>
        <w:rPr>
          <w:rFonts w:ascii="Arial" w:hAnsi="Arial" w:cs="Arial"/>
        </w:rPr>
      </w:pPr>
      <w:r w:rsidRPr="002F5352">
        <w:rPr>
          <w:rFonts w:ascii="Arial" w:hAnsi="Arial" w:cs="Arial"/>
        </w:rPr>
        <w:t xml:space="preserve">Consumption of tobacco by adolescents is an issue that has remained a major concern to the general health of the UK population regardless of the high control regulations and the education campaigns on the issue. It is that in England 11% of 11- to 15-year-old individuals </w:t>
      </w:r>
      <w:r w:rsidR="00BC3FCD" w:rsidRPr="002F5352">
        <w:rPr>
          <w:rFonts w:ascii="Arial" w:hAnsi="Arial" w:cs="Arial"/>
        </w:rPr>
        <w:t>had</w:t>
      </w:r>
      <w:r w:rsidRPr="002F5352">
        <w:rPr>
          <w:rFonts w:ascii="Arial" w:hAnsi="Arial" w:cs="Arial"/>
        </w:rPr>
        <w:t xml:space="preserve"> smoked; the lowest rate since 1982 but not improving over the last two years. </w:t>
      </w:r>
      <w:r w:rsidR="00BC3FCD" w:rsidRPr="002F5352">
        <w:rPr>
          <w:rFonts w:ascii="Arial" w:hAnsi="Arial" w:cs="Arial"/>
        </w:rPr>
        <w:t>Approximately</w:t>
      </w:r>
      <w:r w:rsidRPr="002F5352">
        <w:rPr>
          <w:rFonts w:ascii="Arial" w:hAnsi="Arial" w:cs="Arial"/>
        </w:rPr>
        <w:t xml:space="preserve"> 3% were active smokers (120,000 people), and only 1% of users smoke more than once per week (ash.org.uk, 2025); (ncsct.co.uk, 2025).​</w:t>
      </w:r>
    </w:p>
    <w:p w14:paraId="744779B3" w14:textId="77777777" w:rsidR="005A07A1" w:rsidRPr="002F5352" w:rsidRDefault="005A07A1" w:rsidP="005A07A1">
      <w:pPr>
        <w:spacing w:line="360" w:lineRule="auto"/>
        <w:jc w:val="both"/>
        <w:rPr>
          <w:rFonts w:ascii="Arial" w:hAnsi="Arial" w:cs="Arial"/>
        </w:rPr>
      </w:pPr>
      <w:r w:rsidRPr="002F5352">
        <w:rPr>
          <w:rFonts w:ascii="Arial" w:hAnsi="Arial" w:cs="Arial"/>
        </w:rPr>
        <w:t>Regular smoking by age 17 is 10.6%, of which 52% start smoking between 14-17 years of age, increasing lifelong smoking addiction, cancer, cardiac respiratory disease (Vrinten et al., 2022). Advertisements about vaping and tobacco worsen the affordability of the problem in youth as initiatives such as Stoptober, Smoke-Free Generation, and QUIT fail to reduce the tendency of young people to experiment with the old and new (e.g., heated/chewing tobacco).​​</w:t>
      </w:r>
    </w:p>
    <w:p w14:paraId="7514B798" w14:textId="77777777" w:rsidR="005A07A1" w:rsidRPr="002F5352" w:rsidRDefault="005A07A1" w:rsidP="005A07A1">
      <w:pPr>
        <w:spacing w:line="360" w:lineRule="auto"/>
        <w:jc w:val="both"/>
        <w:rPr>
          <w:rFonts w:ascii="Arial" w:hAnsi="Arial" w:cs="Arial"/>
        </w:rPr>
      </w:pPr>
      <w:r w:rsidRPr="002F5352">
        <w:rPr>
          <w:rFonts w:ascii="Arial" w:hAnsi="Arial" w:cs="Arial"/>
        </w:rPr>
        <w:t>These rates are an indication of a morality stalemate: rates of ever-smoking have decreased by half among the 18-25-year-olds (25% to 11%), but daily cases of initiation during 18-25 years old are 350 on average, according to Warnock (2024), which can indicate emerging weaknesses and failure to address them by current interventions.</w:t>
      </w:r>
    </w:p>
    <w:p w14:paraId="36D42DE4" w14:textId="77777777" w:rsidR="005A07A1" w:rsidRPr="002F5352" w:rsidRDefault="005A07A1" w:rsidP="001F44E7">
      <w:pPr>
        <w:pStyle w:val="Heading1"/>
        <w:ind w:left="0"/>
        <w:rPr>
          <w:color w:val="auto"/>
          <w:sz w:val="22"/>
          <w:szCs w:val="22"/>
        </w:rPr>
      </w:pPr>
      <w:bookmarkStart w:id="1" w:name="_Toc215780261"/>
      <w:r w:rsidRPr="002F5352">
        <w:rPr>
          <w:color w:val="auto"/>
          <w:sz w:val="22"/>
          <w:szCs w:val="22"/>
        </w:rPr>
        <w:t>2. Introduction (Literature-Based Background)</w:t>
      </w:r>
      <w:bookmarkEnd w:id="1"/>
    </w:p>
    <w:p w14:paraId="04F15E6C" w14:textId="77777777" w:rsidR="005A07A1" w:rsidRPr="002F5352" w:rsidRDefault="005A07A1" w:rsidP="005A07A1">
      <w:pPr>
        <w:spacing w:line="360" w:lineRule="auto"/>
        <w:jc w:val="both"/>
        <w:rPr>
          <w:rFonts w:ascii="Arial" w:hAnsi="Arial" w:cs="Arial"/>
        </w:rPr>
      </w:pPr>
      <w:r w:rsidRPr="002F5352">
        <w:rPr>
          <w:rFonts w:ascii="Arial" w:hAnsi="Arial" w:cs="Arial"/>
        </w:rPr>
        <w:t>The consumption of tobacco in the UK adolescents is a long carrying continuous issue in the UK that is primarily initiated by initiation before the age of 18, promoting the development of a lifetime nicotine addict as well as the emergence of chronic disease conditions such as cancer, cardiovascular disease and respiratory ailments. The figures vary but in 2023, 11% of 11 to 15-years old had smoked at least one time but are currently 3 and regular 1 as well, years later and with any intervention, the numbers are still the same (ash.org.uk, 2025). At the age of 17, prevalence of regular smoking reaches 10.6, with half of it beginning between 14-17 years, and it worsens even due to the increased potential regarding alternative products such as vaped products and heated tobacco.</w:t>
      </w:r>
    </w:p>
    <w:p w14:paraId="3ABFF980" w14:textId="135ABEDE" w:rsidR="005A07A1" w:rsidRPr="002F5352" w:rsidRDefault="005A07A1" w:rsidP="005A07A1">
      <w:pPr>
        <w:spacing w:line="360" w:lineRule="auto"/>
        <w:jc w:val="both"/>
        <w:rPr>
          <w:rFonts w:ascii="Arial" w:hAnsi="Arial" w:cs="Arial"/>
        </w:rPr>
      </w:pPr>
      <w:r w:rsidRPr="002F5352">
        <w:rPr>
          <w:rFonts w:ascii="Arial" w:hAnsi="Arial" w:cs="Arial"/>
        </w:rPr>
        <w:t>Education, media and community-based campaigns against smoking, like Stoptober, Smoke-Free Generation and QUIT, target the youth</w:t>
      </w:r>
      <w:r w:rsidR="00362FC8" w:rsidRPr="002F5352">
        <w:rPr>
          <w:rFonts w:ascii="Arial" w:hAnsi="Arial" w:cs="Arial"/>
        </w:rPr>
        <w:t xml:space="preserve"> (Crankshaw, 2022)</w:t>
      </w:r>
      <w:r w:rsidRPr="002F5352">
        <w:rPr>
          <w:rFonts w:ascii="Arial" w:hAnsi="Arial" w:cs="Arial"/>
        </w:rPr>
        <w:t xml:space="preserve">. A 28-day quit challenge, Stoptober, created 350,000 additional quit attempts on its initial year in 2012 (saving an estimated 10,400 discounted life years at £415/year) with 12.3% of smokers attempting a quit attempt on his most recent campaign in 2020 and 4% sustained at four weeks (Brown et al., 2014). Its advocates such as researchers at the UCL give it a glorious title of its cost-effectiveness (£414-558 per life year saved, 2013-2020), attributing it to the leverage offered by </w:t>
      </w:r>
      <w:r w:rsidRPr="002F5352">
        <w:rPr>
          <w:rFonts w:ascii="Arial" w:hAnsi="Arial" w:cs="Arial"/>
        </w:rPr>
        <w:lastRenderedPageBreak/>
        <w:t>social networks. In the same way, UCL (2022) has indicated that Smoke-Free Generation is capable of gaining youth support, through which future generations will be seen to be free of addiction, which is in line with the objective of less than 5% prevalence by 2030.</w:t>
      </w:r>
    </w:p>
    <w:p w14:paraId="71D37A0A" w14:textId="77777777" w:rsidR="005A07A1" w:rsidRPr="002F5352" w:rsidRDefault="005A07A1" w:rsidP="005A07A1">
      <w:pPr>
        <w:spacing w:line="360" w:lineRule="auto"/>
        <w:jc w:val="both"/>
        <w:rPr>
          <w:rFonts w:ascii="Arial" w:hAnsi="Arial" w:cs="Arial"/>
        </w:rPr>
      </w:pPr>
      <w:r w:rsidRPr="002F5352">
        <w:rPr>
          <w:rFonts w:ascii="Arial" w:hAnsi="Arial" w:cs="Arial"/>
        </w:rPr>
        <w:t>More importantly and critically, the effectiveness suffers in the hands of adolescents. There has been a short term history of highs and lows in stoptober with 19% quit attempts in 2018, 8% quit attempts after four weeks, which questions the long term behaviour change per recidivism peaks (Langley et al., 2013). Dutch longitudinal studies following similar campaigns indicate that only half of the campaigns retain at three months and UK research bemoans the adult-centered approach that fails to deliver youth-specific effects amid marketing exposures. Peers and QUIT frequently put more emphasis on cessation than prevention, with a per capita exposure of less than 4 monthly to tobacco advertising (2004- 2010 ) which is below optimum levels, whereas acted advertisements dominate testimonials. Ironically, Saad et al. (2025) views that TAPS bans are associated with odds of current smoking that are 20% less and initiation are 37% lower, but subgroup results suggest diminishing effects beyond 10 years, which makes it difficult to maintain the efficacy.​​</w:t>
      </w:r>
    </w:p>
    <w:p w14:paraId="6B5A0311" w14:textId="08BC6A05" w:rsidR="005A07A1" w:rsidRPr="002F5352" w:rsidRDefault="005A07A1" w:rsidP="005A07A1">
      <w:pPr>
        <w:spacing w:line="360" w:lineRule="auto"/>
        <w:jc w:val="both"/>
        <w:rPr>
          <w:rFonts w:ascii="Arial" w:hAnsi="Arial" w:cs="Arial"/>
        </w:rPr>
      </w:pPr>
      <w:r w:rsidRPr="002F5352">
        <w:rPr>
          <w:rFonts w:ascii="Arial" w:hAnsi="Arial" w:cs="Arial"/>
        </w:rPr>
        <w:t>Arguments become heated among some researchers. Supporters of the progressive movement discuss halved ever-smoking (25% in 2011 to 11 percent) as progress evidence, whereas critics speak of daily adoption stalemate (350 young adults a day) and vaping changes, and call for individualised and engaging initiatives instead of blanket strikes (Warnock, 2024). This tension highlights the importance of systematic review of teen targeting campaigns in the UK, which would bridge the evidence gaps in the attitude, awareness, and behaviour of teenagers to strategize interventions</w:t>
      </w:r>
      <w:r w:rsidR="00362FC8" w:rsidRPr="002F5352">
        <w:rPr>
          <w:rFonts w:ascii="Arial" w:hAnsi="Arial" w:cs="Arial"/>
        </w:rPr>
        <w:t xml:space="preserve"> (Adekola, 2023)</w:t>
      </w:r>
      <w:r w:rsidRPr="002F5352">
        <w:rPr>
          <w:rFonts w:ascii="Arial" w:hAnsi="Arial" w:cs="Arial"/>
        </w:rPr>
        <w:t>.</w:t>
      </w:r>
    </w:p>
    <w:p w14:paraId="77349DAE" w14:textId="64215A35" w:rsidR="005A07A1" w:rsidRPr="002F5352" w:rsidRDefault="00B33187" w:rsidP="005A07A1">
      <w:pPr>
        <w:pStyle w:val="Heading1"/>
        <w:rPr>
          <w:color w:val="auto"/>
          <w:sz w:val="22"/>
          <w:szCs w:val="22"/>
        </w:rPr>
      </w:pPr>
      <w:bookmarkStart w:id="2" w:name="_Toc215780262"/>
      <w:r w:rsidRPr="002F5352">
        <w:rPr>
          <w:color w:val="auto"/>
          <w:sz w:val="22"/>
          <w:szCs w:val="22"/>
        </w:rPr>
        <w:t>3</w:t>
      </w:r>
      <w:r w:rsidR="005A07A1" w:rsidRPr="002F5352">
        <w:rPr>
          <w:color w:val="auto"/>
          <w:sz w:val="22"/>
          <w:szCs w:val="22"/>
        </w:rPr>
        <w:t>. Research Aims, Hypothesis/Objectives and Question</w:t>
      </w:r>
      <w:bookmarkEnd w:id="2"/>
    </w:p>
    <w:p w14:paraId="48879A3C" w14:textId="77777777" w:rsidR="00BC3FCD" w:rsidRPr="002F5352" w:rsidRDefault="00BC3FCD" w:rsidP="00BC3FCD">
      <w:pPr>
        <w:spacing w:line="360" w:lineRule="auto"/>
        <w:jc w:val="both"/>
        <w:rPr>
          <w:rFonts w:ascii="Arial" w:hAnsi="Arial" w:cs="Arial"/>
          <w:b/>
          <w:bCs/>
        </w:rPr>
      </w:pPr>
      <w:r w:rsidRPr="002F5352">
        <w:rPr>
          <w:rFonts w:ascii="Arial" w:hAnsi="Arial" w:cs="Arial"/>
          <w:b/>
          <w:bCs/>
        </w:rPr>
        <w:t>Research Question:</w:t>
      </w:r>
    </w:p>
    <w:p w14:paraId="1534C00C" w14:textId="5532268A" w:rsidR="00BC3FCD" w:rsidRPr="002F5352" w:rsidRDefault="00BC3FCD" w:rsidP="00BC3FCD">
      <w:pPr>
        <w:spacing w:line="360" w:lineRule="auto"/>
        <w:jc w:val="both"/>
        <w:rPr>
          <w:rFonts w:ascii="Arial" w:hAnsi="Arial" w:cs="Arial"/>
        </w:rPr>
      </w:pPr>
      <w:r w:rsidRPr="002F5352">
        <w:rPr>
          <w:rFonts w:ascii="Arial" w:hAnsi="Arial" w:cs="Arial"/>
        </w:rPr>
        <w:t>The primary question of this paper is</w:t>
      </w:r>
    </w:p>
    <w:p w14:paraId="23B85471" w14:textId="77777777" w:rsidR="00BC3FCD" w:rsidRPr="002F5352" w:rsidRDefault="00BC3FCD" w:rsidP="00BC3FCD">
      <w:pPr>
        <w:widowControl/>
        <w:numPr>
          <w:ilvl w:val="0"/>
          <w:numId w:val="7"/>
        </w:numPr>
        <w:autoSpaceDE/>
        <w:autoSpaceDN/>
        <w:spacing w:line="360" w:lineRule="auto"/>
        <w:jc w:val="both"/>
        <w:rPr>
          <w:rFonts w:ascii="Arial" w:hAnsi="Arial" w:cs="Arial"/>
        </w:rPr>
      </w:pPr>
      <w:r w:rsidRPr="002F5352">
        <w:rPr>
          <w:rFonts w:ascii="Arial" w:hAnsi="Arial" w:cs="Arial"/>
        </w:rPr>
        <w:t>How successful have public health initiatives been in reducing the rate of teen tobacco use in the UK?</w:t>
      </w:r>
    </w:p>
    <w:p w14:paraId="73E58E0E" w14:textId="54173D8D" w:rsidR="00BC3FCD" w:rsidRPr="00BC3FCD" w:rsidRDefault="00BC3FCD" w:rsidP="005A07A1">
      <w:pPr>
        <w:spacing w:line="360" w:lineRule="auto"/>
        <w:jc w:val="both"/>
        <w:rPr>
          <w:rFonts w:ascii="Arial" w:hAnsi="Arial" w:cs="Arial"/>
          <w:b/>
          <w:bCs/>
        </w:rPr>
      </w:pPr>
      <w:r w:rsidRPr="00BC3FCD">
        <w:rPr>
          <w:rFonts w:ascii="Arial" w:hAnsi="Arial" w:cs="Arial"/>
          <w:b/>
          <w:bCs/>
        </w:rPr>
        <w:t>Aim</w:t>
      </w:r>
    </w:p>
    <w:p w14:paraId="38921BD1" w14:textId="0802F109" w:rsidR="005A07A1" w:rsidRPr="002F5352" w:rsidRDefault="005A07A1" w:rsidP="005A07A1">
      <w:pPr>
        <w:spacing w:line="360" w:lineRule="auto"/>
        <w:jc w:val="both"/>
        <w:rPr>
          <w:rFonts w:ascii="Arial" w:hAnsi="Arial" w:cs="Arial"/>
        </w:rPr>
      </w:pPr>
      <w:r w:rsidRPr="002F5352">
        <w:rPr>
          <w:rFonts w:ascii="Arial" w:hAnsi="Arial" w:cs="Arial"/>
        </w:rPr>
        <w:t xml:space="preserve">The research aim is to evaluate the idea and performance of public health campaigns in consideration of reducing tobacco use among teenagers in the United Kingdom. </w:t>
      </w:r>
    </w:p>
    <w:p w14:paraId="5841E14A" w14:textId="77777777" w:rsidR="005A07A1" w:rsidRPr="002F5352" w:rsidRDefault="005A07A1" w:rsidP="005A07A1">
      <w:pPr>
        <w:spacing w:line="360" w:lineRule="auto"/>
        <w:jc w:val="both"/>
        <w:rPr>
          <w:rFonts w:ascii="Arial" w:hAnsi="Arial" w:cs="Arial"/>
          <w:b/>
          <w:bCs/>
        </w:rPr>
      </w:pPr>
      <w:r w:rsidRPr="002F5352">
        <w:rPr>
          <w:rFonts w:ascii="Arial" w:hAnsi="Arial" w:cs="Arial"/>
          <w:b/>
          <w:bCs/>
        </w:rPr>
        <w:t>Objectives:</w:t>
      </w:r>
    </w:p>
    <w:p w14:paraId="726CAED8" w14:textId="77777777" w:rsidR="005A07A1" w:rsidRPr="002F5352" w:rsidRDefault="005A07A1" w:rsidP="005A07A1">
      <w:pPr>
        <w:spacing w:line="360" w:lineRule="auto"/>
        <w:jc w:val="both"/>
        <w:rPr>
          <w:rFonts w:ascii="Arial" w:hAnsi="Arial" w:cs="Arial"/>
        </w:rPr>
      </w:pPr>
      <w:r w:rsidRPr="002F5352">
        <w:rPr>
          <w:rFonts w:ascii="Arial" w:hAnsi="Arial" w:cs="Arial"/>
        </w:rPr>
        <w:t xml:space="preserve">The objectives of this paper are: </w:t>
      </w:r>
    </w:p>
    <w:p w14:paraId="4E7C81F0" w14:textId="77777777" w:rsidR="005A07A1" w:rsidRPr="002F5352" w:rsidRDefault="005A07A1" w:rsidP="005A07A1">
      <w:pPr>
        <w:widowControl/>
        <w:numPr>
          <w:ilvl w:val="0"/>
          <w:numId w:val="6"/>
        </w:numPr>
        <w:autoSpaceDE/>
        <w:autoSpaceDN/>
        <w:spacing w:line="360" w:lineRule="auto"/>
        <w:jc w:val="both"/>
        <w:rPr>
          <w:rFonts w:ascii="Arial" w:hAnsi="Arial" w:cs="Arial"/>
        </w:rPr>
      </w:pPr>
      <w:r w:rsidRPr="002F5352">
        <w:rPr>
          <w:rFonts w:ascii="Arial" w:hAnsi="Arial" w:cs="Arial"/>
        </w:rPr>
        <w:t>To identify and review major public health campaigns implemented in the UK aimed at reducing tobacco use among teenagers.</w:t>
      </w:r>
    </w:p>
    <w:p w14:paraId="1991BC91" w14:textId="77777777" w:rsidR="005A07A1" w:rsidRPr="002F5352" w:rsidRDefault="005A07A1" w:rsidP="005A07A1">
      <w:pPr>
        <w:widowControl/>
        <w:numPr>
          <w:ilvl w:val="0"/>
          <w:numId w:val="6"/>
        </w:numPr>
        <w:autoSpaceDE/>
        <w:autoSpaceDN/>
        <w:spacing w:line="360" w:lineRule="auto"/>
        <w:jc w:val="both"/>
        <w:rPr>
          <w:rFonts w:ascii="Arial" w:hAnsi="Arial" w:cs="Arial"/>
        </w:rPr>
      </w:pPr>
      <w:r w:rsidRPr="002F5352">
        <w:rPr>
          <w:rFonts w:ascii="Arial" w:hAnsi="Arial" w:cs="Arial"/>
        </w:rPr>
        <w:lastRenderedPageBreak/>
        <w:t>To evaluate the impact of these campaigns on teenagers’ attitudes, awareness, and smoking behaviour.</w:t>
      </w:r>
    </w:p>
    <w:p w14:paraId="06FBBB21" w14:textId="77777777" w:rsidR="005A07A1" w:rsidRPr="002F5352" w:rsidRDefault="005A07A1" w:rsidP="005A07A1">
      <w:pPr>
        <w:widowControl/>
        <w:numPr>
          <w:ilvl w:val="0"/>
          <w:numId w:val="6"/>
        </w:numPr>
        <w:autoSpaceDE/>
        <w:autoSpaceDN/>
        <w:spacing w:line="360" w:lineRule="auto"/>
        <w:jc w:val="both"/>
        <w:rPr>
          <w:rFonts w:ascii="Arial" w:hAnsi="Arial" w:cs="Arial"/>
        </w:rPr>
      </w:pPr>
      <w:r w:rsidRPr="002F5352">
        <w:rPr>
          <w:rFonts w:ascii="Arial" w:hAnsi="Arial" w:cs="Arial"/>
        </w:rPr>
        <w:t>To determine key factors contributing to the success or limitations of these campaigns and provide recommendations for future interventions.</w:t>
      </w:r>
    </w:p>
    <w:p w14:paraId="355910B7" w14:textId="6BCF0E79" w:rsidR="00B33187" w:rsidRPr="002F5352" w:rsidRDefault="00B33187" w:rsidP="00B33187">
      <w:pPr>
        <w:pStyle w:val="Heading1"/>
        <w:rPr>
          <w:color w:val="auto"/>
          <w:sz w:val="22"/>
          <w:szCs w:val="22"/>
        </w:rPr>
      </w:pPr>
      <w:bookmarkStart w:id="3" w:name="_Toc215780263"/>
      <w:r w:rsidRPr="002F5352">
        <w:rPr>
          <w:color w:val="auto"/>
          <w:sz w:val="22"/>
          <w:szCs w:val="22"/>
        </w:rPr>
        <w:t>4. Rationale</w:t>
      </w:r>
      <w:bookmarkEnd w:id="3"/>
      <w:r w:rsidRPr="002F5352">
        <w:rPr>
          <w:color w:val="auto"/>
          <w:sz w:val="22"/>
          <w:szCs w:val="22"/>
        </w:rPr>
        <w:t xml:space="preserve"> </w:t>
      </w:r>
    </w:p>
    <w:p w14:paraId="34E313C6" w14:textId="6A711818" w:rsidR="00B33187" w:rsidRPr="002F5352" w:rsidRDefault="00B33187" w:rsidP="00B33187">
      <w:pPr>
        <w:spacing w:line="360" w:lineRule="auto"/>
        <w:jc w:val="both"/>
        <w:rPr>
          <w:rFonts w:ascii="Arial" w:hAnsi="Arial" w:cs="Arial"/>
        </w:rPr>
      </w:pPr>
      <w:r w:rsidRPr="002F5352">
        <w:rPr>
          <w:rFonts w:ascii="Arial" w:hAnsi="Arial" w:cs="Arial"/>
        </w:rPr>
        <w:t>Smoking of teenagers also remains one of the urgent challenges to the health of the general population of the UK, so the analysis of the public health campaigns is needed to underpin the prevention. Never thought of smoking 11% of 11-15-year-olds despite interventions, 3% of current users, and 1% of those who smoke weekly with vaping soaring to 9% among young people- commonly dual-use with tobacco. The status quo requires questions such as Stoptober and Smoke-Free Generation to be challenged, most of them aimed at adults leaving the effectiveness of efforts at the teenage level under-investigated</w:t>
      </w:r>
      <w:r w:rsidR="00362FC8" w:rsidRPr="002F5352">
        <w:rPr>
          <w:rFonts w:ascii="Arial" w:hAnsi="Arial" w:cs="Arial"/>
        </w:rPr>
        <w:t xml:space="preserve"> (Tinner, 2022)</w:t>
      </w:r>
      <w:r w:rsidRPr="002F5352">
        <w:rPr>
          <w:rFonts w:ascii="Arial" w:hAnsi="Arial" w:cs="Arial"/>
        </w:rPr>
        <w:t>.​​</w:t>
      </w:r>
    </w:p>
    <w:p w14:paraId="067A5DDD" w14:textId="66E2A0C6" w:rsidR="00B33187" w:rsidRPr="002F5352" w:rsidRDefault="00B33187" w:rsidP="00B33187">
      <w:pPr>
        <w:spacing w:line="360" w:lineRule="auto"/>
        <w:jc w:val="both"/>
        <w:rPr>
          <w:rFonts w:ascii="Arial" w:hAnsi="Arial" w:cs="Arial"/>
        </w:rPr>
      </w:pPr>
      <w:r w:rsidRPr="002F5352">
        <w:rPr>
          <w:rFonts w:ascii="Arial" w:hAnsi="Arial" w:cs="Arial"/>
        </w:rPr>
        <w:t>The existing literature skews toward adults: Stoptober increased quit attempts by 19% in 2018 and maintained it at 8% four weeks, and a relapse is common in young people because they are not tailored. Adaptation of these campaigns to priority groups such as teens via the suboptimal use of the media by Ognibene et al. (2021) is a disadvantage with social media marketing doubling initiation risk. According to GOV.UK (2022), current e-cigarette regular use among the young population is almost two times as high as smoking (8.6% vs 6%), but the application of controls also lacks, and the ineffectiveness of campaigns at withholding access or attractiveness is evident.​</w:t>
      </w:r>
      <w:r w:rsidR="002910B6" w:rsidRPr="002F5352">
        <w:rPr>
          <w:rFonts w:ascii="Arial" w:hAnsi="Arial" w:cs="Arial"/>
        </w:rPr>
        <w:t xml:space="preserve"> The strength of the association between the stressors and e-cigarette use was similar to that between the stressors and combustible cigarette use (Erhabor,2023). </w:t>
      </w:r>
    </w:p>
    <w:p w14:paraId="1E797A64" w14:textId="1F6F8CFA" w:rsidR="00B33187" w:rsidRPr="002F5352" w:rsidRDefault="00B33187" w:rsidP="00B33187">
      <w:pPr>
        <w:widowControl/>
        <w:autoSpaceDE/>
        <w:autoSpaceDN/>
        <w:spacing w:line="360" w:lineRule="auto"/>
        <w:jc w:val="both"/>
        <w:rPr>
          <w:rFonts w:ascii="Arial" w:hAnsi="Arial" w:cs="Arial"/>
        </w:rPr>
      </w:pPr>
      <w:r w:rsidRPr="002F5352">
        <w:rPr>
          <w:rFonts w:ascii="Arial" w:hAnsi="Arial" w:cs="Arial"/>
        </w:rPr>
        <w:t>This paper fills the gaps by conducting a systematic review of UK teen-related influences on the attitudes, awareness, and behaviour - which are demanding since 2022. Adebisi et al. (2025) and Durkin, Brennan and Wakefield (2022) confirm continued adoption; Botan (2021) urges a search of strategy through E-cigarettes alternatives such as heated tobacco. The results will support evidence-based customization, improve youth-based prevention and minimize their long-term costs.</w:t>
      </w:r>
    </w:p>
    <w:p w14:paraId="72480056" w14:textId="77777777" w:rsidR="005A07A1" w:rsidRPr="002F5352" w:rsidRDefault="005A07A1" w:rsidP="001F44E7">
      <w:pPr>
        <w:pStyle w:val="Heading1"/>
        <w:ind w:left="0"/>
        <w:rPr>
          <w:color w:val="auto"/>
          <w:sz w:val="22"/>
          <w:szCs w:val="22"/>
        </w:rPr>
      </w:pPr>
      <w:bookmarkStart w:id="4" w:name="_Toc215780264"/>
      <w:r w:rsidRPr="002F5352">
        <w:rPr>
          <w:color w:val="auto"/>
          <w:sz w:val="22"/>
          <w:szCs w:val="22"/>
        </w:rPr>
        <w:t>5. Research Methodology</w:t>
      </w:r>
      <w:bookmarkEnd w:id="4"/>
      <w:r w:rsidRPr="002F5352">
        <w:rPr>
          <w:color w:val="auto"/>
          <w:sz w:val="22"/>
          <w:szCs w:val="22"/>
        </w:rPr>
        <w:t xml:space="preserve"> </w:t>
      </w:r>
    </w:p>
    <w:p w14:paraId="4F41CD31" w14:textId="77777777" w:rsidR="005A07A1" w:rsidRPr="002F5352" w:rsidRDefault="005A07A1" w:rsidP="001F44E7">
      <w:pPr>
        <w:pStyle w:val="Heading2"/>
        <w:ind w:left="359"/>
        <w:rPr>
          <w:color w:val="auto"/>
          <w:sz w:val="22"/>
        </w:rPr>
      </w:pPr>
      <w:bookmarkStart w:id="5" w:name="_Toc215780265"/>
      <w:r w:rsidRPr="002F5352">
        <w:rPr>
          <w:color w:val="auto"/>
          <w:sz w:val="22"/>
        </w:rPr>
        <w:t>5.1 Research Philosophy</w:t>
      </w:r>
      <w:bookmarkEnd w:id="5"/>
      <w:r w:rsidRPr="002F5352">
        <w:rPr>
          <w:color w:val="auto"/>
          <w:sz w:val="22"/>
        </w:rPr>
        <w:t xml:space="preserve"> </w:t>
      </w:r>
    </w:p>
    <w:p w14:paraId="2A69A4A6" w14:textId="21DFEF30" w:rsidR="005A07A1" w:rsidRPr="002F5352" w:rsidRDefault="005A07A1" w:rsidP="005A07A1">
      <w:pPr>
        <w:spacing w:line="360" w:lineRule="auto"/>
        <w:jc w:val="both"/>
        <w:rPr>
          <w:rFonts w:ascii="Arial" w:hAnsi="Arial" w:cs="Arial"/>
        </w:rPr>
      </w:pPr>
      <w:r w:rsidRPr="002F5352">
        <w:rPr>
          <w:rFonts w:ascii="Arial" w:hAnsi="Arial" w:cs="Arial"/>
        </w:rPr>
        <w:t xml:space="preserve">In this research, the chosen philosophy will be </w:t>
      </w:r>
      <w:r w:rsidRPr="002F5352">
        <w:rPr>
          <w:rFonts w:ascii="Arial" w:hAnsi="Arial" w:cs="Arial"/>
          <w:b/>
          <w:bCs/>
        </w:rPr>
        <w:t>interpretivism</w:t>
      </w:r>
      <w:r w:rsidRPr="002F5352">
        <w:rPr>
          <w:rFonts w:ascii="Arial" w:hAnsi="Arial" w:cs="Arial"/>
        </w:rPr>
        <w:t xml:space="preserve">, which assumes that social reality is subjective and formed under the influence of the meaning and experience of people. To evaluate the effectiveness of the preventive campaigns over teenage consumption of tobacco, interpretivism is used to justify the examination of fine-tuning youth perceptions, attitudes, and </w:t>
      </w:r>
      <w:r w:rsidRPr="002F5352">
        <w:rPr>
          <w:rFonts w:ascii="Arial" w:hAnsi="Arial" w:cs="Arial"/>
        </w:rPr>
        <w:lastRenderedPageBreak/>
        <w:t>contextual perspectives of the anti-tobacco measures such as Stoptober, which are not quantifiable.​​</w:t>
      </w:r>
    </w:p>
    <w:p w14:paraId="31DE3199" w14:textId="24F2D1D0" w:rsidR="005A07A1" w:rsidRDefault="005A07A1" w:rsidP="005A07A1">
      <w:pPr>
        <w:spacing w:line="360" w:lineRule="auto"/>
        <w:jc w:val="both"/>
        <w:rPr>
          <w:rFonts w:ascii="Arial" w:hAnsi="Arial" w:cs="Arial"/>
        </w:rPr>
      </w:pPr>
      <w:r w:rsidRPr="002F5352">
        <w:rPr>
          <w:rFonts w:ascii="Arial" w:hAnsi="Arial" w:cs="Arial"/>
        </w:rPr>
        <w:t>In contrast to the objective laws of positivism philosophy, interpretivism is an ideal method to use in this systematic review because it focuses on empathy and dialogue to deconstruct the ways in which the teens make campaign effects based on social factors</w:t>
      </w:r>
      <w:r w:rsidR="00B33187" w:rsidRPr="002F5352">
        <w:rPr>
          <w:rFonts w:ascii="Arial" w:hAnsi="Arial" w:cs="Arial"/>
        </w:rPr>
        <w:t xml:space="preserve"> (Nickerson, 2024)</w:t>
      </w:r>
      <w:r w:rsidRPr="002F5352">
        <w:rPr>
          <w:rFonts w:ascii="Arial" w:hAnsi="Arial" w:cs="Arial"/>
        </w:rPr>
        <w:t>. This is consistent with qualitative synthesis of behaviours and wisdom, to elicit many realities and more context specific understandings of prevention gaps.</w:t>
      </w:r>
    </w:p>
    <w:p w14:paraId="3DAB659C" w14:textId="3CA7C2CF" w:rsidR="006D04A4" w:rsidRPr="006D04A4" w:rsidRDefault="006D04A4" w:rsidP="005A07A1">
      <w:pPr>
        <w:spacing w:line="360" w:lineRule="auto"/>
        <w:jc w:val="both"/>
        <w:rPr>
          <w:rFonts w:ascii="Arial" w:hAnsi="Arial" w:cs="Arial"/>
          <w:lang w:val="en-GB"/>
        </w:rPr>
      </w:pPr>
      <w:r w:rsidRPr="002F5352">
        <w:rPr>
          <w:rFonts w:ascii="Arial" w:hAnsi="Arial" w:cs="Arial"/>
          <w:lang w:val="en-GB"/>
        </w:rPr>
        <w:t xml:space="preserve">The prevalence of the tobacco usage among the UK teens would be remaining a significant constraint for the social and health care. Despite the declination over the years, the recent evidence stated that 11% of the 11- to 15-year-olds have never smoked while 3% of them are currently smokers (JSNA Blackpool, 2025). Vaping has become prevalent with 20% of the 16- to 17-year-olds having e-cigarettes based on research stating it as a gateway for traditional smoking (JSNA Blackpool, 2025). The rise in vaping coincided with the recent growth in smoking rates among the youth and partially reversing the declination in the past. </w:t>
      </w:r>
    </w:p>
    <w:p w14:paraId="34218463" w14:textId="77777777" w:rsidR="005A07A1" w:rsidRPr="002F5352" w:rsidRDefault="005A07A1" w:rsidP="001F44E7">
      <w:pPr>
        <w:pStyle w:val="Heading2"/>
        <w:ind w:left="359"/>
        <w:rPr>
          <w:color w:val="auto"/>
          <w:sz w:val="22"/>
        </w:rPr>
      </w:pPr>
      <w:bookmarkStart w:id="6" w:name="_Toc215780266"/>
      <w:r w:rsidRPr="002F5352">
        <w:rPr>
          <w:color w:val="auto"/>
          <w:sz w:val="22"/>
        </w:rPr>
        <w:t>5.2 Research Approach</w:t>
      </w:r>
      <w:bookmarkEnd w:id="6"/>
      <w:r w:rsidRPr="002F5352">
        <w:rPr>
          <w:color w:val="auto"/>
          <w:sz w:val="22"/>
        </w:rPr>
        <w:t xml:space="preserve"> </w:t>
      </w:r>
    </w:p>
    <w:p w14:paraId="04E0A096" w14:textId="77777777" w:rsidR="005A07A1" w:rsidRPr="002F5352" w:rsidRDefault="005A07A1" w:rsidP="005A07A1">
      <w:pPr>
        <w:spacing w:line="360" w:lineRule="auto"/>
        <w:jc w:val="both"/>
        <w:rPr>
          <w:rFonts w:ascii="Arial" w:hAnsi="Arial" w:cs="Arial"/>
        </w:rPr>
      </w:pPr>
      <w:r w:rsidRPr="002F5352">
        <w:rPr>
          <w:rFonts w:ascii="Arial" w:hAnsi="Arial" w:cs="Arial"/>
        </w:rPr>
        <w:t xml:space="preserve">This research will follow an </w:t>
      </w:r>
      <w:r w:rsidRPr="002F5352">
        <w:rPr>
          <w:rFonts w:ascii="Arial" w:hAnsi="Arial" w:cs="Arial"/>
          <w:b/>
          <w:bCs/>
        </w:rPr>
        <w:t>inductive approach</w:t>
      </w:r>
      <w:r w:rsidRPr="002F5352">
        <w:rPr>
          <w:rFonts w:ascii="Arial" w:hAnsi="Arial" w:cs="Arial"/>
        </w:rPr>
        <w:t xml:space="preserve"> which begins with the data observations of the available literature on the UK campaigns on public health to come up with patterns, themes and theories concerning the reduction of tobacco use among teenagers. Proudfoot (2022) depicted that an inductive reasoning develops explanations out of particular evidence and it is the case that emergent insights can occur without preconceived hypotheses.​​</w:t>
      </w:r>
    </w:p>
    <w:p w14:paraId="387D4D12" w14:textId="17F1B691" w:rsidR="005A07A1" w:rsidRPr="002F5352" w:rsidRDefault="005A07A1" w:rsidP="005A07A1">
      <w:pPr>
        <w:spacing w:line="360" w:lineRule="auto"/>
        <w:jc w:val="both"/>
        <w:rPr>
          <w:rFonts w:ascii="Arial" w:hAnsi="Arial" w:cs="Arial"/>
        </w:rPr>
      </w:pPr>
      <w:r w:rsidRPr="002F5352">
        <w:rPr>
          <w:rFonts w:ascii="Arial" w:hAnsi="Arial" w:cs="Arial"/>
        </w:rPr>
        <w:t>It can be justified by the explorative character of this systematic review: the lack of youth-specific information on campaigns as Stoptober requires detecting patterns through qualitative/quantitative synthesis and providing customized prevention theories. In contrast to the deductive approach of various developed models, induction leads to flexibility, which allows accommodating new discoveries in attitudes and behaviours in the context of changing tobacco products</w:t>
      </w:r>
      <w:r w:rsidR="00362FC8" w:rsidRPr="002F5352">
        <w:rPr>
          <w:rFonts w:ascii="Arial" w:hAnsi="Arial" w:cs="Arial"/>
        </w:rPr>
        <w:t xml:space="preserve"> (Alliand Dada, 2024)</w:t>
      </w:r>
    </w:p>
    <w:p w14:paraId="3A027651" w14:textId="77777777" w:rsidR="005A07A1" w:rsidRPr="002F5352" w:rsidRDefault="005A07A1" w:rsidP="005A07A1">
      <w:pPr>
        <w:pStyle w:val="Heading2"/>
        <w:rPr>
          <w:color w:val="auto"/>
          <w:sz w:val="22"/>
        </w:rPr>
      </w:pPr>
      <w:bookmarkStart w:id="7" w:name="_Toc215780267"/>
      <w:r w:rsidRPr="002F5352">
        <w:rPr>
          <w:color w:val="auto"/>
          <w:sz w:val="22"/>
        </w:rPr>
        <w:t>5.3 Research Design</w:t>
      </w:r>
      <w:bookmarkEnd w:id="7"/>
      <w:r w:rsidRPr="002F5352">
        <w:rPr>
          <w:color w:val="auto"/>
          <w:sz w:val="22"/>
        </w:rPr>
        <w:t xml:space="preserve"> </w:t>
      </w:r>
    </w:p>
    <w:p w14:paraId="0B81E5E8" w14:textId="1ABAB375" w:rsidR="005A07A1" w:rsidRPr="002F5352" w:rsidRDefault="005A07A1" w:rsidP="005A07A1">
      <w:pPr>
        <w:spacing w:line="360" w:lineRule="auto"/>
        <w:jc w:val="both"/>
        <w:rPr>
          <w:rFonts w:ascii="Arial" w:hAnsi="Arial" w:cs="Arial"/>
        </w:rPr>
      </w:pPr>
      <w:r w:rsidRPr="002F5352">
        <w:rPr>
          <w:rFonts w:ascii="Arial" w:hAnsi="Arial" w:cs="Arial"/>
        </w:rPr>
        <w:t xml:space="preserve">The present study follows a </w:t>
      </w:r>
      <w:r w:rsidR="006D04A4" w:rsidRPr="006D04A4">
        <w:rPr>
          <w:rFonts w:ascii="Arial" w:hAnsi="Arial" w:cs="Arial"/>
          <w:b/>
          <w:bCs/>
        </w:rPr>
        <w:t xml:space="preserve">secondary </w:t>
      </w:r>
      <w:r w:rsidRPr="002F5352">
        <w:rPr>
          <w:rFonts w:ascii="Arial" w:hAnsi="Arial" w:cs="Arial"/>
          <w:b/>
          <w:bCs/>
        </w:rPr>
        <w:t>research design</w:t>
      </w:r>
      <w:r w:rsidRPr="002F5352">
        <w:rPr>
          <w:rFonts w:ascii="Arial" w:hAnsi="Arial" w:cs="Arial"/>
        </w:rPr>
        <w:t xml:space="preserve"> whereby the researcher makes observations and records the attributes of effects of UK public health campaigns on the influence of these campaigns on teenage smoking habits in a non-manipulating manner. It includes a description of prevalence, reach, attitudes, awareness, and behaviours of the campaign through </w:t>
      </w:r>
      <w:r w:rsidRPr="002F5352">
        <w:rPr>
          <w:rFonts w:ascii="Arial" w:hAnsi="Arial" w:cs="Arial"/>
          <w:b/>
          <w:bCs/>
        </w:rPr>
        <w:t xml:space="preserve">systematic </w:t>
      </w:r>
      <w:r w:rsidR="00F260C7" w:rsidRPr="002F5352">
        <w:rPr>
          <w:rFonts w:ascii="Arial" w:hAnsi="Arial" w:cs="Arial"/>
          <w:b/>
          <w:bCs/>
        </w:rPr>
        <w:t xml:space="preserve">literature </w:t>
      </w:r>
      <w:r w:rsidRPr="002F5352">
        <w:rPr>
          <w:rFonts w:ascii="Arial" w:hAnsi="Arial" w:cs="Arial"/>
          <w:b/>
          <w:bCs/>
        </w:rPr>
        <w:t>review</w:t>
      </w:r>
      <w:r w:rsidRPr="002F5352">
        <w:rPr>
          <w:rFonts w:ascii="Arial" w:hAnsi="Arial" w:cs="Arial"/>
        </w:rPr>
        <w:t xml:space="preserve"> (Takona, 2023).​​</w:t>
      </w:r>
    </w:p>
    <w:p w14:paraId="115DBF04" w14:textId="77777777" w:rsidR="005A07A1" w:rsidRPr="002F5352" w:rsidRDefault="005A07A1" w:rsidP="005A07A1">
      <w:pPr>
        <w:spacing w:line="360" w:lineRule="auto"/>
        <w:jc w:val="both"/>
        <w:rPr>
          <w:rFonts w:ascii="Arial" w:hAnsi="Arial" w:cs="Arial"/>
        </w:rPr>
      </w:pPr>
      <w:r w:rsidRPr="002F5352">
        <w:rPr>
          <w:rFonts w:ascii="Arial" w:hAnsi="Arial" w:cs="Arial"/>
        </w:rPr>
        <w:t xml:space="preserve">Rationalization is that it has an exploratory nature: what is there (research) on campaigns), how </w:t>
      </w:r>
      <w:r w:rsidRPr="002F5352">
        <w:rPr>
          <w:rFonts w:ascii="Arial" w:hAnsi="Arial" w:cs="Arial"/>
        </w:rPr>
        <w:lastRenderedPageBreak/>
        <w:t>they affect young people (e.g., Stoptober quit rates), and trends in the light of pressurizing 11% ever-smoking. In contrast to experimental designs, descriptive is perfect for secondary data, which it sets the grounds of causal future study, without the assumption of why, which is consistent with interpretivism/inductivism.</w:t>
      </w:r>
    </w:p>
    <w:p w14:paraId="5475A5BD" w14:textId="77777777" w:rsidR="005A07A1" w:rsidRPr="002F5352" w:rsidRDefault="005A07A1" w:rsidP="005A07A1">
      <w:pPr>
        <w:pStyle w:val="Heading2"/>
        <w:rPr>
          <w:color w:val="auto"/>
          <w:sz w:val="22"/>
        </w:rPr>
      </w:pPr>
      <w:bookmarkStart w:id="8" w:name="_Toc215780268"/>
      <w:r w:rsidRPr="002F5352">
        <w:rPr>
          <w:color w:val="auto"/>
          <w:sz w:val="22"/>
        </w:rPr>
        <w:t>5.4 Data Collection Method</w:t>
      </w:r>
      <w:bookmarkEnd w:id="8"/>
    </w:p>
    <w:p w14:paraId="406420B9" w14:textId="557EBCE2" w:rsidR="005A07A1" w:rsidRPr="002F5352" w:rsidRDefault="005A07A1" w:rsidP="005A07A1">
      <w:pPr>
        <w:spacing w:line="360" w:lineRule="auto"/>
        <w:jc w:val="both"/>
        <w:rPr>
          <w:rFonts w:ascii="Arial" w:hAnsi="Arial" w:cs="Arial"/>
        </w:rPr>
      </w:pPr>
      <w:r w:rsidRPr="002F5352">
        <w:rPr>
          <w:rFonts w:ascii="Arial" w:hAnsi="Arial" w:cs="Arial"/>
        </w:rPr>
        <w:t xml:space="preserve">A method that will be used in this study to collect information is </w:t>
      </w:r>
      <w:r w:rsidR="00F260C7" w:rsidRPr="002F5352">
        <w:rPr>
          <w:rFonts w:ascii="Arial" w:hAnsi="Arial" w:cs="Arial"/>
          <w:b/>
          <w:bCs/>
        </w:rPr>
        <w:t>systematic literature review</w:t>
      </w:r>
      <w:r w:rsidR="00F260C7" w:rsidRPr="002F5352">
        <w:rPr>
          <w:rFonts w:ascii="Arial" w:hAnsi="Arial" w:cs="Arial"/>
        </w:rPr>
        <w:t xml:space="preserve"> </w:t>
      </w:r>
      <w:r w:rsidRPr="002F5352">
        <w:rPr>
          <w:rFonts w:ascii="Arial" w:hAnsi="Arial" w:cs="Arial"/>
        </w:rPr>
        <w:t>which is a systemic method of available literature on public health campaigns against tobacco use among teenagers in the UK. The secondary data analysis enables cost-efficient and effective search of diverse and wide materials in form of peer-reviewed articles, government reports, and institutional datasets compiled by other researchers (Sylvia and Terhaar, 2023).​ The procedure is associated with thorough search of databases (</w:t>
      </w:r>
      <w:r w:rsidR="001F44E7" w:rsidRPr="002F5352">
        <w:rPr>
          <w:rFonts w:ascii="Arial" w:hAnsi="Arial" w:cs="Arial"/>
        </w:rPr>
        <w:t xml:space="preserve">such as </w:t>
      </w:r>
      <w:r w:rsidR="003B3CBE" w:rsidRPr="002F5352">
        <w:rPr>
          <w:rFonts w:ascii="Arial" w:hAnsi="Arial" w:cs="Arial"/>
        </w:rPr>
        <w:t>Google Scholar</w:t>
      </w:r>
      <w:r w:rsidRPr="002F5352">
        <w:rPr>
          <w:rFonts w:ascii="Arial" w:hAnsi="Arial" w:cs="Arial"/>
        </w:rPr>
        <w:t>) to find useful studies that were published in the past decade. The type of data that will be extracted will be campaign characteristics, metrics of youth engagement, and behavioural outcomes. Two-dimensional analysis would be appropriate because it is impossible to collect primary data due to the scope of the study of the dissertation, and it may be necessary to synthesize heterogeneous data to reveal general trends and uncovered areas of evidence. The aspects of ethics are not that serious, as there is no direct involvement of participants.</w:t>
      </w:r>
    </w:p>
    <w:p w14:paraId="5C48239C" w14:textId="77777777" w:rsidR="005A07A1" w:rsidRPr="002F5352" w:rsidRDefault="005A07A1" w:rsidP="001F44E7">
      <w:pPr>
        <w:pStyle w:val="Heading2"/>
        <w:ind w:left="359"/>
        <w:rPr>
          <w:color w:val="auto"/>
          <w:sz w:val="22"/>
        </w:rPr>
      </w:pPr>
      <w:bookmarkStart w:id="9" w:name="_Toc215780269"/>
      <w:r w:rsidRPr="002F5352">
        <w:rPr>
          <w:color w:val="auto"/>
          <w:sz w:val="22"/>
        </w:rPr>
        <w:t>5.5 Data Analysis</w:t>
      </w:r>
      <w:bookmarkEnd w:id="9"/>
      <w:r w:rsidRPr="002F5352">
        <w:rPr>
          <w:color w:val="auto"/>
          <w:sz w:val="22"/>
        </w:rPr>
        <w:t xml:space="preserve"> </w:t>
      </w:r>
    </w:p>
    <w:p w14:paraId="568AFFAC" w14:textId="0272792F" w:rsidR="005A07A1" w:rsidRPr="002F5352" w:rsidRDefault="005A07A1" w:rsidP="005A07A1">
      <w:pPr>
        <w:spacing w:line="360" w:lineRule="auto"/>
        <w:jc w:val="both"/>
        <w:rPr>
          <w:rFonts w:ascii="Arial" w:hAnsi="Arial" w:cs="Arial"/>
        </w:rPr>
      </w:pPr>
      <w:r w:rsidRPr="002F5352">
        <w:rPr>
          <w:rFonts w:ascii="Arial" w:hAnsi="Arial" w:cs="Arial"/>
          <w:b/>
          <w:bCs/>
        </w:rPr>
        <w:t>Thematic analysis</w:t>
      </w:r>
      <w:r w:rsidRPr="002F5352">
        <w:rPr>
          <w:rFonts w:ascii="Arial" w:hAnsi="Arial" w:cs="Arial"/>
        </w:rPr>
        <w:t xml:space="preserve"> will be used to synthesize the information collected during the systematic review, and allow identifying and interpreting patterns and themes through qualitative and quantitative studies. This approach entails three repetitive processes, namely: initial line-by-line coding of mined data, sorting out the codes into descriptive themes that directly relate to primary research, and creating analytical themes which go beyond findings of original research to come up with new understandings and theorize through them.​ Thematic analysis is appropriate to this study as it provides an orderly but not rigid methodology of dealing with a heterogenous set of data, reflecting subtle youth views and campaign effects</w:t>
      </w:r>
      <w:r w:rsidR="00866825" w:rsidRPr="002F5352">
        <w:rPr>
          <w:rFonts w:ascii="Arial" w:hAnsi="Arial" w:cs="Arial"/>
        </w:rPr>
        <w:t xml:space="preserve"> (Squires, 2023)</w:t>
      </w:r>
      <w:r w:rsidRPr="002F5352">
        <w:rPr>
          <w:rFonts w:ascii="Arial" w:hAnsi="Arial" w:cs="Arial"/>
        </w:rPr>
        <w:t>. It enhances in-depth knowledge of the impact of the public health campaign in altering tobacco use amongst teenagers in the UK and the areas of gaps and new trends where evidence-based recommendations can be applied.</w:t>
      </w:r>
    </w:p>
    <w:p w14:paraId="2D7F47D2" w14:textId="4C483B06" w:rsidR="005A07A1" w:rsidRPr="002F5352" w:rsidRDefault="005A07A1" w:rsidP="001F44E7">
      <w:pPr>
        <w:pStyle w:val="Heading2"/>
        <w:ind w:left="359"/>
        <w:rPr>
          <w:color w:val="auto"/>
          <w:sz w:val="22"/>
        </w:rPr>
      </w:pPr>
      <w:bookmarkStart w:id="10" w:name="_Toc215780270"/>
      <w:r w:rsidRPr="002F5352">
        <w:rPr>
          <w:color w:val="auto"/>
          <w:sz w:val="22"/>
        </w:rPr>
        <w:t xml:space="preserve">5.6 </w:t>
      </w:r>
      <w:bookmarkEnd w:id="10"/>
      <w:r w:rsidR="006D04A4" w:rsidRPr="006D04A4">
        <w:rPr>
          <w:color w:val="auto"/>
          <w:sz w:val="22"/>
        </w:rPr>
        <w:t>Search Strategy</w:t>
      </w:r>
    </w:p>
    <w:p w14:paraId="06F31112" w14:textId="63908358" w:rsidR="005A07A1" w:rsidRPr="002F5352" w:rsidRDefault="005A07A1" w:rsidP="005A07A1">
      <w:pPr>
        <w:spacing w:line="360" w:lineRule="auto"/>
        <w:jc w:val="both"/>
        <w:rPr>
          <w:rFonts w:ascii="Arial" w:hAnsi="Arial" w:cs="Arial"/>
        </w:rPr>
      </w:pPr>
      <w:r w:rsidRPr="002F5352">
        <w:rPr>
          <w:rFonts w:ascii="Arial" w:hAnsi="Arial" w:cs="Arial"/>
        </w:rPr>
        <w:t xml:space="preserve">In this secondary data systematic review, there is no major recruitment. According to Noor, Tajik and Golzar (2022), </w:t>
      </w:r>
      <w:r w:rsidR="00F260C7" w:rsidRPr="002F5352">
        <w:rPr>
          <w:rFonts w:ascii="Arial" w:hAnsi="Arial" w:cs="Arial"/>
        </w:rPr>
        <w:t xml:space="preserve">purposive </w:t>
      </w:r>
      <w:r w:rsidRPr="002F5352">
        <w:rPr>
          <w:rFonts w:ascii="Arial" w:hAnsi="Arial" w:cs="Arial"/>
        </w:rPr>
        <w:t>sampling will be used to choose a sample of an accessible population of studies dealing with tobacco campaigns in peer-reviewed UK literature (2015-</w:t>
      </w:r>
      <w:r w:rsidRPr="002F5352">
        <w:rPr>
          <w:rFonts w:ascii="Arial" w:hAnsi="Arial" w:cs="Arial"/>
        </w:rPr>
        <w:lastRenderedPageBreak/>
        <w:t>2025), which involves random number generator of search results of the databases (e.g., PubMed hits).</w:t>
      </w:r>
    </w:p>
    <w:p w14:paraId="35E2817C" w14:textId="77777777" w:rsidR="005A07A1" w:rsidRPr="002F5352" w:rsidRDefault="005A07A1" w:rsidP="005A07A1">
      <w:pPr>
        <w:spacing w:line="360" w:lineRule="auto"/>
        <w:jc w:val="both"/>
        <w:rPr>
          <w:rFonts w:ascii="Arial" w:hAnsi="Arial" w:cs="Arial"/>
        </w:rPr>
      </w:pPr>
      <w:r w:rsidRPr="002F5352">
        <w:rPr>
          <w:rFonts w:ascii="Arial" w:hAnsi="Arial" w:cs="Arial"/>
        </w:rPr>
        <w:t>Participants of the study are teenagers from 11-17, as mentioned in the selected studies, as they have an equal opportunity at being selected to represent them. This reduces biasness, seizing the various experiences of youth with such campaigns as Stoptober.</w:t>
      </w:r>
    </w:p>
    <w:p w14:paraId="4D8E3063" w14:textId="601B876A" w:rsidR="005A07A1" w:rsidRPr="002F5352" w:rsidRDefault="001F44E7" w:rsidP="001F44E7">
      <w:pPr>
        <w:pStyle w:val="Heading2"/>
        <w:ind w:left="359"/>
        <w:rPr>
          <w:color w:val="auto"/>
          <w:sz w:val="22"/>
        </w:rPr>
      </w:pPr>
      <w:bookmarkStart w:id="11" w:name="_Toc215780272"/>
      <w:r w:rsidRPr="002F5352">
        <w:rPr>
          <w:color w:val="auto"/>
          <w:sz w:val="22"/>
        </w:rPr>
        <w:t>5.</w:t>
      </w:r>
      <w:r w:rsidR="006D04A4">
        <w:rPr>
          <w:color w:val="auto"/>
          <w:sz w:val="22"/>
        </w:rPr>
        <w:t>7</w:t>
      </w:r>
      <w:r w:rsidRPr="002F5352">
        <w:rPr>
          <w:color w:val="auto"/>
          <w:sz w:val="22"/>
        </w:rPr>
        <w:t xml:space="preserve"> Ethical</w:t>
      </w:r>
      <w:r w:rsidR="005A07A1" w:rsidRPr="002F5352">
        <w:rPr>
          <w:color w:val="auto"/>
          <w:sz w:val="22"/>
        </w:rPr>
        <w:t xml:space="preserve"> Considerations</w:t>
      </w:r>
      <w:bookmarkEnd w:id="11"/>
    </w:p>
    <w:p w14:paraId="62E32499" w14:textId="0EF0983E" w:rsidR="005A07A1" w:rsidRPr="002F5352" w:rsidRDefault="005A07A1" w:rsidP="005A07A1">
      <w:pPr>
        <w:spacing w:line="360" w:lineRule="auto"/>
        <w:jc w:val="both"/>
        <w:rPr>
          <w:rFonts w:ascii="Arial" w:hAnsi="Arial" w:cs="Arial"/>
        </w:rPr>
      </w:pPr>
      <w:r w:rsidRPr="002F5352">
        <w:rPr>
          <w:rFonts w:ascii="Arial" w:hAnsi="Arial" w:cs="Arial"/>
        </w:rPr>
        <w:t>Since the research is secondary through systematic review, there is no face-to-face interaction with any investigative subject sponsoring any risks of harm, consent, or debriefing necessities (Hasan et al., 2021). Such issues as the anonymity of the data (data should not be based on any identifiable information used in the original research) and the deanonymi</w:t>
      </w:r>
      <w:r w:rsidR="00F260C7" w:rsidRPr="002F5352">
        <w:rPr>
          <w:rFonts w:ascii="Arial" w:hAnsi="Arial" w:cs="Arial"/>
        </w:rPr>
        <w:t>z</w:t>
      </w:r>
      <w:r w:rsidRPr="002F5352">
        <w:rPr>
          <w:rFonts w:ascii="Arial" w:hAnsi="Arial" w:cs="Arial"/>
        </w:rPr>
        <w:t xml:space="preserve">ation through synthesis are the key points to consider.​ Transparency requires correct source referencing (Harvard style), no plagiarism and objective reporting bias through PRISMA protocol registration. Ethics in publications mandate the disclosure of AI/research aid as stipulated by every module. PG2 ethics regarding the ethics institute submit-instead of taking responsibility of the original consents regarding the use of the primary product protesting against the secondary usage and </w:t>
      </w:r>
      <w:r w:rsidR="00D8357D" w:rsidRPr="002F5352">
        <w:rPr>
          <w:rFonts w:ascii="Arial" w:hAnsi="Arial" w:cs="Arial"/>
        </w:rPr>
        <w:t>pertaining to</w:t>
      </w:r>
      <w:r w:rsidRPr="002F5352">
        <w:rPr>
          <w:rFonts w:ascii="Arial" w:hAnsi="Arial" w:cs="Arial"/>
        </w:rPr>
        <w:t xml:space="preserve"> the argument.</w:t>
      </w:r>
    </w:p>
    <w:p w14:paraId="3EFFEB3B" w14:textId="77777777" w:rsidR="005A07A1" w:rsidRPr="002F5352" w:rsidRDefault="005A07A1" w:rsidP="00D8357D">
      <w:pPr>
        <w:pStyle w:val="Heading2"/>
        <w:ind w:left="359"/>
        <w:rPr>
          <w:color w:val="auto"/>
          <w:sz w:val="22"/>
        </w:rPr>
      </w:pPr>
      <w:bookmarkStart w:id="12" w:name="_Toc215780273"/>
      <w:r w:rsidRPr="002F5352">
        <w:rPr>
          <w:color w:val="auto"/>
          <w:sz w:val="22"/>
        </w:rPr>
        <w:t>6. Implications of Research</w:t>
      </w:r>
      <w:bookmarkEnd w:id="12"/>
      <w:r w:rsidRPr="002F5352">
        <w:rPr>
          <w:color w:val="auto"/>
          <w:sz w:val="22"/>
        </w:rPr>
        <w:t xml:space="preserve"> </w:t>
      </w:r>
    </w:p>
    <w:p w14:paraId="1682FF7F" w14:textId="04BB8CE5" w:rsidR="005A07A1" w:rsidRPr="002F5352" w:rsidRDefault="005A07A1" w:rsidP="005A07A1">
      <w:pPr>
        <w:spacing w:line="360" w:lineRule="auto"/>
        <w:jc w:val="both"/>
        <w:rPr>
          <w:rFonts w:ascii="Arial" w:hAnsi="Arial" w:cs="Arial"/>
        </w:rPr>
      </w:pPr>
      <w:r w:rsidRPr="002F5352">
        <w:rPr>
          <w:rFonts w:ascii="Arial" w:hAnsi="Arial" w:cs="Arial"/>
        </w:rPr>
        <w:t>The systematic review has a huge implication on the policy of the UK on its public health, the practice of reducing tobacco use among teenagers, and the future research that aims at achieving the same goal. The results will guide policy-makers to implement more youth-specific measures highlighting the campaigns such as Stoptober and Smoke-Free Generation that allow addressing increasing 11% ever-smoking among 11-15-year-olds without improvement (Warnock, 2024).​</w:t>
      </w:r>
      <w:r w:rsidR="00F260C7" w:rsidRPr="002F5352">
        <w:rPr>
          <w:rFonts w:ascii="Arial" w:hAnsi="Arial" w:cs="Arial"/>
        </w:rPr>
        <w:t xml:space="preserve"> </w:t>
      </w:r>
      <w:r w:rsidRPr="002F5352">
        <w:rPr>
          <w:rFonts w:ascii="Arial" w:hAnsi="Arial" w:cs="Arial"/>
        </w:rPr>
        <w:t>Better effects are the reduction of the smoking rates, an increase in healthier lifestyles, and the reduction of NHS expenses- estimated to cost the NHS 2.6 billion a year in the uptake by the youth. Ma et al. (2021) attribute risks in adolescents to the need to set up relevant policies whereas Durkin, Brennan and Wakefield (2022) emphasize on media optimisation of priority groups. Unique to the UK, teens offer solutions where none exist, and a bulky 5% prevalence target by 2030 is met through evidence-based customization.</w:t>
      </w:r>
    </w:p>
    <w:p w14:paraId="3A9068BA" w14:textId="77777777" w:rsidR="005A07A1" w:rsidRDefault="005A07A1" w:rsidP="00D8357D">
      <w:pPr>
        <w:pStyle w:val="Heading1"/>
        <w:ind w:left="0"/>
        <w:rPr>
          <w:color w:val="auto"/>
          <w:sz w:val="22"/>
          <w:szCs w:val="22"/>
        </w:rPr>
      </w:pPr>
      <w:bookmarkStart w:id="13" w:name="_Toc215780274"/>
      <w:r w:rsidRPr="002F5352">
        <w:rPr>
          <w:color w:val="auto"/>
          <w:sz w:val="22"/>
          <w:szCs w:val="22"/>
        </w:rPr>
        <w:t>7. Plan of Work and Time Schedule</w:t>
      </w:r>
      <w:bookmarkEnd w:id="13"/>
      <w:r w:rsidRPr="002F5352">
        <w:rPr>
          <w:color w:val="auto"/>
          <w:sz w:val="22"/>
          <w:szCs w:val="22"/>
        </w:rPr>
        <w:t xml:space="preserve"> </w:t>
      </w:r>
    </w:p>
    <w:p w14:paraId="0ED39857" w14:textId="668800FE" w:rsidR="002E141B" w:rsidRDefault="002E141B">
      <w:pPr>
        <w:rPr>
          <w:rFonts w:ascii="Arial" w:eastAsia="Arial" w:hAnsi="Arial" w:cs="Arial"/>
          <w:b/>
          <w:bCs/>
        </w:rPr>
      </w:pPr>
      <w:r>
        <w:br w:type="page"/>
      </w:r>
    </w:p>
    <w:tbl>
      <w:tblPr>
        <w:tblW w:w="5000" w:type="pct"/>
        <w:tblLook w:val="04A0" w:firstRow="1" w:lastRow="0" w:firstColumn="1" w:lastColumn="0" w:noHBand="0" w:noVBand="1"/>
      </w:tblPr>
      <w:tblGrid>
        <w:gridCol w:w="4132"/>
        <w:gridCol w:w="616"/>
        <w:gridCol w:w="616"/>
        <w:gridCol w:w="617"/>
        <w:gridCol w:w="618"/>
        <w:gridCol w:w="661"/>
        <w:gridCol w:w="772"/>
        <w:gridCol w:w="772"/>
        <w:gridCol w:w="772"/>
      </w:tblGrid>
      <w:tr w:rsidR="00CC423A" w:rsidRPr="00CC423A" w14:paraId="6E30872D" w14:textId="77777777" w:rsidTr="00CC423A">
        <w:trPr>
          <w:trHeight w:val="290"/>
        </w:trPr>
        <w:tc>
          <w:tcPr>
            <w:tcW w:w="1718" w:type="pct"/>
            <w:tcBorders>
              <w:top w:val="single" w:sz="4" w:space="0" w:color="auto"/>
              <w:left w:val="single" w:sz="4" w:space="0" w:color="auto"/>
              <w:bottom w:val="single" w:sz="4" w:space="0" w:color="auto"/>
              <w:right w:val="single" w:sz="4" w:space="0" w:color="auto"/>
            </w:tcBorders>
            <w:noWrap/>
            <w:vAlign w:val="center"/>
            <w:hideMark/>
          </w:tcPr>
          <w:p w14:paraId="7F8B2DE7" w14:textId="77777777" w:rsidR="00CC423A" w:rsidRPr="00CC423A" w:rsidRDefault="00CC423A" w:rsidP="00CC423A">
            <w:pPr>
              <w:widowControl/>
              <w:autoSpaceDE/>
              <w:autoSpaceDN/>
              <w:jc w:val="center"/>
              <w:rPr>
                <w:rFonts w:ascii="Calibri" w:eastAsia="Times New Roman" w:hAnsi="Calibri" w:cs="Calibri"/>
                <w:b/>
                <w:bCs/>
                <w:color w:val="000000"/>
                <w:lang w:val="en-IN" w:eastAsia="zh-TW"/>
              </w:rPr>
            </w:pPr>
            <w:r w:rsidRPr="00CC423A">
              <w:rPr>
                <w:rFonts w:ascii="Calibri" w:eastAsia="Times New Roman" w:hAnsi="Calibri" w:cs="Calibri"/>
                <w:b/>
                <w:bCs/>
                <w:color w:val="000000"/>
                <w:lang w:val="en-IN" w:eastAsia="zh-TW"/>
              </w:rPr>
              <w:lastRenderedPageBreak/>
              <w:t>Phase / Week</w:t>
            </w:r>
          </w:p>
        </w:tc>
        <w:tc>
          <w:tcPr>
            <w:tcW w:w="410" w:type="pct"/>
            <w:tcBorders>
              <w:top w:val="single" w:sz="4" w:space="0" w:color="auto"/>
              <w:left w:val="nil"/>
              <w:bottom w:val="single" w:sz="4" w:space="0" w:color="auto"/>
              <w:right w:val="single" w:sz="4" w:space="0" w:color="auto"/>
            </w:tcBorders>
            <w:noWrap/>
            <w:vAlign w:val="center"/>
            <w:hideMark/>
          </w:tcPr>
          <w:p w14:paraId="196D0044" w14:textId="77777777" w:rsidR="00CC423A" w:rsidRPr="00CC423A" w:rsidRDefault="00CC423A" w:rsidP="00CC423A">
            <w:pPr>
              <w:widowControl/>
              <w:autoSpaceDE/>
              <w:autoSpaceDN/>
              <w:jc w:val="center"/>
              <w:rPr>
                <w:rFonts w:ascii="Calibri" w:eastAsia="Times New Roman" w:hAnsi="Calibri" w:cs="Calibri"/>
                <w:b/>
                <w:bCs/>
                <w:color w:val="000000"/>
                <w:lang w:val="en-IN" w:eastAsia="zh-TW"/>
              </w:rPr>
            </w:pPr>
            <w:r w:rsidRPr="00CC423A">
              <w:rPr>
                <w:rFonts w:ascii="Calibri" w:eastAsia="Times New Roman" w:hAnsi="Calibri" w:cs="Calibri"/>
                <w:b/>
                <w:bCs/>
                <w:color w:val="000000"/>
                <w:lang w:val="en-IN" w:eastAsia="zh-TW"/>
              </w:rPr>
              <w:t>1–2</w:t>
            </w:r>
          </w:p>
        </w:tc>
        <w:tc>
          <w:tcPr>
            <w:tcW w:w="410" w:type="pct"/>
            <w:tcBorders>
              <w:top w:val="single" w:sz="4" w:space="0" w:color="auto"/>
              <w:left w:val="nil"/>
              <w:bottom w:val="single" w:sz="4" w:space="0" w:color="auto"/>
              <w:right w:val="single" w:sz="4" w:space="0" w:color="auto"/>
            </w:tcBorders>
            <w:noWrap/>
            <w:vAlign w:val="center"/>
            <w:hideMark/>
          </w:tcPr>
          <w:p w14:paraId="05AFE23C" w14:textId="77777777" w:rsidR="00CC423A" w:rsidRPr="00CC423A" w:rsidRDefault="00CC423A" w:rsidP="00CC423A">
            <w:pPr>
              <w:widowControl/>
              <w:autoSpaceDE/>
              <w:autoSpaceDN/>
              <w:jc w:val="center"/>
              <w:rPr>
                <w:rFonts w:ascii="Calibri" w:eastAsia="Times New Roman" w:hAnsi="Calibri" w:cs="Calibri"/>
                <w:b/>
                <w:bCs/>
                <w:color w:val="000000"/>
                <w:lang w:val="en-IN" w:eastAsia="zh-TW"/>
              </w:rPr>
            </w:pPr>
            <w:r w:rsidRPr="00CC423A">
              <w:rPr>
                <w:rFonts w:ascii="Calibri" w:eastAsia="Times New Roman" w:hAnsi="Calibri" w:cs="Calibri"/>
                <w:b/>
                <w:bCs/>
                <w:color w:val="000000"/>
                <w:lang w:val="en-IN" w:eastAsia="zh-TW"/>
              </w:rPr>
              <w:t>3–4</w:t>
            </w:r>
          </w:p>
        </w:tc>
        <w:tc>
          <w:tcPr>
            <w:tcW w:w="410" w:type="pct"/>
            <w:tcBorders>
              <w:top w:val="single" w:sz="4" w:space="0" w:color="auto"/>
              <w:left w:val="nil"/>
              <w:bottom w:val="single" w:sz="4" w:space="0" w:color="auto"/>
              <w:right w:val="single" w:sz="4" w:space="0" w:color="auto"/>
            </w:tcBorders>
            <w:noWrap/>
            <w:vAlign w:val="center"/>
            <w:hideMark/>
          </w:tcPr>
          <w:p w14:paraId="4786CDBF" w14:textId="77777777" w:rsidR="00CC423A" w:rsidRPr="00CC423A" w:rsidRDefault="00CC423A" w:rsidP="00CC423A">
            <w:pPr>
              <w:widowControl/>
              <w:autoSpaceDE/>
              <w:autoSpaceDN/>
              <w:jc w:val="center"/>
              <w:rPr>
                <w:rFonts w:ascii="Calibri" w:eastAsia="Times New Roman" w:hAnsi="Calibri" w:cs="Calibri"/>
                <w:b/>
                <w:bCs/>
                <w:color w:val="000000"/>
                <w:lang w:val="en-IN" w:eastAsia="zh-TW"/>
              </w:rPr>
            </w:pPr>
            <w:r w:rsidRPr="00CC423A">
              <w:rPr>
                <w:rFonts w:ascii="Calibri" w:eastAsia="Times New Roman" w:hAnsi="Calibri" w:cs="Calibri"/>
                <w:b/>
                <w:bCs/>
                <w:color w:val="000000"/>
                <w:lang w:val="en-IN" w:eastAsia="zh-TW"/>
              </w:rPr>
              <w:t>5–6</w:t>
            </w:r>
          </w:p>
        </w:tc>
        <w:tc>
          <w:tcPr>
            <w:tcW w:w="410" w:type="pct"/>
            <w:tcBorders>
              <w:top w:val="single" w:sz="4" w:space="0" w:color="auto"/>
              <w:left w:val="nil"/>
              <w:bottom w:val="single" w:sz="4" w:space="0" w:color="auto"/>
              <w:right w:val="single" w:sz="4" w:space="0" w:color="auto"/>
            </w:tcBorders>
            <w:noWrap/>
            <w:vAlign w:val="center"/>
            <w:hideMark/>
          </w:tcPr>
          <w:p w14:paraId="198FE9D6" w14:textId="77777777" w:rsidR="00CC423A" w:rsidRPr="00CC423A" w:rsidRDefault="00CC423A" w:rsidP="00CC423A">
            <w:pPr>
              <w:widowControl/>
              <w:autoSpaceDE/>
              <w:autoSpaceDN/>
              <w:jc w:val="center"/>
              <w:rPr>
                <w:rFonts w:ascii="Calibri" w:eastAsia="Times New Roman" w:hAnsi="Calibri" w:cs="Calibri"/>
                <w:b/>
                <w:bCs/>
                <w:color w:val="000000"/>
                <w:lang w:val="en-IN" w:eastAsia="zh-TW"/>
              </w:rPr>
            </w:pPr>
            <w:r w:rsidRPr="00CC423A">
              <w:rPr>
                <w:rFonts w:ascii="Calibri" w:eastAsia="Times New Roman" w:hAnsi="Calibri" w:cs="Calibri"/>
                <w:b/>
                <w:bCs/>
                <w:color w:val="000000"/>
                <w:lang w:val="en-IN" w:eastAsia="zh-TW"/>
              </w:rPr>
              <w:t>7–8</w:t>
            </w:r>
          </w:p>
        </w:tc>
        <w:tc>
          <w:tcPr>
            <w:tcW w:w="410" w:type="pct"/>
            <w:tcBorders>
              <w:top w:val="single" w:sz="4" w:space="0" w:color="auto"/>
              <w:left w:val="nil"/>
              <w:bottom w:val="single" w:sz="4" w:space="0" w:color="auto"/>
              <w:right w:val="single" w:sz="4" w:space="0" w:color="auto"/>
            </w:tcBorders>
            <w:noWrap/>
            <w:vAlign w:val="center"/>
            <w:hideMark/>
          </w:tcPr>
          <w:p w14:paraId="410A7B3A" w14:textId="77777777" w:rsidR="00CC423A" w:rsidRPr="00CC423A" w:rsidRDefault="00CC423A" w:rsidP="00CC423A">
            <w:pPr>
              <w:widowControl/>
              <w:autoSpaceDE/>
              <w:autoSpaceDN/>
              <w:jc w:val="center"/>
              <w:rPr>
                <w:rFonts w:ascii="Calibri" w:eastAsia="Times New Roman" w:hAnsi="Calibri" w:cs="Calibri"/>
                <w:b/>
                <w:bCs/>
                <w:color w:val="000000"/>
                <w:lang w:val="en-IN" w:eastAsia="zh-TW"/>
              </w:rPr>
            </w:pPr>
            <w:r w:rsidRPr="00CC423A">
              <w:rPr>
                <w:rFonts w:ascii="Calibri" w:eastAsia="Times New Roman" w:hAnsi="Calibri" w:cs="Calibri"/>
                <w:b/>
                <w:bCs/>
                <w:color w:val="000000"/>
                <w:lang w:val="en-IN" w:eastAsia="zh-TW"/>
              </w:rPr>
              <w:t>9–10</w:t>
            </w:r>
          </w:p>
        </w:tc>
        <w:tc>
          <w:tcPr>
            <w:tcW w:w="410" w:type="pct"/>
            <w:tcBorders>
              <w:top w:val="single" w:sz="4" w:space="0" w:color="auto"/>
              <w:left w:val="nil"/>
              <w:bottom w:val="single" w:sz="4" w:space="0" w:color="auto"/>
              <w:right w:val="single" w:sz="4" w:space="0" w:color="auto"/>
            </w:tcBorders>
            <w:noWrap/>
            <w:vAlign w:val="center"/>
            <w:hideMark/>
          </w:tcPr>
          <w:p w14:paraId="4A263AA9" w14:textId="77777777" w:rsidR="00CC423A" w:rsidRPr="00CC423A" w:rsidRDefault="00CC423A" w:rsidP="00CC423A">
            <w:pPr>
              <w:widowControl/>
              <w:autoSpaceDE/>
              <w:autoSpaceDN/>
              <w:jc w:val="center"/>
              <w:rPr>
                <w:rFonts w:ascii="Calibri" w:eastAsia="Times New Roman" w:hAnsi="Calibri" w:cs="Calibri"/>
                <w:b/>
                <w:bCs/>
                <w:color w:val="000000"/>
                <w:lang w:val="en-IN" w:eastAsia="zh-TW"/>
              </w:rPr>
            </w:pPr>
            <w:r w:rsidRPr="00CC423A">
              <w:rPr>
                <w:rFonts w:ascii="Calibri" w:eastAsia="Times New Roman" w:hAnsi="Calibri" w:cs="Calibri"/>
                <w:b/>
                <w:bCs/>
                <w:color w:val="000000"/>
                <w:lang w:val="en-IN" w:eastAsia="zh-TW"/>
              </w:rPr>
              <w:t>11–12</w:t>
            </w:r>
          </w:p>
        </w:tc>
        <w:tc>
          <w:tcPr>
            <w:tcW w:w="410" w:type="pct"/>
            <w:tcBorders>
              <w:top w:val="single" w:sz="4" w:space="0" w:color="auto"/>
              <w:left w:val="nil"/>
              <w:bottom w:val="single" w:sz="4" w:space="0" w:color="auto"/>
              <w:right w:val="single" w:sz="4" w:space="0" w:color="auto"/>
            </w:tcBorders>
            <w:noWrap/>
            <w:vAlign w:val="center"/>
            <w:hideMark/>
          </w:tcPr>
          <w:p w14:paraId="37A53006" w14:textId="77777777" w:rsidR="00CC423A" w:rsidRPr="00CC423A" w:rsidRDefault="00CC423A" w:rsidP="00CC423A">
            <w:pPr>
              <w:widowControl/>
              <w:autoSpaceDE/>
              <w:autoSpaceDN/>
              <w:jc w:val="center"/>
              <w:rPr>
                <w:rFonts w:ascii="Calibri" w:eastAsia="Times New Roman" w:hAnsi="Calibri" w:cs="Calibri"/>
                <w:b/>
                <w:bCs/>
                <w:color w:val="000000"/>
                <w:lang w:val="en-IN" w:eastAsia="zh-TW"/>
              </w:rPr>
            </w:pPr>
            <w:r w:rsidRPr="00CC423A">
              <w:rPr>
                <w:rFonts w:ascii="Calibri" w:eastAsia="Times New Roman" w:hAnsi="Calibri" w:cs="Calibri"/>
                <w:b/>
                <w:bCs/>
                <w:color w:val="000000"/>
                <w:lang w:val="en-IN" w:eastAsia="zh-TW"/>
              </w:rPr>
              <w:t>13–14</w:t>
            </w:r>
          </w:p>
        </w:tc>
        <w:tc>
          <w:tcPr>
            <w:tcW w:w="410" w:type="pct"/>
            <w:tcBorders>
              <w:top w:val="single" w:sz="4" w:space="0" w:color="auto"/>
              <w:left w:val="nil"/>
              <w:bottom w:val="single" w:sz="4" w:space="0" w:color="auto"/>
              <w:right w:val="single" w:sz="4" w:space="0" w:color="auto"/>
            </w:tcBorders>
            <w:noWrap/>
            <w:vAlign w:val="center"/>
            <w:hideMark/>
          </w:tcPr>
          <w:p w14:paraId="57302CB9" w14:textId="77777777" w:rsidR="00CC423A" w:rsidRPr="00CC423A" w:rsidRDefault="00CC423A" w:rsidP="00CC423A">
            <w:pPr>
              <w:widowControl/>
              <w:autoSpaceDE/>
              <w:autoSpaceDN/>
              <w:jc w:val="center"/>
              <w:rPr>
                <w:rFonts w:ascii="Calibri" w:eastAsia="Times New Roman" w:hAnsi="Calibri" w:cs="Calibri"/>
                <w:b/>
                <w:bCs/>
                <w:color w:val="000000"/>
                <w:lang w:val="en-IN" w:eastAsia="zh-TW"/>
              </w:rPr>
            </w:pPr>
            <w:r w:rsidRPr="00CC423A">
              <w:rPr>
                <w:rFonts w:ascii="Calibri" w:eastAsia="Times New Roman" w:hAnsi="Calibri" w:cs="Calibri"/>
                <w:b/>
                <w:bCs/>
                <w:color w:val="000000"/>
                <w:lang w:val="en-IN" w:eastAsia="zh-TW"/>
              </w:rPr>
              <w:t>15–16</w:t>
            </w:r>
          </w:p>
        </w:tc>
      </w:tr>
      <w:tr w:rsidR="00CC423A" w:rsidRPr="00CC423A" w14:paraId="2DC3BEEA"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56BEBE9C"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xml:space="preserve">Topic selection </w:t>
            </w:r>
          </w:p>
        </w:tc>
        <w:tc>
          <w:tcPr>
            <w:tcW w:w="410" w:type="pct"/>
            <w:tcBorders>
              <w:top w:val="nil"/>
              <w:left w:val="nil"/>
              <w:bottom w:val="single" w:sz="4" w:space="0" w:color="auto"/>
              <w:right w:val="single" w:sz="4" w:space="0" w:color="auto"/>
            </w:tcBorders>
            <w:shd w:val="clear" w:color="000000" w:fill="E2EFDA"/>
            <w:noWrap/>
            <w:vAlign w:val="center"/>
            <w:hideMark/>
          </w:tcPr>
          <w:p w14:paraId="6EA34AD9"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097B616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5D54FFA4"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20E0122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F24C791"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5108F35F"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5F6D5A5A"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01301C8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79A6AE12"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497FD640"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Aim, objectives and research questions</w:t>
            </w:r>
          </w:p>
        </w:tc>
        <w:tc>
          <w:tcPr>
            <w:tcW w:w="410" w:type="pct"/>
            <w:tcBorders>
              <w:top w:val="nil"/>
              <w:left w:val="nil"/>
              <w:bottom w:val="single" w:sz="4" w:space="0" w:color="auto"/>
              <w:right w:val="single" w:sz="4" w:space="0" w:color="auto"/>
            </w:tcBorders>
            <w:shd w:val="clear" w:color="000000" w:fill="E2EFDA"/>
            <w:noWrap/>
            <w:vAlign w:val="center"/>
            <w:hideMark/>
          </w:tcPr>
          <w:p w14:paraId="484B1FEA"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C6E0B4"/>
            <w:noWrap/>
            <w:vAlign w:val="center"/>
            <w:hideMark/>
          </w:tcPr>
          <w:p w14:paraId="0514414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75182E01"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3BA9E2EF"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7F73CD5A"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899F06E"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64A973D1"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53CCFA2F"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50E96816"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0A70CFF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Literature search (databases)</w:t>
            </w:r>
          </w:p>
        </w:tc>
        <w:tc>
          <w:tcPr>
            <w:tcW w:w="410" w:type="pct"/>
            <w:tcBorders>
              <w:top w:val="nil"/>
              <w:left w:val="nil"/>
              <w:bottom w:val="single" w:sz="4" w:space="0" w:color="auto"/>
              <w:right w:val="single" w:sz="4" w:space="0" w:color="auto"/>
            </w:tcBorders>
            <w:shd w:val="clear" w:color="000000" w:fill="E2EFDA"/>
            <w:noWrap/>
            <w:vAlign w:val="center"/>
            <w:hideMark/>
          </w:tcPr>
          <w:p w14:paraId="24E61D81"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C6E0B4"/>
            <w:noWrap/>
            <w:vAlign w:val="center"/>
            <w:hideMark/>
          </w:tcPr>
          <w:p w14:paraId="2B06A63F"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D9E1F2"/>
            <w:noWrap/>
            <w:vAlign w:val="center"/>
            <w:hideMark/>
          </w:tcPr>
          <w:p w14:paraId="3924843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8F04CAD"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5BA72DF"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CD5AFAD"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CC1517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2F5E54D6"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5D1BFC3E"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254B05BC"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Literature screening and synthesis</w:t>
            </w:r>
          </w:p>
        </w:tc>
        <w:tc>
          <w:tcPr>
            <w:tcW w:w="410" w:type="pct"/>
            <w:tcBorders>
              <w:top w:val="nil"/>
              <w:left w:val="nil"/>
              <w:bottom w:val="single" w:sz="4" w:space="0" w:color="auto"/>
              <w:right w:val="single" w:sz="4" w:space="0" w:color="auto"/>
            </w:tcBorders>
            <w:noWrap/>
            <w:vAlign w:val="center"/>
            <w:hideMark/>
          </w:tcPr>
          <w:p w14:paraId="4A27CCCC"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C6E0B4"/>
            <w:noWrap/>
            <w:vAlign w:val="center"/>
            <w:hideMark/>
          </w:tcPr>
          <w:p w14:paraId="73E87D3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D9E1F2"/>
            <w:noWrap/>
            <w:vAlign w:val="center"/>
            <w:hideMark/>
          </w:tcPr>
          <w:p w14:paraId="3919397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ACB9CA"/>
            <w:noWrap/>
            <w:vAlign w:val="center"/>
            <w:hideMark/>
          </w:tcPr>
          <w:p w14:paraId="17BD8B61"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5D98CE38"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A2C2D3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BCF358E"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77464041"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4AA51461"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15A8AF7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Methodology design</w:t>
            </w:r>
          </w:p>
        </w:tc>
        <w:tc>
          <w:tcPr>
            <w:tcW w:w="410" w:type="pct"/>
            <w:tcBorders>
              <w:top w:val="nil"/>
              <w:left w:val="nil"/>
              <w:bottom w:val="single" w:sz="4" w:space="0" w:color="auto"/>
              <w:right w:val="single" w:sz="4" w:space="0" w:color="auto"/>
            </w:tcBorders>
            <w:noWrap/>
            <w:vAlign w:val="center"/>
            <w:hideMark/>
          </w:tcPr>
          <w:p w14:paraId="03603303"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C91B83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D9E1F2"/>
            <w:noWrap/>
            <w:vAlign w:val="center"/>
            <w:hideMark/>
          </w:tcPr>
          <w:p w14:paraId="1D5492FC"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ACB9CA"/>
            <w:noWrap/>
            <w:vAlign w:val="center"/>
            <w:hideMark/>
          </w:tcPr>
          <w:p w14:paraId="50979D3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63766439"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FEFCF79"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3DF73CF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50EA615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4DA395E9"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3A0BBBE8"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Ethics approval preparation</w:t>
            </w:r>
          </w:p>
        </w:tc>
        <w:tc>
          <w:tcPr>
            <w:tcW w:w="410" w:type="pct"/>
            <w:tcBorders>
              <w:top w:val="nil"/>
              <w:left w:val="nil"/>
              <w:bottom w:val="single" w:sz="4" w:space="0" w:color="auto"/>
              <w:right w:val="single" w:sz="4" w:space="0" w:color="auto"/>
            </w:tcBorders>
            <w:noWrap/>
            <w:vAlign w:val="center"/>
            <w:hideMark/>
          </w:tcPr>
          <w:p w14:paraId="6F3497F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FB77D2E"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D9E1F2"/>
            <w:noWrap/>
            <w:vAlign w:val="center"/>
            <w:hideMark/>
          </w:tcPr>
          <w:p w14:paraId="4D4A376F"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ACB9CA"/>
            <w:noWrap/>
            <w:vAlign w:val="center"/>
            <w:hideMark/>
          </w:tcPr>
          <w:p w14:paraId="333D827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59C36466"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37EF945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7D1AAE09"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039386B6"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4A6EEF87"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17BAE26A"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Data collection</w:t>
            </w:r>
          </w:p>
        </w:tc>
        <w:tc>
          <w:tcPr>
            <w:tcW w:w="410" w:type="pct"/>
            <w:tcBorders>
              <w:top w:val="nil"/>
              <w:left w:val="nil"/>
              <w:bottom w:val="single" w:sz="4" w:space="0" w:color="auto"/>
              <w:right w:val="single" w:sz="4" w:space="0" w:color="auto"/>
            </w:tcBorders>
            <w:noWrap/>
            <w:vAlign w:val="center"/>
            <w:hideMark/>
          </w:tcPr>
          <w:p w14:paraId="778CBD0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6D3C51B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3E17BEB6"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ACB9CA"/>
            <w:noWrap/>
            <w:vAlign w:val="center"/>
            <w:hideMark/>
          </w:tcPr>
          <w:p w14:paraId="2FFC0EE1"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AEAAAA"/>
            <w:noWrap/>
            <w:vAlign w:val="center"/>
            <w:hideMark/>
          </w:tcPr>
          <w:p w14:paraId="73D3A181"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8E7D4EA"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0DFE303"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7814A0EF"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63EEA40F"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1CE7EDE1"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Data analysis</w:t>
            </w:r>
          </w:p>
        </w:tc>
        <w:tc>
          <w:tcPr>
            <w:tcW w:w="410" w:type="pct"/>
            <w:tcBorders>
              <w:top w:val="nil"/>
              <w:left w:val="nil"/>
              <w:bottom w:val="single" w:sz="4" w:space="0" w:color="auto"/>
              <w:right w:val="single" w:sz="4" w:space="0" w:color="auto"/>
            </w:tcBorders>
            <w:noWrap/>
            <w:vAlign w:val="center"/>
            <w:hideMark/>
          </w:tcPr>
          <w:p w14:paraId="089D906E"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FBA8E93"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52FC633C"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3777D9BA"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AEAAAA"/>
            <w:noWrap/>
            <w:vAlign w:val="center"/>
            <w:hideMark/>
          </w:tcPr>
          <w:p w14:paraId="0BE881C0"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F4B084"/>
            <w:noWrap/>
            <w:vAlign w:val="center"/>
            <w:hideMark/>
          </w:tcPr>
          <w:p w14:paraId="71C659A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616AFAC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6024196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30105D63"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5518BD06"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Writing- Introduction and Literature Review</w:t>
            </w:r>
          </w:p>
        </w:tc>
        <w:tc>
          <w:tcPr>
            <w:tcW w:w="410" w:type="pct"/>
            <w:tcBorders>
              <w:top w:val="nil"/>
              <w:left w:val="nil"/>
              <w:bottom w:val="single" w:sz="4" w:space="0" w:color="auto"/>
              <w:right w:val="single" w:sz="4" w:space="0" w:color="auto"/>
            </w:tcBorders>
            <w:noWrap/>
            <w:vAlign w:val="center"/>
            <w:hideMark/>
          </w:tcPr>
          <w:p w14:paraId="31186666"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01D1B0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7A238A0"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ACB9CA"/>
            <w:noWrap/>
            <w:vAlign w:val="center"/>
            <w:hideMark/>
          </w:tcPr>
          <w:p w14:paraId="3563399A"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AEAAAA"/>
            <w:noWrap/>
            <w:vAlign w:val="center"/>
            <w:hideMark/>
          </w:tcPr>
          <w:p w14:paraId="3AA59CDE"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F4B084"/>
            <w:noWrap/>
            <w:vAlign w:val="center"/>
            <w:hideMark/>
          </w:tcPr>
          <w:p w14:paraId="7E7FB4E8"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044C145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75B4B1A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18AA78E2"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7EDB7368"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Writing- Methodology and Findings</w:t>
            </w:r>
          </w:p>
        </w:tc>
        <w:tc>
          <w:tcPr>
            <w:tcW w:w="410" w:type="pct"/>
            <w:tcBorders>
              <w:top w:val="nil"/>
              <w:left w:val="nil"/>
              <w:bottom w:val="single" w:sz="4" w:space="0" w:color="auto"/>
              <w:right w:val="single" w:sz="4" w:space="0" w:color="auto"/>
            </w:tcBorders>
            <w:noWrap/>
            <w:vAlign w:val="center"/>
            <w:hideMark/>
          </w:tcPr>
          <w:p w14:paraId="43E751D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C3AB4A4"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330B8C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F2D121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AEAAAA"/>
            <w:noWrap/>
            <w:vAlign w:val="center"/>
            <w:hideMark/>
          </w:tcPr>
          <w:p w14:paraId="0F1BE2DC"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F4B084"/>
            <w:noWrap/>
            <w:vAlign w:val="center"/>
            <w:hideMark/>
          </w:tcPr>
          <w:p w14:paraId="3BDAD7F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BF8F00"/>
            <w:noWrap/>
            <w:vAlign w:val="center"/>
            <w:hideMark/>
          </w:tcPr>
          <w:p w14:paraId="559C8BA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71A66CD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2618319E"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5EEC247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Discussion and conclusion</w:t>
            </w:r>
          </w:p>
        </w:tc>
        <w:tc>
          <w:tcPr>
            <w:tcW w:w="410" w:type="pct"/>
            <w:tcBorders>
              <w:top w:val="nil"/>
              <w:left w:val="nil"/>
              <w:bottom w:val="single" w:sz="4" w:space="0" w:color="auto"/>
              <w:right w:val="single" w:sz="4" w:space="0" w:color="auto"/>
            </w:tcBorders>
            <w:noWrap/>
            <w:vAlign w:val="center"/>
            <w:hideMark/>
          </w:tcPr>
          <w:p w14:paraId="24406D3C"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56AB5583"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05FC5DB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3DA3976F"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7F55D6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F4B084"/>
            <w:noWrap/>
            <w:vAlign w:val="center"/>
            <w:hideMark/>
          </w:tcPr>
          <w:p w14:paraId="2B0C4D32"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BF8F00"/>
            <w:noWrap/>
            <w:vAlign w:val="center"/>
            <w:hideMark/>
          </w:tcPr>
          <w:p w14:paraId="11FA53C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B6CC040"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22D888AF"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09343020"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Proofreading and formatting</w:t>
            </w:r>
          </w:p>
        </w:tc>
        <w:tc>
          <w:tcPr>
            <w:tcW w:w="410" w:type="pct"/>
            <w:tcBorders>
              <w:top w:val="nil"/>
              <w:left w:val="nil"/>
              <w:bottom w:val="single" w:sz="4" w:space="0" w:color="auto"/>
              <w:right w:val="single" w:sz="4" w:space="0" w:color="auto"/>
            </w:tcBorders>
            <w:noWrap/>
            <w:vAlign w:val="center"/>
            <w:hideMark/>
          </w:tcPr>
          <w:p w14:paraId="3226F82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C0B5A79"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7A9A870E"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153C1FA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3E96C4A6"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3902E7A0"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BF8F00"/>
            <w:noWrap/>
            <w:vAlign w:val="center"/>
            <w:hideMark/>
          </w:tcPr>
          <w:p w14:paraId="3F7CBE5D"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2F9FDC70"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r w:rsidR="00CC423A" w:rsidRPr="00CC423A" w14:paraId="2EE5ABA0" w14:textId="77777777" w:rsidTr="00CC423A">
        <w:trPr>
          <w:trHeight w:val="290"/>
        </w:trPr>
        <w:tc>
          <w:tcPr>
            <w:tcW w:w="1718" w:type="pct"/>
            <w:tcBorders>
              <w:top w:val="nil"/>
              <w:left w:val="single" w:sz="4" w:space="0" w:color="auto"/>
              <w:bottom w:val="single" w:sz="4" w:space="0" w:color="auto"/>
              <w:right w:val="single" w:sz="4" w:space="0" w:color="auto"/>
            </w:tcBorders>
            <w:noWrap/>
            <w:vAlign w:val="center"/>
            <w:hideMark/>
          </w:tcPr>
          <w:p w14:paraId="68006CCD"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Final revisions and submission</w:t>
            </w:r>
          </w:p>
        </w:tc>
        <w:tc>
          <w:tcPr>
            <w:tcW w:w="410" w:type="pct"/>
            <w:tcBorders>
              <w:top w:val="nil"/>
              <w:left w:val="nil"/>
              <w:bottom w:val="single" w:sz="4" w:space="0" w:color="auto"/>
              <w:right w:val="single" w:sz="4" w:space="0" w:color="auto"/>
            </w:tcBorders>
            <w:noWrap/>
            <w:vAlign w:val="center"/>
            <w:hideMark/>
          </w:tcPr>
          <w:p w14:paraId="735ADC65"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7FC60C6B"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6BD75D47"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40226919"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0326CB1D"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024AC1A6"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noWrap/>
            <w:vAlign w:val="center"/>
            <w:hideMark/>
          </w:tcPr>
          <w:p w14:paraId="08F3B3EF"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c>
          <w:tcPr>
            <w:tcW w:w="410" w:type="pct"/>
            <w:tcBorders>
              <w:top w:val="nil"/>
              <w:left w:val="nil"/>
              <w:bottom w:val="single" w:sz="4" w:space="0" w:color="auto"/>
              <w:right w:val="single" w:sz="4" w:space="0" w:color="auto"/>
            </w:tcBorders>
            <w:shd w:val="clear" w:color="000000" w:fill="806000"/>
            <w:noWrap/>
            <w:vAlign w:val="center"/>
            <w:hideMark/>
          </w:tcPr>
          <w:p w14:paraId="084A8BE6" w14:textId="77777777" w:rsidR="00CC423A" w:rsidRPr="00CC423A" w:rsidRDefault="00CC423A" w:rsidP="00CC423A">
            <w:pPr>
              <w:widowControl/>
              <w:autoSpaceDE/>
              <w:autoSpaceDN/>
              <w:rPr>
                <w:rFonts w:ascii="Calibri" w:eastAsia="Times New Roman" w:hAnsi="Calibri" w:cs="Calibri"/>
                <w:color w:val="000000"/>
                <w:lang w:val="en-IN" w:eastAsia="zh-TW"/>
              </w:rPr>
            </w:pPr>
            <w:r w:rsidRPr="00CC423A">
              <w:rPr>
                <w:rFonts w:ascii="Calibri" w:eastAsia="Times New Roman" w:hAnsi="Calibri" w:cs="Calibri"/>
                <w:color w:val="000000"/>
                <w:lang w:val="en-IN" w:eastAsia="zh-TW"/>
              </w:rPr>
              <w:t> </w:t>
            </w:r>
          </w:p>
        </w:tc>
      </w:tr>
    </w:tbl>
    <w:p w14:paraId="0A9B03BE" w14:textId="77777777" w:rsidR="002E141B" w:rsidRPr="002F5352" w:rsidRDefault="002E141B" w:rsidP="00D8357D">
      <w:pPr>
        <w:pStyle w:val="Heading1"/>
        <w:ind w:left="0"/>
        <w:rPr>
          <w:color w:val="auto"/>
          <w:sz w:val="22"/>
          <w:szCs w:val="22"/>
        </w:rPr>
      </w:pPr>
    </w:p>
    <w:p w14:paraId="05E149AB" w14:textId="77777777" w:rsidR="005A07A1" w:rsidRPr="002F5352" w:rsidRDefault="005A07A1" w:rsidP="005A07A1">
      <w:pPr>
        <w:spacing w:line="360" w:lineRule="auto"/>
        <w:jc w:val="center"/>
        <w:rPr>
          <w:rFonts w:ascii="Arial" w:hAnsi="Arial" w:cs="Arial"/>
          <w:b/>
          <w:bCs/>
        </w:rPr>
      </w:pPr>
      <w:r w:rsidRPr="002F5352">
        <w:rPr>
          <w:rFonts w:ascii="Arial" w:hAnsi="Arial" w:cs="Arial"/>
          <w:b/>
          <w:bCs/>
        </w:rPr>
        <w:t>Table 1: Time Schedule (Gantt Chart)</w:t>
      </w:r>
    </w:p>
    <w:p w14:paraId="2ED3E436" w14:textId="77777777" w:rsidR="005A07A1" w:rsidRPr="002F5352" w:rsidRDefault="005A07A1" w:rsidP="005A07A1">
      <w:pPr>
        <w:spacing w:line="360" w:lineRule="auto"/>
        <w:jc w:val="center"/>
        <w:rPr>
          <w:rFonts w:ascii="Arial" w:hAnsi="Arial" w:cs="Arial"/>
        </w:rPr>
      </w:pPr>
      <w:r w:rsidRPr="002F5352">
        <w:rPr>
          <w:rFonts w:ascii="Arial" w:hAnsi="Arial" w:cs="Arial"/>
        </w:rPr>
        <w:t>Source: (Created by Author)</w:t>
      </w:r>
    </w:p>
    <w:p w14:paraId="11E6C336" w14:textId="28086695" w:rsidR="005A07A1" w:rsidRPr="002F5352" w:rsidRDefault="005A07A1" w:rsidP="005A07A1">
      <w:pPr>
        <w:spacing w:line="360" w:lineRule="auto"/>
        <w:jc w:val="both"/>
        <w:rPr>
          <w:rFonts w:ascii="Arial" w:hAnsi="Arial" w:cs="Arial"/>
        </w:rPr>
      </w:pPr>
      <w:r w:rsidRPr="002F5352">
        <w:rPr>
          <w:rFonts w:ascii="Arial" w:hAnsi="Arial" w:cs="Arial"/>
        </w:rPr>
        <w:t>This table provides a 1</w:t>
      </w:r>
      <w:r w:rsidR="006108A9">
        <w:rPr>
          <w:rFonts w:ascii="Arial" w:hAnsi="Arial" w:cs="Arial"/>
        </w:rPr>
        <w:t>6</w:t>
      </w:r>
      <w:r w:rsidRPr="002F5352">
        <w:rPr>
          <w:rFonts w:ascii="Arial" w:hAnsi="Arial" w:cs="Arial"/>
        </w:rPr>
        <w:t>-week plan of the systematic review, which starts with preliminary searches and concludes with final submission, which corresponds with module deadlines (Week 1</w:t>
      </w:r>
      <w:r w:rsidR="00F11A47">
        <w:rPr>
          <w:rFonts w:ascii="Arial" w:hAnsi="Arial" w:cs="Arial"/>
        </w:rPr>
        <w:t>4</w:t>
      </w:r>
      <w:r w:rsidRPr="002F5352">
        <w:rPr>
          <w:rFonts w:ascii="Arial" w:hAnsi="Arial" w:cs="Arial"/>
        </w:rPr>
        <w:t>: Turnitin; Week 1</w:t>
      </w:r>
      <w:r w:rsidR="00F11A47">
        <w:rPr>
          <w:rFonts w:ascii="Arial" w:hAnsi="Arial" w:cs="Arial"/>
        </w:rPr>
        <w:t>6</w:t>
      </w:r>
      <w:r w:rsidRPr="002F5352">
        <w:rPr>
          <w:rFonts w:ascii="Arial" w:hAnsi="Arial" w:cs="Arial"/>
        </w:rPr>
        <w:t>: PG2 ethics). It will guarantee systematic development leading to Term 3 dissertation.</w:t>
      </w:r>
      <w:r w:rsidRPr="002F5352">
        <w:rPr>
          <w:rFonts w:ascii="Arial" w:hAnsi="Arial" w:cs="Arial"/>
        </w:rPr>
        <w:br w:type="page"/>
      </w:r>
    </w:p>
    <w:p w14:paraId="5CDBAF0E" w14:textId="77777777" w:rsidR="005A07A1" w:rsidRPr="002F5352" w:rsidRDefault="005A07A1" w:rsidP="00D8357D">
      <w:pPr>
        <w:pStyle w:val="Heading1"/>
        <w:ind w:left="0"/>
        <w:rPr>
          <w:b w:val="0"/>
          <w:bCs w:val="0"/>
          <w:sz w:val="22"/>
          <w:szCs w:val="22"/>
        </w:rPr>
      </w:pPr>
      <w:bookmarkStart w:id="14" w:name="_t9wv5zwxe6aw" w:colFirst="0" w:colLast="0"/>
      <w:bookmarkStart w:id="15" w:name="_Toc215780275"/>
      <w:bookmarkEnd w:id="14"/>
      <w:r w:rsidRPr="002F5352">
        <w:rPr>
          <w:sz w:val="22"/>
          <w:szCs w:val="22"/>
        </w:rPr>
        <w:lastRenderedPageBreak/>
        <w:t>Reference List</w:t>
      </w:r>
      <w:bookmarkEnd w:id="15"/>
    </w:p>
    <w:p w14:paraId="0A465C5E"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Adebisi, Y.A., Lungu, S., Curado, A., Oke, G. and Yach, D. (2025). Understanding research gaps and priorities for tobacco harm reduction in low-income and middle-income countries. </w:t>
      </w:r>
      <w:r w:rsidRPr="002F5352">
        <w:rPr>
          <w:rFonts w:ascii="Arial" w:hAnsi="Arial" w:cs="Arial"/>
          <w:i/>
          <w:iCs/>
          <w:color w:val="000000" w:themeColor="text1"/>
        </w:rPr>
        <w:t>Ethics, Medicine and Public Health</w:t>
      </w:r>
      <w:r w:rsidRPr="002F5352">
        <w:rPr>
          <w:rFonts w:ascii="Arial" w:hAnsi="Arial" w:cs="Arial"/>
          <w:color w:val="000000" w:themeColor="text1"/>
        </w:rPr>
        <w:t>, [online] 33, p.101117. doi:</w:t>
      </w:r>
      <w:hyperlink r:id="rId9">
        <w:r w:rsidRPr="002F5352">
          <w:rPr>
            <w:rFonts w:ascii="Arial" w:hAnsi="Arial" w:cs="Arial"/>
            <w:color w:val="000000" w:themeColor="text1"/>
            <w:u w:val="single"/>
          </w:rPr>
          <w:t>https://doi.org/10.1016/j.jemep.2025.101117</w:t>
        </w:r>
      </w:hyperlink>
      <w:r w:rsidRPr="002F5352">
        <w:rPr>
          <w:rFonts w:ascii="Arial" w:hAnsi="Arial" w:cs="Arial"/>
          <w:color w:val="000000" w:themeColor="text1"/>
        </w:rPr>
        <w:t>.</w:t>
      </w:r>
    </w:p>
    <w:p w14:paraId="48524788"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Adekola, A.D., Alli, O.I., Mbata, A.O. and Ogbeta, C.P., 2023. Integrating multisectoral strategies for tobacco control: Evidence-based approaches and public health outcomes. </w:t>
      </w:r>
      <w:r w:rsidRPr="002F5352">
        <w:rPr>
          <w:rFonts w:ascii="Arial" w:hAnsi="Arial" w:cs="Arial"/>
          <w:i/>
          <w:iCs/>
          <w:color w:val="000000" w:themeColor="text1"/>
        </w:rPr>
        <w:t>International Journal of Medical and All Body Health Research</w:t>
      </w:r>
      <w:r w:rsidRPr="002F5352">
        <w:rPr>
          <w:rFonts w:ascii="Arial" w:hAnsi="Arial" w:cs="Arial"/>
          <w:color w:val="000000" w:themeColor="text1"/>
        </w:rPr>
        <w:t>, </w:t>
      </w:r>
      <w:r w:rsidRPr="002F5352">
        <w:rPr>
          <w:rFonts w:ascii="Arial" w:hAnsi="Arial" w:cs="Arial"/>
          <w:i/>
          <w:iCs/>
          <w:color w:val="000000" w:themeColor="text1"/>
        </w:rPr>
        <w:t>4</w:t>
      </w:r>
      <w:r w:rsidRPr="002F5352">
        <w:rPr>
          <w:rFonts w:ascii="Arial" w:hAnsi="Arial" w:cs="Arial"/>
          <w:color w:val="000000" w:themeColor="text1"/>
        </w:rPr>
        <w:t xml:space="preserve">(1), pp.60-69. Available at: </w:t>
      </w:r>
      <w:hyperlink r:id="rId10" w:history="1">
        <w:r w:rsidRPr="002F5352">
          <w:rPr>
            <w:rStyle w:val="Hyperlink"/>
            <w:rFonts w:ascii="Arial" w:hAnsi="Arial" w:cs="Arial"/>
            <w:color w:val="000000" w:themeColor="text1"/>
          </w:rPr>
          <w:t>https://www.researchgate.net/profile/Anfo-Pub-2/publication/389390200_Integrating_Multisectoral_Strategies_for_Tobacco_Control_Evidence-Based_Approaches_and_Public_Health_Outcomes/links/67c0691d96e7fb48b9d201ca/Integrating-Multisectoral-Strategies-for-Tobacco-Control-Evidence-Based-Approaches-and-Public-Health-Outcomes.pdf</w:t>
        </w:r>
      </w:hyperlink>
    </w:p>
    <w:p w14:paraId="178F0DE4"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Alli, O.I. and Dada, S.A., 2024. Global advances in tobacco control policies: A review of evidence, implementation models, and public health outcomes. </w:t>
      </w:r>
      <w:r w:rsidRPr="002F5352">
        <w:rPr>
          <w:rFonts w:ascii="Arial" w:hAnsi="Arial" w:cs="Arial"/>
          <w:i/>
          <w:iCs/>
          <w:color w:val="000000" w:themeColor="text1"/>
        </w:rPr>
        <w:t>International Journal of Multidisciplinary Research and Growth Evaluation</w:t>
      </w:r>
      <w:r w:rsidRPr="002F5352">
        <w:rPr>
          <w:rFonts w:ascii="Arial" w:hAnsi="Arial" w:cs="Arial"/>
          <w:color w:val="000000" w:themeColor="text1"/>
        </w:rPr>
        <w:t>, </w:t>
      </w:r>
      <w:r w:rsidRPr="002F5352">
        <w:rPr>
          <w:rFonts w:ascii="Arial" w:hAnsi="Arial" w:cs="Arial"/>
          <w:i/>
          <w:iCs/>
          <w:color w:val="000000" w:themeColor="text1"/>
        </w:rPr>
        <w:t>5</w:t>
      </w:r>
      <w:r w:rsidRPr="002F5352">
        <w:rPr>
          <w:rFonts w:ascii="Arial" w:hAnsi="Arial" w:cs="Arial"/>
          <w:color w:val="000000" w:themeColor="text1"/>
        </w:rPr>
        <w:t xml:space="preserve">(6), pp.1456-1461. Available at: </w:t>
      </w:r>
      <w:hyperlink r:id="rId11" w:history="1">
        <w:r w:rsidRPr="002F5352">
          <w:rPr>
            <w:rStyle w:val="Hyperlink"/>
            <w:rFonts w:ascii="Arial" w:hAnsi="Arial" w:cs="Arial"/>
            <w:color w:val="000000" w:themeColor="text1"/>
          </w:rPr>
          <w:t>https://www.researchgate.net/profile/Anfo-Pub-2/publication/388108061_Global_advances_in_tobacco_control_policies_A_review_of_evidence_implementation_models_and_public_health_outcomes/links/678a4a8fec3ae3435a6856eb/Global-advances-in-tobacco-control-policies-A-review-of-evidence-implementation-models-and-public-health-outcomes.pdf</w:t>
        </w:r>
      </w:hyperlink>
    </w:p>
    <w:p w14:paraId="6614A35E"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ash.org.uk (2025). </w:t>
      </w:r>
      <w:r w:rsidRPr="002F5352">
        <w:rPr>
          <w:rFonts w:ascii="Arial" w:hAnsi="Arial" w:cs="Arial"/>
          <w:i/>
          <w:iCs/>
          <w:color w:val="000000" w:themeColor="text1"/>
        </w:rPr>
        <w:t>Young People and Smoking</w:t>
      </w:r>
      <w:r w:rsidRPr="002F5352">
        <w:rPr>
          <w:rFonts w:ascii="Arial" w:hAnsi="Arial" w:cs="Arial"/>
          <w:color w:val="000000" w:themeColor="text1"/>
        </w:rPr>
        <w:t xml:space="preserve">. [online] Available at: </w:t>
      </w:r>
      <w:hyperlink r:id="rId12">
        <w:r w:rsidRPr="002F5352">
          <w:rPr>
            <w:rFonts w:ascii="Arial" w:hAnsi="Arial" w:cs="Arial"/>
            <w:color w:val="000000" w:themeColor="text1"/>
            <w:u w:val="single"/>
          </w:rPr>
          <w:t>https://ash.org.uk/uploads/Youth-Smoking-Fact-Sheet.pdf?v=1741882326</w:t>
        </w:r>
      </w:hyperlink>
      <w:r w:rsidRPr="002F5352">
        <w:rPr>
          <w:rFonts w:ascii="Arial" w:hAnsi="Arial" w:cs="Arial"/>
          <w:color w:val="000000" w:themeColor="text1"/>
        </w:rPr>
        <w:t xml:space="preserve"> [Accessed 3 Dec. 2025].</w:t>
      </w:r>
    </w:p>
    <w:p w14:paraId="40CC2830"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Botan, C.H. (2021). </w:t>
      </w:r>
      <w:r w:rsidRPr="002F5352">
        <w:rPr>
          <w:rFonts w:ascii="Arial" w:hAnsi="Arial" w:cs="Arial"/>
          <w:i/>
          <w:iCs/>
          <w:color w:val="000000" w:themeColor="text1"/>
        </w:rPr>
        <w:t>The Handbook of Strategic Communication</w:t>
      </w:r>
      <w:r w:rsidRPr="002F5352">
        <w:rPr>
          <w:rFonts w:ascii="Arial" w:hAnsi="Arial" w:cs="Arial"/>
          <w:color w:val="000000" w:themeColor="text1"/>
        </w:rPr>
        <w:t>. [online] Wiley. doi:</w:t>
      </w:r>
      <w:hyperlink r:id="rId13">
        <w:r w:rsidRPr="002F5352">
          <w:rPr>
            <w:rFonts w:ascii="Arial" w:hAnsi="Arial" w:cs="Arial"/>
            <w:color w:val="000000" w:themeColor="text1"/>
            <w:u w:val="single"/>
          </w:rPr>
          <w:t>https://doi.org/10.1002/9781118857205</w:t>
        </w:r>
      </w:hyperlink>
      <w:r w:rsidRPr="002F5352">
        <w:rPr>
          <w:rFonts w:ascii="Arial" w:hAnsi="Arial" w:cs="Arial"/>
          <w:color w:val="000000" w:themeColor="text1"/>
        </w:rPr>
        <w:t>.</w:t>
      </w:r>
    </w:p>
    <w:p w14:paraId="732E8783"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Brauer, M., Dumesnil, A. and Campbell, M.R. (2021). Using a social marketing approach to develop a pro-diversity intervention. </w:t>
      </w:r>
      <w:r w:rsidRPr="002F5352">
        <w:rPr>
          <w:rFonts w:ascii="Arial" w:hAnsi="Arial" w:cs="Arial"/>
          <w:i/>
          <w:iCs/>
          <w:color w:val="000000" w:themeColor="text1"/>
        </w:rPr>
        <w:t>Journal of Social Marketing</w:t>
      </w:r>
      <w:r w:rsidRPr="002F5352">
        <w:rPr>
          <w:rFonts w:ascii="Arial" w:hAnsi="Arial" w:cs="Arial"/>
          <w:color w:val="000000" w:themeColor="text1"/>
        </w:rPr>
        <w:t>, [online] 11(4), pp.469–488. doi:</w:t>
      </w:r>
      <w:hyperlink r:id="rId14">
        <w:r w:rsidRPr="002F5352">
          <w:rPr>
            <w:rFonts w:ascii="Arial" w:hAnsi="Arial" w:cs="Arial"/>
            <w:color w:val="000000" w:themeColor="text1"/>
            <w:u w:val="single"/>
          </w:rPr>
          <w:t>https://doi.org/10.1108/jsocm-09-2020-0174</w:t>
        </w:r>
      </w:hyperlink>
      <w:r w:rsidRPr="002F5352">
        <w:rPr>
          <w:rFonts w:ascii="Arial" w:hAnsi="Arial" w:cs="Arial"/>
          <w:color w:val="000000" w:themeColor="text1"/>
        </w:rPr>
        <w:t>.</w:t>
      </w:r>
    </w:p>
    <w:p w14:paraId="5B1190C5"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lastRenderedPageBreak/>
        <w:t xml:space="preserve">Brown, J., Kotz, D., Michie, S., Stapleton, J., Walmsley, M. and West, R. (2014). How Effective and cost-effective Was the National Mass Media Smoking Cessation Campaign ‘Stoptober’?. </w:t>
      </w:r>
      <w:r w:rsidRPr="002F5352">
        <w:rPr>
          <w:rFonts w:ascii="Arial" w:hAnsi="Arial" w:cs="Arial"/>
          <w:i/>
          <w:iCs/>
          <w:color w:val="000000" w:themeColor="text1"/>
        </w:rPr>
        <w:t>Drug and Alcohol Dependence</w:t>
      </w:r>
      <w:r w:rsidRPr="002F5352">
        <w:rPr>
          <w:rFonts w:ascii="Arial" w:hAnsi="Arial" w:cs="Arial"/>
          <w:color w:val="000000" w:themeColor="text1"/>
        </w:rPr>
        <w:t>, [online] 135(100), pp.52–58. doi:</w:t>
      </w:r>
      <w:hyperlink r:id="rId15">
        <w:r w:rsidRPr="002F5352">
          <w:rPr>
            <w:rFonts w:ascii="Arial" w:hAnsi="Arial" w:cs="Arial"/>
            <w:color w:val="000000" w:themeColor="text1"/>
            <w:u w:val="single"/>
          </w:rPr>
          <w:t>https://doi.org/10.1016/j.drugalcdep.2013.11.003</w:t>
        </w:r>
      </w:hyperlink>
      <w:r w:rsidRPr="002F5352">
        <w:rPr>
          <w:rFonts w:ascii="Arial" w:hAnsi="Arial" w:cs="Arial"/>
          <w:color w:val="000000" w:themeColor="text1"/>
        </w:rPr>
        <w:t>.</w:t>
      </w:r>
    </w:p>
    <w:p w14:paraId="4BEBA9DC"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Crankshaw, E., Gaber, J., Guillory, J., Curry, L., Farrelly, M., Saunders, M., Hoffman, L., Ganz, O., Delahanty, J., Mekos, D. and Alexander, T., 2022. Final evaluation findings for this free life, a 3-year, multi-market tobacco public education campaign for gender and sexual minority young adults in the United States. </w:t>
      </w:r>
      <w:r w:rsidRPr="002F5352">
        <w:rPr>
          <w:rFonts w:ascii="Arial" w:hAnsi="Arial" w:cs="Arial"/>
          <w:i/>
          <w:iCs/>
          <w:color w:val="000000" w:themeColor="text1"/>
        </w:rPr>
        <w:t>Nicotine and Tobacco Research</w:t>
      </w:r>
      <w:r w:rsidRPr="002F5352">
        <w:rPr>
          <w:rFonts w:ascii="Arial" w:hAnsi="Arial" w:cs="Arial"/>
          <w:color w:val="000000" w:themeColor="text1"/>
        </w:rPr>
        <w:t>, </w:t>
      </w:r>
      <w:r w:rsidRPr="002F5352">
        <w:rPr>
          <w:rFonts w:ascii="Arial" w:hAnsi="Arial" w:cs="Arial"/>
          <w:i/>
          <w:iCs/>
          <w:color w:val="000000" w:themeColor="text1"/>
        </w:rPr>
        <w:t>24</w:t>
      </w:r>
      <w:r w:rsidRPr="002F5352">
        <w:rPr>
          <w:rFonts w:ascii="Arial" w:hAnsi="Arial" w:cs="Arial"/>
          <w:color w:val="000000" w:themeColor="text1"/>
        </w:rPr>
        <w:t xml:space="preserve">(1), pp.109-117. Available at: </w:t>
      </w:r>
      <w:hyperlink r:id="rId16" w:history="1">
        <w:r w:rsidRPr="002F5352">
          <w:rPr>
            <w:rStyle w:val="Hyperlink"/>
            <w:rFonts w:ascii="Arial" w:hAnsi="Arial" w:cs="Arial"/>
            <w:color w:val="000000" w:themeColor="text1"/>
          </w:rPr>
          <w:t>https://academic.oup.com/ntr/article-pdf/24/1/109/41727307/ntab146.pdf</w:t>
        </w:r>
      </w:hyperlink>
    </w:p>
    <w:p w14:paraId="2AE04406"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Durkin, S.J., Brennan, E. and Wakefield, M.A. (2022). Optimising tobacco control campaigns within a changing media landscape and among priority populations. </w:t>
      </w:r>
      <w:r w:rsidRPr="002F5352">
        <w:rPr>
          <w:rFonts w:ascii="Arial" w:hAnsi="Arial" w:cs="Arial"/>
          <w:i/>
          <w:iCs/>
          <w:color w:val="000000" w:themeColor="text1"/>
        </w:rPr>
        <w:t>Tobacco Control</w:t>
      </w:r>
      <w:r w:rsidRPr="002F5352">
        <w:rPr>
          <w:rFonts w:ascii="Arial" w:hAnsi="Arial" w:cs="Arial"/>
          <w:color w:val="000000" w:themeColor="text1"/>
        </w:rPr>
        <w:t>, [online] 31(2), pp.284–290. doi:</w:t>
      </w:r>
      <w:hyperlink r:id="rId17">
        <w:r w:rsidRPr="002F5352">
          <w:rPr>
            <w:rFonts w:ascii="Arial" w:hAnsi="Arial" w:cs="Arial"/>
            <w:color w:val="000000" w:themeColor="text1"/>
            <w:u w:val="single"/>
          </w:rPr>
          <w:t>https://doi.org/10.1136/tobaccocontrol-2021-056558</w:t>
        </w:r>
      </w:hyperlink>
      <w:r w:rsidRPr="002F5352">
        <w:rPr>
          <w:rFonts w:ascii="Arial" w:hAnsi="Arial" w:cs="Arial"/>
          <w:color w:val="000000" w:themeColor="text1"/>
        </w:rPr>
        <w:t>.</w:t>
      </w:r>
    </w:p>
    <w:p w14:paraId="789E719E"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Erhabor, J., Boakye, E., Osuji, N., Obisesan, O., Osei, A.D., Mirbolouk, H., Stokes, A.C., Dzaye, O., El-Shahawy, O., Rodriguez, C.J. and Hirsch, G.A., 2023. Psychosocial stressors and current e-cigarette use in the youth risk behavior survey. </w:t>
      </w:r>
      <w:r w:rsidRPr="002F5352">
        <w:rPr>
          <w:rFonts w:ascii="Arial" w:hAnsi="Arial" w:cs="Arial"/>
          <w:i/>
          <w:iCs/>
          <w:color w:val="000000" w:themeColor="text1"/>
        </w:rPr>
        <w:t>BMC public health</w:t>
      </w:r>
      <w:r w:rsidRPr="002F5352">
        <w:rPr>
          <w:rFonts w:ascii="Arial" w:hAnsi="Arial" w:cs="Arial"/>
          <w:color w:val="000000" w:themeColor="text1"/>
        </w:rPr>
        <w:t>, </w:t>
      </w:r>
      <w:r w:rsidRPr="002F5352">
        <w:rPr>
          <w:rFonts w:ascii="Arial" w:hAnsi="Arial" w:cs="Arial"/>
          <w:i/>
          <w:iCs/>
          <w:color w:val="000000" w:themeColor="text1"/>
        </w:rPr>
        <w:t>23</w:t>
      </w:r>
      <w:r w:rsidRPr="002F5352">
        <w:rPr>
          <w:rFonts w:ascii="Arial" w:hAnsi="Arial" w:cs="Arial"/>
          <w:color w:val="000000" w:themeColor="text1"/>
        </w:rPr>
        <w:t xml:space="preserve">(1), p.1080. Available at: </w:t>
      </w:r>
      <w:hyperlink r:id="rId18" w:history="1">
        <w:r w:rsidRPr="002F5352">
          <w:rPr>
            <w:rStyle w:val="Hyperlink"/>
            <w:rFonts w:ascii="Arial" w:hAnsi="Arial" w:cs="Arial"/>
            <w:color w:val="000000" w:themeColor="text1"/>
          </w:rPr>
          <w:t>https://link.springer.com/content/pdf/10.1186/s12889-023-16031-w.pdf</w:t>
        </w:r>
      </w:hyperlink>
    </w:p>
    <w:p w14:paraId="7179B9A0"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Fattahi, E. (2023). Smokeless Tobacco Use and Health Inequity: Unraveling the Mechanisms. </w:t>
      </w:r>
      <w:r w:rsidRPr="002F5352">
        <w:rPr>
          <w:rFonts w:ascii="Arial" w:hAnsi="Arial" w:cs="Arial"/>
          <w:i/>
          <w:iCs/>
          <w:color w:val="000000" w:themeColor="text1"/>
        </w:rPr>
        <w:t>IntechOpen eBooks</w:t>
      </w:r>
      <w:r w:rsidRPr="002F5352">
        <w:rPr>
          <w:rFonts w:ascii="Arial" w:hAnsi="Arial" w:cs="Arial"/>
          <w:color w:val="000000" w:themeColor="text1"/>
        </w:rPr>
        <w:t>. [online] doi:</w:t>
      </w:r>
      <w:hyperlink r:id="rId19">
        <w:r w:rsidRPr="002F5352">
          <w:rPr>
            <w:rFonts w:ascii="Arial" w:hAnsi="Arial" w:cs="Arial"/>
            <w:color w:val="000000" w:themeColor="text1"/>
            <w:u w:val="single"/>
          </w:rPr>
          <w:t>https://doi.org/10.5772/intechopen.1003083</w:t>
        </w:r>
      </w:hyperlink>
      <w:r w:rsidRPr="002F5352">
        <w:rPr>
          <w:rFonts w:ascii="Arial" w:hAnsi="Arial" w:cs="Arial"/>
          <w:color w:val="000000" w:themeColor="text1"/>
        </w:rPr>
        <w:t>.</w:t>
      </w:r>
    </w:p>
    <w:p w14:paraId="65D31972"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Gajendra, S., McIntosh, S. and Ghosh, S. (2023). Effects of tobacco product use on oral health and the role of oral healthcare providers in cessation: A narrative review. </w:t>
      </w:r>
      <w:r w:rsidRPr="002F5352">
        <w:rPr>
          <w:rFonts w:ascii="Arial" w:hAnsi="Arial" w:cs="Arial"/>
          <w:i/>
          <w:iCs/>
          <w:color w:val="000000" w:themeColor="text1"/>
        </w:rPr>
        <w:t>Tobacco Induced Diseases</w:t>
      </w:r>
      <w:r w:rsidRPr="002F5352">
        <w:rPr>
          <w:rFonts w:ascii="Arial" w:hAnsi="Arial" w:cs="Arial"/>
          <w:color w:val="000000" w:themeColor="text1"/>
        </w:rPr>
        <w:t>, [online] 21(January), pp.1–16. doi:</w:t>
      </w:r>
      <w:hyperlink r:id="rId20">
        <w:r w:rsidRPr="002F5352">
          <w:rPr>
            <w:rFonts w:ascii="Arial" w:hAnsi="Arial" w:cs="Arial"/>
            <w:color w:val="000000" w:themeColor="text1"/>
            <w:u w:val="single"/>
          </w:rPr>
          <w:t>https://doi.org/10.18332/tid/157203</w:t>
        </w:r>
      </w:hyperlink>
      <w:r w:rsidRPr="002F5352">
        <w:rPr>
          <w:rFonts w:ascii="Arial" w:hAnsi="Arial" w:cs="Arial"/>
          <w:color w:val="000000" w:themeColor="text1"/>
        </w:rPr>
        <w:t>.</w:t>
      </w:r>
    </w:p>
    <w:p w14:paraId="6E842106"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GOV.UK (2022). </w:t>
      </w:r>
      <w:r w:rsidRPr="002F5352">
        <w:rPr>
          <w:rFonts w:ascii="Arial" w:hAnsi="Arial" w:cs="Arial"/>
          <w:i/>
          <w:iCs/>
          <w:color w:val="000000" w:themeColor="text1"/>
        </w:rPr>
        <w:t>Nicotine vaping in England: 2022 evidence update summary</w:t>
      </w:r>
      <w:r w:rsidRPr="002F5352">
        <w:rPr>
          <w:rFonts w:ascii="Arial" w:hAnsi="Arial" w:cs="Arial"/>
          <w:color w:val="000000" w:themeColor="text1"/>
        </w:rPr>
        <w:t xml:space="preserve">. [online] GOV.UK. Available at: </w:t>
      </w:r>
      <w:hyperlink r:id="rId21">
        <w:r w:rsidRPr="002F5352">
          <w:rPr>
            <w:rFonts w:ascii="Arial" w:hAnsi="Arial" w:cs="Arial"/>
            <w:color w:val="000000" w:themeColor="text1"/>
            <w:u w:val="single"/>
          </w:rPr>
          <w:t>https://www.gov.uk/government/publications/nicotine-vaping-in-england-2022-evidence-update/nicotine-vaping-in-england-2022-evidence-update-summary</w:t>
        </w:r>
      </w:hyperlink>
      <w:r w:rsidRPr="002F5352">
        <w:rPr>
          <w:rFonts w:ascii="Arial" w:hAnsi="Arial" w:cs="Arial"/>
          <w:color w:val="000000" w:themeColor="text1"/>
        </w:rPr>
        <w:t xml:space="preserve"> [Accessed 3 Dec. 2025].</w:t>
      </w:r>
    </w:p>
    <w:p w14:paraId="5DF3D19F"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Hasan, N., Rana, R.U., Chowdhury, S., Dola, A.J. and Rony, M.K.K. (2021). </w:t>
      </w:r>
      <w:r w:rsidRPr="002F5352">
        <w:rPr>
          <w:rFonts w:ascii="Arial" w:hAnsi="Arial" w:cs="Arial"/>
          <w:i/>
          <w:iCs/>
          <w:color w:val="000000" w:themeColor="text1"/>
        </w:rPr>
        <w:t>Ethical Considerations In Research</w:t>
      </w:r>
      <w:r w:rsidRPr="002F5352">
        <w:rPr>
          <w:rFonts w:ascii="Arial" w:hAnsi="Arial" w:cs="Arial"/>
          <w:color w:val="000000" w:themeColor="text1"/>
        </w:rPr>
        <w:t xml:space="preserve">. [online] journal.hmjournals.com. Available at: </w:t>
      </w:r>
      <w:hyperlink r:id="rId22">
        <w:r w:rsidRPr="002F5352">
          <w:rPr>
            <w:rFonts w:ascii="Arial" w:hAnsi="Arial" w:cs="Arial"/>
            <w:color w:val="000000" w:themeColor="text1"/>
            <w:u w:val="single"/>
          </w:rPr>
          <w:t>http://journal.hmjournals.com/index.php/JNRPSP</w:t>
        </w:r>
      </w:hyperlink>
      <w:r w:rsidRPr="002F5352">
        <w:rPr>
          <w:rFonts w:ascii="Arial" w:hAnsi="Arial" w:cs="Arial"/>
          <w:color w:val="000000" w:themeColor="text1"/>
        </w:rPr>
        <w:t xml:space="preserve"> [Accessed 2 Dec. 2025].</w:t>
      </w:r>
    </w:p>
    <w:p w14:paraId="6DBDB712" w14:textId="77777777" w:rsidR="00D001D2" w:rsidRPr="002F5352" w:rsidRDefault="00D001D2" w:rsidP="002F5352">
      <w:pPr>
        <w:spacing w:line="360" w:lineRule="auto"/>
        <w:ind w:left="283"/>
        <w:rPr>
          <w:rFonts w:ascii="Arial" w:hAnsi="Arial" w:cs="Arial"/>
          <w:color w:val="000000" w:themeColor="text1"/>
          <w:lang w:val="en-IN"/>
        </w:rPr>
      </w:pPr>
      <w:r w:rsidRPr="002F5352">
        <w:rPr>
          <w:rFonts w:ascii="Arial" w:hAnsi="Arial" w:cs="Arial"/>
          <w:color w:val="000000" w:themeColor="text1"/>
        </w:rPr>
        <w:t xml:space="preserve">JSNA Blackpool (2025), </w:t>
      </w:r>
      <w:r w:rsidRPr="002F5352">
        <w:rPr>
          <w:rFonts w:ascii="Arial" w:hAnsi="Arial" w:cs="Arial"/>
          <w:color w:val="000000" w:themeColor="text1"/>
          <w:lang w:val="en-IN"/>
        </w:rPr>
        <w:t xml:space="preserve">Tobacco use in children and young people, </w:t>
      </w:r>
      <w:hyperlink r:id="rId23" w:history="1">
        <w:r w:rsidRPr="002F5352">
          <w:rPr>
            <w:rStyle w:val="Hyperlink"/>
            <w:rFonts w:ascii="Arial" w:hAnsi="Arial" w:cs="Arial"/>
            <w:color w:val="000000" w:themeColor="text1"/>
            <w:lang w:val="en-IN"/>
          </w:rPr>
          <w:t>https://www.blackpooljsna.org.uk/Developing-Well/Children-and-young-peoples-health/Tobacco-use-in-children-and-young-people.aspx</w:t>
        </w:r>
      </w:hyperlink>
      <w:r w:rsidRPr="002F5352">
        <w:rPr>
          <w:rFonts w:ascii="Arial" w:hAnsi="Arial" w:cs="Arial"/>
          <w:color w:val="000000" w:themeColor="text1"/>
          <w:lang w:val="en-IN"/>
        </w:rPr>
        <w:t xml:space="preserve"> </w:t>
      </w:r>
    </w:p>
    <w:p w14:paraId="2225267A"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Langley, T., Lewis, S., McNeill, A., Gilmore, A., Szatkowski, L., West, R. and Sims, M. (2013). Characterizing tobacco control mass media campaigns in England. </w:t>
      </w:r>
      <w:r w:rsidRPr="002F5352">
        <w:rPr>
          <w:rFonts w:ascii="Arial" w:hAnsi="Arial" w:cs="Arial"/>
          <w:i/>
          <w:iCs/>
          <w:color w:val="000000" w:themeColor="text1"/>
        </w:rPr>
        <w:t>Addiction</w:t>
      </w:r>
      <w:r w:rsidRPr="002F5352">
        <w:rPr>
          <w:rFonts w:ascii="Arial" w:hAnsi="Arial" w:cs="Arial"/>
          <w:color w:val="000000" w:themeColor="text1"/>
        </w:rPr>
        <w:t>, [online] 108(11), pp.2001–2008. doi:</w:t>
      </w:r>
      <w:hyperlink r:id="rId24">
        <w:r w:rsidRPr="002F5352">
          <w:rPr>
            <w:rFonts w:ascii="Arial" w:hAnsi="Arial" w:cs="Arial"/>
            <w:color w:val="000000" w:themeColor="text1"/>
            <w:u w:val="single"/>
          </w:rPr>
          <w:t>https://doi.org/10.1111/add.12293</w:t>
        </w:r>
      </w:hyperlink>
      <w:r w:rsidRPr="002F5352">
        <w:rPr>
          <w:rFonts w:ascii="Arial" w:hAnsi="Arial" w:cs="Arial"/>
          <w:color w:val="000000" w:themeColor="text1"/>
        </w:rPr>
        <w:t>.</w:t>
      </w:r>
    </w:p>
    <w:p w14:paraId="0641D065"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lang w:val="de-AT"/>
        </w:rPr>
        <w:t xml:space="preserve">Ma, C., Xi, B., Li, Z., Wu, H., Zhao, M., Liang, Y. and Bovet, P. (2021). </w:t>
      </w:r>
      <w:r w:rsidRPr="002F5352">
        <w:rPr>
          <w:rFonts w:ascii="Arial" w:hAnsi="Arial" w:cs="Arial"/>
          <w:color w:val="000000" w:themeColor="text1"/>
        </w:rPr>
        <w:t xml:space="preserve">Prevalence and trends in tobacco use among adolescents aged 13–15 years in 143 countries, 1999–2018: findings from the Global Youth Tobacco Surveys. </w:t>
      </w:r>
      <w:r w:rsidRPr="002F5352">
        <w:rPr>
          <w:rFonts w:ascii="Arial" w:hAnsi="Arial" w:cs="Arial"/>
          <w:i/>
          <w:iCs/>
          <w:color w:val="000000" w:themeColor="text1"/>
        </w:rPr>
        <w:t>The Lancet Child &amp; Adolescent Health</w:t>
      </w:r>
      <w:r w:rsidRPr="002F5352">
        <w:rPr>
          <w:rFonts w:ascii="Arial" w:hAnsi="Arial" w:cs="Arial"/>
          <w:color w:val="000000" w:themeColor="text1"/>
        </w:rPr>
        <w:t>, [online] 5(4), pp.245–255. doi:</w:t>
      </w:r>
      <w:hyperlink r:id="rId25">
        <w:r w:rsidRPr="002F5352">
          <w:rPr>
            <w:rFonts w:ascii="Arial" w:hAnsi="Arial" w:cs="Arial"/>
            <w:color w:val="000000" w:themeColor="text1"/>
            <w:u w:val="single"/>
          </w:rPr>
          <w:t>https://doi.org/10.1016/s2352-4642(20)30390-4</w:t>
        </w:r>
      </w:hyperlink>
      <w:r w:rsidRPr="002F5352">
        <w:rPr>
          <w:rFonts w:ascii="Arial" w:hAnsi="Arial" w:cs="Arial"/>
          <w:color w:val="000000" w:themeColor="text1"/>
        </w:rPr>
        <w:t>.</w:t>
      </w:r>
    </w:p>
    <w:p w14:paraId="25E45D67"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ncsct.co.uk (2025). </w:t>
      </w:r>
      <w:r w:rsidRPr="002F5352">
        <w:rPr>
          <w:rFonts w:ascii="Arial" w:hAnsi="Arial" w:cs="Arial"/>
          <w:i/>
          <w:iCs/>
          <w:color w:val="000000" w:themeColor="text1"/>
        </w:rPr>
        <w:t>© National Centre for Smoking Cessation and Training (NCSCT) 2025 Evidence: Young People and Smoking Patterns and prevalence of smoking in young people</w:t>
      </w:r>
      <w:r w:rsidRPr="002F5352">
        <w:rPr>
          <w:rFonts w:ascii="Arial" w:hAnsi="Arial" w:cs="Arial"/>
          <w:color w:val="000000" w:themeColor="text1"/>
        </w:rPr>
        <w:t xml:space="preserve">. [online] Available at: </w:t>
      </w:r>
      <w:hyperlink r:id="rId26">
        <w:r w:rsidRPr="002F5352">
          <w:rPr>
            <w:rFonts w:ascii="Arial" w:hAnsi="Arial" w:cs="Arial"/>
            <w:color w:val="000000" w:themeColor="text1"/>
            <w:u w:val="single"/>
          </w:rPr>
          <w:t>https://www.ncsct.co.uk/library/view/pdf/Patterns-and-prevalence-of-smoking-in-young-people.pdf</w:t>
        </w:r>
      </w:hyperlink>
      <w:r w:rsidRPr="002F5352">
        <w:rPr>
          <w:rFonts w:ascii="Arial" w:hAnsi="Arial" w:cs="Arial"/>
          <w:color w:val="000000" w:themeColor="text1"/>
        </w:rPr>
        <w:t xml:space="preserve"> [Accessed 3 Dec. 2025].</w:t>
      </w:r>
    </w:p>
    <w:p w14:paraId="44E0006D"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Nickerson, C. (2024). </w:t>
      </w:r>
      <w:r w:rsidRPr="002F5352">
        <w:rPr>
          <w:rFonts w:ascii="Arial" w:hAnsi="Arial" w:cs="Arial"/>
          <w:i/>
          <w:iCs/>
          <w:color w:val="000000" w:themeColor="text1"/>
        </w:rPr>
        <w:t>Interpretivism Paradigm &amp; Research Philosophy</w:t>
      </w:r>
      <w:r w:rsidRPr="002F5352">
        <w:rPr>
          <w:rFonts w:ascii="Arial" w:hAnsi="Arial" w:cs="Arial"/>
          <w:color w:val="000000" w:themeColor="text1"/>
        </w:rPr>
        <w:t xml:space="preserve">. [online] Simply Psychology. Available at: </w:t>
      </w:r>
      <w:hyperlink r:id="rId27">
        <w:r w:rsidRPr="002F5352">
          <w:rPr>
            <w:rFonts w:ascii="Arial" w:hAnsi="Arial" w:cs="Arial"/>
            <w:color w:val="000000" w:themeColor="text1"/>
            <w:u w:val="single"/>
          </w:rPr>
          <w:t>https://www.simplypsychology.org/interpretivism-paradigm.html</w:t>
        </w:r>
      </w:hyperlink>
      <w:r w:rsidRPr="002F5352">
        <w:rPr>
          <w:rFonts w:ascii="Arial" w:hAnsi="Arial" w:cs="Arial"/>
          <w:color w:val="000000" w:themeColor="text1"/>
        </w:rPr>
        <w:t xml:space="preserve"> [Accessed 3 Dec. 2025].</w:t>
      </w:r>
    </w:p>
    <w:p w14:paraId="607D1E6D"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Noor, S., Tajik, O. and Golzar, J. (2022). Simple Random Sampling. </w:t>
      </w:r>
      <w:r w:rsidRPr="002F5352">
        <w:rPr>
          <w:rFonts w:ascii="Arial" w:hAnsi="Arial" w:cs="Arial"/>
          <w:i/>
          <w:iCs/>
          <w:color w:val="000000" w:themeColor="text1"/>
        </w:rPr>
        <w:t>International Journal of Education &amp; Language Studies</w:t>
      </w:r>
      <w:r w:rsidRPr="002F5352">
        <w:rPr>
          <w:rFonts w:ascii="Arial" w:hAnsi="Arial" w:cs="Arial"/>
          <w:color w:val="000000" w:themeColor="text1"/>
        </w:rPr>
        <w:t>, [online] 1(2), pp.78–82. doi:</w:t>
      </w:r>
      <w:hyperlink r:id="rId28">
        <w:r w:rsidRPr="002F5352">
          <w:rPr>
            <w:rFonts w:ascii="Arial" w:hAnsi="Arial" w:cs="Arial"/>
            <w:color w:val="000000" w:themeColor="text1"/>
            <w:u w:val="single"/>
          </w:rPr>
          <w:t>https://doi.org/10.22034/ijels.2022.162982</w:t>
        </w:r>
      </w:hyperlink>
      <w:r w:rsidRPr="002F5352">
        <w:rPr>
          <w:rFonts w:ascii="Arial" w:hAnsi="Arial" w:cs="Arial"/>
          <w:color w:val="000000" w:themeColor="text1"/>
        </w:rPr>
        <w:t>.</w:t>
      </w:r>
    </w:p>
    <w:p w14:paraId="3B052AB8"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Ognibene, D., Taibi, D., Kruschwitz, U., Wilkens, R.S., Hernández-Leo, D., Theophilou, E., Scifo, L., Alejandro, R., Lomonaco, F., Eimler, S.C., Hoppe, H.U. and Malzahn, N. (2021). Challenging Social Media Threats Using Collective well-being-aware Recommendation Algorithms and an Educational Virtual Companion. </w:t>
      </w:r>
      <w:r w:rsidRPr="002F5352">
        <w:rPr>
          <w:rFonts w:ascii="Arial" w:hAnsi="Arial" w:cs="Arial"/>
          <w:i/>
          <w:iCs/>
          <w:color w:val="000000" w:themeColor="text1"/>
        </w:rPr>
        <w:t>Challenging Social Media Threats Using Collective well-being-aware Recommendation Algorithms and an Educational Virtual Companion</w:t>
      </w:r>
      <w:r w:rsidRPr="002F5352">
        <w:rPr>
          <w:rFonts w:ascii="Arial" w:hAnsi="Arial" w:cs="Arial"/>
          <w:color w:val="000000" w:themeColor="text1"/>
        </w:rPr>
        <w:t>, [online] 5. doi:</w:t>
      </w:r>
      <w:hyperlink r:id="rId29">
        <w:r w:rsidRPr="002F5352">
          <w:rPr>
            <w:rFonts w:ascii="Arial" w:hAnsi="Arial" w:cs="Arial"/>
            <w:color w:val="000000" w:themeColor="text1"/>
            <w:u w:val="single"/>
          </w:rPr>
          <w:t>https://doi.org/10.3389/frai.2022.654930</w:t>
        </w:r>
      </w:hyperlink>
      <w:r w:rsidRPr="002F5352">
        <w:rPr>
          <w:rFonts w:ascii="Arial" w:hAnsi="Arial" w:cs="Arial"/>
          <w:color w:val="000000" w:themeColor="text1"/>
        </w:rPr>
        <w:t>.</w:t>
      </w:r>
    </w:p>
    <w:p w14:paraId="504496A1"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Proudfoot, K. (2022). Inductive/Deductive Hybrid Thematic Analysis in Mixed Methods Research. </w:t>
      </w:r>
      <w:r w:rsidRPr="002F5352">
        <w:rPr>
          <w:rFonts w:ascii="Arial" w:hAnsi="Arial" w:cs="Arial"/>
          <w:i/>
          <w:iCs/>
          <w:color w:val="000000" w:themeColor="text1"/>
        </w:rPr>
        <w:t>Journal of Mixed Methods Research</w:t>
      </w:r>
      <w:r w:rsidRPr="002F5352">
        <w:rPr>
          <w:rFonts w:ascii="Arial" w:hAnsi="Arial" w:cs="Arial"/>
          <w:color w:val="000000" w:themeColor="text1"/>
        </w:rPr>
        <w:t>, [online] 17(3), pp.308–326. doi:</w:t>
      </w:r>
      <w:hyperlink r:id="rId30">
        <w:r w:rsidRPr="002F5352">
          <w:rPr>
            <w:rFonts w:ascii="Arial" w:hAnsi="Arial" w:cs="Arial"/>
            <w:color w:val="000000" w:themeColor="text1"/>
            <w:u w:val="single"/>
          </w:rPr>
          <w:t>https://doi.org/10.1177/15586898221126816</w:t>
        </w:r>
      </w:hyperlink>
      <w:r w:rsidRPr="002F5352">
        <w:rPr>
          <w:rFonts w:ascii="Arial" w:hAnsi="Arial" w:cs="Arial"/>
          <w:color w:val="000000" w:themeColor="text1"/>
        </w:rPr>
        <w:t>.</w:t>
      </w:r>
    </w:p>
    <w:p w14:paraId="72538AC2"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Saad, C., Cheng, B.H.-C., Takamizawa, R., Thakur, A., Lee, C.-W., Leung, L., Veerman, J.L. and Aminde, L.N. (2025). Effectiveness of tobacco advertising, promotion and sponsorship </w:t>
      </w:r>
      <w:r w:rsidRPr="002F5352">
        <w:rPr>
          <w:rFonts w:ascii="Arial" w:hAnsi="Arial" w:cs="Arial"/>
          <w:color w:val="000000" w:themeColor="text1"/>
        </w:rPr>
        <w:lastRenderedPageBreak/>
        <w:t xml:space="preserve">bans on smoking prevalence, initiation and cessation: a systematic review and meta-analysis. </w:t>
      </w:r>
      <w:r w:rsidRPr="002F5352">
        <w:rPr>
          <w:rFonts w:ascii="Arial" w:hAnsi="Arial" w:cs="Arial"/>
          <w:i/>
          <w:iCs/>
          <w:color w:val="000000" w:themeColor="text1"/>
        </w:rPr>
        <w:t>Tobacco Control</w:t>
      </w:r>
      <w:r w:rsidRPr="002F5352">
        <w:rPr>
          <w:rFonts w:ascii="Arial" w:hAnsi="Arial" w:cs="Arial"/>
          <w:color w:val="000000" w:themeColor="text1"/>
        </w:rPr>
        <w:t>, [online] p.tc-058903. doi:</w:t>
      </w:r>
      <w:hyperlink r:id="rId31">
        <w:r w:rsidRPr="002F5352">
          <w:rPr>
            <w:rFonts w:ascii="Arial" w:hAnsi="Arial" w:cs="Arial"/>
            <w:color w:val="000000" w:themeColor="text1"/>
            <w:u w:val="single"/>
          </w:rPr>
          <w:t>https://doi.org/10.1136/tc-2024-058903</w:t>
        </w:r>
      </w:hyperlink>
      <w:r w:rsidRPr="002F5352">
        <w:rPr>
          <w:rFonts w:ascii="Arial" w:hAnsi="Arial" w:cs="Arial"/>
          <w:color w:val="000000" w:themeColor="text1"/>
        </w:rPr>
        <w:t>.</w:t>
      </w:r>
    </w:p>
    <w:p w14:paraId="09FF2060"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Squires, V. (2023). Thematic Analysis. </w:t>
      </w:r>
      <w:r w:rsidRPr="002F5352">
        <w:rPr>
          <w:rFonts w:ascii="Arial" w:hAnsi="Arial" w:cs="Arial"/>
          <w:i/>
          <w:iCs/>
          <w:color w:val="000000" w:themeColor="text1"/>
        </w:rPr>
        <w:t>Springer Texts in Education</w:t>
      </w:r>
      <w:r w:rsidRPr="002F5352">
        <w:rPr>
          <w:rFonts w:ascii="Arial" w:hAnsi="Arial" w:cs="Arial"/>
          <w:color w:val="000000" w:themeColor="text1"/>
        </w:rPr>
        <w:t xml:space="preserve">, [online] pp.463–468. Available at: </w:t>
      </w:r>
      <w:hyperlink r:id="rId32">
        <w:r w:rsidRPr="002F5352">
          <w:rPr>
            <w:rFonts w:ascii="Arial" w:hAnsi="Arial" w:cs="Arial"/>
            <w:color w:val="000000" w:themeColor="text1"/>
            <w:u w:val="single"/>
          </w:rPr>
          <w:t>https://link.springer.com/chapter/10.1007/978-3-031-04394-9_72</w:t>
        </w:r>
      </w:hyperlink>
      <w:r w:rsidRPr="002F5352">
        <w:rPr>
          <w:rFonts w:ascii="Arial" w:hAnsi="Arial" w:cs="Arial"/>
          <w:color w:val="000000" w:themeColor="text1"/>
        </w:rPr>
        <w:t xml:space="preserve"> [Accessed 1 Dec. 2025].</w:t>
      </w:r>
    </w:p>
    <w:p w14:paraId="1B89CBEF"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Sylvia, M.L. and Terhaar, M.F. (2023). </w:t>
      </w:r>
      <w:r w:rsidRPr="002F5352">
        <w:rPr>
          <w:rFonts w:ascii="Arial" w:hAnsi="Arial" w:cs="Arial"/>
          <w:i/>
          <w:iCs/>
          <w:color w:val="000000" w:themeColor="text1"/>
        </w:rPr>
        <w:t>Clinical Analytics and Data Management for the DNP</w:t>
      </w:r>
      <w:r w:rsidRPr="002F5352">
        <w:rPr>
          <w:rFonts w:ascii="Arial" w:hAnsi="Arial" w:cs="Arial"/>
          <w:color w:val="000000" w:themeColor="text1"/>
        </w:rPr>
        <w:t xml:space="preserve">. [online] Google Books. Available at: </w:t>
      </w:r>
      <w:hyperlink r:id="rId33">
        <w:r w:rsidRPr="002F5352">
          <w:rPr>
            <w:rFonts w:ascii="Arial" w:hAnsi="Arial" w:cs="Arial"/>
            <w:color w:val="000000" w:themeColor="text1"/>
            <w:u w:val="single"/>
          </w:rPr>
          <w:t>https://books.google.com/books?hl=en&amp;lr=&amp;id=ZKucEAAAQBAJ&amp;oi=fnd&amp;pg=PA41&amp;dq=secondary+data+collection&amp;ots=KxJ2WVZFQs&amp;sig=PAHAm-MTJ-VsW31JKuZCdzmwgbQ</w:t>
        </w:r>
      </w:hyperlink>
      <w:r w:rsidRPr="002F5352">
        <w:rPr>
          <w:rFonts w:ascii="Arial" w:hAnsi="Arial" w:cs="Arial"/>
          <w:color w:val="000000" w:themeColor="text1"/>
        </w:rPr>
        <w:t xml:space="preserve"> [Accessed 3 Dec. 2025].</w:t>
      </w:r>
    </w:p>
    <w:p w14:paraId="10614720"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Takona, J.P. (2023). Research design: qualitative, quantitative, and Mixed Methods Approaches / Sixth Edition. </w:t>
      </w:r>
      <w:r w:rsidRPr="002F5352">
        <w:rPr>
          <w:rFonts w:ascii="Arial" w:hAnsi="Arial" w:cs="Arial"/>
          <w:i/>
          <w:iCs/>
          <w:color w:val="000000" w:themeColor="text1"/>
        </w:rPr>
        <w:t>Quality &amp; Quantity</w:t>
      </w:r>
      <w:r w:rsidRPr="002F5352">
        <w:rPr>
          <w:rFonts w:ascii="Arial" w:hAnsi="Arial" w:cs="Arial"/>
          <w:color w:val="000000" w:themeColor="text1"/>
        </w:rPr>
        <w:t>, [online] 58(1), pp.1011–1013. doi:</w:t>
      </w:r>
      <w:hyperlink r:id="rId34">
        <w:r w:rsidRPr="002F5352">
          <w:rPr>
            <w:rFonts w:ascii="Arial" w:hAnsi="Arial" w:cs="Arial"/>
            <w:color w:val="000000" w:themeColor="text1"/>
            <w:u w:val="single"/>
          </w:rPr>
          <w:t>https://doi.org/10.1007/s11135-023-01798-2</w:t>
        </w:r>
      </w:hyperlink>
      <w:r w:rsidRPr="002F5352">
        <w:rPr>
          <w:rFonts w:ascii="Arial" w:hAnsi="Arial" w:cs="Arial"/>
          <w:color w:val="000000" w:themeColor="text1"/>
        </w:rPr>
        <w:t>.</w:t>
      </w:r>
    </w:p>
    <w:p w14:paraId="7EF24C0C"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Tinner, L., Palmer, J.C., Lloyd, E.C., Caldwell, D.M., MacArthur, G.J., Dias, K., Langford, R., Redmore, J., Wittkop, L., Watkins, S.H. and Hickman, M., 2022. Individual-, family-and school-based interventions to prevent multiple risk behaviours relating to alcohol, tobacco and drug use in young people aged 8-25 years: a systematic review and meta-analysis. </w:t>
      </w:r>
      <w:r w:rsidRPr="002F5352">
        <w:rPr>
          <w:rFonts w:ascii="Arial" w:hAnsi="Arial" w:cs="Arial"/>
          <w:i/>
          <w:iCs/>
          <w:color w:val="000000" w:themeColor="text1"/>
        </w:rPr>
        <w:t>BMC Public Health</w:t>
      </w:r>
      <w:r w:rsidRPr="002F5352">
        <w:rPr>
          <w:rFonts w:ascii="Arial" w:hAnsi="Arial" w:cs="Arial"/>
          <w:color w:val="000000" w:themeColor="text1"/>
        </w:rPr>
        <w:t>, </w:t>
      </w:r>
      <w:r w:rsidRPr="002F5352">
        <w:rPr>
          <w:rFonts w:ascii="Arial" w:hAnsi="Arial" w:cs="Arial"/>
          <w:i/>
          <w:iCs/>
          <w:color w:val="000000" w:themeColor="text1"/>
        </w:rPr>
        <w:t>22</w:t>
      </w:r>
      <w:r w:rsidRPr="002F5352">
        <w:rPr>
          <w:rFonts w:ascii="Arial" w:hAnsi="Arial" w:cs="Arial"/>
          <w:color w:val="000000" w:themeColor="text1"/>
        </w:rPr>
        <w:t xml:space="preserve">(1), p.1111. Available at : </w:t>
      </w:r>
      <w:hyperlink r:id="rId35" w:history="1">
        <w:r w:rsidRPr="002F5352">
          <w:rPr>
            <w:rStyle w:val="Hyperlink"/>
            <w:rFonts w:ascii="Arial" w:hAnsi="Arial" w:cs="Arial"/>
            <w:color w:val="000000" w:themeColor="text1"/>
          </w:rPr>
          <w:t>https://link.springer.com/content/pdf/10.1186/s12889-022-13072-5.pdf</w:t>
        </w:r>
      </w:hyperlink>
    </w:p>
    <w:p w14:paraId="305C55C2"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UCL (2022). </w:t>
      </w:r>
      <w:r w:rsidRPr="002F5352">
        <w:rPr>
          <w:rFonts w:ascii="Arial" w:hAnsi="Arial" w:cs="Arial"/>
          <w:i/>
          <w:iCs/>
          <w:color w:val="000000" w:themeColor="text1"/>
        </w:rPr>
        <w:t>UCL research informs ‘Stoptober’ helping thousands to quit smoking</w:t>
      </w:r>
      <w:r w:rsidRPr="002F5352">
        <w:rPr>
          <w:rFonts w:ascii="Arial" w:hAnsi="Arial" w:cs="Arial"/>
          <w:color w:val="000000" w:themeColor="text1"/>
        </w:rPr>
        <w:t xml:space="preserve">. [online] Research Impact. Available at: </w:t>
      </w:r>
      <w:hyperlink r:id="rId36">
        <w:r w:rsidRPr="002F5352">
          <w:rPr>
            <w:rFonts w:ascii="Arial" w:hAnsi="Arial" w:cs="Arial"/>
            <w:color w:val="000000" w:themeColor="text1"/>
            <w:u w:val="single"/>
          </w:rPr>
          <w:t>https://www.ucl.ac.uk/impact/case-studies/2022/apr/ucl-research-informs-stoptober-helping-thousands-quit-smoking</w:t>
        </w:r>
      </w:hyperlink>
      <w:r w:rsidRPr="002F5352">
        <w:rPr>
          <w:rFonts w:ascii="Arial" w:hAnsi="Arial" w:cs="Arial"/>
          <w:color w:val="000000" w:themeColor="text1"/>
        </w:rPr>
        <w:t xml:space="preserve"> [Accessed 3 Dec. 2025].</w:t>
      </w:r>
    </w:p>
    <w:p w14:paraId="6152AE72"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Vrinten, C., Parnham, J., Filippidis, F., Hopkinson, N. and Laverty, A. (2022). Risk factors for adolescent smoking uptake: Analysis of prospective data from the UK Millennium Cohort Study. </w:t>
      </w:r>
      <w:r w:rsidRPr="002F5352">
        <w:rPr>
          <w:rFonts w:ascii="Arial" w:hAnsi="Arial" w:cs="Arial"/>
          <w:i/>
          <w:iCs/>
          <w:color w:val="000000" w:themeColor="text1"/>
        </w:rPr>
        <w:t>Tobacco Induced Diseases</w:t>
      </w:r>
      <w:r w:rsidRPr="002F5352">
        <w:rPr>
          <w:rFonts w:ascii="Arial" w:hAnsi="Arial" w:cs="Arial"/>
          <w:color w:val="000000" w:themeColor="text1"/>
        </w:rPr>
        <w:t>, [online] 20(October), pp.1–6. doi:</w:t>
      </w:r>
      <w:hyperlink r:id="rId37">
        <w:r w:rsidRPr="002F5352">
          <w:rPr>
            <w:rFonts w:ascii="Arial" w:hAnsi="Arial" w:cs="Arial"/>
            <w:color w:val="000000" w:themeColor="text1"/>
            <w:u w:val="single"/>
          </w:rPr>
          <w:t>https://doi.org/10.18332/tid/152321</w:t>
        </w:r>
      </w:hyperlink>
      <w:r w:rsidRPr="002F5352">
        <w:rPr>
          <w:rFonts w:ascii="Arial" w:hAnsi="Arial" w:cs="Arial"/>
          <w:color w:val="000000" w:themeColor="text1"/>
        </w:rPr>
        <w:t>.</w:t>
      </w:r>
    </w:p>
    <w:p w14:paraId="3BFB2361" w14:textId="77777777" w:rsidR="00D001D2" w:rsidRPr="002F5352" w:rsidRDefault="00D001D2" w:rsidP="002F5352">
      <w:pPr>
        <w:spacing w:after="240" w:line="360" w:lineRule="auto"/>
        <w:ind w:left="283"/>
        <w:jc w:val="both"/>
        <w:rPr>
          <w:rFonts w:ascii="Arial" w:hAnsi="Arial" w:cs="Arial"/>
          <w:color w:val="000000" w:themeColor="text1"/>
        </w:rPr>
      </w:pPr>
      <w:r w:rsidRPr="002F5352">
        <w:rPr>
          <w:rFonts w:ascii="Arial" w:hAnsi="Arial" w:cs="Arial"/>
          <w:color w:val="000000" w:themeColor="text1"/>
        </w:rPr>
        <w:t xml:space="preserve">Warnock, A. (2024). </w:t>
      </w:r>
      <w:r w:rsidRPr="002F5352">
        <w:rPr>
          <w:rFonts w:ascii="Arial" w:hAnsi="Arial" w:cs="Arial"/>
          <w:i/>
          <w:iCs/>
          <w:color w:val="000000" w:themeColor="text1"/>
        </w:rPr>
        <w:t>Around 350 young adults start smoking every day in the UK - Cancer Research UK - Cancer News</w:t>
      </w:r>
      <w:r w:rsidRPr="002F5352">
        <w:rPr>
          <w:rFonts w:ascii="Arial" w:hAnsi="Arial" w:cs="Arial"/>
          <w:color w:val="000000" w:themeColor="text1"/>
        </w:rPr>
        <w:t xml:space="preserve">. [online] Cancer Research UK - Cancer News. Available at: </w:t>
      </w:r>
      <w:hyperlink r:id="rId38">
        <w:r w:rsidRPr="002F5352">
          <w:rPr>
            <w:rFonts w:ascii="Arial" w:hAnsi="Arial" w:cs="Arial"/>
            <w:color w:val="000000" w:themeColor="text1"/>
            <w:u w:val="single"/>
          </w:rPr>
          <w:t>https://news.cancerresearchuk.org/2024/10/25/350-young-adults-start-smoking-every-day-in-uk/</w:t>
        </w:r>
      </w:hyperlink>
      <w:r w:rsidRPr="002F5352">
        <w:rPr>
          <w:rFonts w:ascii="Arial" w:hAnsi="Arial" w:cs="Arial"/>
          <w:color w:val="000000" w:themeColor="text1"/>
        </w:rPr>
        <w:t xml:space="preserve"> [Accessed 3 Dec. 2025].</w:t>
      </w:r>
    </w:p>
    <w:p w14:paraId="1DB1BBC7" w14:textId="77777777" w:rsidR="006C28C2" w:rsidRPr="002F5352" w:rsidRDefault="006C28C2" w:rsidP="002F5352">
      <w:pPr>
        <w:spacing w:after="240" w:line="360" w:lineRule="auto"/>
        <w:ind w:left="360"/>
        <w:jc w:val="both"/>
        <w:rPr>
          <w:rFonts w:ascii="Arial" w:hAnsi="Arial" w:cs="Arial"/>
        </w:rPr>
      </w:pPr>
    </w:p>
    <w:p w14:paraId="5AA3BACF" w14:textId="77777777" w:rsidR="006C28C2" w:rsidRPr="002F5352" w:rsidRDefault="006C28C2" w:rsidP="002F5352">
      <w:pPr>
        <w:spacing w:after="240" w:line="360" w:lineRule="auto"/>
        <w:ind w:left="360"/>
        <w:jc w:val="both"/>
        <w:rPr>
          <w:rFonts w:ascii="Arial" w:hAnsi="Arial" w:cs="Arial"/>
        </w:rPr>
      </w:pPr>
    </w:p>
    <w:p w14:paraId="7B0482FD" w14:textId="2BA53DAE" w:rsidR="00EA19B2" w:rsidRPr="002F5352" w:rsidRDefault="00EA19B2" w:rsidP="002F5352">
      <w:pPr>
        <w:pStyle w:val="BodyText"/>
        <w:rPr>
          <w:rFonts w:ascii="Arial" w:hAnsi="Arial" w:cs="Arial"/>
          <w:bCs/>
        </w:rPr>
      </w:pPr>
    </w:p>
    <w:sectPr w:rsidR="00EA19B2" w:rsidRPr="002F5352" w:rsidSect="002F5352">
      <w:footerReference w:type="default" r:id="rId3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3675E" w14:textId="77777777" w:rsidR="00A84810" w:rsidRDefault="00A84810">
      <w:r>
        <w:separator/>
      </w:r>
    </w:p>
  </w:endnote>
  <w:endnote w:type="continuationSeparator" w:id="0">
    <w:p w14:paraId="56DE5F19" w14:textId="77777777" w:rsidR="00A84810" w:rsidRDefault="00A84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939440"/>
      <w:docPartObj>
        <w:docPartGallery w:val="Page Numbers (Bottom of Page)"/>
        <w:docPartUnique/>
      </w:docPartObj>
    </w:sdtPr>
    <w:sdtContent>
      <w:p w14:paraId="4C91D041" w14:textId="0F7159E4" w:rsidR="005A07A1" w:rsidRDefault="005A07A1">
        <w:pPr>
          <w:pStyle w:val="Footer"/>
          <w:jc w:val="right"/>
        </w:pPr>
        <w:r w:rsidRPr="005A07A1">
          <w:rPr>
            <w:rFonts w:ascii="Arial" w:hAnsi="Arial" w:cs="Arial"/>
            <w:sz w:val="24"/>
            <w:szCs w:val="24"/>
          </w:rPr>
          <w:t xml:space="preserve">Page | </w:t>
        </w:r>
        <w:r w:rsidRPr="005A07A1">
          <w:rPr>
            <w:rFonts w:ascii="Arial" w:hAnsi="Arial" w:cs="Arial"/>
            <w:sz w:val="24"/>
            <w:szCs w:val="24"/>
          </w:rPr>
          <w:fldChar w:fldCharType="begin"/>
        </w:r>
        <w:r w:rsidRPr="005A07A1">
          <w:rPr>
            <w:rFonts w:ascii="Arial" w:hAnsi="Arial" w:cs="Arial"/>
            <w:sz w:val="24"/>
            <w:szCs w:val="24"/>
          </w:rPr>
          <w:instrText xml:space="preserve"> PAGE   \* MERGEFORMAT </w:instrText>
        </w:r>
        <w:r w:rsidRPr="005A07A1">
          <w:rPr>
            <w:rFonts w:ascii="Arial" w:hAnsi="Arial" w:cs="Arial"/>
            <w:sz w:val="24"/>
            <w:szCs w:val="24"/>
          </w:rPr>
          <w:fldChar w:fldCharType="separate"/>
        </w:r>
        <w:r w:rsidRPr="005A07A1">
          <w:rPr>
            <w:rFonts w:ascii="Arial" w:hAnsi="Arial" w:cs="Arial"/>
            <w:noProof/>
            <w:sz w:val="24"/>
            <w:szCs w:val="24"/>
          </w:rPr>
          <w:t>2</w:t>
        </w:r>
        <w:r w:rsidRPr="005A07A1">
          <w:rPr>
            <w:rFonts w:ascii="Arial" w:hAnsi="Arial" w:cs="Arial"/>
            <w:noProof/>
            <w:sz w:val="24"/>
            <w:szCs w:val="24"/>
          </w:rPr>
          <w:fldChar w:fldCharType="end"/>
        </w:r>
        <w:r w:rsidRPr="005A07A1">
          <w:rPr>
            <w:sz w:val="24"/>
            <w:szCs w:val="24"/>
          </w:rPr>
          <w:t xml:space="preserve"> </w:t>
        </w:r>
      </w:p>
    </w:sdtContent>
  </w:sdt>
  <w:p w14:paraId="7A54A97D" w14:textId="2ACB192E" w:rsidR="00EA19B2" w:rsidRDefault="00EA19B2">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594053" w14:textId="77777777" w:rsidR="00A84810" w:rsidRDefault="00A84810">
      <w:r>
        <w:separator/>
      </w:r>
    </w:p>
  </w:footnote>
  <w:footnote w:type="continuationSeparator" w:id="0">
    <w:p w14:paraId="4CA1F7DF" w14:textId="77777777" w:rsidR="00A84810" w:rsidRDefault="00A848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14669"/>
    <w:multiLevelType w:val="hybridMultilevel"/>
    <w:tmpl w:val="CD4EE224"/>
    <w:lvl w:ilvl="0" w:tplc="4009000F">
      <w:start w:val="1"/>
      <w:numFmt w:val="decimal"/>
      <w:lvlText w:val="%1."/>
      <w:lvlJc w:val="left"/>
      <w:pPr>
        <w:ind w:left="643"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9A92B6A"/>
    <w:multiLevelType w:val="hybridMultilevel"/>
    <w:tmpl w:val="7CDC8CDC"/>
    <w:lvl w:ilvl="0" w:tplc="61C8BB2E">
      <w:numFmt w:val="bullet"/>
      <w:lvlText w:val=""/>
      <w:lvlJc w:val="left"/>
      <w:pPr>
        <w:ind w:left="874" w:hanging="360"/>
      </w:pPr>
      <w:rPr>
        <w:rFonts w:ascii="Symbol" w:eastAsia="Symbol" w:hAnsi="Symbol" w:cs="Symbol" w:hint="default"/>
        <w:b w:val="0"/>
        <w:bCs w:val="0"/>
        <w:i w:val="0"/>
        <w:iCs w:val="0"/>
        <w:spacing w:val="0"/>
        <w:w w:val="99"/>
        <w:sz w:val="20"/>
        <w:szCs w:val="20"/>
        <w:lang w:val="en-US" w:eastAsia="en-US" w:bidi="ar-SA"/>
      </w:rPr>
    </w:lvl>
    <w:lvl w:ilvl="1" w:tplc="544AEB60">
      <w:numFmt w:val="bullet"/>
      <w:lvlText w:val="•"/>
      <w:lvlJc w:val="left"/>
      <w:pPr>
        <w:ind w:left="1868" w:hanging="360"/>
      </w:pPr>
      <w:rPr>
        <w:rFonts w:hint="default"/>
        <w:lang w:val="en-US" w:eastAsia="en-US" w:bidi="ar-SA"/>
      </w:rPr>
    </w:lvl>
    <w:lvl w:ilvl="2" w:tplc="4CCEF74E">
      <w:numFmt w:val="bullet"/>
      <w:lvlText w:val="•"/>
      <w:lvlJc w:val="left"/>
      <w:pPr>
        <w:ind w:left="2856" w:hanging="360"/>
      </w:pPr>
      <w:rPr>
        <w:rFonts w:hint="default"/>
        <w:lang w:val="en-US" w:eastAsia="en-US" w:bidi="ar-SA"/>
      </w:rPr>
    </w:lvl>
    <w:lvl w:ilvl="3" w:tplc="34F61E2A">
      <w:numFmt w:val="bullet"/>
      <w:lvlText w:val="•"/>
      <w:lvlJc w:val="left"/>
      <w:pPr>
        <w:ind w:left="3844" w:hanging="360"/>
      </w:pPr>
      <w:rPr>
        <w:rFonts w:hint="default"/>
        <w:lang w:val="en-US" w:eastAsia="en-US" w:bidi="ar-SA"/>
      </w:rPr>
    </w:lvl>
    <w:lvl w:ilvl="4" w:tplc="990E154A">
      <w:numFmt w:val="bullet"/>
      <w:lvlText w:val="•"/>
      <w:lvlJc w:val="left"/>
      <w:pPr>
        <w:ind w:left="4832" w:hanging="360"/>
      </w:pPr>
      <w:rPr>
        <w:rFonts w:hint="default"/>
        <w:lang w:val="en-US" w:eastAsia="en-US" w:bidi="ar-SA"/>
      </w:rPr>
    </w:lvl>
    <w:lvl w:ilvl="5" w:tplc="409C069C">
      <w:numFmt w:val="bullet"/>
      <w:lvlText w:val="•"/>
      <w:lvlJc w:val="left"/>
      <w:pPr>
        <w:ind w:left="5821" w:hanging="360"/>
      </w:pPr>
      <w:rPr>
        <w:rFonts w:hint="default"/>
        <w:lang w:val="en-US" w:eastAsia="en-US" w:bidi="ar-SA"/>
      </w:rPr>
    </w:lvl>
    <w:lvl w:ilvl="6" w:tplc="01045204">
      <w:numFmt w:val="bullet"/>
      <w:lvlText w:val="•"/>
      <w:lvlJc w:val="left"/>
      <w:pPr>
        <w:ind w:left="6809" w:hanging="360"/>
      </w:pPr>
      <w:rPr>
        <w:rFonts w:hint="default"/>
        <w:lang w:val="en-US" w:eastAsia="en-US" w:bidi="ar-SA"/>
      </w:rPr>
    </w:lvl>
    <w:lvl w:ilvl="7" w:tplc="D2B8877C">
      <w:numFmt w:val="bullet"/>
      <w:lvlText w:val="•"/>
      <w:lvlJc w:val="left"/>
      <w:pPr>
        <w:ind w:left="7797" w:hanging="360"/>
      </w:pPr>
      <w:rPr>
        <w:rFonts w:hint="default"/>
        <w:lang w:val="en-US" w:eastAsia="en-US" w:bidi="ar-SA"/>
      </w:rPr>
    </w:lvl>
    <w:lvl w:ilvl="8" w:tplc="2F0C3C16">
      <w:numFmt w:val="bullet"/>
      <w:lvlText w:val="•"/>
      <w:lvlJc w:val="left"/>
      <w:pPr>
        <w:ind w:left="8785" w:hanging="360"/>
      </w:pPr>
      <w:rPr>
        <w:rFonts w:hint="default"/>
        <w:lang w:val="en-US" w:eastAsia="en-US" w:bidi="ar-SA"/>
      </w:rPr>
    </w:lvl>
  </w:abstractNum>
  <w:abstractNum w:abstractNumId="2" w15:restartNumberingAfterBreak="0">
    <w:nsid w:val="1A847B08"/>
    <w:multiLevelType w:val="multilevel"/>
    <w:tmpl w:val="66CE8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2C062D"/>
    <w:multiLevelType w:val="hybridMultilevel"/>
    <w:tmpl w:val="4650D698"/>
    <w:lvl w:ilvl="0" w:tplc="10B8B48A">
      <w:start w:val="1"/>
      <w:numFmt w:val="decimal"/>
      <w:lvlText w:val="%1."/>
      <w:lvlJc w:val="left"/>
      <w:pPr>
        <w:ind w:left="814" w:hanging="360"/>
      </w:pPr>
      <w:rPr>
        <w:rFonts w:ascii="Arial MT" w:eastAsia="Arial MT" w:hAnsi="Arial MT" w:cs="Arial MT" w:hint="default"/>
        <w:b w:val="0"/>
        <w:bCs w:val="0"/>
        <w:i w:val="0"/>
        <w:iCs w:val="0"/>
        <w:spacing w:val="0"/>
        <w:w w:val="100"/>
        <w:sz w:val="24"/>
        <w:szCs w:val="24"/>
        <w:lang w:val="en-US" w:eastAsia="en-US" w:bidi="ar-SA"/>
      </w:rPr>
    </w:lvl>
    <w:lvl w:ilvl="1" w:tplc="BC3E2F6A">
      <w:numFmt w:val="bullet"/>
      <w:lvlText w:val="•"/>
      <w:lvlJc w:val="left"/>
      <w:pPr>
        <w:ind w:left="1777" w:hanging="360"/>
      </w:pPr>
      <w:rPr>
        <w:rFonts w:hint="default"/>
        <w:lang w:val="en-US" w:eastAsia="en-US" w:bidi="ar-SA"/>
      </w:rPr>
    </w:lvl>
    <w:lvl w:ilvl="2" w:tplc="3BCE9A02">
      <w:numFmt w:val="bullet"/>
      <w:lvlText w:val="•"/>
      <w:lvlJc w:val="left"/>
      <w:pPr>
        <w:ind w:left="2735" w:hanging="360"/>
      </w:pPr>
      <w:rPr>
        <w:rFonts w:hint="default"/>
        <w:lang w:val="en-US" w:eastAsia="en-US" w:bidi="ar-SA"/>
      </w:rPr>
    </w:lvl>
    <w:lvl w:ilvl="3" w:tplc="C1C64788">
      <w:numFmt w:val="bullet"/>
      <w:lvlText w:val="•"/>
      <w:lvlJc w:val="left"/>
      <w:pPr>
        <w:ind w:left="3693" w:hanging="360"/>
      </w:pPr>
      <w:rPr>
        <w:rFonts w:hint="default"/>
        <w:lang w:val="en-US" w:eastAsia="en-US" w:bidi="ar-SA"/>
      </w:rPr>
    </w:lvl>
    <w:lvl w:ilvl="4" w:tplc="C4A0AABA">
      <w:numFmt w:val="bullet"/>
      <w:lvlText w:val="•"/>
      <w:lvlJc w:val="left"/>
      <w:pPr>
        <w:ind w:left="4651" w:hanging="360"/>
      </w:pPr>
      <w:rPr>
        <w:rFonts w:hint="default"/>
        <w:lang w:val="en-US" w:eastAsia="en-US" w:bidi="ar-SA"/>
      </w:rPr>
    </w:lvl>
    <w:lvl w:ilvl="5" w:tplc="5476AFD8">
      <w:numFmt w:val="bullet"/>
      <w:lvlText w:val="•"/>
      <w:lvlJc w:val="left"/>
      <w:pPr>
        <w:ind w:left="5609" w:hanging="360"/>
      </w:pPr>
      <w:rPr>
        <w:rFonts w:hint="default"/>
        <w:lang w:val="en-US" w:eastAsia="en-US" w:bidi="ar-SA"/>
      </w:rPr>
    </w:lvl>
    <w:lvl w:ilvl="6" w:tplc="667E834C">
      <w:numFmt w:val="bullet"/>
      <w:lvlText w:val="•"/>
      <w:lvlJc w:val="left"/>
      <w:pPr>
        <w:ind w:left="6567" w:hanging="360"/>
      </w:pPr>
      <w:rPr>
        <w:rFonts w:hint="default"/>
        <w:lang w:val="en-US" w:eastAsia="en-US" w:bidi="ar-SA"/>
      </w:rPr>
    </w:lvl>
    <w:lvl w:ilvl="7" w:tplc="8E4C80B0">
      <w:numFmt w:val="bullet"/>
      <w:lvlText w:val="•"/>
      <w:lvlJc w:val="left"/>
      <w:pPr>
        <w:ind w:left="7525" w:hanging="360"/>
      </w:pPr>
      <w:rPr>
        <w:rFonts w:hint="default"/>
        <w:lang w:val="en-US" w:eastAsia="en-US" w:bidi="ar-SA"/>
      </w:rPr>
    </w:lvl>
    <w:lvl w:ilvl="8" w:tplc="4D24EED6">
      <w:numFmt w:val="bullet"/>
      <w:lvlText w:val="•"/>
      <w:lvlJc w:val="left"/>
      <w:pPr>
        <w:ind w:left="8483" w:hanging="360"/>
      </w:pPr>
      <w:rPr>
        <w:rFonts w:hint="default"/>
        <w:lang w:val="en-US" w:eastAsia="en-US" w:bidi="ar-SA"/>
      </w:rPr>
    </w:lvl>
  </w:abstractNum>
  <w:abstractNum w:abstractNumId="4" w15:restartNumberingAfterBreak="0">
    <w:nsid w:val="3F932AD4"/>
    <w:multiLevelType w:val="hybridMultilevel"/>
    <w:tmpl w:val="6B3685C0"/>
    <w:lvl w:ilvl="0" w:tplc="778A55B2">
      <w:numFmt w:val="bullet"/>
      <w:lvlText w:val="o"/>
      <w:lvlJc w:val="left"/>
      <w:pPr>
        <w:ind w:left="874" w:hanging="360"/>
      </w:pPr>
      <w:rPr>
        <w:rFonts w:ascii="Courier New" w:eastAsia="Courier New" w:hAnsi="Courier New" w:cs="Courier New" w:hint="default"/>
        <w:b w:val="0"/>
        <w:bCs w:val="0"/>
        <w:i w:val="0"/>
        <w:iCs w:val="0"/>
        <w:spacing w:val="0"/>
        <w:w w:val="99"/>
        <w:sz w:val="20"/>
        <w:szCs w:val="20"/>
        <w:lang w:val="en-US" w:eastAsia="en-US" w:bidi="ar-SA"/>
      </w:rPr>
    </w:lvl>
    <w:lvl w:ilvl="1" w:tplc="F77C0F2A">
      <w:numFmt w:val="bullet"/>
      <w:lvlText w:val="•"/>
      <w:lvlJc w:val="left"/>
      <w:pPr>
        <w:ind w:left="1868" w:hanging="360"/>
      </w:pPr>
      <w:rPr>
        <w:rFonts w:hint="default"/>
        <w:lang w:val="en-US" w:eastAsia="en-US" w:bidi="ar-SA"/>
      </w:rPr>
    </w:lvl>
    <w:lvl w:ilvl="2" w:tplc="0CA69D6E">
      <w:numFmt w:val="bullet"/>
      <w:lvlText w:val="•"/>
      <w:lvlJc w:val="left"/>
      <w:pPr>
        <w:ind w:left="2856" w:hanging="360"/>
      </w:pPr>
      <w:rPr>
        <w:rFonts w:hint="default"/>
        <w:lang w:val="en-US" w:eastAsia="en-US" w:bidi="ar-SA"/>
      </w:rPr>
    </w:lvl>
    <w:lvl w:ilvl="3" w:tplc="09BCED58">
      <w:numFmt w:val="bullet"/>
      <w:lvlText w:val="•"/>
      <w:lvlJc w:val="left"/>
      <w:pPr>
        <w:ind w:left="3844" w:hanging="360"/>
      </w:pPr>
      <w:rPr>
        <w:rFonts w:hint="default"/>
        <w:lang w:val="en-US" w:eastAsia="en-US" w:bidi="ar-SA"/>
      </w:rPr>
    </w:lvl>
    <w:lvl w:ilvl="4" w:tplc="F3686242">
      <w:numFmt w:val="bullet"/>
      <w:lvlText w:val="•"/>
      <w:lvlJc w:val="left"/>
      <w:pPr>
        <w:ind w:left="4832" w:hanging="360"/>
      </w:pPr>
      <w:rPr>
        <w:rFonts w:hint="default"/>
        <w:lang w:val="en-US" w:eastAsia="en-US" w:bidi="ar-SA"/>
      </w:rPr>
    </w:lvl>
    <w:lvl w:ilvl="5" w:tplc="0332DC36">
      <w:numFmt w:val="bullet"/>
      <w:lvlText w:val="•"/>
      <w:lvlJc w:val="left"/>
      <w:pPr>
        <w:ind w:left="5821" w:hanging="360"/>
      </w:pPr>
      <w:rPr>
        <w:rFonts w:hint="default"/>
        <w:lang w:val="en-US" w:eastAsia="en-US" w:bidi="ar-SA"/>
      </w:rPr>
    </w:lvl>
    <w:lvl w:ilvl="6" w:tplc="8C587768">
      <w:numFmt w:val="bullet"/>
      <w:lvlText w:val="•"/>
      <w:lvlJc w:val="left"/>
      <w:pPr>
        <w:ind w:left="6809" w:hanging="360"/>
      </w:pPr>
      <w:rPr>
        <w:rFonts w:hint="default"/>
        <w:lang w:val="en-US" w:eastAsia="en-US" w:bidi="ar-SA"/>
      </w:rPr>
    </w:lvl>
    <w:lvl w:ilvl="7" w:tplc="59E28606">
      <w:numFmt w:val="bullet"/>
      <w:lvlText w:val="•"/>
      <w:lvlJc w:val="left"/>
      <w:pPr>
        <w:ind w:left="7797" w:hanging="360"/>
      </w:pPr>
      <w:rPr>
        <w:rFonts w:hint="default"/>
        <w:lang w:val="en-US" w:eastAsia="en-US" w:bidi="ar-SA"/>
      </w:rPr>
    </w:lvl>
    <w:lvl w:ilvl="8" w:tplc="F97A4826">
      <w:numFmt w:val="bullet"/>
      <w:lvlText w:val="•"/>
      <w:lvlJc w:val="left"/>
      <w:pPr>
        <w:ind w:left="8785" w:hanging="360"/>
      </w:pPr>
      <w:rPr>
        <w:rFonts w:hint="default"/>
        <w:lang w:val="en-US" w:eastAsia="en-US" w:bidi="ar-SA"/>
      </w:rPr>
    </w:lvl>
  </w:abstractNum>
  <w:abstractNum w:abstractNumId="5" w15:restartNumberingAfterBreak="0">
    <w:nsid w:val="4A237618"/>
    <w:multiLevelType w:val="hybridMultilevel"/>
    <w:tmpl w:val="89E6AC0C"/>
    <w:lvl w:ilvl="0" w:tplc="C7DA900A">
      <w:numFmt w:val="bullet"/>
      <w:lvlText w:val=""/>
      <w:lvlJc w:val="left"/>
      <w:pPr>
        <w:ind w:left="823" w:hanging="360"/>
      </w:pPr>
      <w:rPr>
        <w:rFonts w:ascii="Symbol" w:eastAsia="Symbol" w:hAnsi="Symbol" w:cs="Symbol" w:hint="default"/>
        <w:b w:val="0"/>
        <w:bCs w:val="0"/>
        <w:i w:val="0"/>
        <w:iCs w:val="0"/>
        <w:spacing w:val="0"/>
        <w:w w:val="99"/>
        <w:sz w:val="20"/>
        <w:szCs w:val="20"/>
        <w:lang w:val="en-US" w:eastAsia="en-US" w:bidi="ar-SA"/>
      </w:rPr>
    </w:lvl>
    <w:lvl w:ilvl="1" w:tplc="785A7154">
      <w:numFmt w:val="bullet"/>
      <w:lvlText w:val="•"/>
      <w:lvlJc w:val="left"/>
      <w:pPr>
        <w:ind w:left="1712" w:hanging="360"/>
      </w:pPr>
      <w:rPr>
        <w:rFonts w:hint="default"/>
        <w:lang w:val="en-US" w:eastAsia="en-US" w:bidi="ar-SA"/>
      </w:rPr>
    </w:lvl>
    <w:lvl w:ilvl="2" w:tplc="0356355E">
      <w:numFmt w:val="bullet"/>
      <w:lvlText w:val="•"/>
      <w:lvlJc w:val="left"/>
      <w:pPr>
        <w:ind w:left="2604" w:hanging="360"/>
      </w:pPr>
      <w:rPr>
        <w:rFonts w:hint="default"/>
        <w:lang w:val="en-US" w:eastAsia="en-US" w:bidi="ar-SA"/>
      </w:rPr>
    </w:lvl>
    <w:lvl w:ilvl="3" w:tplc="A5040E48">
      <w:numFmt w:val="bullet"/>
      <w:lvlText w:val="•"/>
      <w:lvlJc w:val="left"/>
      <w:pPr>
        <w:ind w:left="3496" w:hanging="360"/>
      </w:pPr>
      <w:rPr>
        <w:rFonts w:hint="default"/>
        <w:lang w:val="en-US" w:eastAsia="en-US" w:bidi="ar-SA"/>
      </w:rPr>
    </w:lvl>
    <w:lvl w:ilvl="4" w:tplc="57921908">
      <w:numFmt w:val="bullet"/>
      <w:lvlText w:val="•"/>
      <w:lvlJc w:val="left"/>
      <w:pPr>
        <w:ind w:left="4388" w:hanging="360"/>
      </w:pPr>
      <w:rPr>
        <w:rFonts w:hint="default"/>
        <w:lang w:val="en-US" w:eastAsia="en-US" w:bidi="ar-SA"/>
      </w:rPr>
    </w:lvl>
    <w:lvl w:ilvl="5" w:tplc="8F74C3C8">
      <w:numFmt w:val="bullet"/>
      <w:lvlText w:val="•"/>
      <w:lvlJc w:val="left"/>
      <w:pPr>
        <w:ind w:left="5280" w:hanging="360"/>
      </w:pPr>
      <w:rPr>
        <w:rFonts w:hint="default"/>
        <w:lang w:val="en-US" w:eastAsia="en-US" w:bidi="ar-SA"/>
      </w:rPr>
    </w:lvl>
    <w:lvl w:ilvl="6" w:tplc="614E7BAE">
      <w:numFmt w:val="bullet"/>
      <w:lvlText w:val="•"/>
      <w:lvlJc w:val="left"/>
      <w:pPr>
        <w:ind w:left="6172" w:hanging="360"/>
      </w:pPr>
      <w:rPr>
        <w:rFonts w:hint="default"/>
        <w:lang w:val="en-US" w:eastAsia="en-US" w:bidi="ar-SA"/>
      </w:rPr>
    </w:lvl>
    <w:lvl w:ilvl="7" w:tplc="51A8122E">
      <w:numFmt w:val="bullet"/>
      <w:lvlText w:val="•"/>
      <w:lvlJc w:val="left"/>
      <w:pPr>
        <w:ind w:left="7064" w:hanging="360"/>
      </w:pPr>
      <w:rPr>
        <w:rFonts w:hint="default"/>
        <w:lang w:val="en-US" w:eastAsia="en-US" w:bidi="ar-SA"/>
      </w:rPr>
    </w:lvl>
    <w:lvl w:ilvl="8" w:tplc="AFE8D440">
      <w:numFmt w:val="bullet"/>
      <w:lvlText w:val="•"/>
      <w:lvlJc w:val="left"/>
      <w:pPr>
        <w:ind w:left="7956" w:hanging="360"/>
      </w:pPr>
      <w:rPr>
        <w:rFonts w:hint="default"/>
        <w:lang w:val="en-US" w:eastAsia="en-US" w:bidi="ar-SA"/>
      </w:rPr>
    </w:lvl>
  </w:abstractNum>
  <w:abstractNum w:abstractNumId="6" w15:restartNumberingAfterBreak="0">
    <w:nsid w:val="68704FF6"/>
    <w:multiLevelType w:val="hybridMultilevel"/>
    <w:tmpl w:val="3070BB74"/>
    <w:lvl w:ilvl="0" w:tplc="084A3FF0">
      <w:start w:val="1"/>
      <w:numFmt w:val="decimal"/>
      <w:lvlText w:val="%1."/>
      <w:lvlJc w:val="left"/>
      <w:pPr>
        <w:ind w:left="514" w:hanging="361"/>
      </w:pPr>
      <w:rPr>
        <w:rFonts w:ascii="Arial" w:eastAsia="Arial" w:hAnsi="Arial" w:cs="Arial" w:hint="default"/>
        <w:b/>
        <w:bCs/>
        <w:i w:val="0"/>
        <w:iCs w:val="0"/>
        <w:spacing w:val="-1"/>
        <w:w w:val="100"/>
        <w:sz w:val="22"/>
        <w:szCs w:val="22"/>
        <w:lang w:val="en-US" w:eastAsia="en-US" w:bidi="ar-SA"/>
      </w:rPr>
    </w:lvl>
    <w:lvl w:ilvl="1" w:tplc="66A68070">
      <w:numFmt w:val="bullet"/>
      <w:lvlText w:val=""/>
      <w:lvlJc w:val="left"/>
      <w:pPr>
        <w:ind w:left="874" w:hanging="360"/>
      </w:pPr>
      <w:rPr>
        <w:rFonts w:ascii="Symbol" w:eastAsia="Symbol" w:hAnsi="Symbol" w:cs="Symbol" w:hint="default"/>
        <w:b w:val="0"/>
        <w:bCs w:val="0"/>
        <w:i w:val="0"/>
        <w:iCs w:val="0"/>
        <w:spacing w:val="0"/>
        <w:w w:val="100"/>
        <w:sz w:val="22"/>
        <w:szCs w:val="22"/>
        <w:lang w:val="en-US" w:eastAsia="en-US" w:bidi="ar-SA"/>
      </w:rPr>
    </w:lvl>
    <w:lvl w:ilvl="2" w:tplc="C316A402">
      <w:numFmt w:val="bullet"/>
      <w:lvlText w:val="•"/>
      <w:lvlJc w:val="left"/>
      <w:pPr>
        <w:ind w:left="1978" w:hanging="360"/>
      </w:pPr>
      <w:rPr>
        <w:rFonts w:hint="default"/>
        <w:lang w:val="en-US" w:eastAsia="en-US" w:bidi="ar-SA"/>
      </w:rPr>
    </w:lvl>
    <w:lvl w:ilvl="3" w:tplc="8BEEC218">
      <w:numFmt w:val="bullet"/>
      <w:lvlText w:val="•"/>
      <w:lvlJc w:val="left"/>
      <w:pPr>
        <w:ind w:left="3076" w:hanging="360"/>
      </w:pPr>
      <w:rPr>
        <w:rFonts w:hint="default"/>
        <w:lang w:val="en-US" w:eastAsia="en-US" w:bidi="ar-SA"/>
      </w:rPr>
    </w:lvl>
    <w:lvl w:ilvl="4" w:tplc="B83ECA08">
      <w:numFmt w:val="bullet"/>
      <w:lvlText w:val="•"/>
      <w:lvlJc w:val="left"/>
      <w:pPr>
        <w:ind w:left="4174" w:hanging="360"/>
      </w:pPr>
      <w:rPr>
        <w:rFonts w:hint="default"/>
        <w:lang w:val="en-US" w:eastAsia="en-US" w:bidi="ar-SA"/>
      </w:rPr>
    </w:lvl>
    <w:lvl w:ilvl="5" w:tplc="4ADAEE8E">
      <w:numFmt w:val="bullet"/>
      <w:lvlText w:val="•"/>
      <w:lvlJc w:val="left"/>
      <w:pPr>
        <w:ind w:left="5272" w:hanging="360"/>
      </w:pPr>
      <w:rPr>
        <w:rFonts w:hint="default"/>
        <w:lang w:val="en-US" w:eastAsia="en-US" w:bidi="ar-SA"/>
      </w:rPr>
    </w:lvl>
    <w:lvl w:ilvl="6" w:tplc="3CC0DBA8">
      <w:numFmt w:val="bullet"/>
      <w:lvlText w:val="•"/>
      <w:lvlJc w:val="left"/>
      <w:pPr>
        <w:ind w:left="6370" w:hanging="360"/>
      </w:pPr>
      <w:rPr>
        <w:rFonts w:hint="default"/>
        <w:lang w:val="en-US" w:eastAsia="en-US" w:bidi="ar-SA"/>
      </w:rPr>
    </w:lvl>
    <w:lvl w:ilvl="7" w:tplc="37E6C6FA">
      <w:numFmt w:val="bullet"/>
      <w:lvlText w:val="•"/>
      <w:lvlJc w:val="left"/>
      <w:pPr>
        <w:ind w:left="7468" w:hanging="360"/>
      </w:pPr>
      <w:rPr>
        <w:rFonts w:hint="default"/>
        <w:lang w:val="en-US" w:eastAsia="en-US" w:bidi="ar-SA"/>
      </w:rPr>
    </w:lvl>
    <w:lvl w:ilvl="8" w:tplc="F47CE300">
      <w:numFmt w:val="bullet"/>
      <w:lvlText w:val="•"/>
      <w:lvlJc w:val="left"/>
      <w:pPr>
        <w:ind w:left="8566" w:hanging="360"/>
      </w:pPr>
      <w:rPr>
        <w:rFonts w:hint="default"/>
        <w:lang w:val="en-US" w:eastAsia="en-US" w:bidi="ar-SA"/>
      </w:rPr>
    </w:lvl>
  </w:abstractNum>
  <w:abstractNum w:abstractNumId="7" w15:restartNumberingAfterBreak="0">
    <w:nsid w:val="70123405"/>
    <w:multiLevelType w:val="multilevel"/>
    <w:tmpl w:val="27F08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3751876">
    <w:abstractNumId w:val="6"/>
  </w:num>
  <w:num w:numId="2" w16cid:durableId="161746844">
    <w:abstractNumId w:val="3"/>
  </w:num>
  <w:num w:numId="3" w16cid:durableId="73746086">
    <w:abstractNumId w:val="4"/>
  </w:num>
  <w:num w:numId="4" w16cid:durableId="1920871835">
    <w:abstractNumId w:val="1"/>
  </w:num>
  <w:num w:numId="5" w16cid:durableId="1036390383">
    <w:abstractNumId w:val="5"/>
  </w:num>
  <w:num w:numId="6" w16cid:durableId="575165149">
    <w:abstractNumId w:val="7"/>
  </w:num>
  <w:num w:numId="7" w16cid:durableId="1888761271">
    <w:abstractNumId w:val="2"/>
  </w:num>
  <w:num w:numId="8" w16cid:durableId="1428885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EA19B2"/>
    <w:rsid w:val="00010CAC"/>
    <w:rsid w:val="00075C3D"/>
    <w:rsid w:val="000858D4"/>
    <w:rsid w:val="000E2E9F"/>
    <w:rsid w:val="0016317C"/>
    <w:rsid w:val="00164C2B"/>
    <w:rsid w:val="001F44E7"/>
    <w:rsid w:val="00241653"/>
    <w:rsid w:val="002910B6"/>
    <w:rsid w:val="002E141B"/>
    <w:rsid w:val="002F5352"/>
    <w:rsid w:val="003625C9"/>
    <w:rsid w:val="00362FC8"/>
    <w:rsid w:val="00373C2B"/>
    <w:rsid w:val="00386995"/>
    <w:rsid w:val="003B3CBE"/>
    <w:rsid w:val="004549CB"/>
    <w:rsid w:val="004B2FD8"/>
    <w:rsid w:val="004B4889"/>
    <w:rsid w:val="005A07A1"/>
    <w:rsid w:val="006108A9"/>
    <w:rsid w:val="00652462"/>
    <w:rsid w:val="0069295A"/>
    <w:rsid w:val="006C0EA3"/>
    <w:rsid w:val="006C28C2"/>
    <w:rsid w:val="006D04A4"/>
    <w:rsid w:val="007274F2"/>
    <w:rsid w:val="007479B8"/>
    <w:rsid w:val="00803FF0"/>
    <w:rsid w:val="00866825"/>
    <w:rsid w:val="008824E8"/>
    <w:rsid w:val="00893C4E"/>
    <w:rsid w:val="008D7050"/>
    <w:rsid w:val="00915D7B"/>
    <w:rsid w:val="00933B95"/>
    <w:rsid w:val="00A31AF8"/>
    <w:rsid w:val="00A653C5"/>
    <w:rsid w:val="00A84810"/>
    <w:rsid w:val="00AA5FD9"/>
    <w:rsid w:val="00B33187"/>
    <w:rsid w:val="00B753FB"/>
    <w:rsid w:val="00BC3FCD"/>
    <w:rsid w:val="00C74A7E"/>
    <w:rsid w:val="00C84DB4"/>
    <w:rsid w:val="00CC423A"/>
    <w:rsid w:val="00D001D2"/>
    <w:rsid w:val="00D2044A"/>
    <w:rsid w:val="00D2537A"/>
    <w:rsid w:val="00D268E6"/>
    <w:rsid w:val="00D8357D"/>
    <w:rsid w:val="00DF08CD"/>
    <w:rsid w:val="00EA19B2"/>
    <w:rsid w:val="00F11A47"/>
    <w:rsid w:val="00F260C7"/>
    <w:rsid w:val="00F905BC"/>
  </w:rsids>
  <m:mathPr>
    <m:mathFont m:val="Cambria Math"/>
    <m:brkBin m:val="before"/>
    <m:brkBinSub m:val="--"/>
    <m:smallFrac m:val="0"/>
    <m:dispDef/>
    <m:lMargin m:val="0"/>
    <m:rMargin m:val="0"/>
    <m:defJc m:val="centerGroup"/>
    <m:wrapIndent m:val="1440"/>
    <m:intLim m:val="subSup"/>
    <m:naryLim m:val="undOvr"/>
  </m:mathPr>
  <w:themeFontLang w:val="en-IN"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389E6"/>
  <w15:docId w15:val="{21140323-EFA2-4C24-A4DB-22F42BA6D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rsid w:val="005A07A1"/>
    <w:pPr>
      <w:spacing w:line="480" w:lineRule="auto"/>
      <w:ind w:left="153"/>
      <w:jc w:val="both"/>
      <w:outlineLvl w:val="0"/>
    </w:pPr>
    <w:rPr>
      <w:rFonts w:ascii="Arial" w:eastAsia="Arial" w:hAnsi="Arial" w:cs="Arial"/>
      <w:b/>
      <w:bCs/>
      <w:color w:val="000000" w:themeColor="text1"/>
      <w:sz w:val="24"/>
      <w:szCs w:val="24"/>
    </w:rPr>
  </w:style>
  <w:style w:type="paragraph" w:styleId="Heading2">
    <w:name w:val="heading 2"/>
    <w:basedOn w:val="Normal"/>
    <w:uiPriority w:val="9"/>
    <w:unhideWhenUsed/>
    <w:qFormat/>
    <w:rsid w:val="005A07A1"/>
    <w:pPr>
      <w:spacing w:line="480" w:lineRule="auto"/>
      <w:ind w:left="512" w:hanging="359"/>
      <w:jc w:val="both"/>
      <w:outlineLvl w:val="1"/>
    </w:pPr>
    <w:rPr>
      <w:rFonts w:ascii="Arial" w:eastAsia="Arial" w:hAnsi="Arial" w:cs="Arial"/>
      <w:b/>
      <w:bCs/>
      <w:color w:val="000000" w:themeColor="text1"/>
      <w:sz w:val="24"/>
    </w:rPr>
  </w:style>
  <w:style w:type="paragraph" w:styleId="Heading3">
    <w:name w:val="heading 3"/>
    <w:basedOn w:val="Normal"/>
    <w:uiPriority w:val="9"/>
    <w:unhideWhenUsed/>
    <w:qFormat/>
    <w:pPr>
      <w:spacing w:line="252" w:lineRule="exact"/>
      <w:ind w:left="153"/>
      <w:outlineLvl w:val="2"/>
    </w:pPr>
    <w:rPr>
      <w:rFonts w:ascii="Arial" w:eastAsia="Arial" w:hAnsi="Arial" w:cs="Arial"/>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874" w:hanging="360"/>
    </w:pPr>
    <w:rPr>
      <w:rFonts w:ascii="Arial" w:eastAsia="Arial" w:hAnsi="Arial" w:cs="Arial"/>
    </w:r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5A07A1"/>
    <w:pPr>
      <w:tabs>
        <w:tab w:val="center" w:pos="4513"/>
        <w:tab w:val="right" w:pos="9026"/>
      </w:tabs>
    </w:pPr>
  </w:style>
  <w:style w:type="character" w:customStyle="1" w:styleId="HeaderChar">
    <w:name w:val="Header Char"/>
    <w:basedOn w:val="DefaultParagraphFont"/>
    <w:link w:val="Header"/>
    <w:uiPriority w:val="99"/>
    <w:rsid w:val="005A07A1"/>
    <w:rPr>
      <w:rFonts w:ascii="Arial MT" w:eastAsia="Arial MT" w:hAnsi="Arial MT" w:cs="Arial MT"/>
    </w:rPr>
  </w:style>
  <w:style w:type="paragraph" w:styleId="Footer">
    <w:name w:val="footer"/>
    <w:basedOn w:val="Normal"/>
    <w:link w:val="FooterChar"/>
    <w:uiPriority w:val="99"/>
    <w:unhideWhenUsed/>
    <w:rsid w:val="005A07A1"/>
    <w:pPr>
      <w:tabs>
        <w:tab w:val="center" w:pos="4513"/>
        <w:tab w:val="right" w:pos="9026"/>
      </w:tabs>
    </w:pPr>
  </w:style>
  <w:style w:type="character" w:customStyle="1" w:styleId="FooterChar">
    <w:name w:val="Footer Char"/>
    <w:basedOn w:val="DefaultParagraphFont"/>
    <w:link w:val="Footer"/>
    <w:uiPriority w:val="99"/>
    <w:rsid w:val="005A07A1"/>
    <w:rPr>
      <w:rFonts w:ascii="Arial MT" w:eastAsia="Arial MT" w:hAnsi="Arial MT" w:cs="Arial MT"/>
    </w:rPr>
  </w:style>
  <w:style w:type="paragraph" w:styleId="TOCHeading">
    <w:name w:val="TOC Heading"/>
    <w:basedOn w:val="Heading1"/>
    <w:next w:val="Normal"/>
    <w:uiPriority w:val="39"/>
    <w:unhideWhenUsed/>
    <w:qFormat/>
    <w:rsid w:val="005A07A1"/>
    <w:pPr>
      <w:keepNext/>
      <w:keepLines/>
      <w:widowControl/>
      <w:autoSpaceDE/>
      <w:autoSpaceDN/>
      <w:spacing w:before="240" w:line="259" w:lineRule="auto"/>
      <w:ind w:left="0"/>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5A07A1"/>
    <w:pPr>
      <w:spacing w:after="100"/>
    </w:pPr>
  </w:style>
  <w:style w:type="paragraph" w:styleId="TOC2">
    <w:name w:val="toc 2"/>
    <w:basedOn w:val="Normal"/>
    <w:next w:val="Normal"/>
    <w:autoRedefine/>
    <w:uiPriority w:val="39"/>
    <w:unhideWhenUsed/>
    <w:rsid w:val="005A07A1"/>
    <w:pPr>
      <w:spacing w:after="100"/>
      <w:ind w:left="220"/>
    </w:pPr>
  </w:style>
  <w:style w:type="character" w:styleId="Hyperlink">
    <w:name w:val="Hyperlink"/>
    <w:basedOn w:val="DefaultParagraphFont"/>
    <w:uiPriority w:val="99"/>
    <w:unhideWhenUsed/>
    <w:rsid w:val="005A07A1"/>
    <w:rPr>
      <w:color w:val="0000FF" w:themeColor="hyperlink"/>
      <w:u w:val="single"/>
    </w:rPr>
  </w:style>
  <w:style w:type="character" w:styleId="CommentReference">
    <w:name w:val="annotation reference"/>
    <w:basedOn w:val="DefaultParagraphFont"/>
    <w:uiPriority w:val="99"/>
    <w:semiHidden/>
    <w:unhideWhenUsed/>
    <w:rsid w:val="00A653C5"/>
    <w:rPr>
      <w:sz w:val="16"/>
      <w:szCs w:val="16"/>
    </w:rPr>
  </w:style>
  <w:style w:type="paragraph" w:styleId="CommentText">
    <w:name w:val="annotation text"/>
    <w:basedOn w:val="Normal"/>
    <w:link w:val="CommentTextChar"/>
    <w:uiPriority w:val="99"/>
    <w:unhideWhenUsed/>
    <w:rsid w:val="00A653C5"/>
    <w:rPr>
      <w:sz w:val="20"/>
      <w:szCs w:val="20"/>
    </w:rPr>
  </w:style>
  <w:style w:type="character" w:customStyle="1" w:styleId="CommentTextChar">
    <w:name w:val="Comment Text Char"/>
    <w:basedOn w:val="DefaultParagraphFont"/>
    <w:link w:val="CommentText"/>
    <w:uiPriority w:val="99"/>
    <w:rsid w:val="00A653C5"/>
    <w:rPr>
      <w:rFonts w:ascii="Arial MT" w:eastAsia="Arial MT" w:hAnsi="Arial MT" w:cs="Arial MT"/>
      <w:sz w:val="20"/>
      <w:szCs w:val="20"/>
    </w:rPr>
  </w:style>
  <w:style w:type="paragraph" w:styleId="CommentSubject">
    <w:name w:val="annotation subject"/>
    <w:basedOn w:val="CommentText"/>
    <w:next w:val="CommentText"/>
    <w:link w:val="CommentSubjectChar"/>
    <w:uiPriority w:val="99"/>
    <w:semiHidden/>
    <w:unhideWhenUsed/>
    <w:rsid w:val="00A653C5"/>
    <w:rPr>
      <w:b/>
      <w:bCs/>
    </w:rPr>
  </w:style>
  <w:style w:type="character" w:customStyle="1" w:styleId="CommentSubjectChar">
    <w:name w:val="Comment Subject Char"/>
    <w:basedOn w:val="CommentTextChar"/>
    <w:link w:val="CommentSubject"/>
    <w:uiPriority w:val="99"/>
    <w:semiHidden/>
    <w:rsid w:val="00A653C5"/>
    <w:rPr>
      <w:rFonts w:ascii="Arial MT" w:eastAsia="Arial MT" w:hAnsi="Arial MT" w:cs="Arial MT"/>
      <w:b/>
      <w:bCs/>
      <w:sz w:val="20"/>
      <w:szCs w:val="20"/>
    </w:rPr>
  </w:style>
  <w:style w:type="character" w:styleId="UnresolvedMention">
    <w:name w:val="Unresolved Mention"/>
    <w:basedOn w:val="DefaultParagraphFont"/>
    <w:uiPriority w:val="99"/>
    <w:semiHidden/>
    <w:unhideWhenUsed/>
    <w:rsid w:val="00F260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9781118857205" TargetMode="External"/><Relationship Id="rId18" Type="http://schemas.openxmlformats.org/officeDocument/2006/relationships/hyperlink" Target="https://link.springer.com/content/pdf/10.1186/s12889-023-16031-w.pdf" TargetMode="External"/><Relationship Id="rId26" Type="http://schemas.openxmlformats.org/officeDocument/2006/relationships/hyperlink" Target="https://www.ncsct.co.uk/library/view/pdf/Patterns-and-prevalence-of-smoking-in-young-people.pdf" TargetMode="External"/><Relationship Id="rId39" Type="http://schemas.openxmlformats.org/officeDocument/2006/relationships/footer" Target="footer1.xml"/><Relationship Id="rId21" Type="http://schemas.openxmlformats.org/officeDocument/2006/relationships/hyperlink" Target="https://www.gov.uk/government/publications/nicotine-vaping-in-england-2022-evidence-update/nicotine-vaping-in-england-2022-evidence-update-summary" TargetMode="External"/><Relationship Id="rId34" Type="http://schemas.openxmlformats.org/officeDocument/2006/relationships/hyperlink" Target="https://doi.org/10.1007/s11135-023-01798-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cademic.oup.com/ntr/article-pdf/24/1/109/41727307/ntab146.pdf" TargetMode="External"/><Relationship Id="rId20" Type="http://schemas.openxmlformats.org/officeDocument/2006/relationships/hyperlink" Target="https://doi.org/10.18332/tid/157203" TargetMode="External"/><Relationship Id="rId29" Type="http://schemas.openxmlformats.org/officeDocument/2006/relationships/hyperlink" Target="https://doi.org/10.3389/frai.2022.65493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nfo-Pub-2/publication/388108061_Global_advances_in_tobacco_control_policies_A_review_of_evidence_implementation_models_and_public_health_outcomes/links/678a4a8fec3ae3435a6856eb/Global-advances-in-tobacco-control-policies-A-review-of-evidence-implementation-models-and-public-health-outcomes.pdf" TargetMode="External"/><Relationship Id="rId24" Type="http://schemas.openxmlformats.org/officeDocument/2006/relationships/hyperlink" Target="https://doi.org/10.1111/add.12293" TargetMode="External"/><Relationship Id="rId32" Type="http://schemas.openxmlformats.org/officeDocument/2006/relationships/hyperlink" Target="https://link.springer.com/chapter/10.1007/978-3-031-04394-9_72" TargetMode="External"/><Relationship Id="rId37" Type="http://schemas.openxmlformats.org/officeDocument/2006/relationships/hyperlink" Target="https://doi.org/10.18332/tid/15232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drugalcdep.2013.11.003" TargetMode="External"/><Relationship Id="rId23" Type="http://schemas.openxmlformats.org/officeDocument/2006/relationships/hyperlink" Target="https://www.blackpooljsna.org.uk/Developing-Well/Children-and-young-peoples-health/Tobacco-use-in-children-and-young-people.aspx" TargetMode="External"/><Relationship Id="rId28" Type="http://schemas.openxmlformats.org/officeDocument/2006/relationships/hyperlink" Target="https://doi.org/10.22034/ijels.2022.162982" TargetMode="External"/><Relationship Id="rId36" Type="http://schemas.openxmlformats.org/officeDocument/2006/relationships/hyperlink" Target="https://www.ucl.ac.uk/impact/case-studies/2022/apr/ucl-research-informs-stoptober-helping-thousands-quit-smoking" TargetMode="External"/><Relationship Id="rId10" Type="http://schemas.openxmlformats.org/officeDocument/2006/relationships/hyperlink" Target="https://www.researchgate.net/profile/Anfo-Pub-2/publication/389390200_Integrating_Multisectoral_Strategies_for_Tobacco_Control_Evidence-Based_Approaches_and_Public_Health_Outcomes/links/67c0691d96e7fb48b9d201ca/Integrating-Multisectoral-Strategies-for-Tobacco-Control-Evidence-Based-Approaches-and-Public-Health-Outcomes.pdf" TargetMode="External"/><Relationship Id="rId19" Type="http://schemas.openxmlformats.org/officeDocument/2006/relationships/hyperlink" Target="https://doi.org/10.5772/intechopen.1003083" TargetMode="External"/><Relationship Id="rId31" Type="http://schemas.openxmlformats.org/officeDocument/2006/relationships/hyperlink" Target="https://doi.org/10.1136/tc-2024-058903" TargetMode="External"/><Relationship Id="rId4" Type="http://schemas.openxmlformats.org/officeDocument/2006/relationships/settings" Target="settings.xml"/><Relationship Id="rId9" Type="http://schemas.openxmlformats.org/officeDocument/2006/relationships/hyperlink" Target="https://doi.org/10.1016/j.jemep.2025.101117" TargetMode="External"/><Relationship Id="rId14" Type="http://schemas.openxmlformats.org/officeDocument/2006/relationships/hyperlink" Target="https://doi.org/10.1108/jsocm-09-2020-0174" TargetMode="External"/><Relationship Id="rId22" Type="http://schemas.openxmlformats.org/officeDocument/2006/relationships/hyperlink" Target="http://journal.hmjournals.com/index.php/JNRPSP" TargetMode="External"/><Relationship Id="rId27" Type="http://schemas.openxmlformats.org/officeDocument/2006/relationships/hyperlink" Target="https://www.simplypsychology.org/interpretivism-paradigm.html" TargetMode="External"/><Relationship Id="rId30" Type="http://schemas.openxmlformats.org/officeDocument/2006/relationships/hyperlink" Target="https://doi.org/10.1177/15586898221126816" TargetMode="External"/><Relationship Id="rId35" Type="http://schemas.openxmlformats.org/officeDocument/2006/relationships/hyperlink" Target="https://link.springer.com/content/pdf/10.1186/s12889-022-13072-5.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ash.org.uk/uploads/Youth-Smoking-Fact-Sheet.pdf?v=1741882326" TargetMode="External"/><Relationship Id="rId17" Type="http://schemas.openxmlformats.org/officeDocument/2006/relationships/hyperlink" Target="https://doi.org/10.1136/tobaccocontrol-2021-056558" TargetMode="External"/><Relationship Id="rId25" Type="http://schemas.openxmlformats.org/officeDocument/2006/relationships/hyperlink" Target="https://doi.org/10.1016/s2352-4642(20)30390-4" TargetMode="External"/><Relationship Id="rId33" Type="http://schemas.openxmlformats.org/officeDocument/2006/relationships/hyperlink" Target="https://books.google.com/books?hl=en&amp;lr=&amp;id=ZKucEAAAQBAJ&amp;oi=fnd&amp;pg=PA41&amp;dq=secondary+data+collection&amp;ots=KxJ2WVZFQs&amp;sig=PAHAm-MTJ-VsW31JKuZCdzmwgbQ" TargetMode="External"/><Relationship Id="rId38" Type="http://schemas.openxmlformats.org/officeDocument/2006/relationships/hyperlink" Target="https://news.cancerresearchuk.org/2024/10/25/350-young-adults-start-smoking-every-day-in-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06F4C-3B5E-4103-B2A9-AFD3DC35C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14</Pages>
  <Words>4530</Words>
  <Characters>25821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
  <LinksUpToDate>false</LinksUpToDate>
  <CharactersWithSpaces>30291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cp:lastModifiedBy>USER</cp:lastModifiedBy>
  <cp:revision>28</cp:revision>
  <dcterms:created xsi:type="dcterms:W3CDTF">2025-12-03T11:35:00Z</dcterms:created>
  <dcterms:modified xsi:type="dcterms:W3CDTF">2025-12-14T17:57:00Z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2025-10-04T00:00:00Z</vt:filetime>
  </property>
  <property fmtid="{D5CDD505-2E9C-101B-9397-08002B2CF9AE}" pid="3" name="Creator">
    <vt:lpwstr>Microsoft® Word for Microsoft 365</vt:lpwstr>
  </property>
  <property fmtid="{D5CDD505-2E9C-101B-9397-08002B2CF9AE}" pid="4" name="LastSaved">
    <vt:filetime>2025-12-03T00:00:00Z</vt:filetime>
  </property>
  <property fmtid="{D5CDD505-2E9C-101B-9397-08002B2CF9AE}" pid="5" name="Producer">
    <vt:lpwstr>Microsoft® Word for Microsoft 365</vt:lpwstr>
  </property>
</Properties>
</file>