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1FAEDD" w14:textId="746F4CD7" w:rsidR="00E62452" w:rsidRPr="00A5635E" w:rsidRDefault="00E62452" w:rsidP="002F57CD">
      <w:pPr>
        <w:jc w:val="center"/>
        <w:rPr>
          <w:b/>
          <w:bCs/>
          <w:u w:val="single"/>
        </w:rPr>
      </w:pPr>
      <w:r w:rsidRPr="00A5635E">
        <w:rPr>
          <w:b/>
          <w:bCs/>
          <w:u w:val="single"/>
        </w:rPr>
        <w:t xml:space="preserve">The social patterns found within </w:t>
      </w:r>
      <w:r w:rsidR="00A5635E" w:rsidRPr="00A5635E">
        <w:rPr>
          <w:b/>
          <w:bCs/>
          <w:u w:val="single"/>
        </w:rPr>
        <w:t>societies refuse – How garbology highlights the everyday life of common people in unexpected ways</w:t>
      </w:r>
    </w:p>
    <w:p w14:paraId="6DDF8A8F" w14:textId="17D10542" w:rsidR="009258A4" w:rsidRDefault="00E55906" w:rsidP="00E55906">
      <w:r>
        <w:t xml:space="preserve">Digging through another person’s weekly household waste may seem an unconventional </w:t>
      </w:r>
      <w:r w:rsidR="0059668B">
        <w:t>method</w:t>
      </w:r>
      <w:r>
        <w:t xml:space="preserve"> to observe their </w:t>
      </w:r>
      <w:r w:rsidR="0059668B">
        <w:t>daily lives, however the practise of garbology, brought into popular culture by William Rathje</w:t>
      </w:r>
      <w:r w:rsidR="004269DF">
        <w:t xml:space="preserve"> (</w:t>
      </w:r>
      <w:r w:rsidR="00C91CAE">
        <w:t>Schiffer &amp; Reid, Encyclop</w:t>
      </w:r>
      <w:r w:rsidR="005C05E6">
        <w:t>a</w:t>
      </w:r>
      <w:r w:rsidR="00C91CAE">
        <w:t>edia of Global Archaeology</w:t>
      </w:r>
      <w:r w:rsidR="005C05E6">
        <w:t>,</w:t>
      </w:r>
      <w:r w:rsidR="00C91CAE">
        <w:t xml:space="preserve"> 2020)</w:t>
      </w:r>
      <w:r w:rsidR="0059668B">
        <w:t xml:space="preserve">, </w:t>
      </w:r>
      <w:r w:rsidR="007D206E">
        <w:t xml:space="preserve">combining more typically scientific research methods with an archaeological </w:t>
      </w:r>
      <w:r w:rsidR="004269DF">
        <w:t xml:space="preserve">approach to the study of our everyday waste. </w:t>
      </w:r>
      <w:r w:rsidR="00E848BA">
        <w:t>Through the observation and careful analysis of a singular households recycling bag for one week, it has been possible to infer some social patterns from this particular household, which offer archaeologists a contemporary insight into</w:t>
      </w:r>
      <w:r w:rsidR="00F93AD3">
        <w:t xml:space="preserve"> typical eating or living habits of the observed people.</w:t>
      </w:r>
    </w:p>
    <w:p w14:paraId="49466978" w14:textId="5FD8996C" w:rsidR="00211CE6" w:rsidRDefault="00C36B2B" w:rsidP="00C83C0F">
      <w:r>
        <w:t>The chosen assemblage</w:t>
      </w:r>
      <w:r w:rsidR="00080864">
        <w:t xml:space="preserve"> consisted of the household waste of a small home, which can be observed through the smaller quantities of items such as toilet rolls and</w:t>
      </w:r>
      <w:r w:rsidR="00941FCB">
        <w:t xml:space="preserve"> quantities of drinks such as apple juice</w:t>
      </w:r>
      <w:r w:rsidR="009258A4">
        <w:t xml:space="preserve"> of which there was one carton. </w:t>
      </w:r>
      <w:r w:rsidR="00CB49CD">
        <w:t>Within the assemblage, there was a combination of both consumable items packaging, and usable items within the household such as an open box</w:t>
      </w:r>
      <w:r w:rsidR="00C73FBA">
        <w:t xml:space="preserve"> a scarf. Given the higher quality brand for this particular scarf, it is likely that the item was given as a gift signifying the cultural significance laid upon an event such as a birthday within this </w:t>
      </w:r>
      <w:r w:rsidR="00DF7249">
        <w:t>household</w:t>
      </w:r>
      <w:r w:rsidR="00C73FBA">
        <w:t>.</w:t>
      </w:r>
      <w:r w:rsidR="00DF7249">
        <w:t xml:space="preserve"> Alongside this scarf, there were also two boxes of chocolate,</w:t>
      </w:r>
      <w:r w:rsidR="006D1A07">
        <w:t xml:space="preserve"> one of the Lindor brand and another Thorntons. </w:t>
      </w:r>
      <w:r w:rsidR="009258A4">
        <w:t xml:space="preserve"> </w:t>
      </w:r>
      <w:r w:rsidR="006873BF">
        <w:t>With a singular box of Lind</w:t>
      </w:r>
      <w:r w:rsidR="009607FF">
        <w:t>or</w:t>
      </w:r>
      <w:r w:rsidR="006873BF">
        <w:t xml:space="preserve"> chocolate costing £12.50</w:t>
      </w:r>
      <w:r w:rsidR="009607FF">
        <w:t>, it is unlikely that these items will be purchased on a regular basis signifying the emphasis placed upon such an event as a birthday and the</w:t>
      </w:r>
      <w:r w:rsidR="006C02A4">
        <w:t xml:space="preserve"> potential inclination to spend more money when giving gifts to a significant individual, and even the</w:t>
      </w:r>
      <w:r w:rsidR="0049024C">
        <w:t xml:space="preserve"> lack of a gift box or wrapping these items may have been given from one member of the household to another, suggesting patterns of affection and close connection between the occupants of the house.</w:t>
      </w:r>
      <w:r w:rsidR="006873BF">
        <w:t xml:space="preserve"> </w:t>
      </w:r>
      <w:r w:rsidR="000B420B">
        <w:t xml:space="preserve">Offers some insight into the social patterns of this household, the destructive method in which the items were opened – neither had been correctly opened from the top instead ripped open, </w:t>
      </w:r>
      <w:r w:rsidR="007F1FD2">
        <w:t xml:space="preserve">personality and habits of the users. In contrast to other items such as the tins of lentils, the chocolates were shown to be an anomaly within </w:t>
      </w:r>
      <w:r w:rsidR="00E90820">
        <w:t xml:space="preserve">the typical recycling behaviours of this person, as every single tin found within the assemblage were each carefully washed and crushed to create smaller waste, as opposed to the chocolate boxes which were rather haphazardly opened. </w:t>
      </w:r>
      <w:r w:rsidR="00E43ECF">
        <w:t xml:space="preserve">The primary items found within the assemblage were household food items, such as tins of chopped tomato, </w:t>
      </w:r>
      <w:r w:rsidR="009A00B7">
        <w:t xml:space="preserve">of which there were several, </w:t>
      </w:r>
      <w:r w:rsidR="00E87A63">
        <w:t>all</w:t>
      </w:r>
      <w:r w:rsidR="009A00B7">
        <w:t xml:space="preserve"> the same </w:t>
      </w:r>
      <w:r w:rsidR="009802D4">
        <w:t>brands</w:t>
      </w:r>
      <w:r w:rsidR="009A00B7">
        <w:t>. Loyalty to one particular brand</w:t>
      </w:r>
      <w:r w:rsidR="009802D4">
        <w:t xml:space="preserve"> or manufacturer</w:t>
      </w:r>
      <w:r w:rsidR="009A00B7">
        <w:t xml:space="preserve"> is a repeated pattern within this </w:t>
      </w:r>
      <w:r w:rsidR="00E87A63">
        <w:t>assemblage but</w:t>
      </w:r>
      <w:r w:rsidR="009A00B7">
        <w:t xml:space="preserve"> </w:t>
      </w:r>
      <w:r w:rsidR="007D24CD">
        <w:t xml:space="preserve">was </w:t>
      </w:r>
      <w:r w:rsidR="009A00B7">
        <w:t xml:space="preserve">not solely confined to one food item; </w:t>
      </w:r>
      <w:r w:rsidR="00762ECA">
        <w:t xml:space="preserve">various types of canned food each came from </w:t>
      </w:r>
      <w:r w:rsidR="0063588C">
        <w:t>Lidl, and several of the branded boxed items such as Scotch porridge oats could also be found within the same shop</w:t>
      </w:r>
      <w:r w:rsidR="00405230">
        <w:t xml:space="preserve">, demonstrating brand loyalty from the owners of the assemblage. </w:t>
      </w:r>
    </w:p>
    <w:p w14:paraId="22077F19" w14:textId="6AC9B927" w:rsidR="00E90820" w:rsidRDefault="00B75893" w:rsidP="00E90820">
      <w:r>
        <w:lastRenderedPageBreak/>
        <w:t>Observation of the cleanliness patterns and significance of hygiene to numbers of households can be seen</w:t>
      </w:r>
      <w:r w:rsidR="00ED1FDF">
        <w:t xml:space="preserve"> throughout the assemblage, as there are very few nonrecyclable items found within this bag which was noted on the outside to have been a</w:t>
      </w:r>
      <w:r w:rsidR="000D674A">
        <w:t xml:space="preserve"> recycling waste only bag from the county of Ceredigion. </w:t>
      </w:r>
      <w:r w:rsidR="00DB78AC">
        <w:t>While there were some items which could not be recycled, such as a crisp packet which had been found within the assemblage,</w:t>
      </w:r>
      <w:r w:rsidR="003070CD">
        <w:t xml:space="preserve"> the attention taken to clean empty items such as food pots and correctly organise the items into their recyclable and non-recyclable bags shows the significance placed by this household on correct disposal of their waste, and potentially a care for the environment through this</w:t>
      </w:r>
      <w:r w:rsidR="00875D95">
        <w:t>. Many of the items found within the assemblage such as empty pizza boxes were also made of recyclable materials – notably cardboard,</w:t>
      </w:r>
      <w:r w:rsidR="00664CAA">
        <w:t xml:space="preserve"> however the quantity of nonrecyclable items consumed and thrown away cannot be determined </w:t>
      </w:r>
      <w:r w:rsidR="005E0154">
        <w:t>general waste bin of this household was not present as an aspect of the research.</w:t>
      </w:r>
    </w:p>
    <w:p w14:paraId="28AAC005" w14:textId="01F3764C" w:rsidR="005E0154" w:rsidRDefault="005E0154" w:rsidP="005E0154">
      <w:r>
        <w:t xml:space="preserve">Sustainability </w:t>
      </w:r>
      <w:r w:rsidR="005D136A">
        <w:t xml:space="preserve">a concern of the members of this household, shown through </w:t>
      </w:r>
      <w:r w:rsidR="00363FD9">
        <w:t>the materials found, and the smaller quantity of non-organic items. Foods such as yoghurt were particularly noted to be of organic brand</w:t>
      </w:r>
      <w:r w:rsidR="009C5FF7">
        <w:t>, alongside healthier lifestyle options such as dairy free or vegetarian pizzas.</w:t>
      </w:r>
      <w:r w:rsidR="00B20407">
        <w:t xml:space="preserve"> </w:t>
      </w:r>
      <w:r w:rsidR="00F36690">
        <w:t>While these items may provide some health or environmental benefits through their consumption and creation, the question of sustainability is raised due to the</w:t>
      </w:r>
      <w:r w:rsidR="00313E51">
        <w:t xml:space="preserve"> fact that a number of these items come from a shop such as Lidl, which are of a far greater distance away from the University and therefore the local area of residence</w:t>
      </w:r>
      <w:r w:rsidR="00B51434">
        <w:t>, therefore any potential environmental benefits created by eating plant-based meals is at risk of being nullified by the additional fuel used to source these items</w:t>
      </w:r>
      <w:r w:rsidR="00EA06B4">
        <w:t xml:space="preserve">. </w:t>
      </w:r>
      <w:r w:rsidR="00FB7EB7">
        <w:t>Loyalty to such brands, could be further demonstrated through a longer</w:t>
      </w:r>
      <w:r w:rsidR="006D4A75">
        <w:t>-</w:t>
      </w:r>
      <w:r w:rsidR="00FB7EB7">
        <w:t>term observation of the household waste however from this assemblage alone it would be a fair assumption to</w:t>
      </w:r>
      <w:r w:rsidR="006D4A75">
        <w:t xml:space="preserve"> believe that the household were more inclined to travel further </w:t>
      </w:r>
      <w:r w:rsidR="004D1E8B">
        <w:t>to</w:t>
      </w:r>
      <w:r w:rsidR="006D4A75">
        <w:t xml:space="preserve"> purchase items of their favourite brands regardless of the implications of this additional travel.</w:t>
      </w:r>
    </w:p>
    <w:p w14:paraId="7F6D810D" w14:textId="1AB612CA" w:rsidR="00C83C0F" w:rsidRDefault="00005087" w:rsidP="001C60C4">
      <w:r>
        <w:t xml:space="preserve">The analysis of these assemblages can offer a number </w:t>
      </w:r>
      <w:r w:rsidR="00BC5098">
        <w:t>of</w:t>
      </w:r>
      <w:r w:rsidR="00B87A24">
        <w:t xml:space="preserve"> suggest</w:t>
      </w:r>
      <w:r w:rsidR="00BC5098">
        <w:t>ed</w:t>
      </w:r>
      <w:r w:rsidR="00B87A24">
        <w:t xml:space="preserve"> connotations, such as for instance that the assemblage contained a large variety of beans, and its creator therefore may have </w:t>
      </w:r>
      <w:r w:rsidR="00C950F2">
        <w:t>preferred beans over another source of protein, however, this cannot be treated as an absolute truth</w:t>
      </w:r>
      <w:r w:rsidR="008746F0">
        <w:t xml:space="preserve">, as  the assemblage also contained a large quantity of tuna cans, both </w:t>
      </w:r>
      <w:r w:rsidR="00C83C0F">
        <w:t xml:space="preserve">real and artificial, notably the ‘Tuno‘ brand. </w:t>
      </w:r>
      <w:r w:rsidR="00F37F54">
        <w:t>It would be a reasonable assumption to make, that this household were primarily vegetarian, but given the number of yoghurt pots found within the assemblage, alongside several milk cartons,</w:t>
      </w:r>
      <w:r w:rsidR="007D2A7A">
        <w:t xml:space="preserve"> that the household do not restrict themselves to a vegan diet, and therefore may have some form of concern about the consumption of meat on a regular basis</w:t>
      </w:r>
      <w:r w:rsidR="00BC5098">
        <w:t xml:space="preserve"> and may potentially lean towards a more animal friendly approach to their eating habits. </w:t>
      </w:r>
      <w:r w:rsidR="007614DA">
        <w:t>However, we cannot be entirely certain of this as this may have been an abnormal week for such a household,</w:t>
      </w:r>
      <w:r w:rsidR="003E710D">
        <w:t xml:space="preserve"> extent to which these habits are routinely followed.</w:t>
      </w:r>
      <w:r w:rsidR="007614DA">
        <w:t xml:space="preserve"> </w:t>
      </w:r>
      <w:r w:rsidR="004D1E8B">
        <w:t xml:space="preserve">Personal health as a general concept appears as a repeating pattern within this assemblage, </w:t>
      </w:r>
      <w:r w:rsidR="0018176F">
        <w:lastRenderedPageBreak/>
        <w:t>shown through the choices of healthy items such as beans and lentils, but also through the evidence of use of medication and self-improvement.</w:t>
      </w:r>
      <w:r w:rsidR="00E27604">
        <w:t xml:space="preserve"> These can be seen by small slips of paper which show blood pressure and heart rate records which can be obtained through a hospital visit, implying that at least one occupant of the household cares for they are health on a regular basis, but the use of products such as </w:t>
      </w:r>
      <w:r w:rsidR="0096033B">
        <w:t>D</w:t>
      </w:r>
      <w:r w:rsidR="00E27604">
        <w:t xml:space="preserve">eep </w:t>
      </w:r>
      <w:r w:rsidR="0096033B">
        <w:t>H</w:t>
      </w:r>
      <w:r w:rsidR="00E27604">
        <w:t>eat</w:t>
      </w:r>
      <w:r w:rsidR="0096033B">
        <w:t xml:space="preserve"> further demonstrate this. Additional items such as health supplements and vitamins may also</w:t>
      </w:r>
      <w:r w:rsidR="00301D25">
        <w:t xml:space="preserve"> point towards the occupants being slightly older and therefore more concerned for their healthcare, but this cannot be determined for certain </w:t>
      </w:r>
      <w:r w:rsidR="0011144A">
        <w:t>such a distinction from this singular bag of waste</w:t>
      </w:r>
      <w:r w:rsidR="00301D25">
        <w:t>.</w:t>
      </w:r>
      <w:r w:rsidR="0011144A">
        <w:t xml:space="preserve"> Physical exercise can also be seen as a priority of this household</w:t>
      </w:r>
      <w:r w:rsidR="0066116D">
        <w:t>, though in a more unconventional way than may be seen typically – pamphlets for Japanese drumming sessions were found within the assemblage,</w:t>
      </w:r>
      <w:r w:rsidR="00762D21">
        <w:t xml:space="preserve"> and the wear to the corners of the pages of the pamphlet may suggest that it was commonly used or viewed by the occupants and therefore an item of significance within the household. </w:t>
      </w:r>
      <w:r w:rsidR="00772E01">
        <w:t xml:space="preserve">What these collective items </w:t>
      </w:r>
      <w:r w:rsidR="00BE75E5">
        <w:t xml:space="preserve">imply </w:t>
      </w:r>
      <w:r w:rsidR="00772E01">
        <w:t>is that the members of the household, whether one or multiple, showed great concern for themselves in addition to the environment</w:t>
      </w:r>
      <w:r w:rsidR="00BE75E5">
        <w:t xml:space="preserve"> and their own bodies</w:t>
      </w:r>
      <w:r w:rsidR="005C300C">
        <w:t>, something which may not have been spoken about publicly or recorded any form of census and therefore gives a far deeper insight into the typical lives of these people than may have been previously known.</w:t>
      </w:r>
      <w:r w:rsidR="00AA0B0C">
        <w:t xml:space="preserve"> As each household will inevitably generate some form of waste</w:t>
      </w:r>
      <w:r w:rsidR="00F53065">
        <w:t>,</w:t>
      </w:r>
      <w:r w:rsidR="00AA0B0C">
        <w:t xml:space="preserve"> observation of their</w:t>
      </w:r>
      <w:r w:rsidR="00F53065">
        <w:t xml:space="preserve"> refuse has the potential to reveal more about their daily lives than many people may be willing to share on a</w:t>
      </w:r>
      <w:r w:rsidR="00467022">
        <w:t xml:space="preserve"> public census or survey.</w:t>
      </w:r>
    </w:p>
    <w:p w14:paraId="733B41E2" w14:textId="742B8022" w:rsidR="00691AF1" w:rsidRDefault="005530AB" w:rsidP="001C60C4">
      <w:r>
        <w:t xml:space="preserve">Patterns may be inferred, but from the perspective of an outsider, the truth to each individual household may not be fully comprehended or seen, and in the case of an assemblage such as this. A lack of a continuity within the study greatly limits the </w:t>
      </w:r>
      <w:r w:rsidR="00CA066F">
        <w:t xml:space="preserve">information gathered from its contents – we cannot see if this is reflective of the long-term behaviours of such a household, as shown within the assemblage itself, containing what was confirmed to be a number of birthday gifts </w:t>
      </w:r>
      <w:r w:rsidR="00175289">
        <w:t>–</w:t>
      </w:r>
      <w:r w:rsidR="00CA066F">
        <w:t xml:space="preserve"> </w:t>
      </w:r>
      <w:r w:rsidR="00175289">
        <w:t xml:space="preserve">it would be highly unlikely for a household’s weekly waste to contain such items, and instead this assemblage may show an abnormal </w:t>
      </w:r>
      <w:r w:rsidR="00A40454">
        <w:t xml:space="preserve">consumption for the household. </w:t>
      </w:r>
      <w:r w:rsidR="00511888">
        <w:t>Lehmann discusses this at length, “</w:t>
      </w:r>
      <w:r w:rsidR="00691AF1" w:rsidRPr="00691AF1">
        <w:t>As this is the first analysis of these waste streams it is not possible to consider trends in purchasing patterns</w:t>
      </w:r>
      <w:r w:rsidR="00C81C77">
        <w:t>” (</w:t>
      </w:r>
      <w:r w:rsidR="00005087">
        <w:t xml:space="preserve">Lehmann, The </w:t>
      </w:r>
      <w:r w:rsidR="00163B94">
        <w:t>G</w:t>
      </w:r>
      <w:r w:rsidR="00005087">
        <w:t xml:space="preserve">arbage </w:t>
      </w:r>
      <w:r w:rsidR="00163B94">
        <w:t>P</w:t>
      </w:r>
      <w:r w:rsidR="00005087">
        <w:t xml:space="preserve">roject </w:t>
      </w:r>
      <w:r w:rsidR="00163B94">
        <w:t>R</w:t>
      </w:r>
      <w:r w:rsidR="00005087">
        <w:t>evisited, 2015)</w:t>
      </w:r>
      <w:r w:rsidR="00511888">
        <w:t xml:space="preserve">, emphasizing that such an issue is seen within </w:t>
      </w:r>
      <w:r w:rsidR="00211CE6">
        <w:t xml:space="preserve">a multitude of assemblages – while the scale itself of the assemblage may have been increased in the case of an area such as a landfill, the issue of a lack of observational continuity is still prevalent. </w:t>
      </w:r>
      <w:r w:rsidR="00A82EF4">
        <w:t xml:space="preserve">Using these assemblages to infer social patterns, while at times is effective, can be greatly restricted by the </w:t>
      </w:r>
      <w:r w:rsidR="00FD1E66">
        <w:t xml:space="preserve">length of the observation and the frequency of data collection. In the case of </w:t>
      </w:r>
      <w:r w:rsidR="006F44E5">
        <w:t xml:space="preserve">William Rathje’s </w:t>
      </w:r>
      <w:r w:rsidR="00C45378">
        <w:t xml:space="preserve">Tucson ‘Garbage Project’, </w:t>
      </w:r>
      <w:r w:rsidR="00D716DF">
        <w:t xml:space="preserve">15 landfill sites were observed from </w:t>
      </w:r>
      <w:r w:rsidR="00D716DF" w:rsidRPr="00D716DF">
        <w:t xml:space="preserve">1987 </w:t>
      </w:r>
      <w:r w:rsidR="00D716DF">
        <w:t xml:space="preserve">to </w:t>
      </w:r>
      <w:r w:rsidR="00D716DF" w:rsidRPr="00D716DF">
        <w:t>1995</w:t>
      </w:r>
      <w:r w:rsidR="00D716DF">
        <w:t xml:space="preserve"> (Rathje, The Garbage Project</w:t>
      </w:r>
      <w:r w:rsidR="00A465C2">
        <w:t xml:space="preserve"> </w:t>
      </w:r>
      <w:r w:rsidR="002957AF">
        <w:t xml:space="preserve">no date found), </w:t>
      </w:r>
      <w:r w:rsidR="00276D06">
        <w:t xml:space="preserve">creating a far greater </w:t>
      </w:r>
      <w:r w:rsidR="006C1BC3">
        <w:t xml:space="preserve">quantity of observable data, whereas the assemblage viewed here provided only one week of waste to infer social patterns from. Nonetheless, it is not to say that </w:t>
      </w:r>
      <w:r w:rsidR="006C1BC3">
        <w:lastRenderedPageBreak/>
        <w:t>the collection was useless, the waste within this short week provided a range of materials and o</w:t>
      </w:r>
      <w:r w:rsidR="00954527">
        <w:t xml:space="preserve">bjects to </w:t>
      </w:r>
      <w:r w:rsidR="00C91CBC">
        <w:t xml:space="preserve">use whilst attempting to decipher the everyday patterns and culture of the individual household. </w:t>
      </w:r>
      <w:r w:rsidR="00227C61">
        <w:t>Patterns such as the daily diet and overall consumption of various food groups can be seen through the waste, in particular what has been found within the empty tins.</w:t>
      </w:r>
      <w:r w:rsidR="001C60C4">
        <w:t xml:space="preserve"> The primary consumption of tinned vegetables may also imply a need for convenience while cooking, as there was very little evidence of any fresh fruit or veg being purchased given that such items are typically packaged within plastic wrap but there was none to be found within the assemblage.</w:t>
      </w:r>
    </w:p>
    <w:p w14:paraId="63B86279" w14:textId="03CB5696" w:rsidR="00C83C0F" w:rsidRDefault="00C83C0F" w:rsidP="00C83C0F">
      <w:r>
        <w:t xml:space="preserve">While they are a staple of all homes, many people do not consider their bins beyond the typical questions surrounding which form of recycling should be put outside each night, but a household’s weekly disposal may allude to a far more in-depth view of the inhabitants of the home than many would think. </w:t>
      </w:r>
      <w:r>
        <w:t xml:space="preserve">As shown within the assemblage observed, typical cultural </w:t>
      </w:r>
      <w:r w:rsidR="0062236D">
        <w:t xml:space="preserve">behaviours such as the </w:t>
      </w:r>
      <w:r w:rsidR="00AF113B">
        <w:t xml:space="preserve">elevated status given to a person’s birthday, shown through not only the objects purchased for the event, but also the quality of gifted items such as Thorntons chocolates, in comparison to what may be purchased on any ‘normal’ day for such household. </w:t>
      </w:r>
      <w:r w:rsidR="00971436">
        <w:t xml:space="preserve">Behaviours we may now perceive as common aspects of our life, may not be observed in the same manner by future generations, and such a project as the Garbology Project of Rathje and his students highlights the </w:t>
      </w:r>
      <w:r w:rsidR="00FE00B6">
        <w:t xml:space="preserve">similarity between how our contemporary waste may be observed by future generations, and how we view the patterns of the past through ancient refuse. Even if a </w:t>
      </w:r>
      <w:r w:rsidR="00B24CF5">
        <w:t>pattern</w:t>
      </w:r>
      <w:r w:rsidR="00EF322C">
        <w:t xml:space="preserve"> of everyday life</w:t>
      </w:r>
      <w:r w:rsidR="00B24CF5">
        <w:t xml:space="preserve"> is not inferred from the modern waste, the practise itself of garbology stands as a testament to archaeological culture – that is, the application of an archaeolog</w:t>
      </w:r>
      <w:r w:rsidR="00EF322C">
        <w:t>ical method of research</w:t>
      </w:r>
      <w:r w:rsidR="00772139">
        <w:t xml:space="preserve"> that</w:t>
      </w:r>
      <w:r w:rsidR="00EF322C">
        <w:t xml:space="preserve"> can be used in aid of historical research, </w:t>
      </w:r>
      <w:r w:rsidR="00772139">
        <w:t xml:space="preserve">and how it is repeated and mirrored within different sites, whether they be a landfill site or </w:t>
      </w:r>
      <w:r w:rsidR="000F299C">
        <w:t xml:space="preserve">an archaeological dig site. </w:t>
      </w:r>
    </w:p>
    <w:p w14:paraId="4CF34788" w14:textId="77777777" w:rsidR="00645492" w:rsidRPr="009F369D" w:rsidRDefault="00645492" w:rsidP="00645492">
      <w:pPr>
        <w:ind w:left="360"/>
      </w:pPr>
    </w:p>
    <w:p w14:paraId="5E31878C" w14:textId="66F2ACBB" w:rsidR="00F20B4F" w:rsidRDefault="00C81C77">
      <w:pPr>
        <w:rPr>
          <w:b/>
          <w:bCs/>
          <w:u w:val="single"/>
        </w:rPr>
      </w:pPr>
      <w:r w:rsidRPr="00C81C77">
        <w:rPr>
          <w:b/>
          <w:bCs/>
          <w:u w:val="single"/>
        </w:rPr>
        <w:t>Bibliography</w:t>
      </w:r>
    </w:p>
    <w:p w14:paraId="167478D5" w14:textId="163AFBE0" w:rsidR="00AC5D99" w:rsidRDefault="00AC5D99" w:rsidP="00AC5D99">
      <w:r w:rsidRPr="00AC5D99">
        <w:t>Lehmann, L. (</w:t>
      </w:r>
      <w:r w:rsidR="00005087">
        <w:t>2015</w:t>
      </w:r>
      <w:r w:rsidRPr="00AC5D99">
        <w:t xml:space="preserve">) 'The garbage project revisited: from a 20th century archaeology of food waste to a contemporary study of food packaging waste,' </w:t>
      </w:r>
      <w:r w:rsidRPr="00AC5D99">
        <w:rPr>
          <w:i/>
          <w:iCs/>
        </w:rPr>
        <w:t>Sustainability</w:t>
      </w:r>
      <w:r w:rsidRPr="00AC5D99">
        <w:t xml:space="preserve">, 7(6), pp. 6994–7010. </w:t>
      </w:r>
      <w:hyperlink r:id="rId8" w:history="1">
        <w:r w:rsidR="0042041D" w:rsidRPr="00AC5D99">
          <w:rPr>
            <w:rStyle w:val="Hyperlink"/>
          </w:rPr>
          <w:t>https://doi.org/10.3390/su7066994</w:t>
        </w:r>
      </w:hyperlink>
      <w:r w:rsidRPr="00AC5D99">
        <w:t>.</w:t>
      </w:r>
    </w:p>
    <w:p w14:paraId="7EBCDFBF" w14:textId="2C5C4171" w:rsidR="00E85B4C" w:rsidRDefault="00E85B4C" w:rsidP="00AC5D99">
      <w:r w:rsidRPr="00E85B4C">
        <w:rPr>
          <w:i/>
          <w:iCs/>
        </w:rPr>
        <w:t>Lindt LINDOR Chocolate - 14 Different Flavours | Lindt Shop UK</w:t>
      </w:r>
      <w:r w:rsidRPr="00E85B4C">
        <w:t xml:space="preserve"> (no date). </w:t>
      </w:r>
      <w:hyperlink r:id="rId9" w:history="1">
        <w:r w:rsidRPr="00E85B4C">
          <w:rPr>
            <w:rStyle w:val="Hyperlink"/>
          </w:rPr>
          <w:t>https://www.lindt.co.uk/shop/our-brands/lindor</w:t>
        </w:r>
      </w:hyperlink>
      <w:r w:rsidRPr="00E85B4C">
        <w:t>.</w:t>
      </w:r>
    </w:p>
    <w:p w14:paraId="1C6D800A" w14:textId="04F2D2F7" w:rsidR="0042041D" w:rsidRDefault="0042041D" w:rsidP="00AC5D99">
      <w:r w:rsidRPr="0042041D">
        <w:t xml:space="preserve">Rathje, W.L. (no date) </w:t>
      </w:r>
      <w:r w:rsidRPr="0042041D">
        <w:rPr>
          <w:i/>
          <w:iCs/>
        </w:rPr>
        <w:t>THE GARBAGE PROJECT &amp; “THE ARCHAEOLOGY OF US”</w:t>
      </w:r>
      <w:r w:rsidRPr="0042041D">
        <w:t xml:space="preserve">. </w:t>
      </w:r>
      <w:hyperlink r:id="rId10" w:history="1">
        <w:r w:rsidRPr="0042041D">
          <w:rPr>
            <w:rStyle w:val="Hyperlink"/>
          </w:rPr>
          <w:t>https://web.stanford.edu/group/archaeolog/GarbologyOnline/files/63674.pdf</w:t>
        </w:r>
      </w:hyperlink>
      <w:r w:rsidRPr="0042041D">
        <w:t>.</w:t>
      </w:r>
    </w:p>
    <w:p w14:paraId="34751EB7" w14:textId="70935F50" w:rsidR="00291974" w:rsidRDefault="00291974" w:rsidP="00AC5D99">
      <w:r w:rsidRPr="00291974">
        <w:t xml:space="preserve">Schiffer, M.B. and Reid, J.J. (2020) 'Rathje, William Laurens,' in </w:t>
      </w:r>
      <w:r w:rsidRPr="00291974">
        <w:rPr>
          <w:i/>
          <w:iCs/>
        </w:rPr>
        <w:t>Springer eBooks</w:t>
      </w:r>
      <w:r w:rsidRPr="00291974">
        <w:t xml:space="preserve">, pp. 9075–9076. </w:t>
      </w:r>
      <w:hyperlink r:id="rId11" w:history="1">
        <w:r w:rsidRPr="00291974">
          <w:rPr>
            <w:rStyle w:val="Hyperlink"/>
          </w:rPr>
          <w:t>https://doi.org/10.1007/978-3-030-30018-0_1093</w:t>
        </w:r>
      </w:hyperlink>
      <w:r w:rsidRPr="00291974">
        <w:t>.</w:t>
      </w:r>
    </w:p>
    <w:p w14:paraId="5841CA69" w14:textId="77777777" w:rsidR="00291974" w:rsidRPr="00AC5D99" w:rsidRDefault="00291974" w:rsidP="00AC5D99"/>
    <w:p w14:paraId="5E5D0D2C" w14:textId="77777777" w:rsidR="00C81C77" w:rsidRPr="00C81C77" w:rsidRDefault="00C81C77"/>
    <w:sectPr w:rsidR="00C81C77" w:rsidRPr="00C81C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D5D03"/>
    <w:multiLevelType w:val="hybridMultilevel"/>
    <w:tmpl w:val="5388FC94"/>
    <w:lvl w:ilvl="0" w:tplc="A6D81E1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7204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DED53BD-67EA-4C92-BD48-5354CF34F554}"/>
    <w:docVar w:name="dgnword-eventsink" w:val="1887366123632"/>
  </w:docVars>
  <w:rsids>
    <w:rsidRoot w:val="00B26BDF"/>
    <w:rsid w:val="00005087"/>
    <w:rsid w:val="00080864"/>
    <w:rsid w:val="000B420B"/>
    <w:rsid w:val="000D674A"/>
    <w:rsid w:val="000F299C"/>
    <w:rsid w:val="00106038"/>
    <w:rsid w:val="0011144A"/>
    <w:rsid w:val="0011612E"/>
    <w:rsid w:val="001378E8"/>
    <w:rsid w:val="00163B94"/>
    <w:rsid w:val="00175289"/>
    <w:rsid w:val="0018176F"/>
    <w:rsid w:val="001C60C4"/>
    <w:rsid w:val="00211CE6"/>
    <w:rsid w:val="00227C61"/>
    <w:rsid w:val="00276D06"/>
    <w:rsid w:val="00291974"/>
    <w:rsid w:val="002957AF"/>
    <w:rsid w:val="002F57CD"/>
    <w:rsid w:val="00301D25"/>
    <w:rsid w:val="003070CD"/>
    <w:rsid w:val="00313E51"/>
    <w:rsid w:val="00363FD9"/>
    <w:rsid w:val="003D2911"/>
    <w:rsid w:val="003E710D"/>
    <w:rsid w:val="00405230"/>
    <w:rsid w:val="0042041D"/>
    <w:rsid w:val="004269DF"/>
    <w:rsid w:val="00435994"/>
    <w:rsid w:val="00467022"/>
    <w:rsid w:val="004732AD"/>
    <w:rsid w:val="0049024C"/>
    <w:rsid w:val="004D1E8B"/>
    <w:rsid w:val="005004E8"/>
    <w:rsid w:val="00511888"/>
    <w:rsid w:val="0051249A"/>
    <w:rsid w:val="00535351"/>
    <w:rsid w:val="00551D64"/>
    <w:rsid w:val="005530AB"/>
    <w:rsid w:val="0059668B"/>
    <w:rsid w:val="005C05E6"/>
    <w:rsid w:val="005C300C"/>
    <w:rsid w:val="005D136A"/>
    <w:rsid w:val="005D6DDB"/>
    <w:rsid w:val="005E0154"/>
    <w:rsid w:val="0062236D"/>
    <w:rsid w:val="0063588C"/>
    <w:rsid w:val="00645492"/>
    <w:rsid w:val="0066116D"/>
    <w:rsid w:val="00664CAA"/>
    <w:rsid w:val="006873BF"/>
    <w:rsid w:val="00691AF1"/>
    <w:rsid w:val="006C02A4"/>
    <w:rsid w:val="006C1BC3"/>
    <w:rsid w:val="006D1A07"/>
    <w:rsid w:val="006D4A75"/>
    <w:rsid w:val="006F44E5"/>
    <w:rsid w:val="00760C31"/>
    <w:rsid w:val="007614DA"/>
    <w:rsid w:val="00762D21"/>
    <w:rsid w:val="00762ECA"/>
    <w:rsid w:val="00772139"/>
    <w:rsid w:val="00772E01"/>
    <w:rsid w:val="007844DB"/>
    <w:rsid w:val="007D206E"/>
    <w:rsid w:val="007D24CD"/>
    <w:rsid w:val="007D2A7A"/>
    <w:rsid w:val="007F1FD2"/>
    <w:rsid w:val="008746F0"/>
    <w:rsid w:val="00875D95"/>
    <w:rsid w:val="008A6096"/>
    <w:rsid w:val="00923EA2"/>
    <w:rsid w:val="009258A4"/>
    <w:rsid w:val="00941FCB"/>
    <w:rsid w:val="00954527"/>
    <w:rsid w:val="0096033B"/>
    <w:rsid w:val="009607FF"/>
    <w:rsid w:val="00971436"/>
    <w:rsid w:val="009802D4"/>
    <w:rsid w:val="009A00B7"/>
    <w:rsid w:val="009A26C9"/>
    <w:rsid w:val="009C5FF7"/>
    <w:rsid w:val="009D6920"/>
    <w:rsid w:val="009F369D"/>
    <w:rsid w:val="00A40454"/>
    <w:rsid w:val="00A465C2"/>
    <w:rsid w:val="00A5635E"/>
    <w:rsid w:val="00A82EF4"/>
    <w:rsid w:val="00AA0B0C"/>
    <w:rsid w:val="00AC5D99"/>
    <w:rsid w:val="00AF113B"/>
    <w:rsid w:val="00B20407"/>
    <w:rsid w:val="00B24CF5"/>
    <w:rsid w:val="00B26BDF"/>
    <w:rsid w:val="00B34F16"/>
    <w:rsid w:val="00B51434"/>
    <w:rsid w:val="00B75893"/>
    <w:rsid w:val="00B87A24"/>
    <w:rsid w:val="00B90AFE"/>
    <w:rsid w:val="00BC5098"/>
    <w:rsid w:val="00BE75E5"/>
    <w:rsid w:val="00C36B2B"/>
    <w:rsid w:val="00C45378"/>
    <w:rsid w:val="00C73FBA"/>
    <w:rsid w:val="00C81C77"/>
    <w:rsid w:val="00C83C0F"/>
    <w:rsid w:val="00C91CAE"/>
    <w:rsid w:val="00C91CBC"/>
    <w:rsid w:val="00C950F2"/>
    <w:rsid w:val="00CA066F"/>
    <w:rsid w:val="00CB0944"/>
    <w:rsid w:val="00CB49CD"/>
    <w:rsid w:val="00D254F6"/>
    <w:rsid w:val="00D609AD"/>
    <w:rsid w:val="00D716DF"/>
    <w:rsid w:val="00DB78AC"/>
    <w:rsid w:val="00DF7249"/>
    <w:rsid w:val="00E27604"/>
    <w:rsid w:val="00E43ECF"/>
    <w:rsid w:val="00E55006"/>
    <w:rsid w:val="00E55906"/>
    <w:rsid w:val="00E62452"/>
    <w:rsid w:val="00E848BA"/>
    <w:rsid w:val="00E85B4C"/>
    <w:rsid w:val="00E87A63"/>
    <w:rsid w:val="00E90820"/>
    <w:rsid w:val="00EA06B4"/>
    <w:rsid w:val="00ED1FDF"/>
    <w:rsid w:val="00EF322C"/>
    <w:rsid w:val="00F20B4F"/>
    <w:rsid w:val="00F24808"/>
    <w:rsid w:val="00F36690"/>
    <w:rsid w:val="00F37F54"/>
    <w:rsid w:val="00F465A7"/>
    <w:rsid w:val="00F53065"/>
    <w:rsid w:val="00F93AD3"/>
    <w:rsid w:val="00FA1A98"/>
    <w:rsid w:val="00FB7EB7"/>
    <w:rsid w:val="00FD1E66"/>
    <w:rsid w:val="00FE0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5786F"/>
  <w15:chartTrackingRefBased/>
  <w15:docId w15:val="{C63D6BE5-3AAB-4D91-A646-8E2F3F6C5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B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6B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6B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B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B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B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B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B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B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B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6B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6B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B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B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B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B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B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BDF"/>
    <w:rPr>
      <w:rFonts w:eastAsiaTheme="majorEastAsia" w:cstheme="majorBidi"/>
      <w:color w:val="272727" w:themeColor="text1" w:themeTint="D8"/>
    </w:rPr>
  </w:style>
  <w:style w:type="paragraph" w:styleId="Title">
    <w:name w:val="Title"/>
    <w:basedOn w:val="Normal"/>
    <w:next w:val="Normal"/>
    <w:link w:val="TitleChar"/>
    <w:uiPriority w:val="10"/>
    <w:qFormat/>
    <w:rsid w:val="00B26B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B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B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B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BDF"/>
    <w:pPr>
      <w:spacing w:before="160"/>
      <w:jc w:val="center"/>
    </w:pPr>
    <w:rPr>
      <w:i/>
      <w:iCs/>
      <w:color w:val="404040" w:themeColor="text1" w:themeTint="BF"/>
    </w:rPr>
  </w:style>
  <w:style w:type="character" w:customStyle="1" w:styleId="QuoteChar">
    <w:name w:val="Quote Char"/>
    <w:basedOn w:val="DefaultParagraphFont"/>
    <w:link w:val="Quote"/>
    <w:uiPriority w:val="29"/>
    <w:rsid w:val="00B26BDF"/>
    <w:rPr>
      <w:i/>
      <w:iCs/>
      <w:color w:val="404040" w:themeColor="text1" w:themeTint="BF"/>
    </w:rPr>
  </w:style>
  <w:style w:type="paragraph" w:styleId="ListParagraph">
    <w:name w:val="List Paragraph"/>
    <w:basedOn w:val="Normal"/>
    <w:uiPriority w:val="34"/>
    <w:qFormat/>
    <w:rsid w:val="00B26BDF"/>
    <w:pPr>
      <w:ind w:left="720"/>
      <w:contextualSpacing/>
    </w:pPr>
  </w:style>
  <w:style w:type="character" w:styleId="IntenseEmphasis">
    <w:name w:val="Intense Emphasis"/>
    <w:basedOn w:val="DefaultParagraphFont"/>
    <w:uiPriority w:val="21"/>
    <w:qFormat/>
    <w:rsid w:val="00B26BDF"/>
    <w:rPr>
      <w:i/>
      <w:iCs/>
      <w:color w:val="0F4761" w:themeColor="accent1" w:themeShade="BF"/>
    </w:rPr>
  </w:style>
  <w:style w:type="paragraph" w:styleId="IntenseQuote">
    <w:name w:val="Intense Quote"/>
    <w:basedOn w:val="Normal"/>
    <w:next w:val="Normal"/>
    <w:link w:val="IntenseQuoteChar"/>
    <w:uiPriority w:val="30"/>
    <w:qFormat/>
    <w:rsid w:val="00B26B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BDF"/>
    <w:rPr>
      <w:i/>
      <w:iCs/>
      <w:color w:val="0F4761" w:themeColor="accent1" w:themeShade="BF"/>
    </w:rPr>
  </w:style>
  <w:style w:type="character" w:styleId="IntenseReference">
    <w:name w:val="Intense Reference"/>
    <w:basedOn w:val="DefaultParagraphFont"/>
    <w:uiPriority w:val="32"/>
    <w:qFormat/>
    <w:rsid w:val="00B26BDF"/>
    <w:rPr>
      <w:b/>
      <w:bCs/>
      <w:smallCaps/>
      <w:color w:val="0F4761" w:themeColor="accent1" w:themeShade="BF"/>
      <w:spacing w:val="5"/>
    </w:rPr>
  </w:style>
  <w:style w:type="character" w:styleId="Hyperlink">
    <w:name w:val="Hyperlink"/>
    <w:basedOn w:val="DefaultParagraphFont"/>
    <w:uiPriority w:val="99"/>
    <w:unhideWhenUsed/>
    <w:rsid w:val="00B26BDF"/>
    <w:rPr>
      <w:color w:val="467886" w:themeColor="hyperlink"/>
      <w:u w:val="single"/>
    </w:rPr>
  </w:style>
  <w:style w:type="character" w:styleId="UnresolvedMention">
    <w:name w:val="Unresolved Mention"/>
    <w:basedOn w:val="DefaultParagraphFont"/>
    <w:uiPriority w:val="99"/>
    <w:semiHidden/>
    <w:unhideWhenUsed/>
    <w:rsid w:val="00B26B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824746">
      <w:bodyDiv w:val="1"/>
      <w:marLeft w:val="0"/>
      <w:marRight w:val="0"/>
      <w:marTop w:val="0"/>
      <w:marBottom w:val="0"/>
      <w:divBdr>
        <w:top w:val="none" w:sz="0" w:space="0" w:color="auto"/>
        <w:left w:val="none" w:sz="0" w:space="0" w:color="auto"/>
        <w:bottom w:val="none" w:sz="0" w:space="0" w:color="auto"/>
        <w:right w:val="none" w:sz="0" w:space="0" w:color="auto"/>
      </w:divBdr>
      <w:divsChild>
        <w:div w:id="1733886266">
          <w:marLeft w:val="-720"/>
          <w:marRight w:val="0"/>
          <w:marTop w:val="0"/>
          <w:marBottom w:val="0"/>
          <w:divBdr>
            <w:top w:val="none" w:sz="0" w:space="0" w:color="auto"/>
            <w:left w:val="none" w:sz="0" w:space="0" w:color="auto"/>
            <w:bottom w:val="none" w:sz="0" w:space="0" w:color="auto"/>
            <w:right w:val="none" w:sz="0" w:space="0" w:color="auto"/>
          </w:divBdr>
        </w:div>
      </w:divsChild>
    </w:div>
    <w:div w:id="302933550">
      <w:bodyDiv w:val="1"/>
      <w:marLeft w:val="0"/>
      <w:marRight w:val="0"/>
      <w:marTop w:val="0"/>
      <w:marBottom w:val="0"/>
      <w:divBdr>
        <w:top w:val="none" w:sz="0" w:space="0" w:color="auto"/>
        <w:left w:val="none" w:sz="0" w:space="0" w:color="auto"/>
        <w:bottom w:val="none" w:sz="0" w:space="0" w:color="auto"/>
        <w:right w:val="none" w:sz="0" w:space="0" w:color="auto"/>
      </w:divBdr>
      <w:divsChild>
        <w:div w:id="18704418">
          <w:marLeft w:val="-720"/>
          <w:marRight w:val="0"/>
          <w:marTop w:val="0"/>
          <w:marBottom w:val="0"/>
          <w:divBdr>
            <w:top w:val="none" w:sz="0" w:space="0" w:color="auto"/>
            <w:left w:val="none" w:sz="0" w:space="0" w:color="auto"/>
            <w:bottom w:val="none" w:sz="0" w:space="0" w:color="auto"/>
            <w:right w:val="none" w:sz="0" w:space="0" w:color="auto"/>
          </w:divBdr>
        </w:div>
      </w:divsChild>
    </w:div>
    <w:div w:id="346097407">
      <w:bodyDiv w:val="1"/>
      <w:marLeft w:val="0"/>
      <w:marRight w:val="0"/>
      <w:marTop w:val="0"/>
      <w:marBottom w:val="0"/>
      <w:divBdr>
        <w:top w:val="none" w:sz="0" w:space="0" w:color="auto"/>
        <w:left w:val="none" w:sz="0" w:space="0" w:color="auto"/>
        <w:bottom w:val="none" w:sz="0" w:space="0" w:color="auto"/>
        <w:right w:val="none" w:sz="0" w:space="0" w:color="auto"/>
      </w:divBdr>
      <w:divsChild>
        <w:div w:id="588389582">
          <w:marLeft w:val="-720"/>
          <w:marRight w:val="0"/>
          <w:marTop w:val="0"/>
          <w:marBottom w:val="0"/>
          <w:divBdr>
            <w:top w:val="none" w:sz="0" w:space="0" w:color="auto"/>
            <w:left w:val="none" w:sz="0" w:space="0" w:color="auto"/>
            <w:bottom w:val="none" w:sz="0" w:space="0" w:color="auto"/>
            <w:right w:val="none" w:sz="0" w:space="0" w:color="auto"/>
          </w:divBdr>
        </w:div>
      </w:divsChild>
    </w:div>
    <w:div w:id="379985285">
      <w:bodyDiv w:val="1"/>
      <w:marLeft w:val="0"/>
      <w:marRight w:val="0"/>
      <w:marTop w:val="0"/>
      <w:marBottom w:val="0"/>
      <w:divBdr>
        <w:top w:val="none" w:sz="0" w:space="0" w:color="auto"/>
        <w:left w:val="none" w:sz="0" w:space="0" w:color="auto"/>
        <w:bottom w:val="none" w:sz="0" w:space="0" w:color="auto"/>
        <w:right w:val="none" w:sz="0" w:space="0" w:color="auto"/>
      </w:divBdr>
    </w:div>
    <w:div w:id="746414941">
      <w:bodyDiv w:val="1"/>
      <w:marLeft w:val="0"/>
      <w:marRight w:val="0"/>
      <w:marTop w:val="0"/>
      <w:marBottom w:val="0"/>
      <w:divBdr>
        <w:top w:val="none" w:sz="0" w:space="0" w:color="auto"/>
        <w:left w:val="none" w:sz="0" w:space="0" w:color="auto"/>
        <w:bottom w:val="none" w:sz="0" w:space="0" w:color="auto"/>
        <w:right w:val="none" w:sz="0" w:space="0" w:color="auto"/>
      </w:divBdr>
      <w:divsChild>
        <w:div w:id="2125539952">
          <w:marLeft w:val="-720"/>
          <w:marRight w:val="0"/>
          <w:marTop w:val="0"/>
          <w:marBottom w:val="0"/>
          <w:divBdr>
            <w:top w:val="none" w:sz="0" w:space="0" w:color="auto"/>
            <w:left w:val="none" w:sz="0" w:space="0" w:color="auto"/>
            <w:bottom w:val="none" w:sz="0" w:space="0" w:color="auto"/>
            <w:right w:val="none" w:sz="0" w:space="0" w:color="auto"/>
          </w:divBdr>
        </w:div>
      </w:divsChild>
    </w:div>
    <w:div w:id="1137183002">
      <w:bodyDiv w:val="1"/>
      <w:marLeft w:val="0"/>
      <w:marRight w:val="0"/>
      <w:marTop w:val="0"/>
      <w:marBottom w:val="0"/>
      <w:divBdr>
        <w:top w:val="none" w:sz="0" w:space="0" w:color="auto"/>
        <w:left w:val="none" w:sz="0" w:space="0" w:color="auto"/>
        <w:bottom w:val="none" w:sz="0" w:space="0" w:color="auto"/>
        <w:right w:val="none" w:sz="0" w:space="0" w:color="auto"/>
      </w:divBdr>
      <w:divsChild>
        <w:div w:id="958536391">
          <w:marLeft w:val="-720"/>
          <w:marRight w:val="0"/>
          <w:marTop w:val="0"/>
          <w:marBottom w:val="0"/>
          <w:divBdr>
            <w:top w:val="none" w:sz="0" w:space="0" w:color="auto"/>
            <w:left w:val="none" w:sz="0" w:space="0" w:color="auto"/>
            <w:bottom w:val="none" w:sz="0" w:space="0" w:color="auto"/>
            <w:right w:val="none" w:sz="0" w:space="0" w:color="auto"/>
          </w:divBdr>
        </w:div>
      </w:divsChild>
    </w:div>
    <w:div w:id="1573005738">
      <w:bodyDiv w:val="1"/>
      <w:marLeft w:val="0"/>
      <w:marRight w:val="0"/>
      <w:marTop w:val="0"/>
      <w:marBottom w:val="0"/>
      <w:divBdr>
        <w:top w:val="none" w:sz="0" w:space="0" w:color="auto"/>
        <w:left w:val="none" w:sz="0" w:space="0" w:color="auto"/>
        <w:bottom w:val="none" w:sz="0" w:space="0" w:color="auto"/>
        <w:right w:val="none" w:sz="0" w:space="0" w:color="auto"/>
      </w:divBdr>
    </w:div>
    <w:div w:id="1576935153">
      <w:bodyDiv w:val="1"/>
      <w:marLeft w:val="0"/>
      <w:marRight w:val="0"/>
      <w:marTop w:val="0"/>
      <w:marBottom w:val="0"/>
      <w:divBdr>
        <w:top w:val="none" w:sz="0" w:space="0" w:color="auto"/>
        <w:left w:val="none" w:sz="0" w:space="0" w:color="auto"/>
        <w:bottom w:val="none" w:sz="0" w:space="0" w:color="auto"/>
        <w:right w:val="none" w:sz="0" w:space="0" w:color="auto"/>
      </w:divBdr>
      <w:divsChild>
        <w:div w:id="1735277855">
          <w:marLeft w:val="-720"/>
          <w:marRight w:val="0"/>
          <w:marTop w:val="0"/>
          <w:marBottom w:val="0"/>
          <w:divBdr>
            <w:top w:val="none" w:sz="0" w:space="0" w:color="auto"/>
            <w:left w:val="none" w:sz="0" w:space="0" w:color="auto"/>
            <w:bottom w:val="none" w:sz="0" w:space="0" w:color="auto"/>
            <w:right w:val="none" w:sz="0" w:space="0" w:color="auto"/>
          </w:divBdr>
        </w:div>
      </w:divsChild>
    </w:div>
    <w:div w:id="1624456983">
      <w:bodyDiv w:val="1"/>
      <w:marLeft w:val="0"/>
      <w:marRight w:val="0"/>
      <w:marTop w:val="0"/>
      <w:marBottom w:val="0"/>
      <w:divBdr>
        <w:top w:val="none" w:sz="0" w:space="0" w:color="auto"/>
        <w:left w:val="none" w:sz="0" w:space="0" w:color="auto"/>
        <w:bottom w:val="none" w:sz="0" w:space="0" w:color="auto"/>
        <w:right w:val="none" w:sz="0" w:space="0" w:color="auto"/>
      </w:divBdr>
      <w:divsChild>
        <w:div w:id="2145929707">
          <w:marLeft w:val="-720"/>
          <w:marRight w:val="0"/>
          <w:marTop w:val="0"/>
          <w:marBottom w:val="0"/>
          <w:divBdr>
            <w:top w:val="none" w:sz="0" w:space="0" w:color="auto"/>
            <w:left w:val="none" w:sz="0" w:space="0" w:color="auto"/>
            <w:bottom w:val="none" w:sz="0" w:space="0" w:color="auto"/>
            <w:right w:val="none" w:sz="0" w:space="0" w:color="auto"/>
          </w:divBdr>
        </w:div>
      </w:divsChild>
    </w:div>
    <w:div w:id="1660189030">
      <w:bodyDiv w:val="1"/>
      <w:marLeft w:val="0"/>
      <w:marRight w:val="0"/>
      <w:marTop w:val="0"/>
      <w:marBottom w:val="0"/>
      <w:divBdr>
        <w:top w:val="none" w:sz="0" w:space="0" w:color="auto"/>
        <w:left w:val="none" w:sz="0" w:space="0" w:color="auto"/>
        <w:bottom w:val="none" w:sz="0" w:space="0" w:color="auto"/>
        <w:right w:val="none" w:sz="0" w:space="0" w:color="auto"/>
      </w:divBdr>
      <w:divsChild>
        <w:div w:id="205319250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7066994"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7/978-3-030-30018-0_1093" TargetMode="External"/><Relationship Id="rId5" Type="http://schemas.openxmlformats.org/officeDocument/2006/relationships/styles" Target="styles.xml"/><Relationship Id="rId10" Type="http://schemas.openxmlformats.org/officeDocument/2006/relationships/hyperlink" Target="https://web.stanford.edu/group/archaeolog/GarbologyOnline/files/63674.pdf" TargetMode="External"/><Relationship Id="rId4" Type="http://schemas.openxmlformats.org/officeDocument/2006/relationships/numbering" Target="numbering.xml"/><Relationship Id="rId9" Type="http://schemas.openxmlformats.org/officeDocument/2006/relationships/hyperlink" Target="https://www.lindt.co.uk/shop/our-brands/lind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cd48e55e6c40d73d28d78b88a2110bd8">
  <xsd:schema xmlns:xsd="http://www.w3.org/2001/XMLSchema" xmlns:xs="http://www.w3.org/2001/XMLSchema" xmlns:p="http://schemas.microsoft.com/office/2006/metadata/properties" xmlns:ns3="0085e1a2-9cbf-4b92-866b-21f3c89040b6" targetNamespace="http://schemas.microsoft.com/office/2006/metadata/properties" ma:root="true" ma:fieldsID="7f37712156434b849d5b1eb2aa6d482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169937-72AA-4399-BE92-6C1E86875D6B}">
  <ds:schemaRefs>
    <ds:schemaRef ds:uri="http://schemas.microsoft.com/sharepoint/v3/contenttype/forms"/>
  </ds:schemaRefs>
</ds:datastoreItem>
</file>

<file path=customXml/itemProps2.xml><?xml version="1.0" encoding="utf-8"?>
<ds:datastoreItem xmlns:ds="http://schemas.openxmlformats.org/officeDocument/2006/customXml" ds:itemID="{9E8A5BB3-2E43-4797-8C7E-D70B9B04F2E0}">
  <ds:schemaRefs>
    <ds:schemaRef ds:uri="http://purl.org/dc/elements/1.1/"/>
    <ds:schemaRef ds:uri="http://purl.org/dc/terms/"/>
    <ds:schemaRef ds:uri="http://schemas.microsoft.com/office/2006/metadata/properties"/>
    <ds:schemaRef ds:uri="http://schemas.microsoft.com/office/2006/documentManagement/types"/>
    <ds:schemaRef ds:uri="http://www.w3.org/XML/1998/namespace"/>
    <ds:schemaRef ds:uri="http://purl.org/dc/dcmitype/"/>
    <ds:schemaRef ds:uri="http://schemas.openxmlformats.org/package/2006/metadata/core-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3315837B-6F4D-436F-83A2-BE95639B0F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5167</TotalTime>
  <Pages>5</Pages>
  <Words>1878</Words>
  <Characters>10709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Lexin Jessopp (2400788)</dc:creator>
  <cp:keywords/>
  <dc:description/>
  <cp:lastModifiedBy>Lexin Jessopp (2400788)</cp:lastModifiedBy>
  <cp:revision>135</cp:revision>
  <dcterms:created xsi:type="dcterms:W3CDTF">2024-11-01T19:30:00Z</dcterms:created>
  <dcterms:modified xsi:type="dcterms:W3CDTF">2024-11-10T19:22:00Z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