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837DDC" w14:textId="77777777" w:rsidR="00194107" w:rsidRDefault="00194107" w:rsidP="006F291B">
      <w:pPr>
        <w:pStyle w:val="Header"/>
        <w:tabs>
          <w:tab w:val="clear" w:pos="4680"/>
          <w:tab w:val="clear" w:pos="9360"/>
        </w:tabs>
        <w:spacing w:after="160" w:line="360" w:lineRule="auto"/>
      </w:pPr>
    </w:p>
    <w:p w14:paraId="57B6A39A" w14:textId="77777777" w:rsidR="00FB1A3C" w:rsidRDefault="00FB1A3C" w:rsidP="006F291B">
      <w:pPr>
        <w:pStyle w:val="Header"/>
        <w:tabs>
          <w:tab w:val="clear" w:pos="4680"/>
          <w:tab w:val="clear" w:pos="9360"/>
        </w:tabs>
        <w:spacing w:after="160" w:line="360" w:lineRule="auto"/>
      </w:pPr>
    </w:p>
    <w:p w14:paraId="229B1139" w14:textId="77777777" w:rsidR="00FB1A3C" w:rsidRDefault="00FB1A3C" w:rsidP="006F291B">
      <w:pPr>
        <w:pStyle w:val="Header"/>
        <w:tabs>
          <w:tab w:val="clear" w:pos="4680"/>
          <w:tab w:val="clear" w:pos="9360"/>
        </w:tabs>
        <w:spacing w:after="160" w:line="360" w:lineRule="auto"/>
      </w:pPr>
    </w:p>
    <w:p w14:paraId="70A5AC39" w14:textId="77777777" w:rsidR="00FB1A3C" w:rsidRDefault="00FB1A3C" w:rsidP="006F291B">
      <w:pPr>
        <w:pStyle w:val="Header"/>
        <w:tabs>
          <w:tab w:val="clear" w:pos="4680"/>
          <w:tab w:val="clear" w:pos="9360"/>
        </w:tabs>
        <w:spacing w:after="160" w:line="360" w:lineRule="auto"/>
      </w:pPr>
    </w:p>
    <w:p w14:paraId="3B1EA3ED" w14:textId="77777777" w:rsidR="00FB1A3C" w:rsidRDefault="00FB1A3C" w:rsidP="006F291B">
      <w:pPr>
        <w:pStyle w:val="Header"/>
        <w:tabs>
          <w:tab w:val="clear" w:pos="4680"/>
          <w:tab w:val="clear" w:pos="9360"/>
        </w:tabs>
        <w:spacing w:after="160" w:line="360" w:lineRule="auto"/>
      </w:pPr>
    </w:p>
    <w:p w14:paraId="373772CE" w14:textId="64C0CA52" w:rsidR="006F291B" w:rsidRDefault="009E4567" w:rsidP="00FB1A3C">
      <w:pPr>
        <w:rPr>
          <w:b/>
          <w:bCs/>
        </w:rPr>
      </w:pPr>
      <w:r>
        <w:rPr>
          <w:b/>
          <w:bCs/>
        </w:rPr>
        <w:t xml:space="preserve">                            </w:t>
      </w:r>
      <w:r w:rsidRPr="009E4567">
        <w:rPr>
          <w:b/>
          <w:bCs/>
        </w:rPr>
        <w:t>How to engage employees throughout the employee lifecycle?</w:t>
      </w:r>
    </w:p>
    <w:p w14:paraId="72828992" w14:textId="7CDAC048" w:rsidR="00194107" w:rsidRDefault="009E4567" w:rsidP="006F291B">
      <w:pPr>
        <w:jc w:val="center"/>
        <w:rPr>
          <w:b/>
          <w:bCs/>
        </w:rPr>
      </w:pPr>
      <w:r>
        <w:rPr>
          <w:b/>
          <w:bCs/>
        </w:rPr>
        <w:t>Lulzim Mendzici</w:t>
      </w:r>
    </w:p>
    <w:p w14:paraId="422EB434" w14:textId="10A5E77A" w:rsidR="009E4567" w:rsidRDefault="009E4567" w:rsidP="006F291B">
      <w:pPr>
        <w:jc w:val="center"/>
        <w:rPr>
          <w:b/>
          <w:bCs/>
        </w:rPr>
      </w:pPr>
      <w:r w:rsidRPr="009E4567">
        <w:rPr>
          <w:b/>
          <w:bCs/>
        </w:rPr>
        <w:t>Personnel Resourcing and Development</w:t>
      </w:r>
    </w:p>
    <w:p w14:paraId="77F17575" w14:textId="3B17BCDB" w:rsidR="009E4567" w:rsidRDefault="009E4567" w:rsidP="006F291B">
      <w:pPr>
        <w:jc w:val="center"/>
        <w:rPr>
          <w:b/>
          <w:bCs/>
        </w:rPr>
      </w:pPr>
      <w:r>
        <w:rPr>
          <w:b/>
          <w:bCs/>
        </w:rPr>
        <w:t>BMIH 5005</w:t>
      </w:r>
    </w:p>
    <w:p w14:paraId="230C875F" w14:textId="129382C3" w:rsidR="00194107" w:rsidRDefault="009E4567" w:rsidP="00194107">
      <w:r>
        <w:rPr>
          <w:b/>
          <w:bCs/>
        </w:rPr>
        <w:t xml:space="preserve">                                                                     Helen Lee </w:t>
      </w:r>
    </w:p>
    <w:p w14:paraId="7606F341" w14:textId="77777777" w:rsidR="00194107" w:rsidRDefault="00194107" w:rsidP="00194107"/>
    <w:p w14:paraId="69B515FD" w14:textId="77777777" w:rsidR="00194107" w:rsidRDefault="00194107" w:rsidP="00194107"/>
    <w:p w14:paraId="6190FC08" w14:textId="77777777" w:rsidR="00194107" w:rsidRDefault="00194107" w:rsidP="00194107"/>
    <w:p w14:paraId="2F1B7B7B" w14:textId="77777777" w:rsidR="00194107" w:rsidRDefault="00194107" w:rsidP="00194107"/>
    <w:p w14:paraId="23E454A0" w14:textId="77777777" w:rsidR="00194107" w:rsidRDefault="00194107" w:rsidP="00194107"/>
    <w:p w14:paraId="55661301" w14:textId="77777777" w:rsidR="00194107" w:rsidRDefault="00194107" w:rsidP="00194107"/>
    <w:p w14:paraId="74C292FF" w14:textId="77777777" w:rsidR="00194107" w:rsidRDefault="00194107" w:rsidP="00194107"/>
    <w:p w14:paraId="56D32FDB" w14:textId="77777777" w:rsidR="00194107" w:rsidRDefault="00194107" w:rsidP="00194107"/>
    <w:p w14:paraId="68CEBE44" w14:textId="77777777" w:rsidR="00194107" w:rsidRDefault="00194107" w:rsidP="00194107"/>
    <w:p w14:paraId="120A7752" w14:textId="77777777" w:rsidR="00194107" w:rsidRDefault="00194107" w:rsidP="00194107"/>
    <w:p w14:paraId="548968DC" w14:textId="77777777" w:rsidR="00194107" w:rsidRDefault="00194107" w:rsidP="00194107"/>
    <w:p w14:paraId="319C5E38" w14:textId="77777777" w:rsidR="00194107" w:rsidRDefault="00194107" w:rsidP="00194107"/>
    <w:p w14:paraId="1FACB670" w14:textId="77777777" w:rsidR="00194107" w:rsidRDefault="00194107" w:rsidP="00194107"/>
    <w:p w14:paraId="04461F9A" w14:textId="77777777" w:rsidR="00194107" w:rsidRDefault="00194107" w:rsidP="00194107"/>
    <w:p w14:paraId="05B4B8A3" w14:textId="77777777" w:rsidR="00194107" w:rsidRDefault="00194107" w:rsidP="00194107"/>
    <w:p w14:paraId="29542DA5" w14:textId="77777777" w:rsidR="00194107" w:rsidRDefault="00194107" w:rsidP="00194107"/>
    <w:p w14:paraId="37440E36" w14:textId="7ACA41A3" w:rsidR="00194107" w:rsidRDefault="00194107" w:rsidP="00194107">
      <w:pPr>
        <w:pStyle w:val="Heading1"/>
      </w:pPr>
      <w:r>
        <w:t xml:space="preserve">Introduction </w:t>
      </w:r>
    </w:p>
    <w:p w14:paraId="5AB97BAC" w14:textId="4AAAF3D2" w:rsidR="0019147A" w:rsidRDefault="0019147A" w:rsidP="0019147A">
      <w:r w:rsidRPr="0019147A">
        <w:t>Human resources (HR) departments are essential to ensur</w:t>
      </w:r>
      <w:r w:rsidR="00FB1A3C">
        <w:t xml:space="preserve">e </w:t>
      </w:r>
      <w:r w:rsidRPr="0019147A">
        <w:t>that employees remain engaged</w:t>
      </w:r>
      <w:r w:rsidR="00FB1A3C">
        <w:t xml:space="preserve"> and </w:t>
      </w:r>
      <w:r w:rsidRPr="0019147A">
        <w:t>a</w:t>
      </w:r>
      <w:r w:rsidR="00FB1A3C">
        <w:t>re a</w:t>
      </w:r>
      <w:r w:rsidRPr="0019147A">
        <w:t xml:space="preserve"> critical component of effective operations, in the fast-paced and customer-focused world of hospitality. In order to shed light on how HR professionals may master the art of involving teams, this essay examines the tactics used by market leaders Marriott International and Hilton Hotels. The purpose of the essay is to highlight the numerous advantages that result from the effective application of engagement tactics.  The need for HR departments to develop a motivated workforce amid strong competition in the hospitality sector cannot be overstated</w:t>
      </w:r>
      <w:r>
        <w:t xml:space="preserve"> </w:t>
      </w:r>
      <w:r w:rsidR="00033B6E">
        <w:t>(</w:t>
      </w:r>
      <w:proofErr w:type="spellStart"/>
      <w:r w:rsidR="00033B6E">
        <w:t>Musheke</w:t>
      </w:r>
      <w:proofErr w:type="spellEnd"/>
      <w:r w:rsidR="00033B6E">
        <w:t xml:space="preserve"> and Phiri, 2021)</w:t>
      </w:r>
      <w:r w:rsidR="00194107" w:rsidRPr="00194107">
        <w:t>. </w:t>
      </w:r>
      <w:r>
        <w:t>The approaches taken by HR personnel have the potential to transform common employees into ambassadors who are dedicated to giving exceptional service in an environment where guest pleasure is the major indicator of successful operations. This essay seeks to give the reader a complete understanding of the interactions between HR professionals and employees, from the early phases of recruiting through the last stages of retention, which finally lead to the separation. It also describes the advantages of having staff members who are not merely interested in the company's objective but also devoted to it.</w:t>
      </w:r>
    </w:p>
    <w:p w14:paraId="18CA56E5" w14:textId="77777777" w:rsidR="0019147A" w:rsidRDefault="0019147A" w:rsidP="0019147A"/>
    <w:p w14:paraId="257447C4" w14:textId="77777777" w:rsidR="0019147A" w:rsidRDefault="0019147A" w:rsidP="0019147A"/>
    <w:p w14:paraId="4CAA77B8" w14:textId="78F1E2FF" w:rsidR="00194107" w:rsidRDefault="00194107" w:rsidP="00194107"/>
    <w:p w14:paraId="4EE9A6BA" w14:textId="77777777" w:rsidR="00194107" w:rsidRDefault="00194107" w:rsidP="00194107"/>
    <w:p w14:paraId="53EED259" w14:textId="77777777" w:rsidR="00194107" w:rsidRDefault="00194107" w:rsidP="00194107"/>
    <w:p w14:paraId="3FD012CA" w14:textId="77777777" w:rsidR="00194107" w:rsidRDefault="00194107" w:rsidP="00194107"/>
    <w:p w14:paraId="0640FE8A" w14:textId="77777777" w:rsidR="00194107" w:rsidRDefault="00194107" w:rsidP="00194107"/>
    <w:p w14:paraId="4F0FF62C" w14:textId="77777777" w:rsidR="00194107" w:rsidRDefault="00194107" w:rsidP="00194107"/>
    <w:p w14:paraId="24843B63" w14:textId="77777777" w:rsidR="00194107" w:rsidRDefault="00194107" w:rsidP="00194107"/>
    <w:p w14:paraId="759C2360" w14:textId="47FD3780" w:rsidR="00194107" w:rsidRPr="00194107" w:rsidRDefault="0019147A" w:rsidP="00CF1DDA">
      <w:pPr>
        <w:tabs>
          <w:tab w:val="num" w:pos="720"/>
        </w:tabs>
      </w:pPr>
      <w:r w:rsidRPr="0019147A">
        <w:t xml:space="preserve">Employee engagement is a key responsibility of HR departments in the hospitality sector, as Marriott International and Hilton Hotels have shown. </w:t>
      </w:r>
      <w:r w:rsidR="00194107" w:rsidRPr="00194107">
        <w:t>The engagement process starts with selection and recruitment. HR personnel at the two hotels Marriott International and Hilton Hotels are focused on identifying people who have the required skills, but also share the company's values and culture. This means that employees will feel more at home in their role and the company starting from the first day</w:t>
      </w:r>
      <w:r w:rsidR="00033B6E">
        <w:t xml:space="preserve"> (</w:t>
      </w:r>
      <w:proofErr w:type="spellStart"/>
      <w:r w:rsidR="00033B6E">
        <w:t>Kalogiannidis</w:t>
      </w:r>
      <w:proofErr w:type="spellEnd"/>
      <w:r w:rsidR="00033B6E">
        <w:t>, 2021).</w:t>
      </w:r>
      <w:r w:rsidR="00CF1DDA">
        <w:t xml:space="preserve"> </w:t>
      </w:r>
      <w:r w:rsidR="00194107" w:rsidRPr="00194107">
        <w:t>A crucial aspect of employee engagement is onboarding. HR teams in these chains of hotels prioritize extensive onboarding programs to introduce new employees to the company's values, mission and expectations.</w:t>
      </w:r>
      <w:r w:rsidR="00CF1DDA" w:rsidRPr="00194107">
        <w:t xml:space="preserve"> </w:t>
      </w:r>
      <w:r w:rsidR="00CF1DDA">
        <w:t xml:space="preserve"> </w:t>
      </w:r>
      <w:r w:rsidR="00194107" w:rsidRPr="00194107">
        <w:t>Engaging employees requires investing in their development and growth. Human Resources departments of Marriott and Hilton provide ongoing learning and development opportunities, that allow employees to improve their abilities, remain current, and grow in their career. Rewarding and recognizing employees for their efforts is the cornerstone of engagement</w:t>
      </w:r>
      <w:r w:rsidR="00527376">
        <w:t xml:space="preserve"> (Sharma et al., 2021)</w:t>
      </w:r>
      <w:r w:rsidR="00194107" w:rsidRPr="00194107">
        <w:t>. The two companies Marriott along with Hilton have strong recognition programs implemented, which make sure that the efforts of employees are acknowledged and rewarded. </w:t>
      </w:r>
    </w:p>
    <w:p w14:paraId="6F9DCE4F" w14:textId="3CBB255D" w:rsidR="00194107" w:rsidRPr="00194107" w:rsidRDefault="00194107" w:rsidP="00CF1DDA">
      <w:r w:rsidRPr="00194107">
        <w:t>Employees who are engaged are more content with their job. They are able to find meaning and satisfaction in their work and this translates into more satisfaction with their jobs.</w:t>
      </w:r>
      <w:r w:rsidR="00CF1DDA">
        <w:t xml:space="preserve"> </w:t>
      </w:r>
      <w:r w:rsidRPr="00194107">
        <w:t>Engaged employees are more driven to perform at the highest level in their job</w:t>
      </w:r>
      <w:r w:rsidR="002024CE">
        <w:t xml:space="preserve"> (SHRM, 2021)</w:t>
      </w:r>
      <w:r w:rsidRPr="00194107">
        <w:t>. They are more committed to their work and positively contribute to the success of the business.</w:t>
      </w:r>
      <w:r w:rsidR="00CF1DDA">
        <w:t xml:space="preserve"> </w:t>
      </w:r>
      <w:r w:rsidRPr="00194107">
        <w:t>When employees are involved and engaged, they are less likely to look for opportunities elsewhere. This decreases the rate of turnover which can be expensive and disruptive for a company</w:t>
      </w:r>
      <w:r w:rsidR="00527376">
        <w:t xml:space="preserve"> (Akhtar and Hussain, 2019)</w:t>
      </w:r>
      <w:r w:rsidRPr="00194107">
        <w:t>.</w:t>
      </w:r>
      <w:r w:rsidR="00CF1DDA">
        <w:t xml:space="preserve"> </w:t>
      </w:r>
      <w:r w:rsidRPr="00194107">
        <w:t>Teams with a sense of engagement are more likely to come up with creative ideas and innovative solutions. They are committed to the success of the business and work to discover solutions to streamline processes and provide superior service.</w:t>
      </w:r>
      <w:r w:rsidR="00CF1DDA">
        <w:t xml:space="preserve"> </w:t>
      </w:r>
      <w:r w:rsidRPr="00194107">
        <w:t>Employees who are engaged tend to be more likely to deliver exceptional customer service</w:t>
      </w:r>
      <w:r w:rsidR="002716AA">
        <w:t xml:space="preserve"> (Della, 2019)</w:t>
      </w:r>
      <w:r w:rsidRPr="00194107">
        <w:t>. They are focused, attentive and eager to satisfy demands of the customer, which contributes to a higher level of satisfaction for guests.</w:t>
      </w:r>
      <w:r w:rsidR="00CF1DDA">
        <w:t xml:space="preserve"> </w:t>
      </w:r>
      <w:r w:rsidRPr="00194107">
        <w:t> Engagement of employees is a key factor in the creation of a positive culture within the organization. </w:t>
      </w:r>
      <w:r w:rsidR="00435071" w:rsidRPr="00435071">
        <w:t>In turn, this fosters a culture of cooperation, teamwork, and shared values that fosters the success of employees.</w:t>
      </w:r>
    </w:p>
    <w:p w14:paraId="299C2332" w14:textId="5617F7B0" w:rsidR="00194107" w:rsidRPr="00194107" w:rsidRDefault="00194107" w:rsidP="00194107">
      <w:r w:rsidRPr="00194107">
        <w:lastRenderedPageBreak/>
        <w:t>The success of Marriott International's engagement with employees is evident in the company's "Spirit to Serve" program. The program focuses on the importance of social responsibility and community involvement</w:t>
      </w:r>
      <w:r w:rsidR="002024CE">
        <w:t xml:space="preserve"> (Marriott international, 2020)</w:t>
      </w:r>
      <w:r w:rsidRPr="00194107">
        <w:t xml:space="preserve">. HR at Marriott recognizes that engagement goes beyond the confines of the workplace. </w:t>
      </w:r>
      <w:r w:rsidR="00FB1A3C">
        <w:t>W</w:t>
      </w:r>
      <w:r w:rsidRPr="00194107">
        <w:t>hen employees are actively involved in making a difference on their community this strengthens their connection to the business.</w:t>
      </w:r>
      <w:r w:rsidR="00CF1DDA">
        <w:t xml:space="preserve"> </w:t>
      </w:r>
      <w:r w:rsidRPr="00194107">
        <w:t>Hilton Hotels' "Catch Me at My Best" program is a testimony to the importance of acknowledging. HR at Hilton recognizes that acknowledging the contribution of employees can be a great way to engage employees</w:t>
      </w:r>
      <w:r w:rsidR="002024CE">
        <w:t xml:space="preserve"> (</w:t>
      </w:r>
      <w:r w:rsidR="002716AA">
        <w:t>Hilton, Hotel and Resorts, 2021)</w:t>
      </w:r>
      <w:r w:rsidRPr="00194107">
        <w:t>. This program encourages employees recognize and thank their colleagues and create an environment of gratitude and positive attitude.</w:t>
      </w:r>
    </w:p>
    <w:p w14:paraId="2D5BB648" w14:textId="2395E868" w:rsidR="00194107" w:rsidRPr="00194107" w:rsidRDefault="00194107" w:rsidP="00246A91">
      <w:r w:rsidRPr="00194107">
        <w:t>In the industry of hospitality where customer satisfaction is the most important factor and employee engagement is a key factor in achieving success. Marriott International and Hilton Hotels demonstrate the importance of HR in encouraging employee engagement. Their strategies demonstrate the importance of effective recruitment and onboarding, as well as training, recognition and communication, as well as working-life balance</w:t>
      </w:r>
      <w:r w:rsidR="00E7752A">
        <w:t xml:space="preserve"> (Aon, 2020)</w:t>
      </w:r>
      <w:r w:rsidRPr="00194107">
        <w:t>. </w:t>
      </w:r>
      <w:r w:rsidR="000F2EE0">
        <w:t xml:space="preserve"> </w:t>
      </w:r>
      <w:r w:rsidRPr="00194107">
        <w:t>Develop an enticing employer brand that demonstrates the uniqueness of your hotel's environment, benefits and possibilities. Insist on the hotel's dedication to employee development as well as work-life balance and the involvement of the community.</w:t>
      </w:r>
      <w:r w:rsidR="00CF1DDA">
        <w:t xml:space="preserve"> </w:t>
      </w:r>
      <w:r w:rsidRPr="00194107">
        <w:t>Write job descriptions which go beyond listing the duties</w:t>
      </w:r>
      <w:r w:rsidR="00E7752A">
        <w:t xml:space="preserve"> (</w:t>
      </w:r>
      <w:proofErr w:type="spellStart"/>
      <w:r w:rsidR="00E7752A">
        <w:t>Pwc</w:t>
      </w:r>
      <w:proofErr w:type="spellEnd"/>
      <w:r w:rsidR="00E7752A">
        <w:t>, 2017)</w:t>
      </w:r>
      <w:r w:rsidRPr="00194107">
        <w:t>. Explain how the job's impact on the guest experience and the larger hotel mission which makes the jobs more attractive.</w:t>
      </w:r>
      <w:r w:rsidR="000F2EE0">
        <w:t xml:space="preserve"> </w:t>
      </w:r>
      <w:r w:rsidRPr="00194107">
        <w:t>Engage in interactive interview which allow applicants to get an overview of the hotel's environment. Use role-playing scenarios to evaluate the manner in which candidates interact with guests and teamwork.</w:t>
      </w:r>
      <w:r w:rsidR="00246A91">
        <w:t xml:space="preserve"> </w:t>
      </w:r>
      <w:r w:rsidRPr="00194107">
        <w:t>Get current staff members to refer prospective candidates. Recognize employees who have made a successful referral creating a sense of ownership of your hiring procedure.</w:t>
      </w:r>
      <w:r w:rsidR="000F2EE0">
        <w:t xml:space="preserve"> </w:t>
      </w:r>
      <w:r w:rsidRPr="00194107">
        <w:t>Welcome new recruits to the hotel with welcome packs, which include the hotel's logo, branded products, a handbook for employees and a personal thank you note from your hotel's management.</w:t>
      </w:r>
      <w:r w:rsidR="00246A91">
        <w:t xml:space="preserve"> </w:t>
      </w:r>
      <w:r w:rsidRPr="00194107">
        <w:t>Employers with experience to serve as "buddies" to new hires. Buddies will help new hires navigate their first days, introduce them colleagues, and respond to questions.</w:t>
      </w:r>
    </w:p>
    <w:p w14:paraId="6910704F" w14:textId="377A9F5C" w:rsidR="00194107" w:rsidRPr="00194107" w:rsidRDefault="00194107" w:rsidP="00246A91">
      <w:r w:rsidRPr="00194107">
        <w:t>Set up a learning academy that provides courses in customer service, trends in the hospitality industry and the development of soft skills. Offer certificates after completion of the course to recognize the efforts of employees</w:t>
      </w:r>
      <w:r w:rsidR="00E7752A">
        <w:t xml:space="preserve"> (Gursoy et al., 2022)</w:t>
      </w:r>
      <w:r w:rsidR="00246A91">
        <w:t xml:space="preserve"> </w:t>
      </w:r>
      <w:r w:rsidRPr="00194107">
        <w:t xml:space="preserve">Encourage cross-training among </w:t>
      </w:r>
      <w:r w:rsidRPr="00194107">
        <w:lastRenderedPageBreak/>
        <w:t>departments. Employees are able to acquire different skills, and acquire more understanding of the operations of the hotel which results in an engaged and flexible workforce.</w:t>
      </w:r>
      <w:r w:rsidR="000F2EE0">
        <w:t xml:space="preserve"> </w:t>
      </w:r>
      <w:r w:rsidRPr="00194107">
        <w:t>Set up recognition plans that go beyond the traditional monetary reward</w:t>
      </w:r>
      <w:r w:rsidR="00DD6B1D">
        <w:t xml:space="preserve"> (Melian et al., 2020)</w:t>
      </w:r>
      <w:r w:rsidRPr="00194107">
        <w:t>. Recognize employees for outstanding customer service, teamwork and ingenuous ideas with "Employee of the Month" prizes as well as "Spotlight" features in newsletters.</w:t>
      </w:r>
      <w:r w:rsidR="00246A91">
        <w:t xml:space="preserve"> </w:t>
      </w:r>
      <w:r w:rsidRPr="00194107">
        <w:t>Create individualized career plan for employees, which map the potential career progression they could make inside the Hotel. Provide mentorship opportunities to help them reach their targets.</w:t>
      </w:r>
    </w:p>
    <w:p w14:paraId="416C01C3" w14:textId="72690924" w:rsidR="00194107" w:rsidRPr="00194107" w:rsidRDefault="00194107" w:rsidP="00194107">
      <w:r w:rsidRPr="00194107">
        <w:t>Perform exit interview to collect feedback from employees who are leaving. Make use of this data to identify ways to improve the overall experience for employees as well as future members of the team.</w:t>
      </w:r>
      <w:r w:rsidR="00246A91">
        <w:t xml:space="preserve"> </w:t>
      </w:r>
      <w:r w:rsidRPr="00194107">
        <w:t>Set up an alumni association to keep in touch and reconnect with your former employers. Invite them to events or special occasions, give them discounts and keep them informed about new job opportunities</w:t>
      </w:r>
      <w:r w:rsidR="00DD6B1D">
        <w:t xml:space="preserve"> (</w:t>
      </w:r>
      <w:proofErr w:type="spellStart"/>
      <w:r w:rsidR="00DD6B1D">
        <w:t>Amicarelli</w:t>
      </w:r>
      <w:proofErr w:type="spellEnd"/>
      <w:r w:rsidR="00DD6B1D">
        <w:t xml:space="preserve"> et al., 2022)</w:t>
      </w:r>
      <w:r w:rsidRPr="00194107">
        <w:t>. Alumni could serve as brand ambassadors, and could be hiring opportunities.</w:t>
      </w:r>
      <w:r w:rsidR="00246A91">
        <w:t xml:space="preserve"> </w:t>
      </w:r>
      <w:r w:rsidRPr="00194107">
        <w:t>The hospitality sector is a thriving one, and getting involved with your employees is vital in delivering outstanding guests' experience. These examples illustrate how you can make a positive and inspiring working environment throughout the lifecycle, which ultimately benefits both the hotel and employees.</w:t>
      </w:r>
    </w:p>
    <w:p w14:paraId="16485FC0" w14:textId="6C81DD50" w:rsidR="00F558ED" w:rsidRPr="00194107" w:rsidRDefault="00194107" w:rsidP="00F558ED">
      <w:pPr>
        <w:tabs>
          <w:tab w:val="num" w:pos="720"/>
        </w:tabs>
      </w:pPr>
      <w:r w:rsidRPr="00194107">
        <w:t>An effective model for employee engagement that is a good fit for hotels, taking an inspiration from businesses like Marriott International, is the "Engage, Enable, Energize" model. This model is focused on three fundamental components: Engage, Enable and Energize. It can be customized to meet the unique needs and requirements of hotels.</w:t>
      </w:r>
      <w:r w:rsidR="00246A91">
        <w:t xml:space="preserve"> </w:t>
      </w:r>
      <w:r w:rsidRPr="00194107">
        <w:t>Start by defining the fundamental values and goals for the establishment</w:t>
      </w:r>
      <w:r w:rsidR="00DD6B1D">
        <w:t xml:space="preserve"> (Kim et al., 2019)</w:t>
      </w:r>
      <w:r w:rsidRPr="00194107">
        <w:t>. Share these values with everyone in the hotel and make sure that they know how their jobs can contribute to the achievement of these goals. </w:t>
      </w:r>
      <w:r w:rsidR="00435071" w:rsidRPr="00194107">
        <w:t xml:space="preserve"> </w:t>
      </w:r>
      <w:r w:rsidRPr="00194107">
        <w:t>Employees are involved in their communities by donating their time and expertis</w:t>
      </w:r>
      <w:r w:rsidR="00F558ED">
        <w:t>e.</w:t>
      </w:r>
      <w:r w:rsidR="00435071" w:rsidRPr="00435071">
        <w:t xml:space="preserve"> Foster a sense of belonging and community among the staff. Establish frequent meetings, social gatherings, and forums where employees can voice their thoughts and share their problems as team-building activities. Establish a culture of acknowledgment and appreciation. Establish recurring recognition initiatives and promote peer-to-peer recognition. Present prizes and hold festivities to honor exceptional teamwork and service. The Engage component, which emphasizes social responsibility and community involvement, is a part of Marriott's "Spirit to Serve" initiative (Kim et al., 2019).</w:t>
      </w:r>
      <w:r w:rsidR="00F558ED">
        <w:t xml:space="preserve"> </w:t>
      </w:r>
      <w:r w:rsidRPr="00194107">
        <w:t xml:space="preserve">Provide comprehensive training and development programs to equip employees </w:t>
      </w:r>
      <w:r w:rsidRPr="00194107">
        <w:lastRenderedPageBreak/>
        <w:t>with the capabilities and expertise they require to succeed in their jobs. Encourage employees to continue education and provide opportunities for growth in their careers.</w:t>
      </w:r>
      <w:r w:rsidR="00F558ED">
        <w:t xml:space="preserve"> </w:t>
      </w:r>
      <w:r w:rsidRPr="00194107">
        <w:t>Set up transparent, open channels for communication</w:t>
      </w:r>
      <w:r w:rsidR="00BE01BE">
        <w:t xml:space="preserve"> (Yeon et al., 2020)</w:t>
      </w:r>
      <w:r w:rsidRPr="00194107">
        <w:t>. Make sure your employees can access information as well as resources and assistance to do their job effectively.</w:t>
      </w:r>
    </w:p>
    <w:p w14:paraId="61CD27D3" w14:textId="2C092D95" w:rsidR="00194107" w:rsidRPr="00194107" w:rsidRDefault="00194107" w:rsidP="00F558ED">
      <w:r w:rsidRPr="00194107">
        <w:t>Marriott provides its "Marriott Bonvoy University" platform that provides online classes and tools for employee development. This allows employees to increase their abilities and knowledge while fostering a culture that encourages ongoing education and self-development.</w:t>
      </w:r>
      <w:r w:rsidR="00F558ED">
        <w:t xml:space="preserve"> </w:t>
      </w:r>
      <w:r w:rsidRPr="00194107">
        <w:t>Promoting employee health through health initiatives, facilities for gyms and initiatives to promote working-life balance</w:t>
      </w:r>
      <w:r w:rsidR="00BE01BE">
        <w:t xml:space="preserve"> (Marriott International, 2020)</w:t>
      </w:r>
      <w:r w:rsidRPr="00194107">
        <w:t>. Be aware of the significance your employees their mental and physical well-being.</w:t>
      </w:r>
      <w:r w:rsidR="00F558ED">
        <w:t xml:space="preserve"> </w:t>
      </w:r>
      <w:r w:rsidRPr="00194107">
        <w:t>Encourage employees to think outside the box and come up with innovative ideas. </w:t>
      </w:r>
      <w:r w:rsidR="00BE01BE" w:rsidRPr="00194107">
        <w:t>Instill</w:t>
      </w:r>
      <w:r w:rsidRPr="00194107">
        <w:t xml:space="preserve"> a culture where employees are inspired to explore and come up with better ways to service guests.</w:t>
      </w:r>
      <w:r w:rsidR="00F558ED">
        <w:t xml:space="preserve"> </w:t>
      </w:r>
      <w:r w:rsidRPr="00194107">
        <w:t>Highlight career growth opportunities within the company. Give clear pathways to promotion, mentorship programs as well as cross-training possibilities.</w:t>
      </w:r>
    </w:p>
    <w:p w14:paraId="3BFB5484" w14:textId="437A08F6" w:rsidR="00194107" w:rsidRPr="00194107" w:rsidRDefault="00194107" w:rsidP="00F558ED">
      <w:r w:rsidRPr="00194107">
        <w:t>Illustration of Example Marriott International: Marriott's dedication to wellness is apparent in the "</w:t>
      </w:r>
      <w:proofErr w:type="spellStart"/>
      <w:r w:rsidRPr="00194107">
        <w:t>TakeCare</w:t>
      </w:r>
      <w:proofErr w:type="spellEnd"/>
      <w:r w:rsidRPr="00194107">
        <w:t xml:space="preserve">" program, which concentrates on employee health and wellbeing. It provides tools for fitness, stress management, and mental health care to create a healthy work environment that is </w:t>
      </w:r>
      <w:proofErr w:type="spellStart"/>
      <w:r w:rsidRPr="00194107">
        <w:t>energises</w:t>
      </w:r>
      <w:proofErr w:type="spellEnd"/>
      <w:r w:rsidRPr="00194107">
        <w:t xml:space="preserve"> employees</w:t>
      </w:r>
      <w:r w:rsidR="00BE01BE">
        <w:t xml:space="preserve"> (Jeong et al., 2023)</w:t>
      </w:r>
      <w:r w:rsidRPr="00194107">
        <w:t>.</w:t>
      </w:r>
      <w:r w:rsidR="00F558ED">
        <w:t xml:space="preserve"> </w:t>
      </w:r>
      <w:r w:rsidRPr="00194107">
        <w:t>Conduct an initial evaluation of the level of engagement among employees and determine areas that require improvement. Collect feedback via surveys, focus groups and one-on-one conversations.</w:t>
      </w:r>
      <w:r w:rsidR="00F558ED">
        <w:t xml:space="preserve"> </w:t>
      </w:r>
      <w:r w:rsidRPr="00194107">
        <w:t>Modify the model in order to meet the unique requirements and culture that the particular hotel. Be aware that every hotel will require different strategies for engaging employees effectively</w:t>
      </w:r>
      <w:r w:rsidR="002D4352">
        <w:t xml:space="preserve"> (Wickham et al., 2020)</w:t>
      </w:r>
      <w:r w:rsidRPr="00194107">
        <w:t>.</w:t>
      </w:r>
      <w:r w:rsidR="00F558ED">
        <w:t xml:space="preserve"> </w:t>
      </w:r>
      <w:r w:rsidRPr="00194107">
        <w:t> Provide training to HR professionals, managers and supervisors on the best ways to implement and maintain the model. Make sure that all employees know the principles and goals of the model.</w:t>
      </w:r>
      <w:r w:rsidR="00F558ED">
        <w:t xml:space="preserve"> </w:t>
      </w:r>
      <w:r w:rsidRPr="00194107">
        <w:t>Regularly evaluate the efficiency of the model using feedback mechanisms as well as key performance indicators that are related to engagement, retention and satisfaction of guests</w:t>
      </w:r>
      <w:r w:rsidR="002D4352">
        <w:t xml:space="preserve"> (Wickham et al., 2020)</w:t>
      </w:r>
      <w:r w:rsidR="00F558ED">
        <w:t xml:space="preserve"> </w:t>
      </w:r>
      <w:r w:rsidRPr="00194107">
        <w:t> Be flexible and willing to modify the model according to changing requirements and the feedback of employees.</w:t>
      </w:r>
    </w:p>
    <w:p w14:paraId="33E613CF" w14:textId="49F0877D" w:rsidR="00194107" w:rsidRPr="00194107" w:rsidRDefault="00F558ED" w:rsidP="00194107">
      <w:r>
        <w:t xml:space="preserve">So, </w:t>
      </w:r>
      <w:r w:rsidR="00194107" w:rsidRPr="00194107">
        <w:t xml:space="preserve">applying an "Engage, Enable, </w:t>
      </w:r>
      <w:r w:rsidR="000F2EE0" w:rsidRPr="00194107">
        <w:t>energize</w:t>
      </w:r>
      <w:r w:rsidR="00194107" w:rsidRPr="00194107">
        <w:t xml:space="preserve">" model within the hotel industry influenced by successful businesses such as Marriott International, can significantly increase employee engagement. By </w:t>
      </w:r>
      <w:proofErr w:type="spellStart"/>
      <w:r w:rsidR="00194107" w:rsidRPr="00194107">
        <w:t>focussing</w:t>
      </w:r>
      <w:proofErr w:type="spellEnd"/>
      <w:r w:rsidR="00194107" w:rsidRPr="00194107">
        <w:t xml:space="preserve"> on these three aspects and adjusting strategies to suit the specific culture </w:t>
      </w:r>
      <w:r w:rsidR="00194107" w:rsidRPr="00194107">
        <w:lastRenderedPageBreak/>
        <w:t>of the hotel hotels can create an atmosphere where employees feel motivated and satisfied. They are also committed to providing guests with exceptional experience.</w:t>
      </w:r>
    </w:p>
    <w:p w14:paraId="46E0D280" w14:textId="77777777" w:rsidR="00194107" w:rsidRPr="00194107" w:rsidRDefault="00194107" w:rsidP="000F2EE0">
      <w:pPr>
        <w:pStyle w:val="Heading1"/>
      </w:pPr>
      <w:r w:rsidRPr="00194107">
        <w:t>Conclusion</w:t>
      </w:r>
    </w:p>
    <w:p w14:paraId="3F048400" w14:textId="60B5370B" w:rsidR="00194107" w:rsidRPr="00194107" w:rsidRDefault="00F558ED" w:rsidP="003D1756">
      <w:r>
        <w:t>T</w:t>
      </w:r>
      <w:r w:rsidR="00194107" w:rsidRPr="00194107">
        <w:t>he importance of HR in ensuring that employees are engaged is essential in the hospitality industry like Marriott International and Hilton Hotels. These giants of the industry have proven the importance of HR specialists in encouraging an environment of engagement for employees and ultimately contributing to the success of their companies.</w:t>
      </w:r>
      <w:r>
        <w:t xml:space="preserve"> </w:t>
      </w:r>
      <w:r w:rsidR="00194107" w:rsidRPr="00194107">
        <w:t>Effective engagement strategies employed by HR departments address a range of aspects of an employee's lifecycle, from recruiting and onboarding, to continual growth, recognition and maintaining an appropriate work-life balance</w:t>
      </w:r>
      <w:r w:rsidR="002716AA">
        <w:t xml:space="preserve"> (Gallup, 2021)</w:t>
      </w:r>
      <w:r w:rsidR="00194107" w:rsidRPr="00194107">
        <w:t>. These practices do not just increase satisfaction of employees but also result in improved efficiency, decreased turnover, improved creativity, superior customer service, and development of a positive organizational culture.</w:t>
      </w:r>
      <w:r>
        <w:t xml:space="preserve"> </w:t>
      </w:r>
      <w:r w:rsidR="00194107" w:rsidRPr="00194107">
        <w:t>Marriott International's "Spirit to Serve" program and Hilton Hotels' "Catch Me at My Best" initiative provide inspiring case studies that highlight the importance for community engagement and recognition to boost employee engagement.</w:t>
      </w:r>
      <w:r>
        <w:t xml:space="preserve"> </w:t>
      </w:r>
      <w:r w:rsidR="00194107" w:rsidRPr="00194107">
        <w:t xml:space="preserve">In today's highly competitive hotel industry, where customer satisfaction is essential, HR professionals must remain focused on as well as implement efficient engagement strategies </w:t>
      </w:r>
      <w:r w:rsidRPr="00194107">
        <w:t>like “Engage</w:t>
      </w:r>
      <w:r w:rsidR="00194107" w:rsidRPr="00194107">
        <w:t>, Enable,</w:t>
      </w:r>
      <w:r w:rsidR="000F2EE0">
        <w:t xml:space="preserve"> E</w:t>
      </w:r>
      <w:r w:rsidR="000F2EE0" w:rsidRPr="00194107">
        <w:t>nergize</w:t>
      </w:r>
      <w:r w:rsidR="00194107" w:rsidRPr="00194107">
        <w:t xml:space="preserve"> model</w:t>
      </w:r>
      <w:r w:rsidR="002716AA">
        <w:t xml:space="preserve"> (Deloitte, 2021).</w:t>
      </w:r>
      <w:r w:rsidR="00194107" w:rsidRPr="00194107">
        <w:t> Through this process they can create environments where employees are not only motivated and happy, but fully committed to providing outstanding guests' experiences. This commitment is the key to the longevity and success that hotels enjoy in an constantly changing industry of hospitality.</w:t>
      </w:r>
    </w:p>
    <w:p w14:paraId="40088EC7" w14:textId="77777777" w:rsidR="002D4352" w:rsidRDefault="002D4352">
      <w:pPr>
        <w:spacing w:line="259" w:lineRule="auto"/>
        <w:jc w:val="left"/>
        <w:rPr>
          <w:rFonts w:eastAsiaTheme="majorEastAsia" w:cstheme="majorBidi"/>
          <w:b/>
          <w:color w:val="44546A" w:themeColor="text2"/>
          <w:sz w:val="32"/>
          <w:szCs w:val="32"/>
        </w:rPr>
      </w:pPr>
      <w:r>
        <w:br w:type="page"/>
      </w:r>
    </w:p>
    <w:p w14:paraId="50AA4690" w14:textId="6C45778F" w:rsidR="00976686" w:rsidRDefault="003D1756" w:rsidP="003D1756">
      <w:pPr>
        <w:pStyle w:val="Heading1"/>
      </w:pPr>
      <w:r>
        <w:lastRenderedPageBreak/>
        <w:t xml:space="preserve">References </w:t>
      </w:r>
    </w:p>
    <w:p w14:paraId="589A6349" w14:textId="77777777" w:rsidR="002D4352" w:rsidRPr="003D1756" w:rsidRDefault="002D4352" w:rsidP="002D4352">
      <w:pPr>
        <w:numPr>
          <w:ilvl w:val="0"/>
          <w:numId w:val="8"/>
        </w:numPr>
        <w:jc w:val="left"/>
      </w:pPr>
      <w:r>
        <w:t>Akhtar, R.N. and Hussain, N., 2019. Testing ERE cycle in teaching business communication courses: Experiential learning strategies. Journal of Education and educational Development, 6(1), pp.62-77.</w:t>
      </w:r>
    </w:p>
    <w:p w14:paraId="35DFDC09" w14:textId="77777777" w:rsidR="002D4352" w:rsidRDefault="002D4352" w:rsidP="002D4352">
      <w:pPr>
        <w:numPr>
          <w:ilvl w:val="0"/>
          <w:numId w:val="8"/>
        </w:numPr>
        <w:jc w:val="left"/>
      </w:pPr>
      <w:proofErr w:type="spellStart"/>
      <w:r>
        <w:t>Amicarelli</w:t>
      </w:r>
      <w:proofErr w:type="spellEnd"/>
      <w:r>
        <w:t xml:space="preserve">, V., </w:t>
      </w:r>
      <w:proofErr w:type="spellStart"/>
      <w:r>
        <w:t>Aluculesei</w:t>
      </w:r>
      <w:proofErr w:type="spellEnd"/>
      <w:r>
        <w:t xml:space="preserve">, A.C., Lagioia, G., </w:t>
      </w:r>
      <w:proofErr w:type="spellStart"/>
      <w:r>
        <w:t>Pamfilie</w:t>
      </w:r>
      <w:proofErr w:type="spellEnd"/>
      <w:r>
        <w:t>, R. and Bux, C., 2022. How to manage and minimize food waste in the hotel industry: An exploratory research. International Journal of Culture, Tourism and Hospitality Research, 16(1), pp.152-167.</w:t>
      </w:r>
    </w:p>
    <w:p w14:paraId="68090A0D" w14:textId="77777777" w:rsidR="002D4352" w:rsidRPr="003D1756" w:rsidRDefault="002D4352" w:rsidP="003D1756">
      <w:pPr>
        <w:numPr>
          <w:ilvl w:val="0"/>
          <w:numId w:val="8"/>
        </w:numPr>
        <w:jc w:val="left"/>
      </w:pPr>
      <w:r w:rsidRPr="003D1756">
        <w:t xml:space="preserve">Aon. 2020. Global Employee Experience Trends. Retrieved from </w:t>
      </w:r>
      <w:hyperlink r:id="rId8" w:tgtFrame="_new" w:history="1">
        <w:r w:rsidRPr="003D1756">
          <w:rPr>
            <w:rStyle w:val="Hyperlink"/>
          </w:rPr>
          <w:t>https://www.aon.com/human-capital-consulting/consulting/employee-experience/global-employee-experience-trends.jsp</w:t>
        </w:r>
      </w:hyperlink>
    </w:p>
    <w:p w14:paraId="3DD38B2F" w14:textId="77777777" w:rsidR="002D4352" w:rsidRPr="003D1756" w:rsidRDefault="002D4352" w:rsidP="003D1756">
      <w:pPr>
        <w:numPr>
          <w:ilvl w:val="0"/>
          <w:numId w:val="8"/>
        </w:numPr>
        <w:jc w:val="left"/>
      </w:pPr>
      <w:r w:rsidRPr="003D1756">
        <w:t xml:space="preserve">Della Ratta, S. 2019. Employee Engagement: The Key to Better Customer Service in Hospitality. Forbes. Retrieved from </w:t>
      </w:r>
      <w:hyperlink r:id="rId9" w:tgtFrame="_new" w:history="1">
        <w:r w:rsidRPr="003D1756">
          <w:rPr>
            <w:rStyle w:val="Hyperlink"/>
          </w:rPr>
          <w:t>https://www.forbes.com/sites/forbeshumanresourcescouncil/2019/07/02/employee-engagement-the-key-to-better-customer-service-in-hospitality/?sh=1c7b07b3c235</w:t>
        </w:r>
      </w:hyperlink>
    </w:p>
    <w:p w14:paraId="778F6A94" w14:textId="77777777" w:rsidR="002D4352" w:rsidRPr="003D1756" w:rsidRDefault="002D4352" w:rsidP="003D1756">
      <w:pPr>
        <w:numPr>
          <w:ilvl w:val="0"/>
          <w:numId w:val="8"/>
        </w:numPr>
        <w:jc w:val="left"/>
      </w:pPr>
      <w:r w:rsidRPr="003D1756">
        <w:t xml:space="preserve">Deloitte. 2021. The power of human connection: Why people management is the future of business. Retrieved from </w:t>
      </w:r>
      <w:hyperlink r:id="rId10" w:tgtFrame="_new" w:history="1">
        <w:r w:rsidRPr="003D1756">
          <w:rPr>
            <w:rStyle w:val="Hyperlink"/>
          </w:rPr>
          <w:t>https://www2.deloitte.com/us/en/pages/human-capital/articles/human-capital-trends.html</w:t>
        </w:r>
      </w:hyperlink>
    </w:p>
    <w:p w14:paraId="53F8AE2B" w14:textId="77777777" w:rsidR="002D4352" w:rsidRPr="003D1756" w:rsidRDefault="002D4352" w:rsidP="003D1756">
      <w:pPr>
        <w:numPr>
          <w:ilvl w:val="0"/>
          <w:numId w:val="8"/>
        </w:numPr>
        <w:jc w:val="left"/>
      </w:pPr>
      <w:r w:rsidRPr="003D1756">
        <w:t>Gallup. 2021</w:t>
      </w:r>
      <w:r>
        <w:t>.</w:t>
      </w:r>
      <w:r w:rsidRPr="003D1756">
        <w:t xml:space="preserve"> Employee Engagement on the Rise in the U.S. Retrieved from </w:t>
      </w:r>
      <w:hyperlink r:id="rId11" w:tgtFrame="_new" w:history="1">
        <w:r w:rsidRPr="003D1756">
          <w:rPr>
            <w:rStyle w:val="Hyperlink"/>
          </w:rPr>
          <w:t>https://news.gallup.com/poll/350184/employee-engagement-rise.aspx</w:t>
        </w:r>
      </w:hyperlink>
    </w:p>
    <w:p w14:paraId="063E91F3" w14:textId="77777777" w:rsidR="002D4352" w:rsidRDefault="002D4352" w:rsidP="002D4352">
      <w:pPr>
        <w:numPr>
          <w:ilvl w:val="0"/>
          <w:numId w:val="8"/>
        </w:numPr>
        <w:jc w:val="left"/>
      </w:pPr>
      <w:r>
        <w:t xml:space="preserve">Gursoy, D., </w:t>
      </w:r>
      <w:proofErr w:type="spellStart"/>
      <w:r>
        <w:t>Malodia</w:t>
      </w:r>
      <w:proofErr w:type="spellEnd"/>
      <w:r>
        <w:t>, S. and Dhir, A., 2022. The metaverse in the hospitality and tourism industry: An overview of current trends and future research directions. Journal of Hospitality Marketing &amp; Management, 31(5), pp.527-534.</w:t>
      </w:r>
    </w:p>
    <w:p w14:paraId="2971C117" w14:textId="77777777" w:rsidR="002D4352" w:rsidRPr="003D1756" w:rsidRDefault="002D4352" w:rsidP="003D1756">
      <w:pPr>
        <w:numPr>
          <w:ilvl w:val="0"/>
          <w:numId w:val="8"/>
        </w:numPr>
        <w:jc w:val="left"/>
      </w:pPr>
      <w:r w:rsidRPr="003D1756">
        <w:t xml:space="preserve">Hilton Hotels &amp; Resorts. 2021. About Us. Retrieved from </w:t>
      </w:r>
      <w:hyperlink r:id="rId12" w:tgtFrame="_new" w:history="1">
        <w:r w:rsidRPr="003D1756">
          <w:rPr>
            <w:rStyle w:val="Hyperlink"/>
          </w:rPr>
          <w:t>https://www.hilton.com/en/corporate/about/</w:t>
        </w:r>
      </w:hyperlink>
    </w:p>
    <w:p w14:paraId="0C095079" w14:textId="77777777" w:rsidR="002D4352" w:rsidRDefault="002D4352" w:rsidP="002D4352">
      <w:pPr>
        <w:numPr>
          <w:ilvl w:val="0"/>
          <w:numId w:val="8"/>
        </w:numPr>
        <w:jc w:val="left"/>
      </w:pPr>
      <w:r>
        <w:t>Jeong, M., Shin, H.H., Lee, M. and Lee, J., 2023. Assessing brand performance consistency from consumer-generated media: the US hotel industry. International Journal of Contemporary Hospitality Management, 35(6), pp.2056-2083.</w:t>
      </w:r>
    </w:p>
    <w:p w14:paraId="5C60DF83" w14:textId="77777777" w:rsidR="002D4352" w:rsidRDefault="002D4352" w:rsidP="002D4352">
      <w:pPr>
        <w:numPr>
          <w:ilvl w:val="0"/>
          <w:numId w:val="8"/>
        </w:numPr>
        <w:jc w:val="left"/>
      </w:pPr>
      <w:proofErr w:type="spellStart"/>
      <w:r>
        <w:lastRenderedPageBreak/>
        <w:t>Kalogiannidis</w:t>
      </w:r>
      <w:proofErr w:type="spellEnd"/>
      <w:r>
        <w:t>, S., 2021. Business trust and communication as predictors of business growth. WSEAS Transactions on Business and Economics, 18, pp.1512-1522.</w:t>
      </w:r>
    </w:p>
    <w:p w14:paraId="0B6B8F37" w14:textId="77777777" w:rsidR="002D4352" w:rsidRDefault="002D4352" w:rsidP="002D4352">
      <w:pPr>
        <w:numPr>
          <w:ilvl w:val="0"/>
          <w:numId w:val="8"/>
        </w:numPr>
        <w:jc w:val="left"/>
      </w:pPr>
      <w:r>
        <w:t>Kim, Y.H., Barber, N. and Kim, D.K., 2019. Sustainability research in the hotel industry: Past, present, and future. Journal of Hospitality Marketing &amp; Management, 28(5), pp.576-620.</w:t>
      </w:r>
    </w:p>
    <w:p w14:paraId="3861F6AA" w14:textId="77777777" w:rsidR="002D4352" w:rsidRPr="003D1756" w:rsidRDefault="002D4352" w:rsidP="003D1756">
      <w:pPr>
        <w:numPr>
          <w:ilvl w:val="0"/>
          <w:numId w:val="8"/>
        </w:numPr>
        <w:jc w:val="left"/>
      </w:pPr>
      <w:r w:rsidRPr="003D1756">
        <w:t xml:space="preserve">Marriott International. 20. Marriott International 2020 Annual Report. Retrieved from </w:t>
      </w:r>
      <w:hyperlink r:id="rId13" w:tgtFrame="_new" w:history="1">
        <w:r w:rsidRPr="003D1756">
          <w:rPr>
            <w:rStyle w:val="Hyperlink"/>
          </w:rPr>
          <w:t>https://investor.marriott.com/annual-reports</w:t>
        </w:r>
      </w:hyperlink>
    </w:p>
    <w:p w14:paraId="2140AEC0" w14:textId="77777777" w:rsidR="002D4352" w:rsidRDefault="002D4352" w:rsidP="002D4352">
      <w:pPr>
        <w:numPr>
          <w:ilvl w:val="0"/>
          <w:numId w:val="8"/>
        </w:numPr>
        <w:jc w:val="left"/>
      </w:pPr>
      <w:proofErr w:type="spellStart"/>
      <w:r>
        <w:t>Melián</w:t>
      </w:r>
      <w:proofErr w:type="spellEnd"/>
      <w:r>
        <w:t xml:space="preserve">-González, S. and </w:t>
      </w:r>
      <w:proofErr w:type="spellStart"/>
      <w:r>
        <w:t>Bulchand-Gidumal</w:t>
      </w:r>
      <w:proofErr w:type="spellEnd"/>
      <w:r>
        <w:t>, J., 2020. Employment in tourism: The jaws of the snake in the hotel industry. Tourism Management, 80, p.104123.</w:t>
      </w:r>
    </w:p>
    <w:p w14:paraId="497CD12B" w14:textId="77777777" w:rsidR="002D4352" w:rsidRDefault="002D4352" w:rsidP="002D4352">
      <w:pPr>
        <w:numPr>
          <w:ilvl w:val="0"/>
          <w:numId w:val="8"/>
        </w:numPr>
        <w:jc w:val="left"/>
      </w:pPr>
      <w:proofErr w:type="spellStart"/>
      <w:r>
        <w:t>Musheke</w:t>
      </w:r>
      <w:proofErr w:type="spellEnd"/>
      <w:r>
        <w:t>, M.M. and Phiri, J., 2021. The effects of effective communication on organizational performance based on the systems theory. Open Journal of Business and Management, 9(2), pp.659-671.</w:t>
      </w:r>
    </w:p>
    <w:p w14:paraId="54713B28" w14:textId="77777777" w:rsidR="002D4352" w:rsidRPr="003D1756" w:rsidRDefault="002D4352" w:rsidP="003D1756">
      <w:pPr>
        <w:numPr>
          <w:ilvl w:val="0"/>
          <w:numId w:val="8"/>
        </w:numPr>
        <w:jc w:val="left"/>
      </w:pPr>
      <w:r w:rsidRPr="003D1756">
        <w:t xml:space="preserve">PwC. 2017. Experience is Everything: Here’s How to Get It Right. Retrieved from </w:t>
      </w:r>
      <w:hyperlink r:id="rId14" w:tgtFrame="_new" w:history="1">
        <w:r w:rsidRPr="003D1756">
          <w:rPr>
            <w:rStyle w:val="Hyperlink"/>
          </w:rPr>
          <w:t>https://www.pwc.com/us/en/industries/hospitality-leisure/library/experience-is-everything.html</w:t>
        </w:r>
      </w:hyperlink>
    </w:p>
    <w:p w14:paraId="16F753E3" w14:textId="77777777" w:rsidR="002D4352" w:rsidRDefault="002D4352" w:rsidP="002D4352">
      <w:pPr>
        <w:numPr>
          <w:ilvl w:val="0"/>
          <w:numId w:val="8"/>
        </w:numPr>
        <w:jc w:val="left"/>
      </w:pPr>
      <w:r>
        <w:t xml:space="preserve">Sharma, R., Khalid, S. and </w:t>
      </w:r>
      <w:proofErr w:type="spellStart"/>
      <w:r>
        <w:t>Geyi</w:t>
      </w:r>
      <w:proofErr w:type="spellEnd"/>
      <w:r>
        <w:t xml:space="preserve">, N., 2021. An Investigative Analysis Of The Relationship Between An Effective Business Communication And Employee Performance. </w:t>
      </w:r>
      <w:proofErr w:type="spellStart"/>
      <w:r>
        <w:t>Ilkogretim</w:t>
      </w:r>
      <w:proofErr w:type="spellEnd"/>
      <w:r>
        <w:t xml:space="preserve"> Online-Elementary Education Online, 20(1), pp.4471-4478.</w:t>
      </w:r>
    </w:p>
    <w:p w14:paraId="2959E396" w14:textId="77777777" w:rsidR="002D4352" w:rsidRPr="003D1756" w:rsidRDefault="002D4352" w:rsidP="003D1756">
      <w:pPr>
        <w:numPr>
          <w:ilvl w:val="0"/>
          <w:numId w:val="8"/>
        </w:numPr>
        <w:jc w:val="left"/>
      </w:pPr>
      <w:r w:rsidRPr="003D1756">
        <w:t xml:space="preserve">SHRM. (2021). Employee Retention Report. Retrieved from </w:t>
      </w:r>
      <w:hyperlink r:id="rId15" w:tgtFrame="_new" w:history="1">
        <w:r w:rsidRPr="003D1756">
          <w:rPr>
            <w:rStyle w:val="Hyperlink"/>
          </w:rPr>
          <w:t>https://www.shrm.org/hr-today/trends-and-forecasting/research-and-surveys/Documents/SHRM-Employee-Retention-Report-2021.pdf</w:t>
        </w:r>
      </w:hyperlink>
    </w:p>
    <w:p w14:paraId="787CCD34" w14:textId="77777777" w:rsidR="002D4352" w:rsidRPr="003D1756" w:rsidRDefault="002D4352" w:rsidP="003D1756">
      <w:pPr>
        <w:numPr>
          <w:ilvl w:val="0"/>
          <w:numId w:val="8"/>
        </w:numPr>
        <w:jc w:val="left"/>
      </w:pPr>
      <w:r w:rsidRPr="003D1756">
        <w:t xml:space="preserve">Society for Human Resource Management (SHRM). 2021. Employee Engagement and Commitment. Retrieved from </w:t>
      </w:r>
      <w:hyperlink r:id="rId16" w:tgtFrame="_new" w:history="1">
        <w:r w:rsidRPr="003D1756">
          <w:rPr>
            <w:rStyle w:val="Hyperlink"/>
          </w:rPr>
          <w:t>https://www.shrm.org/resourcesandtools/tools-and-samples/toolkits/pages/employeeengagementandcommitment.aspx</w:t>
        </w:r>
      </w:hyperlink>
    </w:p>
    <w:p w14:paraId="66D92A51" w14:textId="77777777" w:rsidR="002D4352" w:rsidRDefault="002D4352" w:rsidP="003D1756">
      <w:pPr>
        <w:numPr>
          <w:ilvl w:val="0"/>
          <w:numId w:val="8"/>
        </w:numPr>
        <w:jc w:val="left"/>
      </w:pPr>
      <w:r w:rsidRPr="003D1756">
        <w:t xml:space="preserve">The Cornell Hotel School. (2021). The Center for Hospitality Research. Retrieved from </w:t>
      </w:r>
      <w:hyperlink r:id="rId17" w:tgtFrame="_new" w:history="1">
        <w:r w:rsidRPr="003D1756">
          <w:rPr>
            <w:rStyle w:val="Hyperlink"/>
          </w:rPr>
          <w:t>https://sha.cornell.edu/centers-institutes/chr/</w:t>
        </w:r>
      </w:hyperlink>
      <w:r>
        <w:t>.</w:t>
      </w:r>
    </w:p>
    <w:p w14:paraId="34394AF4" w14:textId="77777777" w:rsidR="002D4352" w:rsidRPr="003D1756" w:rsidRDefault="002D4352" w:rsidP="003D1756">
      <w:pPr>
        <w:numPr>
          <w:ilvl w:val="0"/>
          <w:numId w:val="8"/>
        </w:numPr>
        <w:jc w:val="left"/>
      </w:pPr>
      <w:r w:rsidRPr="003D1756">
        <w:lastRenderedPageBreak/>
        <w:t xml:space="preserve">Watson, S. 2020. Hilton's HR head explains why corporate culture is not just for show. HR Dive. Retrieved from </w:t>
      </w:r>
      <w:hyperlink r:id="rId18" w:tgtFrame="_new" w:history="1">
        <w:r w:rsidRPr="003D1756">
          <w:rPr>
            <w:rStyle w:val="Hyperlink"/>
          </w:rPr>
          <w:t>https://www.hrdive.com/news/hiltons-hr-head-explains-why-corporate-culture-is-not-just-for-show/580563/</w:t>
        </w:r>
      </w:hyperlink>
    </w:p>
    <w:p w14:paraId="14FD5134" w14:textId="77777777" w:rsidR="002D4352" w:rsidRDefault="002D4352" w:rsidP="002D4352">
      <w:pPr>
        <w:numPr>
          <w:ilvl w:val="0"/>
          <w:numId w:val="8"/>
        </w:numPr>
        <w:jc w:val="left"/>
      </w:pPr>
      <w:r>
        <w:t>Wickham, M., French, L. and Wong, T., 2020. Marriott's strategic sustainability priorities in the Chinese hotel industry. International Journal of Sustainable Strategic Management, 8(1), pp.77-97.</w:t>
      </w:r>
    </w:p>
    <w:p w14:paraId="5520F435" w14:textId="77777777" w:rsidR="002D4352" w:rsidRDefault="002D4352" w:rsidP="002D4352">
      <w:pPr>
        <w:numPr>
          <w:ilvl w:val="0"/>
          <w:numId w:val="8"/>
        </w:numPr>
        <w:jc w:val="left"/>
      </w:pPr>
      <w:r>
        <w:t>Yeon, J., Song, H.J. and Lee, S., 2020. Impact of short-term rental regulation on hotel industry: a difference-in-differences approach. Annals of Tourism Research, 83, p.102939.</w:t>
      </w:r>
    </w:p>
    <w:p w14:paraId="05071541" w14:textId="7BF7849C" w:rsidR="003D1756" w:rsidRPr="003D1756" w:rsidRDefault="003D1756" w:rsidP="00453180">
      <w:pPr>
        <w:ind w:left="360"/>
        <w:jc w:val="left"/>
      </w:pPr>
    </w:p>
    <w:p w14:paraId="1F9D8790" w14:textId="77777777" w:rsidR="003D1756" w:rsidRPr="003D1756" w:rsidRDefault="003D1756" w:rsidP="003D1756">
      <w:pPr>
        <w:jc w:val="left"/>
        <w:rPr>
          <w:vanish/>
        </w:rPr>
      </w:pPr>
      <w:r w:rsidRPr="003D1756">
        <w:rPr>
          <w:vanish/>
        </w:rPr>
        <w:t>Top of Form</w:t>
      </w:r>
    </w:p>
    <w:p w14:paraId="33694D2E" w14:textId="77777777" w:rsidR="003D1756" w:rsidRPr="003D1756" w:rsidRDefault="003D1756" w:rsidP="003D1756">
      <w:pPr>
        <w:jc w:val="left"/>
      </w:pPr>
    </w:p>
    <w:sectPr w:rsidR="003D1756" w:rsidRPr="003D1756">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8F5CB9" w14:textId="77777777" w:rsidR="00E3071A" w:rsidRDefault="00E3071A" w:rsidP="002D4352">
      <w:pPr>
        <w:spacing w:after="0" w:line="240" w:lineRule="auto"/>
      </w:pPr>
      <w:r>
        <w:separator/>
      </w:r>
    </w:p>
  </w:endnote>
  <w:endnote w:type="continuationSeparator" w:id="0">
    <w:p w14:paraId="4B52E9F4" w14:textId="77777777" w:rsidR="00E3071A" w:rsidRDefault="00E3071A" w:rsidP="002D43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iberation Serif">
    <w:altName w:val="Times New Roman"/>
    <w:charset w:val="00"/>
    <w:family w:val="roman"/>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9685525"/>
      <w:docPartObj>
        <w:docPartGallery w:val="Page Numbers (Bottom of Page)"/>
        <w:docPartUnique/>
      </w:docPartObj>
    </w:sdtPr>
    <w:sdtEndPr>
      <w:rPr>
        <w:color w:val="7F7F7F" w:themeColor="background1" w:themeShade="7F"/>
        <w:spacing w:val="60"/>
      </w:rPr>
    </w:sdtEndPr>
    <w:sdtContent>
      <w:p w14:paraId="1DD8D980" w14:textId="667B1A2E" w:rsidR="002D4352" w:rsidRDefault="002D435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E383C0A" w14:textId="77777777" w:rsidR="002D4352" w:rsidRDefault="002D43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0A558B" w14:textId="77777777" w:rsidR="00E3071A" w:rsidRDefault="00E3071A" w:rsidP="002D4352">
      <w:pPr>
        <w:spacing w:after="0" w:line="240" w:lineRule="auto"/>
      </w:pPr>
      <w:r>
        <w:separator/>
      </w:r>
    </w:p>
  </w:footnote>
  <w:footnote w:type="continuationSeparator" w:id="0">
    <w:p w14:paraId="2863CF4A" w14:textId="77777777" w:rsidR="00E3071A" w:rsidRDefault="00E3071A" w:rsidP="002D43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4D28CF"/>
    <w:multiLevelType w:val="multilevel"/>
    <w:tmpl w:val="712AE1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F6E1B16"/>
    <w:multiLevelType w:val="multilevel"/>
    <w:tmpl w:val="AC0015A8"/>
    <w:lvl w:ilvl="0">
      <w:start w:val="1"/>
      <w:numFmt w:val="decimal"/>
      <w:lvlText w:val="%1."/>
      <w:lvlJc w:val="left"/>
      <w:pPr>
        <w:tabs>
          <w:tab w:val="num" w:pos="720"/>
        </w:tabs>
        <w:ind w:left="720" w:hanging="360"/>
      </w:p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75A7FB7"/>
    <w:multiLevelType w:val="multilevel"/>
    <w:tmpl w:val="B88697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06A0BC7"/>
    <w:multiLevelType w:val="multilevel"/>
    <w:tmpl w:val="E2EC3676"/>
    <w:lvl w:ilvl="0">
      <w:start w:val="1"/>
      <w:numFmt w:val="decimal"/>
      <w:lvlText w:val="%1."/>
      <w:lvlJc w:val="left"/>
      <w:pPr>
        <w:tabs>
          <w:tab w:val="num" w:pos="360"/>
        </w:tabs>
        <w:ind w:left="360" w:hanging="360"/>
      </w:p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 w15:restartNumberingAfterBreak="0">
    <w:nsid w:val="633A73E5"/>
    <w:multiLevelType w:val="multilevel"/>
    <w:tmpl w:val="BCDCE4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9A75D7A"/>
    <w:multiLevelType w:val="multilevel"/>
    <w:tmpl w:val="9376849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E9D226B"/>
    <w:multiLevelType w:val="multilevel"/>
    <w:tmpl w:val="4070712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F7C1558"/>
    <w:multiLevelType w:val="multilevel"/>
    <w:tmpl w:val="125228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89773016">
    <w:abstractNumId w:val="4"/>
  </w:num>
  <w:num w:numId="2" w16cid:durableId="1766607772">
    <w:abstractNumId w:val="7"/>
  </w:num>
  <w:num w:numId="3" w16cid:durableId="1906648475">
    <w:abstractNumId w:val="6"/>
  </w:num>
  <w:num w:numId="4" w16cid:durableId="1551501450">
    <w:abstractNumId w:val="5"/>
  </w:num>
  <w:num w:numId="5" w16cid:durableId="1118111985">
    <w:abstractNumId w:val="1"/>
  </w:num>
  <w:num w:numId="6" w16cid:durableId="905144408">
    <w:abstractNumId w:val="3"/>
  </w:num>
  <w:num w:numId="7" w16cid:durableId="974217245">
    <w:abstractNumId w:val="0"/>
  </w:num>
  <w:num w:numId="8" w16cid:durableId="10400162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4107"/>
    <w:rsid w:val="00033B6E"/>
    <w:rsid w:val="000F2EE0"/>
    <w:rsid w:val="0019147A"/>
    <w:rsid w:val="00194107"/>
    <w:rsid w:val="001B29A2"/>
    <w:rsid w:val="002024CE"/>
    <w:rsid w:val="00246A91"/>
    <w:rsid w:val="002716AA"/>
    <w:rsid w:val="002D4352"/>
    <w:rsid w:val="003D1756"/>
    <w:rsid w:val="00435071"/>
    <w:rsid w:val="00453180"/>
    <w:rsid w:val="00466447"/>
    <w:rsid w:val="00527376"/>
    <w:rsid w:val="006F291B"/>
    <w:rsid w:val="0075065C"/>
    <w:rsid w:val="00831A9B"/>
    <w:rsid w:val="00976686"/>
    <w:rsid w:val="009D5838"/>
    <w:rsid w:val="009E4567"/>
    <w:rsid w:val="00A11055"/>
    <w:rsid w:val="00B9749E"/>
    <w:rsid w:val="00BE01BE"/>
    <w:rsid w:val="00CD473C"/>
    <w:rsid w:val="00CF1DDA"/>
    <w:rsid w:val="00DD6B1D"/>
    <w:rsid w:val="00E3071A"/>
    <w:rsid w:val="00E7752A"/>
    <w:rsid w:val="00EA76CC"/>
    <w:rsid w:val="00EE117C"/>
    <w:rsid w:val="00F558ED"/>
    <w:rsid w:val="00FB1A3C"/>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88E99"/>
  <w15:chartTrackingRefBased/>
  <w15:docId w15:val="{F0FC3EB0-4BAB-44BC-943F-2FCA8CAAD9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1A9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31A9B"/>
    <w:pPr>
      <w:keepNext/>
      <w:keepLines/>
      <w:spacing w:before="240" w:after="0"/>
      <w:outlineLvl w:val="0"/>
    </w:pPr>
    <w:rPr>
      <w:rFonts w:eastAsiaTheme="majorEastAsia" w:cstheme="majorBidi"/>
      <w:b/>
      <w:color w:val="44546A" w:themeColor="text2"/>
      <w:sz w:val="32"/>
      <w:szCs w:val="32"/>
    </w:rPr>
  </w:style>
  <w:style w:type="paragraph" w:styleId="Heading2">
    <w:name w:val="heading 2"/>
    <w:basedOn w:val="Normal"/>
    <w:next w:val="Normal"/>
    <w:link w:val="Heading2Char"/>
    <w:uiPriority w:val="9"/>
    <w:unhideWhenUsed/>
    <w:qFormat/>
    <w:rsid w:val="00831A9B"/>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rsid w:val="00B9749E"/>
    <w:pPr>
      <w:keepNext/>
      <w:keepLines/>
      <w:spacing w:before="40" w:after="0"/>
      <w:jc w:val="center"/>
      <w:outlineLvl w:val="2"/>
    </w:pPr>
    <w:rPr>
      <w:rFonts w:asciiTheme="majorHAnsi" w:eastAsiaTheme="majorEastAsia" w:hAnsiTheme="majorHAnsi" w:cstheme="majorBidi"/>
      <w:b/>
      <w:color w:val="0D0D0D" w:themeColor="text1" w:themeTint="F2"/>
      <w:szCs w:val="24"/>
    </w:rPr>
  </w:style>
  <w:style w:type="paragraph" w:styleId="Heading4">
    <w:name w:val="heading 4"/>
    <w:basedOn w:val="Normal"/>
    <w:next w:val="Normal"/>
    <w:link w:val="Heading4Char"/>
    <w:autoRedefine/>
    <w:uiPriority w:val="9"/>
    <w:unhideWhenUsed/>
    <w:qFormat/>
    <w:rsid w:val="00CD473C"/>
    <w:pPr>
      <w:keepNext/>
      <w:keepLines/>
      <w:spacing w:before="40" w:after="0" w:line="480" w:lineRule="auto"/>
      <w:jc w:val="center"/>
      <w:outlineLvl w:val="3"/>
    </w:pPr>
    <w:rPr>
      <w:rFonts w:eastAsiaTheme="majorEastAsia" w:cs="Times New Roman"/>
      <w:b/>
      <w:i/>
      <w:iCs/>
      <w:color w:val="2F5496" w:themeColor="accent1" w:themeShade="B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1A9B"/>
    <w:rPr>
      <w:rFonts w:ascii="Times New Roman" w:eastAsiaTheme="majorEastAsia" w:hAnsi="Times New Roman" w:cstheme="majorBidi"/>
      <w:b/>
      <w:color w:val="44546A" w:themeColor="text2"/>
      <w:sz w:val="32"/>
      <w:szCs w:val="32"/>
    </w:rPr>
  </w:style>
  <w:style w:type="character" w:customStyle="1" w:styleId="Heading2Char">
    <w:name w:val="Heading 2 Char"/>
    <w:basedOn w:val="DefaultParagraphFont"/>
    <w:link w:val="Heading2"/>
    <w:uiPriority w:val="9"/>
    <w:rsid w:val="00831A9B"/>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B9749E"/>
    <w:rPr>
      <w:rFonts w:asciiTheme="majorHAnsi" w:eastAsiaTheme="majorEastAsia" w:hAnsiTheme="majorHAnsi" w:cstheme="majorBidi"/>
      <w:b/>
      <w:color w:val="0D0D0D" w:themeColor="text1" w:themeTint="F2"/>
      <w:sz w:val="24"/>
      <w:szCs w:val="24"/>
    </w:rPr>
  </w:style>
  <w:style w:type="paragraph" w:styleId="ListParagraph">
    <w:name w:val="List Paragraph"/>
    <w:basedOn w:val="Normal"/>
    <w:autoRedefine/>
    <w:uiPriority w:val="1"/>
    <w:qFormat/>
    <w:rsid w:val="0075065C"/>
    <w:pPr>
      <w:widowControl w:val="0"/>
      <w:autoSpaceDE w:val="0"/>
      <w:autoSpaceDN w:val="0"/>
      <w:spacing w:after="0" w:line="240" w:lineRule="auto"/>
      <w:ind w:left="821" w:right="120" w:hanging="360"/>
    </w:pPr>
    <w:rPr>
      <w:rFonts w:eastAsia="Liberation Serif" w:cs="Liberation Serif"/>
      <w:b/>
      <w:sz w:val="32"/>
    </w:rPr>
  </w:style>
  <w:style w:type="paragraph" w:styleId="TOCHeading">
    <w:name w:val="TOC Heading"/>
    <w:basedOn w:val="Heading1"/>
    <w:next w:val="Normal"/>
    <w:uiPriority w:val="39"/>
    <w:unhideWhenUsed/>
    <w:qFormat/>
    <w:rsid w:val="00EA76CC"/>
    <w:pPr>
      <w:spacing w:line="259" w:lineRule="auto"/>
      <w:jc w:val="left"/>
      <w:outlineLvl w:val="9"/>
    </w:pPr>
    <w:rPr>
      <w:rFonts w:asciiTheme="majorHAnsi" w:hAnsiTheme="majorHAnsi"/>
      <w:b w:val="0"/>
      <w:color w:val="2F5496" w:themeColor="accent1" w:themeShade="BF"/>
    </w:rPr>
  </w:style>
  <w:style w:type="character" w:customStyle="1" w:styleId="Heading4Char">
    <w:name w:val="Heading 4 Char"/>
    <w:basedOn w:val="DefaultParagraphFont"/>
    <w:link w:val="Heading4"/>
    <w:uiPriority w:val="9"/>
    <w:rsid w:val="00CD473C"/>
    <w:rPr>
      <w:rFonts w:ascii="Times New Roman" w:eastAsiaTheme="majorEastAsia" w:hAnsi="Times New Roman" w:cs="Times New Roman"/>
      <w:b/>
      <w:i/>
      <w:iCs/>
      <w:color w:val="2F5496" w:themeColor="accent1" w:themeShade="BF"/>
      <w:sz w:val="24"/>
      <w:szCs w:val="24"/>
    </w:rPr>
  </w:style>
  <w:style w:type="character" w:styleId="Hyperlink">
    <w:name w:val="Hyperlink"/>
    <w:basedOn w:val="DefaultParagraphFont"/>
    <w:uiPriority w:val="99"/>
    <w:unhideWhenUsed/>
    <w:rsid w:val="003D1756"/>
    <w:rPr>
      <w:color w:val="0563C1" w:themeColor="hyperlink"/>
      <w:u w:val="single"/>
    </w:rPr>
  </w:style>
  <w:style w:type="character" w:styleId="UnresolvedMention">
    <w:name w:val="Unresolved Mention"/>
    <w:basedOn w:val="DefaultParagraphFont"/>
    <w:uiPriority w:val="99"/>
    <w:semiHidden/>
    <w:unhideWhenUsed/>
    <w:rsid w:val="003D1756"/>
    <w:rPr>
      <w:color w:val="605E5C"/>
      <w:shd w:val="clear" w:color="auto" w:fill="E1DFDD"/>
    </w:rPr>
  </w:style>
  <w:style w:type="paragraph" w:styleId="Header">
    <w:name w:val="header"/>
    <w:basedOn w:val="Normal"/>
    <w:link w:val="HeaderChar"/>
    <w:uiPriority w:val="99"/>
    <w:unhideWhenUsed/>
    <w:rsid w:val="002D435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D4352"/>
    <w:rPr>
      <w:rFonts w:ascii="Times New Roman" w:hAnsi="Times New Roman"/>
      <w:sz w:val="24"/>
    </w:rPr>
  </w:style>
  <w:style w:type="paragraph" w:styleId="Footer">
    <w:name w:val="footer"/>
    <w:basedOn w:val="Normal"/>
    <w:link w:val="FooterChar"/>
    <w:uiPriority w:val="99"/>
    <w:unhideWhenUsed/>
    <w:rsid w:val="002D43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D4352"/>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9063218">
      <w:bodyDiv w:val="1"/>
      <w:marLeft w:val="0"/>
      <w:marRight w:val="0"/>
      <w:marTop w:val="0"/>
      <w:marBottom w:val="0"/>
      <w:divBdr>
        <w:top w:val="none" w:sz="0" w:space="0" w:color="auto"/>
        <w:left w:val="none" w:sz="0" w:space="0" w:color="auto"/>
        <w:bottom w:val="none" w:sz="0" w:space="0" w:color="auto"/>
        <w:right w:val="none" w:sz="0" w:space="0" w:color="auto"/>
      </w:divBdr>
      <w:divsChild>
        <w:div w:id="1119757077">
          <w:marLeft w:val="0"/>
          <w:marRight w:val="0"/>
          <w:marTop w:val="0"/>
          <w:marBottom w:val="0"/>
          <w:divBdr>
            <w:top w:val="single" w:sz="2" w:space="0" w:color="D9D9E3"/>
            <w:left w:val="single" w:sz="2" w:space="0" w:color="D9D9E3"/>
            <w:bottom w:val="single" w:sz="2" w:space="0" w:color="D9D9E3"/>
            <w:right w:val="single" w:sz="2" w:space="0" w:color="D9D9E3"/>
          </w:divBdr>
          <w:divsChild>
            <w:div w:id="63727525">
              <w:marLeft w:val="0"/>
              <w:marRight w:val="0"/>
              <w:marTop w:val="0"/>
              <w:marBottom w:val="0"/>
              <w:divBdr>
                <w:top w:val="single" w:sz="2" w:space="0" w:color="D9D9E3"/>
                <w:left w:val="single" w:sz="2" w:space="0" w:color="D9D9E3"/>
                <w:bottom w:val="single" w:sz="2" w:space="0" w:color="D9D9E3"/>
                <w:right w:val="single" w:sz="2" w:space="0" w:color="D9D9E3"/>
              </w:divBdr>
              <w:divsChild>
                <w:div w:id="548302599">
                  <w:marLeft w:val="0"/>
                  <w:marRight w:val="0"/>
                  <w:marTop w:val="0"/>
                  <w:marBottom w:val="0"/>
                  <w:divBdr>
                    <w:top w:val="single" w:sz="2" w:space="0" w:color="D9D9E3"/>
                    <w:left w:val="single" w:sz="2" w:space="0" w:color="D9D9E3"/>
                    <w:bottom w:val="single" w:sz="2" w:space="0" w:color="D9D9E3"/>
                    <w:right w:val="single" w:sz="2" w:space="0" w:color="D9D9E3"/>
                  </w:divBdr>
                  <w:divsChild>
                    <w:div w:id="322048843">
                      <w:marLeft w:val="0"/>
                      <w:marRight w:val="0"/>
                      <w:marTop w:val="0"/>
                      <w:marBottom w:val="0"/>
                      <w:divBdr>
                        <w:top w:val="single" w:sz="2" w:space="0" w:color="D9D9E3"/>
                        <w:left w:val="single" w:sz="2" w:space="0" w:color="D9D9E3"/>
                        <w:bottom w:val="single" w:sz="2" w:space="0" w:color="D9D9E3"/>
                        <w:right w:val="single" w:sz="2" w:space="0" w:color="D9D9E3"/>
                      </w:divBdr>
                      <w:divsChild>
                        <w:div w:id="1892568767">
                          <w:marLeft w:val="0"/>
                          <w:marRight w:val="0"/>
                          <w:marTop w:val="0"/>
                          <w:marBottom w:val="0"/>
                          <w:divBdr>
                            <w:top w:val="single" w:sz="2" w:space="0" w:color="auto"/>
                            <w:left w:val="single" w:sz="2" w:space="0" w:color="auto"/>
                            <w:bottom w:val="single" w:sz="6" w:space="0" w:color="auto"/>
                            <w:right w:val="single" w:sz="2" w:space="0" w:color="auto"/>
                          </w:divBdr>
                          <w:divsChild>
                            <w:div w:id="657227027">
                              <w:marLeft w:val="0"/>
                              <w:marRight w:val="0"/>
                              <w:marTop w:val="100"/>
                              <w:marBottom w:val="100"/>
                              <w:divBdr>
                                <w:top w:val="single" w:sz="2" w:space="0" w:color="D9D9E3"/>
                                <w:left w:val="single" w:sz="2" w:space="0" w:color="D9D9E3"/>
                                <w:bottom w:val="single" w:sz="2" w:space="0" w:color="D9D9E3"/>
                                <w:right w:val="single" w:sz="2" w:space="0" w:color="D9D9E3"/>
                              </w:divBdr>
                              <w:divsChild>
                                <w:div w:id="1265453699">
                                  <w:marLeft w:val="0"/>
                                  <w:marRight w:val="0"/>
                                  <w:marTop w:val="0"/>
                                  <w:marBottom w:val="0"/>
                                  <w:divBdr>
                                    <w:top w:val="single" w:sz="2" w:space="0" w:color="D9D9E3"/>
                                    <w:left w:val="single" w:sz="2" w:space="0" w:color="D9D9E3"/>
                                    <w:bottom w:val="single" w:sz="2" w:space="0" w:color="D9D9E3"/>
                                    <w:right w:val="single" w:sz="2" w:space="0" w:color="D9D9E3"/>
                                  </w:divBdr>
                                  <w:divsChild>
                                    <w:div w:id="1203900729">
                                      <w:marLeft w:val="0"/>
                                      <w:marRight w:val="0"/>
                                      <w:marTop w:val="0"/>
                                      <w:marBottom w:val="0"/>
                                      <w:divBdr>
                                        <w:top w:val="single" w:sz="2" w:space="0" w:color="D9D9E3"/>
                                        <w:left w:val="single" w:sz="2" w:space="0" w:color="D9D9E3"/>
                                        <w:bottom w:val="single" w:sz="2" w:space="0" w:color="D9D9E3"/>
                                        <w:right w:val="single" w:sz="2" w:space="0" w:color="D9D9E3"/>
                                      </w:divBdr>
                                      <w:divsChild>
                                        <w:div w:id="1615361167">
                                          <w:marLeft w:val="0"/>
                                          <w:marRight w:val="0"/>
                                          <w:marTop w:val="0"/>
                                          <w:marBottom w:val="0"/>
                                          <w:divBdr>
                                            <w:top w:val="single" w:sz="2" w:space="0" w:color="D9D9E3"/>
                                            <w:left w:val="single" w:sz="2" w:space="0" w:color="D9D9E3"/>
                                            <w:bottom w:val="single" w:sz="2" w:space="0" w:color="D9D9E3"/>
                                            <w:right w:val="single" w:sz="2" w:space="0" w:color="D9D9E3"/>
                                          </w:divBdr>
                                          <w:divsChild>
                                            <w:div w:id="574244678">
                                              <w:marLeft w:val="0"/>
                                              <w:marRight w:val="0"/>
                                              <w:marTop w:val="0"/>
                                              <w:marBottom w:val="0"/>
                                              <w:divBdr>
                                                <w:top w:val="single" w:sz="2" w:space="0" w:color="D9D9E3"/>
                                                <w:left w:val="single" w:sz="2" w:space="0" w:color="D9D9E3"/>
                                                <w:bottom w:val="single" w:sz="2" w:space="0" w:color="D9D9E3"/>
                                                <w:right w:val="single" w:sz="2" w:space="0" w:color="D9D9E3"/>
                                              </w:divBdr>
                                              <w:divsChild>
                                                <w:div w:id="12090996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480918345">
          <w:marLeft w:val="0"/>
          <w:marRight w:val="0"/>
          <w:marTop w:val="0"/>
          <w:marBottom w:val="0"/>
          <w:divBdr>
            <w:top w:val="none" w:sz="0" w:space="0" w:color="auto"/>
            <w:left w:val="none" w:sz="0" w:space="0" w:color="auto"/>
            <w:bottom w:val="none" w:sz="0" w:space="0" w:color="auto"/>
            <w:right w:val="none" w:sz="0" w:space="0" w:color="auto"/>
          </w:divBdr>
        </w:div>
      </w:divsChild>
    </w:div>
    <w:div w:id="1402411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on.com/human-capital-consulting/consulting/employee-experience/global-employee-experience-trends.jsp" TargetMode="External"/><Relationship Id="rId13" Type="http://schemas.openxmlformats.org/officeDocument/2006/relationships/hyperlink" Target="https://investor.marriott.com/annual-reports" TargetMode="External"/><Relationship Id="rId18" Type="http://schemas.openxmlformats.org/officeDocument/2006/relationships/hyperlink" Target="https://www.hrdive.com/news/hiltons-hr-head-explains-why-corporate-culture-is-not-just-for-show/580563/"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hilton.com/en/corporate/about/" TargetMode="External"/><Relationship Id="rId17" Type="http://schemas.openxmlformats.org/officeDocument/2006/relationships/hyperlink" Target="https://sha.cornell.edu/centers-institutes/chr/" TargetMode="External"/><Relationship Id="rId2" Type="http://schemas.openxmlformats.org/officeDocument/2006/relationships/numbering" Target="numbering.xml"/><Relationship Id="rId16" Type="http://schemas.openxmlformats.org/officeDocument/2006/relationships/hyperlink" Target="https://www.shrm.org/resourcesandtools/tools-and-samples/toolkits/pages/employeeengagementandcommitment.aspx"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news.gallup.com/poll/350184/employee-engagement-rise.aspx" TargetMode="External"/><Relationship Id="rId5" Type="http://schemas.openxmlformats.org/officeDocument/2006/relationships/webSettings" Target="webSettings.xml"/><Relationship Id="rId15" Type="http://schemas.openxmlformats.org/officeDocument/2006/relationships/hyperlink" Target="https://www.shrm.org/hr-today/trends-and-forecasting/research-and-surveys/Documents/SHRM-Employee-Retention-Report-2021.pdf" TargetMode="External"/><Relationship Id="rId10" Type="http://schemas.openxmlformats.org/officeDocument/2006/relationships/hyperlink" Target="https://www2.deloitte.com/us/en/pages/human-capital/articles/human-capital-trends.html"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forbes.com/sites/forbeshumanresourcescouncil/2019/07/02/employee-engagement-the-key-to-better-customer-service-in-hospitality/?sh=1c7b07b3c235" TargetMode="External"/><Relationship Id="rId14" Type="http://schemas.openxmlformats.org/officeDocument/2006/relationships/hyperlink" Target="https://www.pwc.com/us/en/industries/hospitality-leisure/library/experience-is-everything.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1E227F-2EDA-4F07-8067-6ECC3BC8D9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10</Pages>
  <Words>2913</Words>
  <Characters>16610</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name</dc:creator>
  <cp:keywords/>
  <dc:description/>
  <cp:lastModifiedBy>Lulzim Mendzici (2128512)</cp:lastModifiedBy>
  <cp:revision>3</cp:revision>
  <dcterms:created xsi:type="dcterms:W3CDTF">2023-10-18T09:00:00Z</dcterms:created>
  <dcterms:modified xsi:type="dcterms:W3CDTF">2023-11-19T10:49:00Z</dcterms:modified>
</cp:coreProperties>
</file>