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2E206" w14:textId="01199366" w:rsidR="00B34662" w:rsidRDefault="00B34662" w:rsidP="00B34662">
      <w:pPr>
        <w:spacing w:line="360" w:lineRule="auto"/>
        <w:jc w:val="center"/>
        <w:rPr>
          <w:rFonts w:ascii="Garamond" w:hAnsi="Garamond"/>
          <w:b/>
          <w:bCs/>
          <w:sz w:val="24"/>
          <w:szCs w:val="24"/>
        </w:rPr>
      </w:pPr>
      <w:r>
        <w:rPr>
          <w:rFonts w:ascii="Garamond" w:hAnsi="Garamond"/>
          <w:b/>
          <w:bCs/>
          <w:sz w:val="24"/>
          <w:szCs w:val="24"/>
        </w:rPr>
        <w:t>Sexual Desire and Freedom</w:t>
      </w:r>
    </w:p>
    <w:p w14:paraId="1CC94D43" w14:textId="77777777" w:rsidR="00B34662" w:rsidRDefault="00B34662" w:rsidP="003D4199">
      <w:pPr>
        <w:spacing w:line="360" w:lineRule="auto"/>
        <w:jc w:val="both"/>
        <w:rPr>
          <w:rFonts w:ascii="Garamond" w:hAnsi="Garamond"/>
          <w:b/>
          <w:bCs/>
          <w:sz w:val="24"/>
          <w:szCs w:val="24"/>
        </w:rPr>
      </w:pPr>
    </w:p>
    <w:p w14:paraId="36829AD0" w14:textId="2A65C1D2" w:rsidR="00E42D92" w:rsidRDefault="00B34662" w:rsidP="003D4199">
      <w:pPr>
        <w:spacing w:line="360" w:lineRule="auto"/>
        <w:jc w:val="both"/>
        <w:rPr>
          <w:rFonts w:ascii="Garamond" w:hAnsi="Garamond"/>
          <w:sz w:val="24"/>
          <w:szCs w:val="24"/>
        </w:rPr>
      </w:pPr>
      <w:r w:rsidRPr="00B34662">
        <w:rPr>
          <w:rFonts w:ascii="Garamond" w:hAnsi="Garamond"/>
          <w:b/>
          <w:bCs/>
          <w:sz w:val="24"/>
          <w:szCs w:val="24"/>
        </w:rPr>
        <w:t>Essay Topic</w:t>
      </w:r>
      <w:r>
        <w:rPr>
          <w:rFonts w:ascii="Garamond" w:hAnsi="Garamond"/>
          <w:sz w:val="24"/>
          <w:szCs w:val="24"/>
        </w:rPr>
        <w:t xml:space="preserve">: </w:t>
      </w:r>
      <w:r w:rsidR="003D4199" w:rsidRPr="003D4199">
        <w:rPr>
          <w:rFonts w:ascii="Garamond" w:hAnsi="Garamond"/>
          <w:sz w:val="24"/>
          <w:szCs w:val="24"/>
        </w:rPr>
        <w:t xml:space="preserve">Compare and contrast the recent works of </w:t>
      </w:r>
      <w:bookmarkStart w:id="0" w:name="_Hlk122012703"/>
      <w:r w:rsidR="003D4199" w:rsidRPr="003D4199">
        <w:rPr>
          <w:rFonts w:ascii="Garamond" w:hAnsi="Garamond"/>
          <w:sz w:val="24"/>
          <w:szCs w:val="24"/>
        </w:rPr>
        <w:t>Amia Srinivasan</w:t>
      </w:r>
      <w:bookmarkEnd w:id="0"/>
      <w:r w:rsidR="003D4199" w:rsidRPr="003D4199">
        <w:rPr>
          <w:rFonts w:ascii="Garamond" w:hAnsi="Garamond"/>
          <w:sz w:val="24"/>
          <w:szCs w:val="24"/>
        </w:rPr>
        <w:t>’s </w:t>
      </w:r>
      <w:r w:rsidR="003D4199" w:rsidRPr="003D4199">
        <w:rPr>
          <w:rFonts w:ascii="Garamond" w:hAnsi="Garamond"/>
          <w:i/>
          <w:iCs/>
          <w:sz w:val="24"/>
          <w:szCs w:val="24"/>
        </w:rPr>
        <w:t>The Right to Sex</w:t>
      </w:r>
      <w:r w:rsidR="003D4199" w:rsidRPr="003D4199">
        <w:rPr>
          <w:rFonts w:ascii="Garamond" w:hAnsi="Garamond"/>
          <w:sz w:val="24"/>
          <w:szCs w:val="24"/>
        </w:rPr>
        <w:t> and Louise Perry’s </w:t>
      </w:r>
      <w:r w:rsidR="003D4199" w:rsidRPr="003D4199">
        <w:rPr>
          <w:rFonts w:ascii="Garamond" w:hAnsi="Garamond"/>
          <w:i/>
          <w:iCs/>
          <w:sz w:val="24"/>
          <w:szCs w:val="24"/>
        </w:rPr>
        <w:t>The Case Against the Sexual Revolution</w:t>
      </w:r>
      <w:r w:rsidR="003D4199" w:rsidRPr="003D4199">
        <w:rPr>
          <w:rFonts w:ascii="Garamond" w:hAnsi="Garamond"/>
          <w:sz w:val="24"/>
          <w:szCs w:val="24"/>
        </w:rPr>
        <w:t>. Assess their outlooks on the role that sexual desire plays in contemporary politics, particularly in defining our shared conception of “freedom”. </w:t>
      </w:r>
    </w:p>
    <w:p w14:paraId="46B49729" w14:textId="14E25B34" w:rsidR="003A5074" w:rsidRDefault="003A5074" w:rsidP="003D4199">
      <w:pPr>
        <w:spacing w:line="360" w:lineRule="auto"/>
        <w:jc w:val="both"/>
        <w:rPr>
          <w:rFonts w:ascii="Garamond" w:hAnsi="Garamond"/>
          <w:sz w:val="24"/>
          <w:szCs w:val="24"/>
        </w:rPr>
      </w:pPr>
    </w:p>
    <w:p w14:paraId="1F3E1324" w14:textId="21D985C4" w:rsidR="00217A06" w:rsidRPr="00A04638" w:rsidRDefault="0036595A" w:rsidP="003D4199">
      <w:pPr>
        <w:spacing w:line="360" w:lineRule="auto"/>
        <w:jc w:val="both"/>
        <w:rPr>
          <w:rFonts w:ascii="Garamond" w:hAnsi="Garamond"/>
          <w:sz w:val="24"/>
          <w:szCs w:val="24"/>
        </w:rPr>
      </w:pPr>
      <w:r>
        <w:rPr>
          <w:rFonts w:ascii="Garamond" w:hAnsi="Garamond"/>
          <w:sz w:val="24"/>
          <w:szCs w:val="24"/>
        </w:rPr>
        <w:t>One could argue that the notion of sexual desire in contemporary politics has a feminist connotation.</w:t>
      </w:r>
      <w:r w:rsidR="00536E2F">
        <w:rPr>
          <w:rFonts w:ascii="Garamond" w:hAnsi="Garamond"/>
          <w:sz w:val="24"/>
          <w:szCs w:val="24"/>
        </w:rPr>
        <w:t xml:space="preserve"> </w:t>
      </w:r>
      <w:r w:rsidR="00F105BF">
        <w:rPr>
          <w:rFonts w:ascii="Garamond" w:hAnsi="Garamond"/>
          <w:sz w:val="24"/>
          <w:szCs w:val="24"/>
        </w:rPr>
        <w:t>The worry for many women may be that the sexual parameters that constitute their intermate relationships and economic position</w:t>
      </w:r>
      <w:r w:rsidR="0083615A">
        <w:rPr>
          <w:rFonts w:ascii="Garamond" w:hAnsi="Garamond"/>
          <w:sz w:val="24"/>
          <w:szCs w:val="24"/>
        </w:rPr>
        <w:t>s</w:t>
      </w:r>
      <w:r w:rsidR="00F105BF">
        <w:rPr>
          <w:rFonts w:ascii="Garamond" w:hAnsi="Garamond"/>
          <w:sz w:val="24"/>
          <w:szCs w:val="24"/>
        </w:rPr>
        <w:t xml:space="preserve"> are, in part, shaped by their gender, biology, and</w:t>
      </w:r>
      <w:r w:rsidR="00D457DF">
        <w:rPr>
          <w:rFonts w:ascii="Garamond" w:hAnsi="Garamond"/>
          <w:sz w:val="24"/>
          <w:szCs w:val="24"/>
        </w:rPr>
        <w:t>/or,</w:t>
      </w:r>
      <w:r w:rsidR="00F105BF">
        <w:rPr>
          <w:rFonts w:ascii="Garamond" w:hAnsi="Garamond"/>
          <w:sz w:val="24"/>
          <w:szCs w:val="24"/>
        </w:rPr>
        <w:t xml:space="preserve"> the dominant masculine patriarchy that continues to view </w:t>
      </w:r>
      <w:r w:rsidR="0083615A">
        <w:rPr>
          <w:rFonts w:ascii="Garamond" w:hAnsi="Garamond"/>
          <w:sz w:val="24"/>
          <w:szCs w:val="24"/>
        </w:rPr>
        <w:t xml:space="preserve">them </w:t>
      </w:r>
      <w:r w:rsidR="00F105BF">
        <w:rPr>
          <w:rFonts w:ascii="Garamond" w:hAnsi="Garamond"/>
          <w:sz w:val="24"/>
          <w:szCs w:val="24"/>
        </w:rPr>
        <w:t xml:space="preserve">in a particular way. </w:t>
      </w:r>
      <w:r w:rsidR="00536E2F">
        <w:rPr>
          <w:rFonts w:ascii="Garamond" w:hAnsi="Garamond"/>
          <w:sz w:val="24"/>
          <w:szCs w:val="24"/>
        </w:rPr>
        <w:t>The notion of feminine freedom</w:t>
      </w:r>
      <w:r w:rsidR="00F105BF">
        <w:rPr>
          <w:rFonts w:ascii="Garamond" w:hAnsi="Garamond"/>
          <w:sz w:val="24"/>
          <w:szCs w:val="24"/>
        </w:rPr>
        <w:t>,</w:t>
      </w:r>
      <w:r w:rsidR="00536E2F">
        <w:rPr>
          <w:rFonts w:ascii="Garamond" w:hAnsi="Garamond"/>
          <w:sz w:val="24"/>
          <w:szCs w:val="24"/>
        </w:rPr>
        <w:t xml:space="preserve"> </w:t>
      </w:r>
      <w:r w:rsidR="00F105BF">
        <w:rPr>
          <w:rFonts w:ascii="Garamond" w:hAnsi="Garamond"/>
          <w:sz w:val="24"/>
          <w:szCs w:val="24"/>
        </w:rPr>
        <w:t xml:space="preserve">then, </w:t>
      </w:r>
      <w:r w:rsidR="00536E2F">
        <w:rPr>
          <w:rFonts w:ascii="Garamond" w:hAnsi="Garamond"/>
          <w:sz w:val="24"/>
          <w:szCs w:val="24"/>
        </w:rPr>
        <w:t xml:space="preserve">can refer to </w:t>
      </w:r>
      <w:r w:rsidR="00F105BF">
        <w:rPr>
          <w:rFonts w:ascii="Garamond" w:hAnsi="Garamond"/>
          <w:sz w:val="24"/>
          <w:szCs w:val="24"/>
        </w:rPr>
        <w:t>the</w:t>
      </w:r>
      <w:r w:rsidR="00536E2F">
        <w:rPr>
          <w:rFonts w:ascii="Garamond" w:hAnsi="Garamond"/>
          <w:sz w:val="24"/>
          <w:szCs w:val="24"/>
        </w:rPr>
        <w:t xml:space="preserve"> </w:t>
      </w:r>
      <w:r w:rsidR="0083615A">
        <w:rPr>
          <w:rFonts w:ascii="Garamond" w:hAnsi="Garamond"/>
          <w:sz w:val="24"/>
          <w:szCs w:val="24"/>
        </w:rPr>
        <w:t>desires of women to</w:t>
      </w:r>
      <w:r w:rsidR="00F105BF">
        <w:rPr>
          <w:rFonts w:ascii="Garamond" w:hAnsi="Garamond"/>
          <w:sz w:val="24"/>
          <w:szCs w:val="24"/>
        </w:rPr>
        <w:t xml:space="preserve"> </w:t>
      </w:r>
      <w:r w:rsidR="0087568F">
        <w:rPr>
          <w:rFonts w:ascii="Garamond" w:hAnsi="Garamond"/>
          <w:sz w:val="24"/>
          <w:szCs w:val="24"/>
        </w:rPr>
        <w:t xml:space="preserve">change the myriad of </w:t>
      </w:r>
      <w:r w:rsidR="00536E2F">
        <w:rPr>
          <w:rFonts w:ascii="Garamond" w:hAnsi="Garamond"/>
          <w:sz w:val="24"/>
          <w:szCs w:val="24"/>
        </w:rPr>
        <w:t>social circumstances that</w:t>
      </w:r>
      <w:r w:rsidR="00F105BF">
        <w:rPr>
          <w:rFonts w:ascii="Garamond" w:hAnsi="Garamond"/>
          <w:sz w:val="24"/>
          <w:szCs w:val="24"/>
        </w:rPr>
        <w:t xml:space="preserve"> </w:t>
      </w:r>
      <w:r w:rsidR="00BC7E1D">
        <w:rPr>
          <w:rFonts w:ascii="Garamond" w:hAnsi="Garamond"/>
          <w:sz w:val="24"/>
          <w:szCs w:val="24"/>
        </w:rPr>
        <w:t xml:space="preserve">suspend them in a subordinate position within western society. Though sexual desire is inherent in both sexes, feminists have continued to point out that when it comes to the world of sex, women are ultimately </w:t>
      </w:r>
      <w:r w:rsidR="00454AB7">
        <w:rPr>
          <w:rFonts w:ascii="Garamond" w:hAnsi="Garamond"/>
          <w:sz w:val="24"/>
          <w:szCs w:val="24"/>
        </w:rPr>
        <w:t>subject to an inequality</w:t>
      </w:r>
      <w:r w:rsidR="00BC7E1D">
        <w:rPr>
          <w:rFonts w:ascii="Garamond" w:hAnsi="Garamond"/>
          <w:sz w:val="24"/>
          <w:szCs w:val="24"/>
        </w:rPr>
        <w:t xml:space="preserve">. </w:t>
      </w:r>
      <w:r w:rsidR="000E4587">
        <w:rPr>
          <w:rFonts w:ascii="Garamond" w:hAnsi="Garamond"/>
          <w:sz w:val="24"/>
          <w:szCs w:val="24"/>
        </w:rPr>
        <w:t xml:space="preserve">In this essay, we will limit our focus to the works of </w:t>
      </w:r>
      <w:r w:rsidR="00BC7E1D">
        <w:rPr>
          <w:rFonts w:ascii="Garamond" w:hAnsi="Garamond"/>
          <w:sz w:val="24"/>
          <w:szCs w:val="24"/>
        </w:rPr>
        <w:t>Amia Srinivasan</w:t>
      </w:r>
      <w:r w:rsidR="000E4587">
        <w:rPr>
          <w:rFonts w:ascii="Garamond" w:hAnsi="Garamond"/>
          <w:sz w:val="24"/>
          <w:szCs w:val="24"/>
        </w:rPr>
        <w:t>, The Right to Sex, and</w:t>
      </w:r>
      <w:r w:rsidR="00065382">
        <w:rPr>
          <w:rFonts w:ascii="Garamond" w:hAnsi="Garamond"/>
          <w:sz w:val="24"/>
          <w:szCs w:val="24"/>
        </w:rPr>
        <w:t xml:space="preserve"> Louise Perry</w:t>
      </w:r>
      <w:r w:rsidR="000E4587">
        <w:rPr>
          <w:rFonts w:ascii="Garamond" w:hAnsi="Garamond"/>
          <w:sz w:val="24"/>
          <w:szCs w:val="24"/>
        </w:rPr>
        <w:t xml:space="preserve">, The Case Against the Sexual Revolution. We will compare and contrast the way in which both writers view the role of sexual desire in contemporary politics. </w:t>
      </w:r>
      <w:r w:rsidR="00EF536E">
        <w:rPr>
          <w:rFonts w:ascii="Garamond" w:hAnsi="Garamond"/>
          <w:sz w:val="24"/>
          <w:szCs w:val="24"/>
        </w:rPr>
        <w:t>We will spend some time understanding their overall view and the aspects of their work that are relevant to this essay. We will see that t</w:t>
      </w:r>
      <w:r w:rsidR="000E4587">
        <w:rPr>
          <w:rFonts w:ascii="Garamond" w:hAnsi="Garamond"/>
          <w:sz w:val="24"/>
          <w:szCs w:val="24"/>
        </w:rPr>
        <w:t xml:space="preserve">he issue is complex and does not just concern women. However, we will dedicate most of our attention to the problems surrounding women as both authors offer more for us in this regard. </w:t>
      </w:r>
      <w:r w:rsidR="00EF536E">
        <w:rPr>
          <w:rFonts w:ascii="Garamond" w:hAnsi="Garamond"/>
          <w:sz w:val="24"/>
          <w:szCs w:val="24"/>
        </w:rPr>
        <w:t>Having said that, we will evaluate the relation between sexual desire and politics within the context of the incel ideology. This will ultimately show us that sexual status with the sexual hierarchy is not merely a feminist issue. It also supports our broader analysis of sexual desire and the notion of freedom.</w:t>
      </w:r>
    </w:p>
    <w:p w14:paraId="6019BDEC" w14:textId="77777777" w:rsidR="000E7F2F" w:rsidRDefault="000E7F2F" w:rsidP="00217A06">
      <w:pPr>
        <w:spacing w:line="360" w:lineRule="auto"/>
        <w:jc w:val="both"/>
        <w:rPr>
          <w:rFonts w:ascii="Garamond" w:hAnsi="Garamond"/>
          <w:sz w:val="24"/>
          <w:szCs w:val="24"/>
        </w:rPr>
      </w:pPr>
    </w:p>
    <w:p w14:paraId="31200ED9" w14:textId="06BACF9C" w:rsidR="00E43D20" w:rsidRDefault="00557AE3" w:rsidP="00217A06">
      <w:pPr>
        <w:spacing w:line="360" w:lineRule="auto"/>
        <w:jc w:val="both"/>
        <w:rPr>
          <w:rFonts w:ascii="Garamond" w:hAnsi="Garamond"/>
          <w:sz w:val="24"/>
          <w:szCs w:val="24"/>
        </w:rPr>
      </w:pPr>
      <w:r>
        <w:rPr>
          <w:rFonts w:ascii="Garamond" w:hAnsi="Garamond"/>
          <w:sz w:val="24"/>
          <w:szCs w:val="24"/>
        </w:rPr>
        <w:t xml:space="preserve">Louise </w:t>
      </w:r>
      <w:r w:rsidR="00217A06">
        <w:rPr>
          <w:rFonts w:ascii="Garamond" w:hAnsi="Garamond"/>
          <w:sz w:val="24"/>
          <w:szCs w:val="24"/>
        </w:rPr>
        <w:t xml:space="preserve">Perry </w:t>
      </w:r>
      <w:r>
        <w:rPr>
          <w:rFonts w:ascii="Garamond" w:hAnsi="Garamond"/>
          <w:sz w:val="24"/>
          <w:szCs w:val="24"/>
        </w:rPr>
        <w:t>states</w:t>
      </w:r>
      <w:r w:rsidR="00217A06">
        <w:rPr>
          <w:rFonts w:ascii="Garamond" w:hAnsi="Garamond"/>
          <w:sz w:val="24"/>
          <w:szCs w:val="24"/>
        </w:rPr>
        <w:t xml:space="preserve"> that the </w:t>
      </w:r>
      <w:r w:rsidR="00F01924">
        <w:rPr>
          <w:rFonts w:ascii="Garamond" w:hAnsi="Garamond"/>
          <w:sz w:val="24"/>
          <w:szCs w:val="24"/>
        </w:rPr>
        <w:t xml:space="preserve">contemporary </w:t>
      </w:r>
      <w:r w:rsidR="00217A06">
        <w:rPr>
          <w:rFonts w:ascii="Garamond" w:hAnsi="Garamond"/>
          <w:sz w:val="24"/>
          <w:szCs w:val="24"/>
        </w:rPr>
        <w:t xml:space="preserve">feminist project </w:t>
      </w:r>
      <w:r w:rsidR="00F01924">
        <w:rPr>
          <w:rFonts w:ascii="Garamond" w:hAnsi="Garamond"/>
          <w:sz w:val="24"/>
          <w:szCs w:val="24"/>
        </w:rPr>
        <w:t>endeavours to</w:t>
      </w:r>
      <w:r w:rsidR="00217A06">
        <w:rPr>
          <w:rFonts w:ascii="Garamond" w:hAnsi="Garamond"/>
          <w:sz w:val="24"/>
          <w:szCs w:val="24"/>
        </w:rPr>
        <w:t xml:space="preserve"> encourage woman to be more like men.</w:t>
      </w:r>
      <w:r w:rsidR="00EF536E">
        <w:rPr>
          <w:rStyle w:val="FootnoteReference"/>
          <w:rFonts w:ascii="Garamond" w:hAnsi="Garamond"/>
          <w:sz w:val="24"/>
          <w:szCs w:val="24"/>
        </w:rPr>
        <w:footnoteReference w:id="1"/>
      </w:r>
      <w:r w:rsidR="00217A06">
        <w:rPr>
          <w:rFonts w:ascii="Garamond" w:hAnsi="Garamond"/>
          <w:sz w:val="24"/>
          <w:szCs w:val="24"/>
        </w:rPr>
        <w:t xml:space="preserve"> The equalising of the female gender</w:t>
      </w:r>
      <w:r w:rsidR="00F01924">
        <w:rPr>
          <w:rFonts w:ascii="Garamond" w:hAnsi="Garamond"/>
          <w:sz w:val="24"/>
          <w:szCs w:val="24"/>
        </w:rPr>
        <w:t xml:space="preserve"> </w:t>
      </w:r>
      <w:r w:rsidR="0040616D">
        <w:rPr>
          <w:rFonts w:ascii="Garamond" w:hAnsi="Garamond"/>
          <w:sz w:val="24"/>
          <w:szCs w:val="24"/>
        </w:rPr>
        <w:t>concerns</w:t>
      </w:r>
      <w:r w:rsidR="00217A06">
        <w:rPr>
          <w:rFonts w:ascii="Garamond" w:hAnsi="Garamond"/>
          <w:sz w:val="24"/>
          <w:szCs w:val="24"/>
        </w:rPr>
        <w:t xml:space="preserve"> </w:t>
      </w:r>
      <w:r w:rsidR="00F01924">
        <w:rPr>
          <w:rFonts w:ascii="Garamond" w:hAnsi="Garamond"/>
          <w:sz w:val="24"/>
          <w:szCs w:val="24"/>
        </w:rPr>
        <w:t xml:space="preserve">the </w:t>
      </w:r>
      <w:r w:rsidR="00217A06">
        <w:rPr>
          <w:rFonts w:ascii="Garamond" w:hAnsi="Garamond"/>
          <w:sz w:val="24"/>
          <w:szCs w:val="24"/>
        </w:rPr>
        <w:t xml:space="preserve">various </w:t>
      </w:r>
      <w:r w:rsidR="00F01924">
        <w:rPr>
          <w:rFonts w:ascii="Garamond" w:hAnsi="Garamond"/>
          <w:sz w:val="24"/>
          <w:szCs w:val="24"/>
        </w:rPr>
        <w:t xml:space="preserve">economic and sexual </w:t>
      </w:r>
      <w:r w:rsidR="00217A06">
        <w:rPr>
          <w:rFonts w:ascii="Garamond" w:hAnsi="Garamond"/>
          <w:sz w:val="24"/>
          <w:szCs w:val="24"/>
        </w:rPr>
        <w:t>elements</w:t>
      </w:r>
      <w:r w:rsidR="00F01924">
        <w:rPr>
          <w:rFonts w:ascii="Garamond" w:hAnsi="Garamond"/>
          <w:sz w:val="24"/>
          <w:szCs w:val="24"/>
        </w:rPr>
        <w:t xml:space="preserve"> that have been considered by many women in the second half of the 20</w:t>
      </w:r>
      <w:r w:rsidR="00F01924" w:rsidRPr="00F01924">
        <w:rPr>
          <w:rFonts w:ascii="Garamond" w:hAnsi="Garamond"/>
          <w:sz w:val="24"/>
          <w:szCs w:val="24"/>
          <w:vertAlign w:val="superscript"/>
        </w:rPr>
        <w:t>th</w:t>
      </w:r>
      <w:r w:rsidR="00F01924">
        <w:rPr>
          <w:rFonts w:ascii="Garamond" w:hAnsi="Garamond"/>
          <w:sz w:val="24"/>
          <w:szCs w:val="24"/>
        </w:rPr>
        <w:t xml:space="preserve"> century to be within the masculine domain, such as the priority placed in one’s professional life and one’s own sexual freedom.</w:t>
      </w:r>
      <w:r w:rsidR="00EF536E">
        <w:rPr>
          <w:rStyle w:val="FootnoteReference"/>
          <w:rFonts w:ascii="Garamond" w:hAnsi="Garamond"/>
          <w:sz w:val="24"/>
          <w:szCs w:val="24"/>
        </w:rPr>
        <w:footnoteReference w:id="2"/>
      </w:r>
      <w:r w:rsidR="00F01924">
        <w:rPr>
          <w:rFonts w:ascii="Garamond" w:hAnsi="Garamond"/>
          <w:sz w:val="24"/>
          <w:szCs w:val="24"/>
        </w:rPr>
        <w:t xml:space="preserve"> And yet, </w:t>
      </w:r>
      <w:r w:rsidR="00255ED3">
        <w:rPr>
          <w:rFonts w:ascii="Garamond" w:hAnsi="Garamond"/>
          <w:sz w:val="24"/>
          <w:szCs w:val="24"/>
        </w:rPr>
        <w:t xml:space="preserve">what Perry concludes from the equalising of both genders is that </w:t>
      </w:r>
      <w:r w:rsidR="0040616D">
        <w:rPr>
          <w:rFonts w:ascii="Garamond" w:hAnsi="Garamond"/>
          <w:sz w:val="24"/>
          <w:szCs w:val="24"/>
        </w:rPr>
        <w:t xml:space="preserve">most </w:t>
      </w:r>
      <w:r w:rsidR="00255ED3">
        <w:rPr>
          <w:rFonts w:ascii="Garamond" w:hAnsi="Garamond"/>
          <w:sz w:val="24"/>
          <w:szCs w:val="24"/>
        </w:rPr>
        <w:lastRenderedPageBreak/>
        <w:t xml:space="preserve">women are ultimately unhappy with </w:t>
      </w:r>
      <w:r w:rsidR="0040616D">
        <w:rPr>
          <w:rFonts w:ascii="Garamond" w:hAnsi="Garamond"/>
          <w:sz w:val="24"/>
          <w:szCs w:val="24"/>
        </w:rPr>
        <w:t>the cultural shift toward equality in this way.</w:t>
      </w:r>
      <w:r w:rsidR="009546EE">
        <w:rPr>
          <w:rStyle w:val="FootnoteReference"/>
          <w:rFonts w:ascii="Garamond" w:hAnsi="Garamond"/>
          <w:sz w:val="24"/>
          <w:szCs w:val="24"/>
        </w:rPr>
        <w:footnoteReference w:id="3"/>
      </w:r>
      <w:r w:rsidR="0040616D">
        <w:rPr>
          <w:rFonts w:ascii="Garamond" w:hAnsi="Garamond"/>
          <w:sz w:val="24"/>
          <w:szCs w:val="24"/>
        </w:rPr>
        <w:t xml:space="preserve"> According to Perry, when asked about their preferences and aspirations, most woman turn to the kinds of ideals that we may associate with the past; careers are not given priority by </w:t>
      </w:r>
      <w:r w:rsidR="003C1DCA">
        <w:rPr>
          <w:rFonts w:ascii="Garamond" w:hAnsi="Garamond"/>
          <w:sz w:val="24"/>
          <w:szCs w:val="24"/>
        </w:rPr>
        <w:t xml:space="preserve">most </w:t>
      </w:r>
      <w:r w:rsidR="0040616D">
        <w:rPr>
          <w:rFonts w:ascii="Garamond" w:hAnsi="Garamond"/>
          <w:sz w:val="24"/>
          <w:szCs w:val="24"/>
        </w:rPr>
        <w:t xml:space="preserve">women, </w:t>
      </w:r>
      <w:r w:rsidR="003C1DCA">
        <w:rPr>
          <w:rFonts w:ascii="Garamond" w:hAnsi="Garamond"/>
          <w:sz w:val="24"/>
          <w:szCs w:val="24"/>
        </w:rPr>
        <w:t>nor are polyamorous relationships.</w:t>
      </w:r>
      <w:r w:rsidR="009546EE">
        <w:rPr>
          <w:rStyle w:val="FootnoteReference"/>
          <w:rFonts w:ascii="Garamond" w:hAnsi="Garamond"/>
          <w:sz w:val="24"/>
          <w:szCs w:val="24"/>
        </w:rPr>
        <w:footnoteReference w:id="4"/>
      </w:r>
      <w:r w:rsidR="003C1DCA">
        <w:rPr>
          <w:rFonts w:ascii="Garamond" w:hAnsi="Garamond"/>
          <w:sz w:val="24"/>
          <w:szCs w:val="24"/>
        </w:rPr>
        <w:t xml:space="preserve"> Perry states that what most women want is to spend more time with their children and balance work in accordance with the family structure; most women do not want to have “sex like a men”, as it is clear from polls that there is still a desire for women to obtain a stable, meaningful, monogamous relationship.</w:t>
      </w:r>
      <w:r w:rsidR="009546EE">
        <w:rPr>
          <w:rStyle w:val="FootnoteReference"/>
          <w:rFonts w:ascii="Garamond" w:hAnsi="Garamond"/>
          <w:sz w:val="24"/>
          <w:szCs w:val="24"/>
        </w:rPr>
        <w:footnoteReference w:id="5"/>
      </w:r>
    </w:p>
    <w:p w14:paraId="728B0843" w14:textId="77777777" w:rsidR="006E1BFB" w:rsidRDefault="006E1BFB" w:rsidP="00217A06">
      <w:pPr>
        <w:spacing w:line="360" w:lineRule="auto"/>
        <w:jc w:val="both"/>
        <w:rPr>
          <w:rFonts w:ascii="Garamond" w:hAnsi="Garamond"/>
          <w:sz w:val="24"/>
          <w:szCs w:val="24"/>
        </w:rPr>
      </w:pPr>
    </w:p>
    <w:p w14:paraId="6690C92D" w14:textId="2CD27EFC" w:rsidR="0070066E" w:rsidRDefault="003C1DCA" w:rsidP="003D4199">
      <w:pPr>
        <w:spacing w:line="360" w:lineRule="auto"/>
        <w:jc w:val="both"/>
        <w:rPr>
          <w:rFonts w:ascii="Garamond" w:hAnsi="Garamond"/>
          <w:sz w:val="24"/>
          <w:szCs w:val="24"/>
        </w:rPr>
      </w:pPr>
      <w:r>
        <w:rPr>
          <w:rFonts w:ascii="Garamond" w:hAnsi="Garamond"/>
          <w:sz w:val="24"/>
          <w:szCs w:val="24"/>
        </w:rPr>
        <w:t xml:space="preserve">However, as Perry points out, the truth about what most women want is obscured by various types of feminist </w:t>
      </w:r>
      <w:r w:rsidR="00AD7454">
        <w:rPr>
          <w:rFonts w:ascii="Garamond" w:hAnsi="Garamond"/>
          <w:sz w:val="24"/>
          <w:szCs w:val="24"/>
        </w:rPr>
        <w:t>lobbying organisations</w:t>
      </w:r>
      <w:r>
        <w:rPr>
          <w:rFonts w:ascii="Garamond" w:hAnsi="Garamond"/>
          <w:sz w:val="24"/>
          <w:szCs w:val="24"/>
        </w:rPr>
        <w:t xml:space="preserve"> and rhetoric</w:t>
      </w:r>
      <w:r w:rsidR="00AD7454">
        <w:rPr>
          <w:rFonts w:ascii="Garamond" w:hAnsi="Garamond"/>
          <w:sz w:val="24"/>
          <w:szCs w:val="24"/>
        </w:rPr>
        <w:t xml:space="preserve"> represented through media</w:t>
      </w:r>
      <w:r>
        <w:rPr>
          <w:rFonts w:ascii="Garamond" w:hAnsi="Garamond"/>
          <w:sz w:val="24"/>
          <w:szCs w:val="24"/>
        </w:rPr>
        <w:t>.</w:t>
      </w:r>
      <w:r w:rsidR="009546EE">
        <w:rPr>
          <w:rStyle w:val="FootnoteReference"/>
          <w:rFonts w:ascii="Garamond" w:hAnsi="Garamond"/>
          <w:sz w:val="24"/>
          <w:szCs w:val="24"/>
        </w:rPr>
        <w:footnoteReference w:id="6"/>
      </w:r>
      <w:r w:rsidR="00AD7454">
        <w:rPr>
          <w:rFonts w:ascii="Garamond" w:hAnsi="Garamond"/>
          <w:sz w:val="24"/>
          <w:szCs w:val="24"/>
        </w:rPr>
        <w:t xml:space="preserve"> On the </w:t>
      </w:r>
      <w:r w:rsidR="00C30ED5">
        <w:rPr>
          <w:rFonts w:ascii="Garamond" w:hAnsi="Garamond"/>
          <w:sz w:val="24"/>
          <w:szCs w:val="24"/>
        </w:rPr>
        <w:t xml:space="preserve">one </w:t>
      </w:r>
      <w:r w:rsidR="00AD7454">
        <w:rPr>
          <w:rFonts w:ascii="Garamond" w:hAnsi="Garamond"/>
          <w:sz w:val="24"/>
          <w:szCs w:val="24"/>
        </w:rPr>
        <w:t>hand</w:t>
      </w:r>
      <w:r w:rsidR="003E10B2">
        <w:rPr>
          <w:rFonts w:ascii="Garamond" w:hAnsi="Garamond"/>
          <w:sz w:val="24"/>
          <w:szCs w:val="24"/>
        </w:rPr>
        <w:t>,</w:t>
      </w:r>
      <w:r w:rsidR="00AD7454">
        <w:rPr>
          <w:rFonts w:ascii="Garamond" w:hAnsi="Garamond"/>
          <w:sz w:val="24"/>
          <w:szCs w:val="24"/>
        </w:rPr>
        <w:t xml:space="preserve"> women are said to want </w:t>
      </w:r>
      <w:r w:rsidR="003E10B2">
        <w:rPr>
          <w:rFonts w:ascii="Garamond" w:hAnsi="Garamond"/>
          <w:sz w:val="24"/>
          <w:szCs w:val="24"/>
        </w:rPr>
        <w:t>balance between their professional life and their family structure,</w:t>
      </w:r>
      <w:r w:rsidR="00AD7454">
        <w:rPr>
          <w:rFonts w:ascii="Garamond" w:hAnsi="Garamond"/>
          <w:sz w:val="24"/>
          <w:szCs w:val="24"/>
        </w:rPr>
        <w:t xml:space="preserve"> but </w:t>
      </w:r>
      <w:r w:rsidR="003E10B2">
        <w:rPr>
          <w:rFonts w:ascii="Garamond" w:hAnsi="Garamond"/>
          <w:sz w:val="24"/>
          <w:szCs w:val="24"/>
        </w:rPr>
        <w:t>alternatively</w:t>
      </w:r>
      <w:r w:rsidR="00AD7454">
        <w:rPr>
          <w:rFonts w:ascii="Garamond" w:hAnsi="Garamond"/>
          <w:sz w:val="24"/>
          <w:szCs w:val="24"/>
        </w:rPr>
        <w:t xml:space="preserve"> they are </w:t>
      </w:r>
      <w:r w:rsidR="003E10B2">
        <w:rPr>
          <w:rFonts w:ascii="Garamond" w:hAnsi="Garamond"/>
          <w:sz w:val="24"/>
          <w:szCs w:val="24"/>
        </w:rPr>
        <w:t xml:space="preserve">also </w:t>
      </w:r>
      <w:r w:rsidR="00AD7454">
        <w:rPr>
          <w:rFonts w:ascii="Garamond" w:hAnsi="Garamond"/>
          <w:sz w:val="24"/>
          <w:szCs w:val="24"/>
        </w:rPr>
        <w:t>depicted as wanting more of what men currently have</w:t>
      </w:r>
      <w:r w:rsidR="003E10B2">
        <w:rPr>
          <w:rFonts w:ascii="Garamond" w:hAnsi="Garamond"/>
          <w:sz w:val="24"/>
          <w:szCs w:val="24"/>
        </w:rPr>
        <w:t>, or at least what is believed to be in the possession of men</w:t>
      </w:r>
      <w:r w:rsidR="00AD7454">
        <w:rPr>
          <w:rFonts w:ascii="Garamond" w:hAnsi="Garamond"/>
          <w:sz w:val="24"/>
          <w:szCs w:val="24"/>
        </w:rPr>
        <w:t xml:space="preserve"> —</w:t>
      </w:r>
      <w:r>
        <w:rPr>
          <w:rFonts w:ascii="Garamond" w:hAnsi="Garamond"/>
          <w:sz w:val="24"/>
          <w:szCs w:val="24"/>
        </w:rPr>
        <w:t xml:space="preserve"> </w:t>
      </w:r>
      <w:r w:rsidR="003E10B2">
        <w:rPr>
          <w:rFonts w:ascii="Garamond" w:hAnsi="Garamond"/>
          <w:sz w:val="24"/>
          <w:szCs w:val="24"/>
        </w:rPr>
        <w:t xml:space="preserve">sexual freedom and workplace dominance. </w:t>
      </w:r>
      <w:r w:rsidR="00E80F92">
        <w:rPr>
          <w:rFonts w:ascii="Garamond" w:hAnsi="Garamond"/>
          <w:sz w:val="24"/>
          <w:szCs w:val="24"/>
        </w:rPr>
        <w:t>W</w:t>
      </w:r>
      <w:r w:rsidR="00C30ED5">
        <w:rPr>
          <w:rFonts w:ascii="Garamond" w:hAnsi="Garamond"/>
          <w:sz w:val="24"/>
          <w:szCs w:val="24"/>
        </w:rPr>
        <w:t>e can ascribe to Perry a moderate position</w:t>
      </w:r>
      <w:r w:rsidR="00E80F92">
        <w:rPr>
          <w:rFonts w:ascii="Garamond" w:hAnsi="Garamond"/>
          <w:sz w:val="24"/>
          <w:szCs w:val="24"/>
        </w:rPr>
        <w:t>, placing her view between the conservative narrative and the liberal</w:t>
      </w:r>
      <w:r w:rsidR="002E026F">
        <w:rPr>
          <w:rFonts w:ascii="Garamond" w:hAnsi="Garamond"/>
          <w:sz w:val="24"/>
          <w:szCs w:val="24"/>
        </w:rPr>
        <w:t>ised</w:t>
      </w:r>
      <w:r w:rsidR="00E80F92">
        <w:rPr>
          <w:rFonts w:ascii="Garamond" w:hAnsi="Garamond"/>
          <w:sz w:val="24"/>
          <w:szCs w:val="24"/>
        </w:rPr>
        <w:t xml:space="preserve"> call for </w:t>
      </w:r>
      <w:r w:rsidR="002E026F">
        <w:rPr>
          <w:rFonts w:ascii="Garamond" w:hAnsi="Garamond"/>
          <w:sz w:val="24"/>
          <w:szCs w:val="24"/>
        </w:rPr>
        <w:t xml:space="preserve">social, cultural, and political </w:t>
      </w:r>
      <w:r w:rsidR="00E80F92">
        <w:rPr>
          <w:rFonts w:ascii="Garamond" w:hAnsi="Garamond"/>
          <w:sz w:val="24"/>
          <w:szCs w:val="24"/>
        </w:rPr>
        <w:t>progression</w:t>
      </w:r>
      <w:r w:rsidR="00C30ED5">
        <w:rPr>
          <w:rFonts w:ascii="Garamond" w:hAnsi="Garamond"/>
          <w:sz w:val="24"/>
          <w:szCs w:val="24"/>
        </w:rPr>
        <w:t xml:space="preserve">. It would be a mistake to assume that her concern regarding the harm of open female sexuality implies that she supports a return to the conservative conditions of the 1950’s. Similarly, </w:t>
      </w:r>
      <w:r w:rsidR="004E7123">
        <w:rPr>
          <w:rFonts w:ascii="Garamond" w:hAnsi="Garamond"/>
          <w:sz w:val="24"/>
          <w:szCs w:val="24"/>
        </w:rPr>
        <w:t xml:space="preserve">Perry’s acknowledgement of the various technological and political steps forward </w:t>
      </w:r>
      <w:r w:rsidR="006E1BFB">
        <w:rPr>
          <w:rFonts w:ascii="Garamond" w:hAnsi="Garamond"/>
          <w:sz w:val="24"/>
          <w:szCs w:val="24"/>
        </w:rPr>
        <w:t>during</w:t>
      </w:r>
      <w:r w:rsidR="004E7123">
        <w:rPr>
          <w:rFonts w:ascii="Garamond" w:hAnsi="Garamond"/>
          <w:sz w:val="24"/>
          <w:szCs w:val="24"/>
        </w:rPr>
        <w:t xml:space="preserve"> the 20</w:t>
      </w:r>
      <w:r w:rsidR="004E7123" w:rsidRPr="004E7123">
        <w:rPr>
          <w:rFonts w:ascii="Garamond" w:hAnsi="Garamond"/>
          <w:sz w:val="24"/>
          <w:szCs w:val="24"/>
          <w:vertAlign w:val="superscript"/>
        </w:rPr>
        <w:t>th</w:t>
      </w:r>
      <w:r w:rsidR="004E7123">
        <w:rPr>
          <w:rFonts w:ascii="Garamond" w:hAnsi="Garamond"/>
          <w:sz w:val="24"/>
          <w:szCs w:val="24"/>
        </w:rPr>
        <w:t xml:space="preserve"> century</w:t>
      </w:r>
      <w:r w:rsidR="002E026F">
        <w:rPr>
          <w:rFonts w:ascii="Garamond" w:hAnsi="Garamond"/>
          <w:sz w:val="24"/>
          <w:szCs w:val="24"/>
        </w:rPr>
        <w:t xml:space="preserve"> —</w:t>
      </w:r>
      <w:r w:rsidR="00E756BB">
        <w:rPr>
          <w:rFonts w:ascii="Garamond" w:hAnsi="Garamond"/>
          <w:sz w:val="24"/>
          <w:szCs w:val="24"/>
        </w:rPr>
        <w:t xml:space="preserve"> that</w:t>
      </w:r>
      <w:r w:rsidR="004E7123">
        <w:rPr>
          <w:rFonts w:ascii="Garamond" w:hAnsi="Garamond"/>
          <w:sz w:val="24"/>
          <w:szCs w:val="24"/>
        </w:rPr>
        <w:t xml:space="preserve"> have afforded many women prosperous outcomes</w:t>
      </w:r>
      <w:r w:rsidR="002E026F">
        <w:rPr>
          <w:rFonts w:ascii="Garamond" w:hAnsi="Garamond"/>
          <w:sz w:val="24"/>
          <w:szCs w:val="24"/>
        </w:rPr>
        <w:t xml:space="preserve"> —</w:t>
      </w:r>
      <w:r w:rsidR="00E756BB">
        <w:rPr>
          <w:rFonts w:ascii="Garamond" w:hAnsi="Garamond"/>
          <w:sz w:val="24"/>
          <w:szCs w:val="24"/>
        </w:rPr>
        <w:t xml:space="preserve"> do not make her a progressive feminist</w:t>
      </w:r>
      <w:r w:rsidR="004E7123">
        <w:rPr>
          <w:rFonts w:ascii="Garamond" w:hAnsi="Garamond"/>
          <w:sz w:val="24"/>
          <w:szCs w:val="24"/>
        </w:rPr>
        <w:t>.</w:t>
      </w:r>
      <w:r w:rsidR="009546EE">
        <w:rPr>
          <w:rStyle w:val="FootnoteReference"/>
          <w:rFonts w:ascii="Garamond" w:hAnsi="Garamond"/>
          <w:sz w:val="24"/>
          <w:szCs w:val="24"/>
        </w:rPr>
        <w:footnoteReference w:id="7"/>
      </w:r>
      <w:r w:rsidR="004E7123">
        <w:rPr>
          <w:rFonts w:ascii="Garamond" w:hAnsi="Garamond"/>
          <w:sz w:val="24"/>
          <w:szCs w:val="24"/>
        </w:rPr>
        <w:t xml:space="preserve"> </w:t>
      </w:r>
      <w:r w:rsidR="00E756BB">
        <w:rPr>
          <w:rFonts w:ascii="Garamond" w:hAnsi="Garamond"/>
          <w:sz w:val="24"/>
          <w:szCs w:val="24"/>
        </w:rPr>
        <w:t>Perry admits, f</w:t>
      </w:r>
      <w:r w:rsidR="006E1BFB">
        <w:rPr>
          <w:rFonts w:ascii="Garamond" w:hAnsi="Garamond"/>
          <w:sz w:val="24"/>
          <w:szCs w:val="24"/>
        </w:rPr>
        <w:t xml:space="preserve">or instance, </w:t>
      </w:r>
      <w:r w:rsidR="00E756BB">
        <w:rPr>
          <w:rFonts w:ascii="Garamond" w:hAnsi="Garamond"/>
          <w:sz w:val="24"/>
          <w:szCs w:val="24"/>
        </w:rPr>
        <w:t xml:space="preserve">that </w:t>
      </w:r>
      <w:r w:rsidR="006E1BFB">
        <w:rPr>
          <w:rFonts w:ascii="Garamond" w:hAnsi="Garamond"/>
          <w:sz w:val="24"/>
          <w:szCs w:val="24"/>
        </w:rPr>
        <w:t>the economic independence of some women allow them to escape domestically violent situations easier when they occur.</w:t>
      </w:r>
      <w:r w:rsidR="009546EE">
        <w:rPr>
          <w:rStyle w:val="FootnoteReference"/>
          <w:rFonts w:ascii="Garamond" w:hAnsi="Garamond"/>
          <w:sz w:val="24"/>
          <w:szCs w:val="24"/>
        </w:rPr>
        <w:footnoteReference w:id="8"/>
      </w:r>
      <w:r w:rsidR="006E1BFB">
        <w:rPr>
          <w:rFonts w:ascii="Garamond" w:hAnsi="Garamond"/>
          <w:sz w:val="24"/>
          <w:szCs w:val="24"/>
        </w:rPr>
        <w:t xml:space="preserve"> In the past, if the </w:t>
      </w:r>
      <w:r w:rsidR="002E026F">
        <w:rPr>
          <w:rFonts w:ascii="Garamond" w:hAnsi="Garamond"/>
          <w:sz w:val="24"/>
          <w:szCs w:val="24"/>
        </w:rPr>
        <w:t>husband</w:t>
      </w:r>
      <w:r w:rsidR="006E1BFB">
        <w:rPr>
          <w:rFonts w:ascii="Garamond" w:hAnsi="Garamond"/>
          <w:sz w:val="24"/>
          <w:szCs w:val="24"/>
        </w:rPr>
        <w:t xml:space="preserve"> was solely responsible for supporting the family but was also </w:t>
      </w:r>
      <w:r w:rsidR="00E756BB">
        <w:rPr>
          <w:rFonts w:ascii="Garamond" w:hAnsi="Garamond"/>
          <w:sz w:val="24"/>
          <w:szCs w:val="24"/>
        </w:rPr>
        <w:t>violent towards</w:t>
      </w:r>
      <w:r w:rsidR="006E1BFB">
        <w:rPr>
          <w:rFonts w:ascii="Garamond" w:hAnsi="Garamond"/>
          <w:sz w:val="24"/>
          <w:szCs w:val="24"/>
        </w:rPr>
        <w:t xml:space="preserve"> his wife, then </w:t>
      </w:r>
      <w:r w:rsidR="00E756BB">
        <w:rPr>
          <w:rFonts w:ascii="Garamond" w:hAnsi="Garamond"/>
          <w:sz w:val="24"/>
          <w:szCs w:val="24"/>
        </w:rPr>
        <w:t xml:space="preserve">the state of dependence would make it difficult for </w:t>
      </w:r>
      <w:r w:rsidR="00517A0D">
        <w:rPr>
          <w:rFonts w:ascii="Garamond" w:hAnsi="Garamond"/>
          <w:sz w:val="24"/>
          <w:szCs w:val="24"/>
        </w:rPr>
        <w:t xml:space="preserve">the wife </w:t>
      </w:r>
      <w:r w:rsidR="00E756BB">
        <w:rPr>
          <w:rFonts w:ascii="Garamond" w:hAnsi="Garamond"/>
          <w:sz w:val="24"/>
          <w:szCs w:val="24"/>
        </w:rPr>
        <w:t>to secure her own safety</w:t>
      </w:r>
      <w:r w:rsidR="002E026F">
        <w:rPr>
          <w:rFonts w:ascii="Garamond" w:hAnsi="Garamond"/>
          <w:sz w:val="24"/>
          <w:szCs w:val="24"/>
        </w:rPr>
        <w:t>, for fear of losing everything</w:t>
      </w:r>
      <w:r w:rsidR="00E756BB">
        <w:rPr>
          <w:rFonts w:ascii="Garamond" w:hAnsi="Garamond"/>
          <w:sz w:val="24"/>
          <w:szCs w:val="24"/>
        </w:rPr>
        <w:t>.</w:t>
      </w:r>
      <w:r w:rsidR="002E026F">
        <w:rPr>
          <w:rFonts w:ascii="Garamond" w:hAnsi="Garamond"/>
          <w:sz w:val="24"/>
          <w:szCs w:val="24"/>
        </w:rPr>
        <w:t xml:space="preserve"> We can see, therefore, that Perry’s view centres on what is relevant, what is true and immediate to the </w:t>
      </w:r>
      <w:r w:rsidR="002E026F">
        <w:rPr>
          <w:rFonts w:ascii="Garamond" w:hAnsi="Garamond"/>
          <w:sz w:val="24"/>
          <w:szCs w:val="24"/>
        </w:rPr>
        <w:lastRenderedPageBreak/>
        <w:t>contemporary experience of women; how they themselves feel about their sexual relations, and what their preferences are within the social landscape.</w:t>
      </w:r>
    </w:p>
    <w:p w14:paraId="3EE03493" w14:textId="77777777" w:rsidR="0070066E" w:rsidRDefault="0070066E" w:rsidP="003D4199">
      <w:pPr>
        <w:spacing w:line="360" w:lineRule="auto"/>
        <w:jc w:val="both"/>
        <w:rPr>
          <w:rFonts w:ascii="Garamond" w:hAnsi="Garamond"/>
          <w:sz w:val="24"/>
          <w:szCs w:val="24"/>
        </w:rPr>
      </w:pPr>
    </w:p>
    <w:p w14:paraId="0C1EE4B4" w14:textId="017C65BF" w:rsidR="00217A06" w:rsidRDefault="0070066E" w:rsidP="003D4199">
      <w:pPr>
        <w:spacing w:line="360" w:lineRule="auto"/>
        <w:jc w:val="both"/>
        <w:rPr>
          <w:rFonts w:ascii="Garamond" w:hAnsi="Garamond"/>
          <w:sz w:val="24"/>
          <w:szCs w:val="24"/>
        </w:rPr>
      </w:pPr>
      <w:r>
        <w:rPr>
          <w:rFonts w:ascii="Garamond" w:hAnsi="Garamond"/>
          <w:sz w:val="24"/>
          <w:szCs w:val="24"/>
        </w:rPr>
        <w:t xml:space="preserve">The issue for </w:t>
      </w:r>
      <w:r w:rsidR="00E756BB">
        <w:rPr>
          <w:rFonts w:ascii="Garamond" w:hAnsi="Garamond"/>
          <w:sz w:val="24"/>
          <w:szCs w:val="24"/>
        </w:rPr>
        <w:t>Perry is ultimately</w:t>
      </w:r>
      <w:r w:rsidR="009A6DBC">
        <w:rPr>
          <w:rFonts w:ascii="Garamond" w:hAnsi="Garamond"/>
          <w:sz w:val="24"/>
          <w:szCs w:val="24"/>
        </w:rPr>
        <w:t xml:space="preserve"> with</w:t>
      </w:r>
      <w:r w:rsidR="00E756BB">
        <w:rPr>
          <w:rFonts w:ascii="Garamond" w:hAnsi="Garamond"/>
          <w:sz w:val="24"/>
          <w:szCs w:val="24"/>
        </w:rPr>
        <w:t xml:space="preserve"> the </w:t>
      </w:r>
      <w:r w:rsidR="00E54036">
        <w:rPr>
          <w:rFonts w:ascii="Garamond" w:hAnsi="Garamond"/>
          <w:sz w:val="24"/>
          <w:szCs w:val="24"/>
        </w:rPr>
        <w:t xml:space="preserve">feminist </w:t>
      </w:r>
      <w:r w:rsidR="00E756BB">
        <w:rPr>
          <w:rFonts w:ascii="Garamond" w:hAnsi="Garamond"/>
          <w:sz w:val="24"/>
          <w:szCs w:val="24"/>
        </w:rPr>
        <w:t xml:space="preserve">ideology of the 1960’s and the elements of which that persist to this day. </w:t>
      </w:r>
      <w:r w:rsidR="009A6DBC">
        <w:rPr>
          <w:rFonts w:ascii="Garamond" w:hAnsi="Garamond"/>
          <w:sz w:val="24"/>
          <w:szCs w:val="24"/>
        </w:rPr>
        <w:t>Perry thinks that the conditions brought about by the sexual revolution have generated ideological harm towards women, distorting their view of sexual relations and sexual expression.</w:t>
      </w:r>
      <w:r w:rsidR="009546EE">
        <w:rPr>
          <w:rStyle w:val="FootnoteReference"/>
          <w:rFonts w:ascii="Garamond" w:hAnsi="Garamond"/>
          <w:sz w:val="24"/>
          <w:szCs w:val="24"/>
        </w:rPr>
        <w:footnoteReference w:id="9"/>
      </w:r>
      <w:r w:rsidR="009A6DBC">
        <w:rPr>
          <w:rFonts w:ascii="Garamond" w:hAnsi="Garamond"/>
          <w:sz w:val="24"/>
          <w:szCs w:val="24"/>
        </w:rPr>
        <w:t xml:space="preserve"> Though there have been various glorifications of sex throughout history, none have sustained quite like the feminist revolution of the 60’s.</w:t>
      </w:r>
      <w:r w:rsidR="009546EE">
        <w:rPr>
          <w:rStyle w:val="FootnoteReference"/>
          <w:rFonts w:ascii="Garamond" w:hAnsi="Garamond"/>
          <w:sz w:val="24"/>
          <w:szCs w:val="24"/>
        </w:rPr>
        <w:footnoteReference w:id="10"/>
      </w:r>
      <w:r w:rsidR="009A6DBC">
        <w:rPr>
          <w:rFonts w:ascii="Garamond" w:hAnsi="Garamond"/>
          <w:sz w:val="24"/>
          <w:szCs w:val="24"/>
        </w:rPr>
        <w:t xml:space="preserve"> This was achieved, in part, thanks to the development of technologies that allowed women to claim more of their biological freedom. As Perry states</w:t>
      </w:r>
      <w:r w:rsidR="004C0A48">
        <w:rPr>
          <w:rFonts w:ascii="Garamond" w:hAnsi="Garamond"/>
          <w:sz w:val="24"/>
          <w:szCs w:val="24"/>
        </w:rPr>
        <w:t xml:space="preserve">: </w:t>
      </w:r>
    </w:p>
    <w:p w14:paraId="1CCF3899" w14:textId="54BB0E7C" w:rsidR="004C0A48" w:rsidRDefault="004C0A48" w:rsidP="003D4199">
      <w:pPr>
        <w:spacing w:line="360" w:lineRule="auto"/>
        <w:jc w:val="both"/>
        <w:rPr>
          <w:rFonts w:ascii="Garamond" w:hAnsi="Garamond"/>
          <w:sz w:val="24"/>
          <w:szCs w:val="24"/>
        </w:rPr>
      </w:pPr>
    </w:p>
    <w:p w14:paraId="1BF83DC1" w14:textId="324637B1" w:rsidR="001F691A" w:rsidRDefault="007548EE" w:rsidP="003D4199">
      <w:pPr>
        <w:pStyle w:val="ListParagraph"/>
        <w:numPr>
          <w:ilvl w:val="0"/>
          <w:numId w:val="1"/>
        </w:numPr>
        <w:spacing w:line="360" w:lineRule="auto"/>
        <w:jc w:val="both"/>
        <w:rPr>
          <w:rFonts w:ascii="Garamond" w:hAnsi="Garamond"/>
          <w:sz w:val="24"/>
          <w:szCs w:val="24"/>
        </w:rPr>
      </w:pPr>
      <w:r>
        <w:rPr>
          <w:rFonts w:ascii="Garamond" w:hAnsi="Garamond"/>
          <w:sz w:val="24"/>
          <w:szCs w:val="24"/>
        </w:rPr>
        <w:t>“</w:t>
      </w:r>
      <w:r w:rsidR="00C30ED5" w:rsidRPr="007548EE">
        <w:rPr>
          <w:rFonts w:ascii="Garamond" w:hAnsi="Garamond"/>
          <w:sz w:val="24"/>
          <w:szCs w:val="24"/>
        </w:rPr>
        <w:t>It was able to persist because of the arrival, for the first time in the history of the world, of reliable contraception and, in particular, forms of contraception that women could take charge of themselves, such as the Pill, the diaphragm, and subsequent improvements on the technology, such as the intrauterine device</w:t>
      </w:r>
      <w:r>
        <w:rPr>
          <w:rFonts w:ascii="Garamond" w:hAnsi="Garamond"/>
          <w:sz w:val="24"/>
          <w:szCs w:val="24"/>
        </w:rPr>
        <w:t>”</w:t>
      </w:r>
      <w:r w:rsidR="004C0A48" w:rsidRPr="007548EE">
        <w:rPr>
          <w:rFonts w:ascii="Garamond" w:hAnsi="Garamond"/>
          <w:sz w:val="24"/>
          <w:szCs w:val="24"/>
        </w:rPr>
        <w:t>.</w:t>
      </w:r>
      <w:r w:rsidR="009546EE">
        <w:rPr>
          <w:rStyle w:val="FootnoteReference"/>
          <w:rFonts w:ascii="Garamond" w:hAnsi="Garamond"/>
          <w:sz w:val="24"/>
          <w:szCs w:val="24"/>
        </w:rPr>
        <w:footnoteReference w:id="11"/>
      </w:r>
    </w:p>
    <w:p w14:paraId="38E6D3DD" w14:textId="5BF191AA" w:rsidR="006307B8" w:rsidRDefault="006307B8" w:rsidP="006307B8">
      <w:pPr>
        <w:spacing w:line="360" w:lineRule="auto"/>
        <w:jc w:val="both"/>
        <w:rPr>
          <w:rFonts w:ascii="Garamond" w:hAnsi="Garamond"/>
          <w:sz w:val="24"/>
          <w:szCs w:val="24"/>
        </w:rPr>
      </w:pPr>
    </w:p>
    <w:p w14:paraId="3702B10A" w14:textId="4400B052" w:rsidR="00386AD0" w:rsidRDefault="00DE03F4" w:rsidP="00386AD0">
      <w:pPr>
        <w:spacing w:line="360" w:lineRule="auto"/>
        <w:jc w:val="both"/>
        <w:rPr>
          <w:rFonts w:ascii="Garamond" w:hAnsi="Garamond"/>
          <w:sz w:val="24"/>
          <w:szCs w:val="24"/>
        </w:rPr>
      </w:pPr>
      <w:r>
        <w:rPr>
          <w:rFonts w:ascii="Garamond" w:hAnsi="Garamond"/>
          <w:sz w:val="24"/>
          <w:szCs w:val="24"/>
        </w:rPr>
        <w:t>One could argue that if physiological technology freed women from their sexual subordination to men</w:t>
      </w:r>
      <w:r w:rsidR="009E6C2C">
        <w:rPr>
          <w:rFonts w:ascii="Garamond" w:hAnsi="Garamond"/>
          <w:sz w:val="24"/>
          <w:szCs w:val="24"/>
        </w:rPr>
        <w:t xml:space="preserve"> and the expectations of society</w:t>
      </w:r>
      <w:r>
        <w:rPr>
          <w:rFonts w:ascii="Garamond" w:hAnsi="Garamond"/>
          <w:sz w:val="24"/>
          <w:szCs w:val="24"/>
        </w:rPr>
        <w:t xml:space="preserve">, then there </w:t>
      </w:r>
      <w:r w:rsidR="009E6C2C">
        <w:rPr>
          <w:rFonts w:ascii="Garamond" w:hAnsi="Garamond"/>
          <w:sz w:val="24"/>
          <w:szCs w:val="24"/>
        </w:rPr>
        <w:t xml:space="preserve">it </w:t>
      </w:r>
      <w:r>
        <w:rPr>
          <w:rFonts w:ascii="Garamond" w:hAnsi="Garamond"/>
          <w:sz w:val="24"/>
          <w:szCs w:val="24"/>
        </w:rPr>
        <w:t xml:space="preserve">is inevitably something physical about sex and the desire that relates to it. </w:t>
      </w:r>
      <w:r w:rsidR="005B1BF5">
        <w:rPr>
          <w:rFonts w:ascii="Garamond" w:hAnsi="Garamond"/>
          <w:sz w:val="24"/>
          <w:szCs w:val="24"/>
        </w:rPr>
        <w:t>Perry</w:t>
      </w:r>
      <w:r w:rsidR="00B21D67">
        <w:rPr>
          <w:rFonts w:ascii="Garamond" w:hAnsi="Garamond"/>
          <w:sz w:val="24"/>
          <w:szCs w:val="24"/>
        </w:rPr>
        <w:t xml:space="preserve"> argues that there is a distinction to be made between the idea of socialisation and the notion of biological or psychological differences between men and women</w:t>
      </w:r>
      <w:r w:rsidR="00916D91">
        <w:rPr>
          <w:rFonts w:ascii="Garamond" w:hAnsi="Garamond"/>
          <w:sz w:val="24"/>
          <w:szCs w:val="24"/>
        </w:rPr>
        <w:t>.</w:t>
      </w:r>
      <w:r w:rsidR="009546EE">
        <w:rPr>
          <w:rStyle w:val="FootnoteReference"/>
          <w:rFonts w:ascii="Garamond" w:hAnsi="Garamond"/>
          <w:sz w:val="24"/>
          <w:szCs w:val="24"/>
        </w:rPr>
        <w:footnoteReference w:id="12"/>
      </w:r>
      <w:r w:rsidR="00916D91">
        <w:rPr>
          <w:rFonts w:ascii="Garamond" w:hAnsi="Garamond"/>
          <w:sz w:val="24"/>
          <w:szCs w:val="24"/>
        </w:rPr>
        <w:t xml:space="preserve"> </w:t>
      </w:r>
      <w:r w:rsidR="00B21D67">
        <w:rPr>
          <w:rFonts w:ascii="Garamond" w:hAnsi="Garamond"/>
          <w:sz w:val="24"/>
          <w:szCs w:val="24"/>
        </w:rPr>
        <w:t xml:space="preserve">According to Perry, </w:t>
      </w:r>
      <w:r w:rsidR="009E6C2C">
        <w:rPr>
          <w:rFonts w:ascii="Garamond" w:hAnsi="Garamond"/>
          <w:sz w:val="24"/>
          <w:szCs w:val="24"/>
        </w:rPr>
        <w:t xml:space="preserve">many </w:t>
      </w:r>
      <w:r w:rsidR="00B21D67">
        <w:rPr>
          <w:rFonts w:ascii="Garamond" w:hAnsi="Garamond"/>
          <w:sz w:val="24"/>
          <w:szCs w:val="24"/>
        </w:rPr>
        <w:t xml:space="preserve">feminists have operated from </w:t>
      </w:r>
      <w:r w:rsidR="009E6C2C">
        <w:rPr>
          <w:rFonts w:ascii="Garamond" w:hAnsi="Garamond"/>
          <w:sz w:val="24"/>
          <w:szCs w:val="24"/>
        </w:rPr>
        <w:t>the presuppositions of a socialisation theory that insists upon there being no inherent differences between the psychology of the male and female gender.</w:t>
      </w:r>
      <w:r w:rsidR="009546EE">
        <w:rPr>
          <w:rStyle w:val="FootnoteReference"/>
          <w:rFonts w:ascii="Garamond" w:hAnsi="Garamond"/>
          <w:sz w:val="24"/>
          <w:szCs w:val="24"/>
        </w:rPr>
        <w:footnoteReference w:id="13"/>
      </w:r>
      <w:r w:rsidR="009E6C2C">
        <w:rPr>
          <w:rFonts w:ascii="Garamond" w:hAnsi="Garamond"/>
          <w:sz w:val="24"/>
          <w:szCs w:val="24"/>
        </w:rPr>
        <w:t xml:space="preserve"> </w:t>
      </w:r>
      <w:r w:rsidR="00551837">
        <w:rPr>
          <w:rFonts w:ascii="Garamond" w:hAnsi="Garamond"/>
          <w:sz w:val="24"/>
          <w:szCs w:val="24"/>
        </w:rPr>
        <w:t xml:space="preserve">Instead, the differences that do occur and manifest in society are a result of the individual child’s upbringing. </w:t>
      </w:r>
      <w:r w:rsidR="00736738">
        <w:rPr>
          <w:rFonts w:ascii="Garamond" w:hAnsi="Garamond"/>
          <w:sz w:val="24"/>
          <w:szCs w:val="24"/>
        </w:rPr>
        <w:t xml:space="preserve">Rather than conceptualising nature at the core of gender differences, some feminists opt to understand </w:t>
      </w:r>
      <w:r w:rsidR="00C07591">
        <w:rPr>
          <w:rFonts w:ascii="Garamond" w:hAnsi="Garamond"/>
          <w:sz w:val="24"/>
          <w:szCs w:val="24"/>
        </w:rPr>
        <w:t>what we regard as “feminine”</w:t>
      </w:r>
      <w:r w:rsidR="00D37394">
        <w:rPr>
          <w:rFonts w:ascii="Garamond" w:hAnsi="Garamond"/>
          <w:sz w:val="24"/>
          <w:szCs w:val="24"/>
        </w:rPr>
        <w:t xml:space="preserve"> as a cultural stereotype </w:t>
      </w:r>
      <w:r w:rsidR="00D37394">
        <w:rPr>
          <w:rFonts w:ascii="Garamond" w:hAnsi="Garamond"/>
          <w:sz w:val="24"/>
          <w:szCs w:val="24"/>
        </w:rPr>
        <w:lastRenderedPageBreak/>
        <w:t xml:space="preserve">perpetuated by the </w:t>
      </w:r>
      <w:r w:rsidR="00F109D9">
        <w:rPr>
          <w:rFonts w:ascii="Garamond" w:hAnsi="Garamond"/>
          <w:sz w:val="24"/>
          <w:szCs w:val="24"/>
        </w:rPr>
        <w:t xml:space="preserve">inaccurate </w:t>
      </w:r>
      <w:r w:rsidR="00D37394">
        <w:rPr>
          <w:rFonts w:ascii="Garamond" w:hAnsi="Garamond"/>
          <w:sz w:val="24"/>
          <w:szCs w:val="24"/>
        </w:rPr>
        <w:t xml:space="preserve">ideals of western society. </w:t>
      </w:r>
      <w:r w:rsidR="00F109D9">
        <w:rPr>
          <w:rFonts w:ascii="Garamond" w:hAnsi="Garamond"/>
          <w:sz w:val="24"/>
          <w:szCs w:val="24"/>
        </w:rPr>
        <w:t xml:space="preserve">One may offer support for the socialisation standpoint by stating that </w:t>
      </w:r>
      <w:r w:rsidR="00DC7DBF">
        <w:rPr>
          <w:rFonts w:ascii="Garamond" w:hAnsi="Garamond"/>
          <w:sz w:val="24"/>
          <w:szCs w:val="24"/>
        </w:rPr>
        <w:t xml:space="preserve">there has been a failure by researchers </w:t>
      </w:r>
      <w:r w:rsidR="00925EA6">
        <w:rPr>
          <w:rFonts w:ascii="Garamond" w:hAnsi="Garamond"/>
          <w:sz w:val="24"/>
          <w:szCs w:val="24"/>
        </w:rPr>
        <w:t>to confirm innate differences between young boys and girls.</w:t>
      </w:r>
      <w:r w:rsidR="009546EE">
        <w:rPr>
          <w:rStyle w:val="FootnoteReference"/>
          <w:rFonts w:ascii="Garamond" w:hAnsi="Garamond"/>
          <w:sz w:val="24"/>
          <w:szCs w:val="24"/>
        </w:rPr>
        <w:footnoteReference w:id="14"/>
      </w:r>
      <w:r w:rsidR="00925EA6">
        <w:rPr>
          <w:rFonts w:ascii="Garamond" w:hAnsi="Garamond"/>
          <w:sz w:val="24"/>
          <w:szCs w:val="24"/>
        </w:rPr>
        <w:t xml:space="preserve"> Yet, what is perfectly clear </w:t>
      </w:r>
      <w:r w:rsidR="004A53AD">
        <w:rPr>
          <w:rFonts w:ascii="Garamond" w:hAnsi="Garamond"/>
          <w:sz w:val="24"/>
          <w:szCs w:val="24"/>
        </w:rPr>
        <w:t xml:space="preserve">is </w:t>
      </w:r>
      <w:r w:rsidR="00925EA6">
        <w:rPr>
          <w:rFonts w:ascii="Garamond" w:hAnsi="Garamond"/>
          <w:sz w:val="24"/>
          <w:szCs w:val="24"/>
        </w:rPr>
        <w:t>that little girls and young women are treated entirely different from males, start</w:t>
      </w:r>
      <w:r w:rsidR="004A53AD">
        <w:rPr>
          <w:rFonts w:ascii="Garamond" w:hAnsi="Garamond"/>
          <w:sz w:val="24"/>
          <w:szCs w:val="24"/>
        </w:rPr>
        <w:t>ing</w:t>
      </w:r>
      <w:r w:rsidR="00925EA6">
        <w:rPr>
          <w:rFonts w:ascii="Garamond" w:hAnsi="Garamond"/>
          <w:sz w:val="24"/>
          <w:szCs w:val="24"/>
        </w:rPr>
        <w:t xml:space="preserve"> from the point of birth</w:t>
      </w:r>
      <w:r w:rsidR="00386AD0">
        <w:rPr>
          <w:rFonts w:ascii="Garamond" w:hAnsi="Garamond"/>
          <w:sz w:val="24"/>
          <w:szCs w:val="24"/>
        </w:rPr>
        <w:t>.</w:t>
      </w:r>
      <w:r w:rsidR="004A53AD">
        <w:rPr>
          <w:rStyle w:val="FootnoteReference"/>
          <w:rFonts w:ascii="Garamond" w:hAnsi="Garamond"/>
          <w:sz w:val="24"/>
          <w:szCs w:val="24"/>
        </w:rPr>
        <w:footnoteReference w:id="15"/>
      </w:r>
      <w:r w:rsidR="00386AD0">
        <w:rPr>
          <w:rFonts w:ascii="Garamond" w:hAnsi="Garamond"/>
          <w:sz w:val="24"/>
          <w:szCs w:val="24"/>
        </w:rPr>
        <w:t xml:space="preserve"> In other words, the kind of treatment that an individual is exposed to through</w:t>
      </w:r>
      <w:r w:rsidR="004A53AD">
        <w:rPr>
          <w:rFonts w:ascii="Garamond" w:hAnsi="Garamond"/>
          <w:sz w:val="24"/>
          <w:szCs w:val="24"/>
        </w:rPr>
        <w:t>out</w:t>
      </w:r>
      <w:r w:rsidR="00386AD0">
        <w:rPr>
          <w:rFonts w:ascii="Garamond" w:hAnsi="Garamond"/>
          <w:sz w:val="24"/>
          <w:szCs w:val="24"/>
        </w:rPr>
        <w:t xml:space="preserve"> the course of their life is the defining factor in what they become. Perry gives an example of this by referring to a study that </w:t>
      </w:r>
      <w:r w:rsidR="002E5547">
        <w:rPr>
          <w:rFonts w:ascii="Garamond" w:hAnsi="Garamond"/>
          <w:sz w:val="24"/>
          <w:szCs w:val="24"/>
        </w:rPr>
        <w:t xml:space="preserve">showed </w:t>
      </w:r>
      <w:r w:rsidR="008140F2">
        <w:rPr>
          <w:rFonts w:ascii="Garamond" w:hAnsi="Garamond"/>
          <w:sz w:val="24"/>
          <w:szCs w:val="24"/>
        </w:rPr>
        <w:t xml:space="preserve">the various responses and attitudes of mothers toward their children crawling down an adjustable slope. Although the crawling ability and risk taking </w:t>
      </w:r>
      <w:r w:rsidR="00C30B42">
        <w:rPr>
          <w:rFonts w:ascii="Garamond" w:hAnsi="Garamond"/>
          <w:sz w:val="24"/>
          <w:szCs w:val="24"/>
        </w:rPr>
        <w:t xml:space="preserve">did not reveal an obvious difference in boys and girls, the </w:t>
      </w:r>
      <w:r w:rsidR="008A4CD6">
        <w:rPr>
          <w:rFonts w:ascii="Garamond" w:hAnsi="Garamond"/>
          <w:sz w:val="24"/>
          <w:szCs w:val="24"/>
        </w:rPr>
        <w:t xml:space="preserve">mothers </w:t>
      </w:r>
      <w:r w:rsidR="000E0B7D">
        <w:rPr>
          <w:rFonts w:ascii="Garamond" w:hAnsi="Garamond"/>
          <w:sz w:val="24"/>
          <w:szCs w:val="24"/>
        </w:rPr>
        <w:t>endeavoured</w:t>
      </w:r>
      <w:r w:rsidR="008A4CD6">
        <w:rPr>
          <w:rFonts w:ascii="Garamond" w:hAnsi="Garamond"/>
          <w:sz w:val="24"/>
          <w:szCs w:val="24"/>
        </w:rPr>
        <w:t xml:space="preserve"> to underestimate their daughters and overestimate their son’s ability. The conclusion of an experiment such as this highlights the mother’s internal disconnect regarding the real world</w:t>
      </w:r>
      <w:r w:rsidR="004A53AD">
        <w:rPr>
          <w:rFonts w:ascii="Garamond" w:hAnsi="Garamond"/>
          <w:sz w:val="24"/>
          <w:szCs w:val="24"/>
        </w:rPr>
        <w:t>;</w:t>
      </w:r>
      <w:r w:rsidR="008A4CD6">
        <w:rPr>
          <w:rFonts w:ascii="Garamond" w:hAnsi="Garamond"/>
          <w:sz w:val="24"/>
          <w:szCs w:val="24"/>
        </w:rPr>
        <w:t xml:space="preserve"> “</w:t>
      </w:r>
      <w:r w:rsidR="004A53AD">
        <w:rPr>
          <w:rFonts w:ascii="Garamond" w:hAnsi="Garamond"/>
          <w:sz w:val="24"/>
          <w:szCs w:val="24"/>
        </w:rPr>
        <w:t>t</w:t>
      </w:r>
      <w:r w:rsidR="00386AD0" w:rsidRPr="00386AD0">
        <w:rPr>
          <w:rFonts w:ascii="Garamond" w:hAnsi="Garamond"/>
          <w:sz w:val="24"/>
          <w:szCs w:val="24"/>
        </w:rPr>
        <w:t>hey might often wrongly think their daughters incapable of performing or attempting some motor feats, and equally erroneously think their sons capable of others</w:t>
      </w:r>
      <w:r w:rsidR="008A4CD6">
        <w:rPr>
          <w:rFonts w:ascii="Garamond" w:hAnsi="Garamond"/>
          <w:sz w:val="24"/>
          <w:szCs w:val="24"/>
        </w:rPr>
        <w:t>”.</w:t>
      </w:r>
      <w:r w:rsidR="004A53AD">
        <w:rPr>
          <w:rStyle w:val="FootnoteReference"/>
          <w:rFonts w:ascii="Garamond" w:hAnsi="Garamond"/>
          <w:sz w:val="24"/>
          <w:szCs w:val="24"/>
        </w:rPr>
        <w:footnoteReference w:id="16"/>
      </w:r>
      <w:r w:rsidR="008A4CD6">
        <w:rPr>
          <w:rFonts w:ascii="Garamond" w:hAnsi="Garamond"/>
          <w:sz w:val="24"/>
          <w:szCs w:val="24"/>
        </w:rPr>
        <w:t xml:space="preserve"> </w:t>
      </w:r>
    </w:p>
    <w:p w14:paraId="57D1A125" w14:textId="22887543" w:rsidR="001B114E" w:rsidRDefault="001B114E" w:rsidP="00386AD0">
      <w:pPr>
        <w:spacing w:line="360" w:lineRule="auto"/>
        <w:jc w:val="both"/>
        <w:rPr>
          <w:rFonts w:ascii="Garamond" w:hAnsi="Garamond"/>
          <w:sz w:val="24"/>
          <w:szCs w:val="24"/>
        </w:rPr>
      </w:pPr>
    </w:p>
    <w:p w14:paraId="680744E2" w14:textId="66C3DA2D" w:rsidR="004A53AD" w:rsidRDefault="004A53AD" w:rsidP="00386AD0">
      <w:pPr>
        <w:spacing w:line="360" w:lineRule="auto"/>
        <w:jc w:val="both"/>
        <w:rPr>
          <w:rFonts w:ascii="Garamond" w:hAnsi="Garamond"/>
          <w:sz w:val="24"/>
          <w:szCs w:val="24"/>
        </w:rPr>
      </w:pPr>
      <w:r>
        <w:rPr>
          <w:rFonts w:ascii="Garamond" w:hAnsi="Garamond"/>
          <w:sz w:val="24"/>
          <w:szCs w:val="24"/>
        </w:rPr>
        <w:t xml:space="preserve">Moreover, </w:t>
      </w:r>
    </w:p>
    <w:p w14:paraId="0295DF05" w14:textId="77777777" w:rsidR="004A53AD" w:rsidRDefault="004A53AD" w:rsidP="00386AD0">
      <w:pPr>
        <w:spacing w:line="360" w:lineRule="auto"/>
        <w:jc w:val="both"/>
        <w:rPr>
          <w:rFonts w:ascii="Garamond" w:hAnsi="Garamond"/>
          <w:sz w:val="24"/>
          <w:szCs w:val="24"/>
        </w:rPr>
      </w:pPr>
    </w:p>
    <w:p w14:paraId="2E85A79E" w14:textId="0FCF8A90" w:rsidR="001B114E" w:rsidRPr="001B114E" w:rsidRDefault="001B114E" w:rsidP="00386AD0">
      <w:pPr>
        <w:numPr>
          <w:ilvl w:val="0"/>
          <w:numId w:val="1"/>
        </w:numPr>
        <w:spacing w:line="360" w:lineRule="auto"/>
        <w:jc w:val="both"/>
        <w:rPr>
          <w:rFonts w:ascii="Garamond" w:hAnsi="Garamond"/>
          <w:sz w:val="24"/>
          <w:szCs w:val="24"/>
        </w:rPr>
      </w:pPr>
      <w:r w:rsidRPr="001B114E">
        <w:rPr>
          <w:rFonts w:ascii="Garamond" w:hAnsi="Garamond"/>
          <w:sz w:val="24"/>
          <w:szCs w:val="24"/>
        </w:rPr>
        <w:t>“Socialisation theory depends upon a furtive form of human exceptionalism, by which we are understood to be both uniquely detached from the normal processes of natural selection and uniquely corruptible by cultural influence. We do bad things, according to this analysis, not because we are as fallible as any other animal, but because we have chosen to invent cultures that corrupt innocent little babies and turn them to wickedness. This ‘blank slate’ view gives ultimate authority to society in moulding the human character, for good and ill”.</w:t>
      </w:r>
      <w:r w:rsidR="004A53AD">
        <w:rPr>
          <w:rStyle w:val="FootnoteReference"/>
          <w:rFonts w:ascii="Garamond" w:hAnsi="Garamond"/>
          <w:sz w:val="24"/>
          <w:szCs w:val="24"/>
        </w:rPr>
        <w:footnoteReference w:id="17"/>
      </w:r>
    </w:p>
    <w:p w14:paraId="2B954E64" w14:textId="77777777" w:rsidR="001B114E" w:rsidRDefault="001B114E" w:rsidP="00386AD0">
      <w:pPr>
        <w:spacing w:line="360" w:lineRule="auto"/>
        <w:jc w:val="both"/>
        <w:rPr>
          <w:rFonts w:ascii="Garamond" w:hAnsi="Garamond"/>
          <w:sz w:val="24"/>
          <w:szCs w:val="24"/>
        </w:rPr>
      </w:pPr>
    </w:p>
    <w:p w14:paraId="7C660820" w14:textId="243904BA" w:rsidR="00295DC3" w:rsidRPr="004A53AD" w:rsidRDefault="001B114E" w:rsidP="00237BE5">
      <w:pPr>
        <w:spacing w:line="360" w:lineRule="auto"/>
        <w:jc w:val="both"/>
        <w:rPr>
          <w:rFonts w:ascii="Garamond" w:hAnsi="Garamond"/>
          <w:sz w:val="24"/>
          <w:szCs w:val="24"/>
        </w:rPr>
      </w:pPr>
      <w:r>
        <w:rPr>
          <w:rFonts w:ascii="Garamond" w:hAnsi="Garamond"/>
          <w:sz w:val="24"/>
          <w:szCs w:val="24"/>
        </w:rPr>
        <w:t xml:space="preserve">However, Perry argues that there is a more “credible” way in understanding the world of gender and sexual differences, even if it does offer “much less scope </w:t>
      </w:r>
      <w:r w:rsidRPr="001B114E">
        <w:rPr>
          <w:rFonts w:ascii="Garamond" w:hAnsi="Garamond"/>
          <w:sz w:val="24"/>
          <w:szCs w:val="24"/>
        </w:rPr>
        <w:t>for human perfectibility</w:t>
      </w:r>
      <w:r w:rsidR="007E7E78">
        <w:rPr>
          <w:rFonts w:ascii="Garamond" w:hAnsi="Garamond"/>
          <w:sz w:val="24"/>
          <w:szCs w:val="24"/>
        </w:rPr>
        <w:t>,” making it far less “appealing to utopians</w:t>
      </w:r>
      <w:r w:rsidR="004A53AD">
        <w:rPr>
          <w:rFonts w:ascii="Garamond" w:hAnsi="Garamond"/>
          <w:sz w:val="24"/>
          <w:szCs w:val="24"/>
        </w:rPr>
        <w:t>”</w:t>
      </w:r>
      <w:r w:rsidR="007E7E78">
        <w:rPr>
          <w:rFonts w:ascii="Garamond" w:hAnsi="Garamond"/>
          <w:sz w:val="24"/>
          <w:szCs w:val="24"/>
        </w:rPr>
        <w:t>.</w:t>
      </w:r>
      <w:r w:rsidR="004A53AD">
        <w:rPr>
          <w:rStyle w:val="FootnoteReference"/>
          <w:rFonts w:ascii="Garamond" w:hAnsi="Garamond"/>
          <w:sz w:val="24"/>
          <w:szCs w:val="24"/>
        </w:rPr>
        <w:footnoteReference w:id="18"/>
      </w:r>
      <w:r w:rsidRPr="001B114E">
        <w:rPr>
          <w:rFonts w:ascii="Garamond" w:hAnsi="Garamond"/>
          <w:sz w:val="24"/>
          <w:szCs w:val="24"/>
        </w:rPr>
        <w:t xml:space="preserve"> </w:t>
      </w:r>
      <w:r w:rsidR="00A73E5A">
        <w:rPr>
          <w:rFonts w:ascii="Garamond" w:hAnsi="Garamond"/>
          <w:sz w:val="24"/>
          <w:szCs w:val="24"/>
        </w:rPr>
        <w:t xml:space="preserve">Perry states that we may be justified in thinking of human beings </w:t>
      </w:r>
      <w:r w:rsidR="00A73E5A">
        <w:rPr>
          <w:rFonts w:ascii="Garamond" w:hAnsi="Garamond"/>
          <w:sz w:val="24"/>
          <w:szCs w:val="24"/>
        </w:rPr>
        <w:lastRenderedPageBreak/>
        <w:t>as animals, specifically,</w:t>
      </w:r>
      <w:r w:rsidR="00BF114B">
        <w:rPr>
          <w:rFonts w:ascii="Garamond" w:hAnsi="Garamond"/>
          <w:sz w:val="24"/>
          <w:szCs w:val="24"/>
        </w:rPr>
        <w:t xml:space="preserve"> primates</w:t>
      </w:r>
      <w:r w:rsidR="009C24DF">
        <w:rPr>
          <w:rFonts w:ascii="Garamond" w:hAnsi="Garamond"/>
          <w:sz w:val="24"/>
          <w:szCs w:val="24"/>
        </w:rPr>
        <w:t>.</w:t>
      </w:r>
      <w:r w:rsidR="004A53AD">
        <w:rPr>
          <w:rStyle w:val="FootnoteReference"/>
          <w:rFonts w:ascii="Garamond" w:hAnsi="Garamond"/>
          <w:sz w:val="24"/>
          <w:szCs w:val="24"/>
        </w:rPr>
        <w:footnoteReference w:id="19"/>
      </w:r>
      <w:r w:rsidR="009C24DF">
        <w:rPr>
          <w:rFonts w:ascii="Garamond" w:hAnsi="Garamond"/>
          <w:sz w:val="24"/>
          <w:szCs w:val="24"/>
        </w:rPr>
        <w:t xml:space="preserve"> </w:t>
      </w:r>
      <w:r w:rsidR="00B457E6">
        <w:rPr>
          <w:rFonts w:ascii="Garamond" w:hAnsi="Garamond"/>
          <w:sz w:val="24"/>
          <w:szCs w:val="24"/>
        </w:rPr>
        <w:t>Evolutionary biologists view human beings as subject</w:t>
      </w:r>
      <w:r w:rsidR="00857262">
        <w:rPr>
          <w:rFonts w:ascii="Garamond" w:hAnsi="Garamond"/>
          <w:sz w:val="24"/>
          <w:szCs w:val="24"/>
        </w:rPr>
        <w:t>s of</w:t>
      </w:r>
      <w:r w:rsidR="00B457E6">
        <w:rPr>
          <w:rFonts w:ascii="Garamond" w:hAnsi="Garamond"/>
          <w:sz w:val="24"/>
          <w:szCs w:val="24"/>
        </w:rPr>
        <w:t xml:space="preserve"> a long process of development, in which, the line of physiological ancestry spans over a billion years. For example, </w:t>
      </w:r>
      <w:r w:rsidR="00857262" w:rsidRPr="00857262">
        <w:rPr>
          <w:rFonts w:ascii="Garamond" w:hAnsi="Garamond"/>
          <w:sz w:val="24"/>
          <w:szCs w:val="24"/>
        </w:rPr>
        <w:t>feminist and evolutionary biologist Sarah Blaffer Hrd</w:t>
      </w:r>
      <w:r w:rsidR="00857262">
        <w:rPr>
          <w:rFonts w:ascii="Garamond" w:hAnsi="Garamond"/>
          <w:sz w:val="24"/>
          <w:szCs w:val="24"/>
        </w:rPr>
        <w:t xml:space="preserve"> explains how </w:t>
      </w:r>
      <w:r w:rsidR="00857262" w:rsidRPr="00857262">
        <w:rPr>
          <w:rFonts w:ascii="Garamond" w:hAnsi="Garamond"/>
          <w:sz w:val="24"/>
          <w:szCs w:val="24"/>
        </w:rPr>
        <w:t xml:space="preserve">the endorphins that </w:t>
      </w:r>
      <w:r w:rsidR="009F7F48">
        <w:rPr>
          <w:rFonts w:ascii="Garamond" w:hAnsi="Garamond"/>
          <w:sz w:val="24"/>
          <w:szCs w:val="24"/>
        </w:rPr>
        <w:t>made</w:t>
      </w:r>
      <w:r w:rsidR="00857262">
        <w:rPr>
          <w:rFonts w:ascii="Garamond" w:hAnsi="Garamond"/>
          <w:sz w:val="24"/>
          <w:szCs w:val="24"/>
        </w:rPr>
        <w:t xml:space="preserve"> her</w:t>
      </w:r>
      <w:r w:rsidR="00857262" w:rsidRPr="00857262">
        <w:rPr>
          <w:rFonts w:ascii="Garamond" w:hAnsi="Garamond"/>
          <w:sz w:val="24"/>
          <w:szCs w:val="24"/>
        </w:rPr>
        <w:t xml:space="preserve"> </w:t>
      </w:r>
      <w:r w:rsidR="00857262">
        <w:rPr>
          <w:rFonts w:ascii="Garamond" w:hAnsi="Garamond"/>
          <w:sz w:val="24"/>
          <w:szCs w:val="24"/>
        </w:rPr>
        <w:t>“</w:t>
      </w:r>
      <w:r w:rsidR="00857262" w:rsidRPr="00857262">
        <w:rPr>
          <w:rFonts w:ascii="Garamond" w:hAnsi="Garamond"/>
          <w:sz w:val="24"/>
          <w:szCs w:val="24"/>
        </w:rPr>
        <w:t>labour pains tolerable</w:t>
      </w:r>
      <w:r w:rsidR="00857262">
        <w:rPr>
          <w:rFonts w:ascii="Garamond" w:hAnsi="Garamond"/>
          <w:sz w:val="24"/>
          <w:szCs w:val="24"/>
        </w:rPr>
        <w:t>”</w:t>
      </w:r>
      <w:r w:rsidR="00857262" w:rsidRPr="00857262">
        <w:rPr>
          <w:rFonts w:ascii="Garamond" w:hAnsi="Garamond"/>
          <w:sz w:val="24"/>
          <w:szCs w:val="24"/>
        </w:rPr>
        <w:t xml:space="preserve"> </w:t>
      </w:r>
      <w:r w:rsidR="00857262">
        <w:rPr>
          <w:rFonts w:ascii="Garamond" w:hAnsi="Garamond"/>
          <w:sz w:val="24"/>
          <w:szCs w:val="24"/>
        </w:rPr>
        <w:t>derived</w:t>
      </w:r>
      <w:r w:rsidR="00857262" w:rsidRPr="00857262">
        <w:rPr>
          <w:rFonts w:ascii="Garamond" w:hAnsi="Garamond"/>
          <w:sz w:val="24"/>
          <w:szCs w:val="24"/>
        </w:rPr>
        <w:t xml:space="preserve"> from </w:t>
      </w:r>
      <w:r w:rsidR="00857262">
        <w:rPr>
          <w:rFonts w:ascii="Garamond" w:hAnsi="Garamond"/>
          <w:sz w:val="24"/>
          <w:szCs w:val="24"/>
        </w:rPr>
        <w:t>“</w:t>
      </w:r>
      <w:r w:rsidR="00857262" w:rsidRPr="00857262">
        <w:rPr>
          <w:rFonts w:ascii="Garamond" w:hAnsi="Garamond"/>
          <w:sz w:val="24"/>
          <w:szCs w:val="24"/>
        </w:rPr>
        <w:t>molecules that humans still share with earthworms</w:t>
      </w:r>
      <w:r w:rsidR="00857262">
        <w:rPr>
          <w:rFonts w:ascii="Garamond" w:hAnsi="Garamond"/>
          <w:sz w:val="24"/>
          <w:szCs w:val="24"/>
        </w:rPr>
        <w:t>”.</w:t>
      </w:r>
      <w:r w:rsidR="004A53AD">
        <w:rPr>
          <w:rStyle w:val="FootnoteReference"/>
          <w:rFonts w:ascii="Garamond" w:hAnsi="Garamond"/>
          <w:sz w:val="24"/>
          <w:szCs w:val="24"/>
        </w:rPr>
        <w:footnoteReference w:id="20"/>
      </w:r>
      <w:r w:rsidR="00286EB8">
        <w:rPr>
          <w:rFonts w:ascii="Garamond" w:hAnsi="Garamond"/>
          <w:sz w:val="24"/>
          <w:szCs w:val="24"/>
        </w:rPr>
        <w:t xml:space="preserve"> </w:t>
      </w:r>
      <w:r w:rsidR="00C67EDE">
        <w:rPr>
          <w:rFonts w:ascii="Garamond" w:hAnsi="Garamond"/>
          <w:sz w:val="24"/>
          <w:szCs w:val="24"/>
        </w:rPr>
        <w:t>Perry views the differences that constitutes our gender expressions as fundamentally biological, relating to a</w:t>
      </w:r>
      <w:r w:rsidR="003D56C2">
        <w:rPr>
          <w:rFonts w:ascii="Garamond" w:hAnsi="Garamond"/>
          <w:sz w:val="24"/>
          <w:szCs w:val="24"/>
        </w:rPr>
        <w:t>n</w:t>
      </w:r>
      <w:r w:rsidR="00C67EDE">
        <w:rPr>
          <w:rFonts w:ascii="Garamond" w:hAnsi="Garamond"/>
          <w:sz w:val="24"/>
          <w:szCs w:val="24"/>
        </w:rPr>
        <w:t xml:space="preserve"> evolutionary process.</w:t>
      </w:r>
      <w:r w:rsidR="003D56C2">
        <w:rPr>
          <w:rFonts w:ascii="Garamond" w:hAnsi="Garamond"/>
          <w:sz w:val="24"/>
          <w:szCs w:val="24"/>
        </w:rPr>
        <w:t xml:space="preserve"> One may see these differences play out in sports, where the aim of the game is physical competition. It is clear that the biological differences manifest themselves in an obvious way through things like competitive sports since they are ultimately predicated on the individual’s athletic performance. Perry notes how male athletes have a competitive advantage over women, due to the fact that their physiolog</w:t>
      </w:r>
      <w:r w:rsidR="004A53AD">
        <w:rPr>
          <w:rFonts w:ascii="Garamond" w:hAnsi="Garamond"/>
          <w:sz w:val="24"/>
          <w:szCs w:val="24"/>
        </w:rPr>
        <w:t>y</w:t>
      </w:r>
      <w:r w:rsidR="003D56C2">
        <w:rPr>
          <w:rFonts w:ascii="Garamond" w:hAnsi="Garamond"/>
          <w:sz w:val="24"/>
          <w:szCs w:val="24"/>
        </w:rPr>
        <w:t xml:space="preserve"> is structured differently. And yet, within those differences are the kinds of things that may manifest appropriately in the world. Perry states how many female athletes are critical of the idea that men should compete </w:t>
      </w:r>
      <w:r w:rsidR="00572545">
        <w:rPr>
          <w:rFonts w:ascii="Garamond" w:hAnsi="Garamond"/>
          <w:sz w:val="24"/>
          <w:szCs w:val="24"/>
        </w:rPr>
        <w:t>alongside</w:t>
      </w:r>
      <w:r w:rsidR="003D56C2">
        <w:rPr>
          <w:rFonts w:ascii="Garamond" w:hAnsi="Garamond"/>
          <w:sz w:val="24"/>
          <w:szCs w:val="24"/>
        </w:rPr>
        <w:t xml:space="preserve"> women, whether that be in athletics or physical contact.</w:t>
      </w:r>
      <w:r w:rsidR="004A53AD">
        <w:rPr>
          <w:rStyle w:val="FootnoteReference"/>
          <w:rFonts w:ascii="Garamond" w:hAnsi="Garamond"/>
          <w:sz w:val="24"/>
          <w:szCs w:val="24"/>
        </w:rPr>
        <w:footnoteReference w:id="21"/>
      </w:r>
      <w:r w:rsidR="003D56C2">
        <w:rPr>
          <w:rFonts w:ascii="Garamond" w:hAnsi="Garamond"/>
          <w:sz w:val="24"/>
          <w:szCs w:val="24"/>
        </w:rPr>
        <w:t xml:space="preserve"> The question that arises here is if there are clear biological differences between men and women, which manifest themselves in society, then why are some feminists so adamant on there being no difference at all</w:t>
      </w:r>
      <w:r w:rsidR="004A53AD">
        <w:rPr>
          <w:rFonts w:ascii="Garamond" w:hAnsi="Garamond"/>
          <w:sz w:val="24"/>
          <w:szCs w:val="24"/>
        </w:rPr>
        <w:t xml:space="preserve"> on the biological level</w:t>
      </w:r>
      <w:r w:rsidR="003D56C2">
        <w:rPr>
          <w:rFonts w:ascii="Garamond" w:hAnsi="Garamond"/>
          <w:sz w:val="24"/>
          <w:szCs w:val="24"/>
        </w:rPr>
        <w:t>?</w:t>
      </w:r>
      <w:r w:rsidR="00B525CA">
        <w:rPr>
          <w:rFonts w:ascii="Garamond" w:hAnsi="Garamond"/>
          <w:sz w:val="24"/>
          <w:szCs w:val="24"/>
        </w:rPr>
        <w:t xml:space="preserve"> One would have to assume that these feminists are basing their notions of “woman” on something other than evolutionary instinct. Yet, Perry </w:t>
      </w:r>
      <w:r w:rsidR="004A53AD">
        <w:rPr>
          <w:rFonts w:ascii="Garamond" w:hAnsi="Garamond"/>
          <w:sz w:val="24"/>
          <w:szCs w:val="24"/>
        </w:rPr>
        <w:t>claims that</w:t>
      </w:r>
      <w:r w:rsidR="00B525CA">
        <w:rPr>
          <w:rFonts w:ascii="Garamond" w:hAnsi="Garamond"/>
          <w:sz w:val="24"/>
          <w:szCs w:val="24"/>
        </w:rPr>
        <w:t xml:space="preserve"> the biological differences are inseparable, especially when it comes to sex and sexual desire. The issue for Perry is that </w:t>
      </w:r>
      <w:r w:rsidR="00AE380D">
        <w:rPr>
          <w:rFonts w:ascii="Garamond" w:hAnsi="Garamond"/>
          <w:sz w:val="24"/>
          <w:szCs w:val="24"/>
        </w:rPr>
        <w:t xml:space="preserve">the sexual revolution of the 1960’s, </w:t>
      </w:r>
      <w:r w:rsidR="00CC5753">
        <w:rPr>
          <w:rFonts w:ascii="Garamond" w:hAnsi="Garamond"/>
          <w:sz w:val="24"/>
          <w:szCs w:val="24"/>
        </w:rPr>
        <w:t>alongside</w:t>
      </w:r>
      <w:r w:rsidR="00AE380D">
        <w:rPr>
          <w:rFonts w:ascii="Garamond" w:hAnsi="Garamond"/>
          <w:sz w:val="24"/>
          <w:szCs w:val="24"/>
        </w:rPr>
        <w:t xml:space="preserve"> the appropriate technology, turned women against their natural instincts toward sex and the way in which they went about it. </w:t>
      </w:r>
      <w:r w:rsidR="00A977ED">
        <w:rPr>
          <w:rFonts w:ascii="Garamond" w:hAnsi="Garamond"/>
          <w:sz w:val="24"/>
          <w:szCs w:val="24"/>
        </w:rPr>
        <w:t xml:space="preserve">If sexual desire is predicated on biological intuition, for both genders, then </w:t>
      </w:r>
      <w:r w:rsidR="00572545">
        <w:rPr>
          <w:rFonts w:ascii="Garamond" w:hAnsi="Garamond"/>
          <w:sz w:val="24"/>
          <w:szCs w:val="24"/>
        </w:rPr>
        <w:t xml:space="preserve">one may be in a position to better understand the kinds of sexual decisions being played out in the social world. </w:t>
      </w:r>
      <w:r w:rsidR="00A977ED">
        <w:rPr>
          <w:rFonts w:ascii="Garamond" w:hAnsi="Garamond"/>
          <w:sz w:val="24"/>
          <w:szCs w:val="24"/>
        </w:rPr>
        <w:t xml:space="preserve">  </w:t>
      </w:r>
    </w:p>
    <w:p w14:paraId="5897799B" w14:textId="77777777" w:rsidR="00C97A78" w:rsidRDefault="00C97A78" w:rsidP="00237BE5">
      <w:pPr>
        <w:spacing w:line="360" w:lineRule="auto"/>
        <w:jc w:val="both"/>
        <w:rPr>
          <w:rFonts w:ascii="Garamond" w:hAnsi="Garamond"/>
          <w:sz w:val="24"/>
          <w:szCs w:val="24"/>
        </w:rPr>
      </w:pPr>
    </w:p>
    <w:p w14:paraId="4B0B2DD5" w14:textId="50BBF9D3" w:rsidR="00237BE5" w:rsidRDefault="00557AE3" w:rsidP="00237BE5">
      <w:pPr>
        <w:spacing w:line="360" w:lineRule="auto"/>
        <w:jc w:val="both"/>
        <w:rPr>
          <w:rFonts w:ascii="Garamond" w:hAnsi="Garamond"/>
          <w:sz w:val="24"/>
          <w:szCs w:val="24"/>
        </w:rPr>
      </w:pPr>
      <w:r>
        <w:rPr>
          <w:rFonts w:ascii="Garamond" w:hAnsi="Garamond"/>
          <w:sz w:val="24"/>
          <w:szCs w:val="24"/>
        </w:rPr>
        <w:t>Amia Srinivasan</w:t>
      </w:r>
      <w:r w:rsidR="00EF6B4E">
        <w:rPr>
          <w:rFonts w:ascii="Garamond" w:hAnsi="Garamond"/>
          <w:sz w:val="24"/>
          <w:szCs w:val="24"/>
        </w:rPr>
        <w:t>, on the other hand,</w:t>
      </w:r>
      <w:r>
        <w:rPr>
          <w:rFonts w:ascii="Garamond" w:hAnsi="Garamond"/>
          <w:sz w:val="24"/>
          <w:szCs w:val="24"/>
        </w:rPr>
        <w:t xml:space="preserve"> </w:t>
      </w:r>
      <w:r w:rsidR="00EF6B4E">
        <w:rPr>
          <w:rFonts w:ascii="Garamond" w:hAnsi="Garamond"/>
          <w:sz w:val="24"/>
          <w:szCs w:val="24"/>
        </w:rPr>
        <w:t>views female sexuality differently</w:t>
      </w:r>
      <w:r w:rsidR="00FA0672">
        <w:rPr>
          <w:rFonts w:ascii="Garamond" w:hAnsi="Garamond"/>
          <w:sz w:val="24"/>
          <w:szCs w:val="24"/>
        </w:rPr>
        <w:t xml:space="preserve"> from Perry. In keeping with the feminist tradition, Srinivasan </w:t>
      </w:r>
      <w:r w:rsidR="006F3120">
        <w:rPr>
          <w:rFonts w:ascii="Garamond" w:hAnsi="Garamond"/>
          <w:sz w:val="24"/>
          <w:szCs w:val="24"/>
        </w:rPr>
        <w:t>claims that there is something fundamentally political about female sexuality</w:t>
      </w:r>
      <w:r w:rsidR="002D55D8">
        <w:rPr>
          <w:rFonts w:ascii="Garamond" w:hAnsi="Garamond"/>
          <w:sz w:val="24"/>
          <w:szCs w:val="24"/>
        </w:rPr>
        <w:t>;</w:t>
      </w:r>
      <w:r w:rsidR="00492558">
        <w:rPr>
          <w:rFonts w:ascii="Garamond" w:hAnsi="Garamond"/>
          <w:sz w:val="24"/>
          <w:szCs w:val="24"/>
        </w:rPr>
        <w:t xml:space="preserve"> th</w:t>
      </w:r>
      <w:r w:rsidR="002D55D8">
        <w:rPr>
          <w:rFonts w:ascii="Garamond" w:hAnsi="Garamond"/>
          <w:sz w:val="24"/>
          <w:szCs w:val="24"/>
        </w:rPr>
        <w:t>e political parameters cannot be separated from female sexuality</w:t>
      </w:r>
      <w:r w:rsidR="006F3120">
        <w:rPr>
          <w:rFonts w:ascii="Garamond" w:hAnsi="Garamond"/>
          <w:sz w:val="24"/>
          <w:szCs w:val="24"/>
        </w:rPr>
        <w:t>. As Srinivasan states:</w:t>
      </w:r>
    </w:p>
    <w:p w14:paraId="3C67AB63" w14:textId="7026C150" w:rsidR="00FA0672" w:rsidRDefault="00FA0672" w:rsidP="00237BE5">
      <w:pPr>
        <w:spacing w:line="360" w:lineRule="auto"/>
        <w:jc w:val="both"/>
        <w:rPr>
          <w:rFonts w:ascii="Garamond" w:hAnsi="Garamond"/>
          <w:sz w:val="24"/>
          <w:szCs w:val="24"/>
        </w:rPr>
      </w:pPr>
    </w:p>
    <w:p w14:paraId="19D31DCA" w14:textId="1858EEC6" w:rsidR="00FA0672" w:rsidRPr="00FA0672" w:rsidRDefault="00FA0672" w:rsidP="00FA0672">
      <w:pPr>
        <w:pStyle w:val="ListParagraph"/>
        <w:numPr>
          <w:ilvl w:val="0"/>
          <w:numId w:val="1"/>
        </w:numPr>
        <w:spacing w:line="360" w:lineRule="auto"/>
        <w:jc w:val="both"/>
        <w:rPr>
          <w:rFonts w:ascii="Garamond" w:hAnsi="Garamond"/>
          <w:sz w:val="24"/>
          <w:szCs w:val="24"/>
        </w:rPr>
      </w:pPr>
      <w:r>
        <w:rPr>
          <w:rFonts w:ascii="Garamond" w:hAnsi="Garamond"/>
          <w:sz w:val="24"/>
          <w:szCs w:val="24"/>
        </w:rPr>
        <w:lastRenderedPageBreak/>
        <w:t>F</w:t>
      </w:r>
      <w:r w:rsidRPr="00FA0672">
        <w:rPr>
          <w:rFonts w:ascii="Garamond" w:hAnsi="Garamond"/>
          <w:sz w:val="24"/>
          <w:szCs w:val="24"/>
        </w:rPr>
        <w:t>eminism begins with a woman’s recognition that she is a member of a sex class: that is, a member of a class of people assigned to an inferior social status on the basis of something called ‘sex’ – a thing that is said to be natural, pre-political, an objective material ground on which the world of human culture is built</w:t>
      </w:r>
      <w:r>
        <w:rPr>
          <w:rFonts w:ascii="Garamond" w:hAnsi="Garamond"/>
          <w:sz w:val="24"/>
          <w:szCs w:val="24"/>
        </w:rPr>
        <w:t>.</w:t>
      </w:r>
      <w:r w:rsidR="002D55D8">
        <w:rPr>
          <w:rStyle w:val="FootnoteReference"/>
          <w:rFonts w:ascii="Garamond" w:hAnsi="Garamond"/>
          <w:sz w:val="24"/>
          <w:szCs w:val="24"/>
        </w:rPr>
        <w:footnoteReference w:id="22"/>
      </w:r>
    </w:p>
    <w:p w14:paraId="5E5F7E79" w14:textId="77777777" w:rsidR="00237BE5" w:rsidRDefault="00237BE5" w:rsidP="00237BE5">
      <w:pPr>
        <w:spacing w:line="360" w:lineRule="auto"/>
        <w:jc w:val="both"/>
        <w:rPr>
          <w:rFonts w:ascii="Garamond" w:hAnsi="Garamond"/>
          <w:sz w:val="24"/>
          <w:szCs w:val="24"/>
        </w:rPr>
      </w:pPr>
    </w:p>
    <w:p w14:paraId="5A5EDAB4" w14:textId="2668EA20" w:rsidR="00237BE5" w:rsidRPr="00237BE5" w:rsidRDefault="00237BE5" w:rsidP="00237BE5">
      <w:pPr>
        <w:spacing w:line="360" w:lineRule="auto"/>
        <w:jc w:val="both"/>
        <w:rPr>
          <w:rFonts w:ascii="Garamond" w:hAnsi="Garamond"/>
          <w:sz w:val="24"/>
          <w:szCs w:val="24"/>
        </w:rPr>
      </w:pPr>
      <w:r w:rsidRPr="00237BE5">
        <w:rPr>
          <w:rFonts w:ascii="Garamond" w:hAnsi="Garamond"/>
          <w:sz w:val="24"/>
          <w:szCs w:val="24"/>
        </w:rPr>
        <w:t>Srinivasan identifies several types of feminism throughout the second half of the 20</w:t>
      </w:r>
      <w:r w:rsidRPr="00237BE5">
        <w:rPr>
          <w:rFonts w:ascii="Garamond" w:hAnsi="Garamond"/>
          <w:sz w:val="24"/>
          <w:szCs w:val="24"/>
          <w:vertAlign w:val="superscript"/>
        </w:rPr>
        <w:t>th</w:t>
      </w:r>
      <w:r w:rsidRPr="00237BE5">
        <w:rPr>
          <w:rFonts w:ascii="Garamond" w:hAnsi="Garamond"/>
          <w:sz w:val="24"/>
          <w:szCs w:val="24"/>
        </w:rPr>
        <w:t xml:space="preserve"> century. Even within the “progressive” landscape of politically liberal orientation, there has been an ideological disagreement regarding female autonomy and status in the western world.</w:t>
      </w:r>
      <w:r w:rsidR="00FA7314">
        <w:rPr>
          <w:rStyle w:val="FootnoteReference"/>
          <w:rFonts w:ascii="Garamond" w:hAnsi="Garamond"/>
          <w:sz w:val="24"/>
          <w:szCs w:val="24"/>
        </w:rPr>
        <w:footnoteReference w:id="23"/>
      </w:r>
      <w:r w:rsidRPr="00237BE5">
        <w:rPr>
          <w:rFonts w:ascii="Garamond" w:hAnsi="Garamond"/>
          <w:sz w:val="24"/>
          <w:szCs w:val="24"/>
        </w:rPr>
        <w:t xml:space="preserve"> These difference</w:t>
      </w:r>
      <w:r w:rsidR="00FA7314">
        <w:rPr>
          <w:rFonts w:ascii="Garamond" w:hAnsi="Garamond"/>
          <w:sz w:val="24"/>
          <w:szCs w:val="24"/>
        </w:rPr>
        <w:t>s</w:t>
      </w:r>
      <w:r w:rsidRPr="00237BE5">
        <w:rPr>
          <w:rFonts w:ascii="Garamond" w:hAnsi="Garamond"/>
          <w:sz w:val="24"/>
          <w:szCs w:val="24"/>
        </w:rPr>
        <w:t xml:space="preserve"> of feminist opinion have conceived the notion of sex differently, with some advocating for a complete </w:t>
      </w:r>
      <w:r w:rsidR="00FA7314" w:rsidRPr="00237BE5">
        <w:rPr>
          <w:rFonts w:ascii="Garamond" w:hAnsi="Garamond"/>
          <w:sz w:val="24"/>
          <w:szCs w:val="24"/>
        </w:rPr>
        <w:t>abstinence</w:t>
      </w:r>
      <w:r w:rsidRPr="00237BE5">
        <w:rPr>
          <w:rFonts w:ascii="Garamond" w:hAnsi="Garamond"/>
          <w:sz w:val="24"/>
          <w:szCs w:val="24"/>
        </w:rPr>
        <w:t xml:space="preserve"> from it altogether</w:t>
      </w:r>
      <w:r w:rsidR="00FA7314">
        <w:rPr>
          <w:rFonts w:ascii="Garamond" w:hAnsi="Garamond"/>
          <w:sz w:val="24"/>
          <w:szCs w:val="24"/>
        </w:rPr>
        <w:t>, for instance</w:t>
      </w:r>
      <w:r w:rsidRPr="00237BE5">
        <w:rPr>
          <w:rFonts w:ascii="Garamond" w:hAnsi="Garamond"/>
          <w:sz w:val="24"/>
          <w:szCs w:val="24"/>
        </w:rPr>
        <w:t>.</w:t>
      </w:r>
      <w:r w:rsidR="00FA7314">
        <w:rPr>
          <w:rStyle w:val="FootnoteReference"/>
          <w:rFonts w:ascii="Garamond" w:hAnsi="Garamond"/>
          <w:sz w:val="24"/>
          <w:szCs w:val="24"/>
        </w:rPr>
        <w:footnoteReference w:id="24"/>
      </w:r>
      <w:r w:rsidRPr="00237BE5">
        <w:rPr>
          <w:rFonts w:ascii="Garamond" w:hAnsi="Garamond"/>
          <w:sz w:val="24"/>
          <w:szCs w:val="24"/>
        </w:rPr>
        <w:t xml:space="preserve"> </w:t>
      </w:r>
      <w:r w:rsidR="0093480B">
        <w:rPr>
          <w:rFonts w:ascii="Garamond" w:hAnsi="Garamond"/>
          <w:sz w:val="24"/>
          <w:szCs w:val="24"/>
        </w:rPr>
        <w:t>The point to be made here is that even within the feminist project, the political parameters differ and the solutions for women vary. Yet, the common core is the notion that sexual desire, for women in this case, is fundamentally political.</w:t>
      </w:r>
      <w:r w:rsidR="0093480B">
        <w:rPr>
          <w:rStyle w:val="FootnoteReference"/>
          <w:rFonts w:ascii="Garamond" w:hAnsi="Garamond"/>
          <w:sz w:val="24"/>
          <w:szCs w:val="24"/>
        </w:rPr>
        <w:footnoteReference w:id="25"/>
      </w:r>
      <w:r w:rsidRPr="00237BE5">
        <w:rPr>
          <w:rFonts w:ascii="Garamond" w:hAnsi="Garamond"/>
          <w:sz w:val="24"/>
          <w:szCs w:val="24"/>
        </w:rPr>
        <w:t xml:space="preserve"> </w:t>
      </w:r>
    </w:p>
    <w:p w14:paraId="3514136A" w14:textId="47D13C9C" w:rsidR="007548EE" w:rsidRDefault="007548EE" w:rsidP="003D4199">
      <w:pPr>
        <w:spacing w:line="360" w:lineRule="auto"/>
        <w:jc w:val="both"/>
        <w:rPr>
          <w:rFonts w:ascii="Garamond" w:hAnsi="Garamond"/>
          <w:sz w:val="24"/>
          <w:szCs w:val="24"/>
        </w:rPr>
      </w:pPr>
    </w:p>
    <w:p w14:paraId="70D5C5C0" w14:textId="534AA2A2" w:rsidR="00281C24" w:rsidRDefault="00F978C1" w:rsidP="003D4199">
      <w:pPr>
        <w:spacing w:line="360" w:lineRule="auto"/>
        <w:jc w:val="both"/>
        <w:rPr>
          <w:rFonts w:ascii="Garamond" w:hAnsi="Garamond"/>
          <w:sz w:val="24"/>
          <w:szCs w:val="24"/>
        </w:rPr>
      </w:pPr>
      <w:r>
        <w:rPr>
          <w:rFonts w:ascii="Garamond" w:hAnsi="Garamond"/>
          <w:sz w:val="24"/>
          <w:szCs w:val="24"/>
        </w:rPr>
        <w:t xml:space="preserve">However, unlike Perry who chooses to focus </w:t>
      </w:r>
      <w:r w:rsidR="00BE7F39">
        <w:rPr>
          <w:rFonts w:ascii="Garamond" w:hAnsi="Garamond"/>
          <w:sz w:val="24"/>
          <w:szCs w:val="24"/>
        </w:rPr>
        <w:t>mainly on the sexual parameters of women, Srinivasan dedicates a discussion in The Right To Sex on the masculine side of sexual subordination and unfulfilled desire. In talking about the incel ideology, Srinivasan draws an interesting parallel between the sexual problems of woman and of men in contemporary society.</w:t>
      </w:r>
      <w:r w:rsidR="0093480B">
        <w:rPr>
          <w:rStyle w:val="FootnoteReference"/>
          <w:rFonts w:ascii="Garamond" w:hAnsi="Garamond"/>
          <w:sz w:val="24"/>
          <w:szCs w:val="24"/>
        </w:rPr>
        <w:footnoteReference w:id="26"/>
      </w:r>
      <w:r w:rsidR="00BE7F39">
        <w:rPr>
          <w:rFonts w:ascii="Garamond" w:hAnsi="Garamond"/>
          <w:sz w:val="24"/>
          <w:szCs w:val="24"/>
        </w:rPr>
        <w:t xml:space="preserve"> </w:t>
      </w:r>
      <w:r w:rsidR="00DE63C4">
        <w:rPr>
          <w:rFonts w:ascii="Garamond" w:hAnsi="Garamond"/>
          <w:sz w:val="24"/>
          <w:szCs w:val="24"/>
        </w:rPr>
        <w:t>Srinivasan uses the case of Elliot Rodger, a twenty-two year old involuntary celibate (incel) man who murdered six people back in 2014.</w:t>
      </w:r>
      <w:r w:rsidR="0093480B">
        <w:rPr>
          <w:rStyle w:val="FootnoteReference"/>
          <w:rFonts w:ascii="Garamond" w:hAnsi="Garamond"/>
          <w:sz w:val="24"/>
          <w:szCs w:val="24"/>
        </w:rPr>
        <w:footnoteReference w:id="27"/>
      </w:r>
      <w:r w:rsidR="00DE63C4">
        <w:rPr>
          <w:rFonts w:ascii="Garamond" w:hAnsi="Garamond"/>
          <w:sz w:val="24"/>
          <w:szCs w:val="24"/>
        </w:rPr>
        <w:t xml:space="preserve"> </w:t>
      </w:r>
      <w:r w:rsidR="007361D1">
        <w:rPr>
          <w:rFonts w:ascii="Garamond" w:hAnsi="Garamond"/>
          <w:sz w:val="24"/>
          <w:szCs w:val="24"/>
        </w:rPr>
        <w:t xml:space="preserve">Rodger explained in his </w:t>
      </w:r>
      <w:r w:rsidR="007361D1" w:rsidRPr="007361D1">
        <w:rPr>
          <w:rFonts w:ascii="Garamond" w:hAnsi="Garamond"/>
          <w:sz w:val="24"/>
          <w:szCs w:val="24"/>
        </w:rPr>
        <w:t xml:space="preserve">memoir-manifesto, </w:t>
      </w:r>
      <w:r w:rsidR="001428E4">
        <w:rPr>
          <w:rFonts w:ascii="Garamond" w:hAnsi="Garamond"/>
          <w:sz w:val="24"/>
          <w:szCs w:val="24"/>
        </w:rPr>
        <w:t>“</w:t>
      </w:r>
      <w:r w:rsidR="007361D1" w:rsidRPr="007361D1">
        <w:rPr>
          <w:rFonts w:ascii="Garamond" w:hAnsi="Garamond"/>
          <w:sz w:val="24"/>
          <w:szCs w:val="24"/>
        </w:rPr>
        <w:t>My Twisted Worl</w:t>
      </w:r>
      <w:r w:rsidR="007361D1">
        <w:rPr>
          <w:rFonts w:ascii="Garamond" w:hAnsi="Garamond"/>
          <w:sz w:val="24"/>
          <w:szCs w:val="24"/>
        </w:rPr>
        <w:t>d”, how he was “</w:t>
      </w:r>
      <w:r w:rsidR="007361D1" w:rsidRPr="007361D1">
        <w:rPr>
          <w:rFonts w:ascii="Garamond" w:hAnsi="Garamond"/>
          <w:sz w:val="24"/>
          <w:szCs w:val="24"/>
        </w:rPr>
        <w:t>cast out and rejected, forced to endure an existence of loneliness and insignificance,</w:t>
      </w:r>
      <w:r w:rsidR="001428E4">
        <w:rPr>
          <w:rFonts w:ascii="Garamond" w:hAnsi="Garamond"/>
          <w:sz w:val="24"/>
          <w:szCs w:val="24"/>
        </w:rPr>
        <w:t>”</w:t>
      </w:r>
      <w:r w:rsidR="007361D1" w:rsidRPr="007361D1">
        <w:rPr>
          <w:rFonts w:ascii="Garamond" w:hAnsi="Garamond"/>
          <w:sz w:val="24"/>
          <w:szCs w:val="24"/>
        </w:rPr>
        <w:t xml:space="preserve"> </w:t>
      </w:r>
      <w:r w:rsidR="001428E4">
        <w:rPr>
          <w:rFonts w:ascii="Garamond" w:hAnsi="Garamond"/>
          <w:sz w:val="24"/>
          <w:szCs w:val="24"/>
        </w:rPr>
        <w:t>simply because the women of the world were unable to recognise the value in him.</w:t>
      </w:r>
      <w:r w:rsidR="00DE67C0">
        <w:rPr>
          <w:rStyle w:val="FootnoteReference"/>
          <w:rFonts w:ascii="Garamond" w:hAnsi="Garamond"/>
          <w:sz w:val="24"/>
          <w:szCs w:val="24"/>
        </w:rPr>
        <w:footnoteReference w:id="28"/>
      </w:r>
      <w:r w:rsidR="001428E4">
        <w:rPr>
          <w:rFonts w:ascii="Garamond" w:hAnsi="Garamond"/>
          <w:sz w:val="24"/>
          <w:szCs w:val="24"/>
        </w:rPr>
        <w:t xml:space="preserve"> Srinivasan asks whether Rodger’s low sexual status was a “</w:t>
      </w:r>
      <w:r w:rsidR="00CA595D" w:rsidRPr="00CA595D">
        <w:rPr>
          <w:rFonts w:ascii="Garamond" w:hAnsi="Garamond"/>
          <w:sz w:val="24"/>
          <w:szCs w:val="24"/>
        </w:rPr>
        <w:t>symptom of the internalisation of patriarchal norms of male sexual attractiveness on the part of women?</w:t>
      </w:r>
      <w:r w:rsidR="001428E4">
        <w:rPr>
          <w:rFonts w:ascii="Garamond" w:hAnsi="Garamond"/>
          <w:sz w:val="24"/>
          <w:szCs w:val="24"/>
        </w:rPr>
        <w:t>”</w:t>
      </w:r>
      <w:r w:rsidR="00DE67C0">
        <w:rPr>
          <w:rStyle w:val="FootnoteReference"/>
          <w:rFonts w:ascii="Garamond" w:hAnsi="Garamond"/>
          <w:sz w:val="24"/>
          <w:szCs w:val="24"/>
        </w:rPr>
        <w:footnoteReference w:id="29"/>
      </w:r>
      <w:r w:rsidR="00CA595D" w:rsidRPr="00CA595D">
        <w:rPr>
          <w:rFonts w:ascii="Garamond" w:hAnsi="Garamond"/>
          <w:sz w:val="24"/>
          <w:szCs w:val="24"/>
        </w:rPr>
        <w:t xml:space="preserve"> </w:t>
      </w:r>
      <w:r w:rsidR="00060EC3">
        <w:rPr>
          <w:rFonts w:ascii="Garamond" w:hAnsi="Garamond"/>
          <w:sz w:val="24"/>
          <w:szCs w:val="24"/>
        </w:rPr>
        <w:t xml:space="preserve">The answer to this is a little complicated as there is a distinction to be made between the internal world of the individual and the “real” structural hierarchies of the political and social world. Srinivasan states that a common thread of the incel ideology is to rage against the hierarchy of attractiveness and </w:t>
      </w:r>
      <w:r w:rsidR="00060EC3">
        <w:rPr>
          <w:rFonts w:ascii="Garamond" w:hAnsi="Garamond"/>
          <w:sz w:val="24"/>
          <w:szCs w:val="24"/>
        </w:rPr>
        <w:lastRenderedPageBreak/>
        <w:t>undesirability</w:t>
      </w:r>
      <w:r w:rsidR="00E6747E">
        <w:rPr>
          <w:rFonts w:ascii="Garamond" w:hAnsi="Garamond"/>
          <w:sz w:val="24"/>
          <w:szCs w:val="24"/>
        </w:rPr>
        <w:t>, but this might not determine their lack of a sexual partner completely as there may be other factors at play</w:t>
      </w:r>
      <w:r w:rsidR="00060EC3">
        <w:rPr>
          <w:rFonts w:ascii="Garamond" w:hAnsi="Garamond"/>
          <w:sz w:val="24"/>
          <w:szCs w:val="24"/>
        </w:rPr>
        <w:t>.</w:t>
      </w:r>
      <w:r w:rsidR="00DE67C0">
        <w:rPr>
          <w:rStyle w:val="FootnoteReference"/>
          <w:rFonts w:ascii="Garamond" w:hAnsi="Garamond"/>
          <w:sz w:val="24"/>
          <w:szCs w:val="24"/>
        </w:rPr>
        <w:footnoteReference w:id="30"/>
      </w:r>
      <w:r w:rsidR="00E6747E">
        <w:rPr>
          <w:rFonts w:ascii="Garamond" w:hAnsi="Garamond"/>
          <w:sz w:val="24"/>
          <w:szCs w:val="24"/>
        </w:rPr>
        <w:t xml:space="preserve"> In the case of Rodger, Srinivasan points out that</w:t>
      </w:r>
      <w:r w:rsidR="005A1075">
        <w:rPr>
          <w:rFonts w:ascii="Garamond" w:hAnsi="Garamond"/>
          <w:sz w:val="24"/>
          <w:szCs w:val="24"/>
        </w:rPr>
        <w:t>:</w:t>
      </w:r>
    </w:p>
    <w:p w14:paraId="0D72539B" w14:textId="77777777" w:rsidR="00281C24" w:rsidRDefault="00281C24" w:rsidP="003D4199">
      <w:pPr>
        <w:spacing w:line="360" w:lineRule="auto"/>
        <w:jc w:val="both"/>
        <w:rPr>
          <w:rFonts w:ascii="Garamond" w:hAnsi="Garamond"/>
          <w:sz w:val="24"/>
          <w:szCs w:val="24"/>
        </w:rPr>
      </w:pPr>
    </w:p>
    <w:p w14:paraId="0EBB25B4" w14:textId="7C19D731" w:rsidR="00E6747E" w:rsidRPr="00281C24" w:rsidRDefault="00E6747E" w:rsidP="00281C24">
      <w:pPr>
        <w:pStyle w:val="ListParagraph"/>
        <w:numPr>
          <w:ilvl w:val="0"/>
          <w:numId w:val="1"/>
        </w:numPr>
        <w:spacing w:line="360" w:lineRule="auto"/>
        <w:jc w:val="both"/>
        <w:rPr>
          <w:rFonts w:ascii="Garamond" w:hAnsi="Garamond"/>
          <w:b/>
          <w:bCs/>
          <w:sz w:val="24"/>
          <w:szCs w:val="24"/>
        </w:rPr>
      </w:pPr>
      <w:r w:rsidRPr="00281C24">
        <w:rPr>
          <w:rFonts w:ascii="Garamond" w:hAnsi="Garamond"/>
          <w:sz w:val="24"/>
          <w:szCs w:val="24"/>
        </w:rPr>
        <w:t xml:space="preserve">“it </w:t>
      </w:r>
      <w:r w:rsidR="00CA595D" w:rsidRPr="00281C24">
        <w:rPr>
          <w:rFonts w:ascii="Garamond" w:hAnsi="Garamond"/>
          <w:sz w:val="24"/>
          <w:szCs w:val="24"/>
        </w:rPr>
        <w:t>was at least partly his insistence on his own aesthetic, moral and racial superiority, and whatever it was in him that made him capable of stabbing his housemates and their friend a total of 134 times, not his failure to meet the demands of heteromasculinity, that kept women away</w:t>
      </w:r>
      <w:r w:rsidRPr="00281C24">
        <w:rPr>
          <w:rFonts w:ascii="Garamond" w:hAnsi="Garamond"/>
          <w:sz w:val="24"/>
          <w:szCs w:val="24"/>
        </w:rPr>
        <w:t>”</w:t>
      </w:r>
      <w:r w:rsidR="00CA595D" w:rsidRPr="00281C24">
        <w:rPr>
          <w:rFonts w:ascii="Garamond" w:hAnsi="Garamond"/>
          <w:sz w:val="24"/>
          <w:szCs w:val="24"/>
        </w:rPr>
        <w:t>.</w:t>
      </w:r>
      <w:r w:rsidR="00DE67C0">
        <w:rPr>
          <w:rStyle w:val="FootnoteReference"/>
          <w:rFonts w:ascii="Garamond" w:hAnsi="Garamond"/>
          <w:sz w:val="24"/>
          <w:szCs w:val="24"/>
        </w:rPr>
        <w:footnoteReference w:id="31"/>
      </w:r>
      <w:r w:rsidR="00CA595D" w:rsidRPr="00281C24">
        <w:rPr>
          <w:rFonts w:ascii="Garamond" w:hAnsi="Garamond"/>
          <w:sz w:val="24"/>
          <w:szCs w:val="24"/>
        </w:rPr>
        <w:t xml:space="preserve"> </w:t>
      </w:r>
    </w:p>
    <w:p w14:paraId="500A7CE8" w14:textId="58F03EC0" w:rsidR="00281C24" w:rsidRDefault="00281C24" w:rsidP="00281C24">
      <w:pPr>
        <w:spacing w:line="360" w:lineRule="auto"/>
        <w:jc w:val="both"/>
        <w:rPr>
          <w:rFonts w:ascii="Garamond" w:hAnsi="Garamond"/>
          <w:b/>
          <w:bCs/>
          <w:sz w:val="24"/>
          <w:szCs w:val="24"/>
        </w:rPr>
      </w:pPr>
    </w:p>
    <w:p w14:paraId="1B5E03E6" w14:textId="7668C068" w:rsidR="008219C0" w:rsidRDefault="00B5743F" w:rsidP="00281C24">
      <w:pPr>
        <w:spacing w:line="360" w:lineRule="auto"/>
        <w:jc w:val="both"/>
        <w:rPr>
          <w:rFonts w:ascii="Garamond" w:hAnsi="Garamond"/>
          <w:sz w:val="24"/>
          <w:szCs w:val="24"/>
        </w:rPr>
      </w:pPr>
      <w:r w:rsidRPr="00B5743F">
        <w:rPr>
          <w:rFonts w:ascii="Garamond" w:hAnsi="Garamond"/>
          <w:sz w:val="24"/>
          <w:szCs w:val="24"/>
        </w:rPr>
        <w:t xml:space="preserve">Another point here is that </w:t>
      </w:r>
      <w:r>
        <w:rPr>
          <w:rFonts w:ascii="Garamond" w:hAnsi="Garamond"/>
          <w:sz w:val="24"/>
          <w:szCs w:val="24"/>
        </w:rPr>
        <w:t xml:space="preserve">there are plenty of “non-desirable” men </w:t>
      </w:r>
      <w:r w:rsidR="00BF245F">
        <w:rPr>
          <w:rFonts w:ascii="Garamond" w:hAnsi="Garamond"/>
          <w:sz w:val="24"/>
          <w:szCs w:val="24"/>
        </w:rPr>
        <w:t>that do not resort to homicidal mania when they</w:t>
      </w:r>
      <w:r>
        <w:rPr>
          <w:rFonts w:ascii="Garamond" w:hAnsi="Garamond"/>
          <w:sz w:val="24"/>
          <w:szCs w:val="24"/>
        </w:rPr>
        <w:t xml:space="preserve"> meet similar rejection by women.</w:t>
      </w:r>
      <w:r w:rsidR="00BF245F">
        <w:rPr>
          <w:rFonts w:ascii="Garamond" w:hAnsi="Garamond"/>
          <w:sz w:val="24"/>
          <w:szCs w:val="24"/>
        </w:rPr>
        <w:t xml:space="preserve"> </w:t>
      </w:r>
      <w:r w:rsidR="00135043">
        <w:rPr>
          <w:rFonts w:ascii="Garamond" w:hAnsi="Garamond"/>
          <w:sz w:val="24"/>
          <w:szCs w:val="24"/>
        </w:rPr>
        <w:t>Alternatively, S</w:t>
      </w:r>
      <w:r w:rsidR="00BF245F">
        <w:rPr>
          <w:rFonts w:ascii="Garamond" w:hAnsi="Garamond"/>
          <w:sz w:val="24"/>
          <w:szCs w:val="24"/>
        </w:rPr>
        <w:t>rinivasan observes how the stereotypical nerd or geek may have no trouble in securing a high value woman.</w:t>
      </w:r>
      <w:r w:rsidR="00DE67C0">
        <w:rPr>
          <w:rStyle w:val="FootnoteReference"/>
          <w:rFonts w:ascii="Garamond" w:hAnsi="Garamond"/>
          <w:sz w:val="24"/>
          <w:szCs w:val="24"/>
        </w:rPr>
        <w:footnoteReference w:id="32"/>
      </w:r>
      <w:r w:rsidR="00BF245F">
        <w:rPr>
          <w:rFonts w:ascii="Garamond" w:hAnsi="Garamond"/>
          <w:sz w:val="24"/>
          <w:szCs w:val="24"/>
        </w:rPr>
        <w:t xml:space="preserve"> It may be the case that what makes the incel undesirable is the fact that they seek to attack the hierarchy and the “blonde”, “attractive”, and “spoiled” women that reside at the top, which they ultimately desire. </w:t>
      </w:r>
      <w:r w:rsidR="008D2A81">
        <w:rPr>
          <w:rFonts w:ascii="Garamond" w:hAnsi="Garamond"/>
          <w:sz w:val="24"/>
          <w:szCs w:val="24"/>
        </w:rPr>
        <w:t>In an interview with Owen Jones, Srin</w:t>
      </w:r>
      <w:r w:rsidR="00865475">
        <w:rPr>
          <w:rFonts w:ascii="Garamond" w:hAnsi="Garamond"/>
          <w:sz w:val="24"/>
          <w:szCs w:val="24"/>
        </w:rPr>
        <w:t>ivasan</w:t>
      </w:r>
      <w:r w:rsidR="008D2A81">
        <w:rPr>
          <w:rFonts w:ascii="Garamond" w:hAnsi="Garamond"/>
          <w:sz w:val="24"/>
          <w:szCs w:val="24"/>
        </w:rPr>
        <w:t xml:space="preserve"> explains that incels are typically obsessed with various types of hierarchies, such as the hierarchies of class, sex, and attractiveness (inter).</w:t>
      </w:r>
      <w:r w:rsidR="00DE67C0">
        <w:rPr>
          <w:rStyle w:val="FootnoteReference"/>
          <w:rFonts w:ascii="Garamond" w:hAnsi="Garamond"/>
          <w:sz w:val="24"/>
          <w:szCs w:val="24"/>
        </w:rPr>
        <w:footnoteReference w:id="33"/>
      </w:r>
      <w:r w:rsidR="008D2A81">
        <w:rPr>
          <w:rFonts w:ascii="Garamond" w:hAnsi="Garamond"/>
          <w:sz w:val="24"/>
          <w:szCs w:val="24"/>
        </w:rPr>
        <w:t xml:space="preserve"> However, they are not so generally interested in “dismantling” the hierarchy which they critique (inter).</w:t>
      </w:r>
      <w:r w:rsidR="00DE67C0">
        <w:rPr>
          <w:rStyle w:val="FootnoteReference"/>
          <w:rFonts w:ascii="Garamond" w:hAnsi="Garamond"/>
          <w:sz w:val="24"/>
          <w:szCs w:val="24"/>
        </w:rPr>
        <w:footnoteReference w:id="34"/>
      </w:r>
      <w:r w:rsidR="008D2A81">
        <w:rPr>
          <w:rFonts w:ascii="Garamond" w:hAnsi="Garamond"/>
          <w:sz w:val="24"/>
          <w:szCs w:val="24"/>
        </w:rPr>
        <w:t xml:space="preserve"> Instead, the danger with some of the incel types is that they tend towards extremism and cause harm to the people that they resent.</w:t>
      </w:r>
      <w:r w:rsidR="00A75361">
        <w:rPr>
          <w:rStyle w:val="FootnoteReference"/>
          <w:rFonts w:ascii="Garamond" w:hAnsi="Garamond"/>
          <w:sz w:val="24"/>
          <w:szCs w:val="24"/>
        </w:rPr>
        <w:footnoteReference w:id="35"/>
      </w:r>
      <w:r w:rsidR="008D2A81">
        <w:rPr>
          <w:rFonts w:ascii="Garamond" w:hAnsi="Garamond"/>
          <w:sz w:val="24"/>
          <w:szCs w:val="24"/>
        </w:rPr>
        <w:t xml:space="preserve"> </w:t>
      </w:r>
    </w:p>
    <w:p w14:paraId="4EAE3E44" w14:textId="0D97993D" w:rsidR="00135043" w:rsidRDefault="00135043" w:rsidP="00281C24">
      <w:pPr>
        <w:spacing w:line="360" w:lineRule="auto"/>
        <w:jc w:val="both"/>
        <w:rPr>
          <w:rFonts w:ascii="Garamond" w:hAnsi="Garamond"/>
          <w:sz w:val="24"/>
          <w:szCs w:val="24"/>
        </w:rPr>
      </w:pPr>
    </w:p>
    <w:p w14:paraId="0BDE672B" w14:textId="479CF019" w:rsidR="00135043" w:rsidRDefault="00135043" w:rsidP="00281C24">
      <w:pPr>
        <w:spacing w:line="360" w:lineRule="auto"/>
        <w:jc w:val="both"/>
        <w:rPr>
          <w:rFonts w:ascii="Garamond" w:hAnsi="Garamond"/>
          <w:sz w:val="24"/>
          <w:szCs w:val="24"/>
        </w:rPr>
      </w:pPr>
      <w:bookmarkStart w:id="4" w:name="_Hlk122119156"/>
      <w:r>
        <w:rPr>
          <w:rFonts w:ascii="Garamond" w:hAnsi="Garamond"/>
          <w:sz w:val="24"/>
          <w:szCs w:val="24"/>
        </w:rPr>
        <w:t xml:space="preserve">Srinivasan </w:t>
      </w:r>
      <w:bookmarkEnd w:id="4"/>
      <w:r>
        <w:rPr>
          <w:rFonts w:ascii="Garamond" w:hAnsi="Garamond"/>
          <w:sz w:val="24"/>
          <w:szCs w:val="24"/>
        </w:rPr>
        <w:t xml:space="preserve">asks us to consider whether </w:t>
      </w:r>
      <w:r w:rsidR="00963139">
        <w:rPr>
          <w:rFonts w:ascii="Garamond" w:hAnsi="Garamond"/>
          <w:sz w:val="24"/>
          <w:szCs w:val="24"/>
        </w:rPr>
        <w:t>or not</w:t>
      </w:r>
      <w:r>
        <w:rPr>
          <w:rFonts w:ascii="Garamond" w:hAnsi="Garamond"/>
          <w:sz w:val="24"/>
          <w:szCs w:val="24"/>
        </w:rPr>
        <w:t xml:space="preserve"> </w:t>
      </w:r>
      <w:r w:rsidR="00963139">
        <w:rPr>
          <w:rFonts w:ascii="Garamond" w:hAnsi="Garamond"/>
          <w:sz w:val="24"/>
          <w:szCs w:val="24"/>
        </w:rPr>
        <w:t>anyone has the right to be desired?</w:t>
      </w:r>
      <w:r w:rsidR="00A75361">
        <w:rPr>
          <w:rStyle w:val="FootnoteReference"/>
          <w:rFonts w:ascii="Garamond" w:hAnsi="Garamond"/>
          <w:sz w:val="24"/>
          <w:szCs w:val="24"/>
        </w:rPr>
        <w:footnoteReference w:id="36"/>
      </w:r>
      <w:r w:rsidR="00963139">
        <w:rPr>
          <w:rFonts w:ascii="Garamond" w:hAnsi="Garamond"/>
          <w:sz w:val="24"/>
          <w:szCs w:val="24"/>
        </w:rPr>
        <w:t xml:space="preserve"> It is certainly the case for involuntary celibate men that sexual desire is an entitlement, an expectation of others that is founded on a political perception. The women that these men desire respond with a lack of desire towards them, but this only exacerbates the sense of hierarchical alienation already present in the internalisation of these men. Essentially, Srinivasan argues that there is a political dimension </w:t>
      </w:r>
      <w:r w:rsidR="00963139">
        <w:rPr>
          <w:rFonts w:ascii="Garamond" w:hAnsi="Garamond"/>
          <w:sz w:val="24"/>
          <w:szCs w:val="24"/>
        </w:rPr>
        <w:lastRenderedPageBreak/>
        <w:t>to sexual desire and sexual relations.</w:t>
      </w:r>
      <w:r w:rsidR="00A75361">
        <w:rPr>
          <w:rStyle w:val="FootnoteReference"/>
          <w:rFonts w:ascii="Garamond" w:hAnsi="Garamond"/>
          <w:sz w:val="24"/>
          <w:szCs w:val="24"/>
        </w:rPr>
        <w:footnoteReference w:id="37"/>
      </w:r>
      <w:r w:rsidR="00963139">
        <w:rPr>
          <w:rFonts w:ascii="Garamond" w:hAnsi="Garamond"/>
          <w:sz w:val="24"/>
          <w:szCs w:val="24"/>
        </w:rPr>
        <w:t xml:space="preserve"> The features of this political dimension manifest in the form of dominance and exclusion. </w:t>
      </w:r>
      <w:r w:rsidR="00A75361">
        <w:rPr>
          <w:rFonts w:ascii="Garamond" w:hAnsi="Garamond"/>
          <w:sz w:val="24"/>
          <w:szCs w:val="24"/>
        </w:rPr>
        <w:t>Srinivasan states:</w:t>
      </w:r>
    </w:p>
    <w:p w14:paraId="1F578A89" w14:textId="3949A901" w:rsidR="008219C0" w:rsidRDefault="008219C0" w:rsidP="008219C0">
      <w:pPr>
        <w:tabs>
          <w:tab w:val="left" w:pos="3600"/>
        </w:tabs>
        <w:spacing w:line="360" w:lineRule="auto"/>
        <w:jc w:val="both"/>
        <w:rPr>
          <w:rFonts w:ascii="Garamond" w:hAnsi="Garamond"/>
          <w:sz w:val="24"/>
          <w:szCs w:val="24"/>
        </w:rPr>
      </w:pPr>
    </w:p>
    <w:p w14:paraId="6C4CA3D3" w14:textId="5FE0EA34" w:rsidR="00E877D5" w:rsidRDefault="00E877D5" w:rsidP="00E877D5">
      <w:pPr>
        <w:pStyle w:val="ListParagraph"/>
        <w:numPr>
          <w:ilvl w:val="0"/>
          <w:numId w:val="1"/>
        </w:numPr>
        <w:spacing w:line="360" w:lineRule="auto"/>
        <w:jc w:val="both"/>
        <w:rPr>
          <w:rFonts w:ascii="Garamond" w:hAnsi="Garamond"/>
          <w:sz w:val="24"/>
          <w:szCs w:val="24"/>
        </w:rPr>
      </w:pPr>
      <w:r w:rsidRPr="00E877D5">
        <w:rPr>
          <w:rFonts w:ascii="Garamond" w:hAnsi="Garamond"/>
          <w:sz w:val="24"/>
          <w:szCs w:val="24"/>
        </w:rPr>
        <w:t>“</w:t>
      </w:r>
      <w:r w:rsidR="008219C0" w:rsidRPr="00E877D5">
        <w:rPr>
          <w:rFonts w:ascii="Garamond" w:hAnsi="Garamond"/>
          <w:sz w:val="24"/>
          <w:szCs w:val="24"/>
        </w:rPr>
        <w:t>It is striking, though unsurprising, that while men tend to respond to sexual marginalisation with a sense of entitlement to women’s bodies, those women who protest against their sexual marginalisation typically do so with talk not of entitlement but empowerment. Or, insofar as they do speak of entitlement, it is entitlement to respect, not to other people’s bodies. That said, the radical self-love movements among black, fat and disabled women do ask us to treat our sexual preferences as less than perfectly fixed. ‘Black is beautiful’ and ‘Big is beautiful’ are not just slogans of empowerment, but proposals for a revaluation of our values</w:t>
      </w:r>
      <w:r w:rsidRPr="00E877D5">
        <w:rPr>
          <w:rFonts w:ascii="Garamond" w:hAnsi="Garamond"/>
          <w:sz w:val="24"/>
          <w:szCs w:val="24"/>
        </w:rPr>
        <w:t>”</w:t>
      </w:r>
      <w:r w:rsidR="008219C0" w:rsidRPr="00E877D5">
        <w:rPr>
          <w:rFonts w:ascii="Garamond" w:hAnsi="Garamond"/>
          <w:sz w:val="24"/>
          <w:szCs w:val="24"/>
        </w:rPr>
        <w:t>.</w:t>
      </w:r>
      <w:r w:rsidR="00A75361">
        <w:rPr>
          <w:rStyle w:val="FootnoteReference"/>
          <w:rFonts w:ascii="Garamond" w:hAnsi="Garamond"/>
          <w:sz w:val="24"/>
          <w:szCs w:val="24"/>
        </w:rPr>
        <w:footnoteReference w:id="38"/>
      </w:r>
      <w:r w:rsidR="008219C0" w:rsidRPr="00E877D5">
        <w:rPr>
          <w:rFonts w:ascii="Garamond" w:hAnsi="Garamond"/>
          <w:sz w:val="24"/>
          <w:szCs w:val="24"/>
        </w:rPr>
        <w:t xml:space="preserve"> </w:t>
      </w:r>
    </w:p>
    <w:p w14:paraId="5099C410" w14:textId="77777777" w:rsidR="00E877D5" w:rsidRDefault="00E877D5" w:rsidP="00E877D5">
      <w:pPr>
        <w:pStyle w:val="ListParagraph"/>
        <w:spacing w:line="360" w:lineRule="auto"/>
        <w:jc w:val="both"/>
        <w:rPr>
          <w:rFonts w:ascii="Garamond" w:hAnsi="Garamond"/>
          <w:sz w:val="24"/>
          <w:szCs w:val="24"/>
        </w:rPr>
      </w:pPr>
    </w:p>
    <w:p w14:paraId="79C06C03" w14:textId="20049177" w:rsidR="00A709F4" w:rsidRDefault="00CB630B" w:rsidP="00D457DF">
      <w:pPr>
        <w:spacing w:line="360" w:lineRule="auto"/>
        <w:jc w:val="both"/>
        <w:rPr>
          <w:rFonts w:ascii="Garamond" w:hAnsi="Garamond"/>
          <w:sz w:val="24"/>
          <w:szCs w:val="24"/>
        </w:rPr>
      </w:pPr>
      <w:r w:rsidRPr="00D457DF">
        <w:rPr>
          <w:rFonts w:ascii="Garamond" w:hAnsi="Garamond"/>
          <w:sz w:val="24"/>
          <w:szCs w:val="24"/>
        </w:rPr>
        <w:t>The revaluation of values is a sentiment often posed by “self-love” and body positivity movements</w:t>
      </w:r>
      <w:r w:rsidR="00A04638">
        <w:rPr>
          <w:rFonts w:ascii="Garamond" w:hAnsi="Garamond"/>
          <w:sz w:val="24"/>
          <w:szCs w:val="24"/>
        </w:rPr>
        <w:t>, but it is also a sentiment present within the feminist project as a whole</w:t>
      </w:r>
      <w:r w:rsidRPr="00D457DF">
        <w:rPr>
          <w:rFonts w:ascii="Garamond" w:hAnsi="Garamond"/>
          <w:sz w:val="24"/>
          <w:szCs w:val="24"/>
        </w:rPr>
        <w:t>.</w:t>
      </w:r>
      <w:r w:rsidR="00A04638">
        <w:rPr>
          <w:rFonts w:ascii="Garamond" w:hAnsi="Garamond"/>
          <w:sz w:val="24"/>
          <w:szCs w:val="24"/>
        </w:rPr>
        <w:t xml:space="preserve"> The running theme appears to be that for women, and also some men, the political dimension of sexual desire</w:t>
      </w:r>
      <w:r w:rsidR="005A35AA" w:rsidRPr="00D457DF">
        <w:rPr>
          <w:rFonts w:ascii="Garamond" w:hAnsi="Garamond"/>
          <w:sz w:val="24"/>
          <w:szCs w:val="24"/>
        </w:rPr>
        <w:t>.</w:t>
      </w:r>
      <w:r w:rsidR="00B1351C">
        <w:rPr>
          <w:rFonts w:ascii="Garamond" w:hAnsi="Garamond"/>
          <w:sz w:val="24"/>
          <w:szCs w:val="24"/>
        </w:rPr>
        <w:t xml:space="preserve"> The essence of Perry’s argument tells us that when the sexuality of women becomes politized, the intuitive biological desires are fought against for the sake of “progress”, for the sake of male orientated freedom. There is something to be said about these natural responses, such as what they signify. If a woman gets jealous when her partner refuses to commit to her and engages in polyamorous activity, then it may be the case that what she really wants from her partner is the very thing that progressive feminists believe perpetuates the problem</w:t>
      </w:r>
      <w:r w:rsidR="00A66E9A">
        <w:rPr>
          <w:rFonts w:ascii="Garamond" w:hAnsi="Garamond"/>
          <w:sz w:val="24"/>
          <w:szCs w:val="24"/>
        </w:rPr>
        <w:t xml:space="preserve">, such as </w:t>
      </w:r>
      <w:r w:rsidR="00B1351C">
        <w:rPr>
          <w:rFonts w:ascii="Garamond" w:hAnsi="Garamond"/>
          <w:sz w:val="24"/>
          <w:szCs w:val="24"/>
        </w:rPr>
        <w:t xml:space="preserve">monogamy, male security, and </w:t>
      </w:r>
      <w:r w:rsidR="00A66E9A">
        <w:rPr>
          <w:rFonts w:ascii="Garamond" w:hAnsi="Garamond"/>
          <w:sz w:val="24"/>
          <w:szCs w:val="24"/>
        </w:rPr>
        <w:t xml:space="preserve">family. These are all things that make sense according to evolutionary biology. </w:t>
      </w:r>
      <w:r w:rsidR="00A709F4">
        <w:rPr>
          <w:rFonts w:ascii="Garamond" w:hAnsi="Garamond"/>
          <w:sz w:val="24"/>
          <w:szCs w:val="24"/>
        </w:rPr>
        <w:t xml:space="preserve">Alternatively, for </w:t>
      </w:r>
      <w:r w:rsidR="00A709F4" w:rsidRPr="00A709F4">
        <w:rPr>
          <w:rFonts w:ascii="Garamond" w:hAnsi="Garamond"/>
          <w:sz w:val="24"/>
          <w:szCs w:val="24"/>
        </w:rPr>
        <w:t>Srinivasan</w:t>
      </w:r>
      <w:r w:rsidR="00A709F4">
        <w:rPr>
          <w:rFonts w:ascii="Garamond" w:hAnsi="Garamond"/>
          <w:sz w:val="24"/>
          <w:szCs w:val="24"/>
        </w:rPr>
        <w:t xml:space="preserve">, sexual desire is inherently political. </w:t>
      </w:r>
      <w:r w:rsidR="0046447D">
        <w:rPr>
          <w:rFonts w:ascii="Garamond" w:hAnsi="Garamond"/>
          <w:sz w:val="24"/>
          <w:szCs w:val="24"/>
        </w:rPr>
        <w:t xml:space="preserve">One could argue that Perry simply reduces the problem to biology, while </w:t>
      </w:r>
      <w:r w:rsidR="0046447D" w:rsidRPr="0046447D">
        <w:rPr>
          <w:rFonts w:ascii="Garamond" w:hAnsi="Garamond"/>
          <w:sz w:val="24"/>
          <w:szCs w:val="24"/>
        </w:rPr>
        <w:t>Srinivasan</w:t>
      </w:r>
      <w:r w:rsidR="0046447D">
        <w:rPr>
          <w:rFonts w:ascii="Garamond" w:hAnsi="Garamond"/>
          <w:sz w:val="24"/>
          <w:szCs w:val="24"/>
        </w:rPr>
        <w:t xml:space="preserve"> reduces it to politics.</w:t>
      </w:r>
    </w:p>
    <w:p w14:paraId="29C6A307" w14:textId="77777777" w:rsidR="00A709F4" w:rsidRDefault="00A709F4" w:rsidP="00D457DF">
      <w:pPr>
        <w:spacing w:line="360" w:lineRule="auto"/>
        <w:jc w:val="both"/>
        <w:rPr>
          <w:rFonts w:ascii="Garamond" w:hAnsi="Garamond"/>
          <w:sz w:val="24"/>
          <w:szCs w:val="24"/>
        </w:rPr>
      </w:pPr>
    </w:p>
    <w:p w14:paraId="6E7AE174" w14:textId="7362D23F" w:rsidR="00CB630B" w:rsidRPr="00D457DF" w:rsidRDefault="00A709F4" w:rsidP="00D457DF">
      <w:pPr>
        <w:spacing w:line="360" w:lineRule="auto"/>
        <w:jc w:val="both"/>
        <w:rPr>
          <w:rFonts w:ascii="Garamond" w:hAnsi="Garamond"/>
          <w:sz w:val="24"/>
          <w:szCs w:val="24"/>
        </w:rPr>
      </w:pPr>
      <w:r>
        <w:rPr>
          <w:rFonts w:ascii="Garamond" w:hAnsi="Garamond"/>
          <w:sz w:val="24"/>
          <w:szCs w:val="24"/>
        </w:rPr>
        <w:t xml:space="preserve">In conclusion </w:t>
      </w:r>
      <w:r w:rsidR="00F0663B">
        <w:rPr>
          <w:rFonts w:ascii="Garamond" w:hAnsi="Garamond"/>
          <w:sz w:val="24"/>
          <w:szCs w:val="24"/>
        </w:rPr>
        <w:t xml:space="preserve">we have assessed the work of Louise Perry and Amia </w:t>
      </w:r>
      <w:r w:rsidR="00F0663B" w:rsidRPr="00F0663B">
        <w:rPr>
          <w:rFonts w:ascii="Garamond" w:hAnsi="Garamond"/>
          <w:sz w:val="24"/>
          <w:szCs w:val="24"/>
        </w:rPr>
        <w:t>Srinivasan</w:t>
      </w:r>
      <w:r w:rsidR="00F0663B">
        <w:rPr>
          <w:rFonts w:ascii="Garamond" w:hAnsi="Garamond"/>
          <w:sz w:val="24"/>
          <w:szCs w:val="24"/>
        </w:rPr>
        <w:t xml:space="preserve">. Specifically, we have looked at what both writers have to say about sexual desire and political freedom. Perry takes a moderate view about the goals and achievements of feminism, stating that although the lives of women have been made better by the spirit of these movements, there also exists a detrimental element to the feminist project. This “detrimental” element is essentially the way in which many </w:t>
      </w:r>
      <w:r w:rsidR="00F0663B">
        <w:rPr>
          <w:rFonts w:ascii="Garamond" w:hAnsi="Garamond"/>
          <w:sz w:val="24"/>
          <w:szCs w:val="24"/>
        </w:rPr>
        <w:lastRenderedPageBreak/>
        <w:t xml:space="preserve">progressive feminists want to push women toward </w:t>
      </w:r>
      <w:r w:rsidR="00515C92">
        <w:rPr>
          <w:rFonts w:ascii="Garamond" w:hAnsi="Garamond"/>
          <w:sz w:val="24"/>
          <w:szCs w:val="24"/>
        </w:rPr>
        <w:t xml:space="preserve">a kind of male orientated, masculine sexuality. However, Perry thinks that the biological factors that are inherent in both genders are ultimately </w:t>
      </w:r>
      <w:r w:rsidR="00DF5BD5">
        <w:rPr>
          <w:rFonts w:ascii="Garamond" w:hAnsi="Garamond"/>
          <w:sz w:val="24"/>
          <w:szCs w:val="24"/>
        </w:rPr>
        <w:t xml:space="preserve">at odds with the politicized ideas of sexuality and freedom that contemporary feminist want for women. </w:t>
      </w:r>
      <w:r w:rsidR="00A13778">
        <w:rPr>
          <w:rFonts w:ascii="Garamond" w:hAnsi="Garamond"/>
          <w:sz w:val="24"/>
          <w:szCs w:val="24"/>
        </w:rPr>
        <w:t xml:space="preserve">On the other hand, Amia </w:t>
      </w:r>
      <w:r w:rsidR="00A13778" w:rsidRPr="00A13778">
        <w:rPr>
          <w:rFonts w:ascii="Garamond" w:hAnsi="Garamond"/>
          <w:sz w:val="24"/>
          <w:szCs w:val="24"/>
        </w:rPr>
        <w:t>Srinivasan</w:t>
      </w:r>
      <w:r w:rsidR="00A13778">
        <w:rPr>
          <w:rFonts w:ascii="Garamond" w:hAnsi="Garamond"/>
          <w:sz w:val="24"/>
          <w:szCs w:val="24"/>
        </w:rPr>
        <w:t xml:space="preserve"> supports a politized view of sex and argues for a progression in general. </w:t>
      </w:r>
      <w:r w:rsidR="0046447D">
        <w:rPr>
          <w:rFonts w:ascii="Garamond" w:hAnsi="Garamond"/>
          <w:sz w:val="24"/>
          <w:szCs w:val="24"/>
        </w:rPr>
        <w:t xml:space="preserve">We saw how her essay on involuntary celibate men widened the issue of sexual desire and freedom. In the case of the incels, there does seem to be a political dimension that cannot be separated from the internal experience of the man in question. One may make the point that the reason for this political element is purely down to the fact that the incel community, for the most part, perceive their struggle through an ideological lens. Ultimately, both authors offer a compelling view of sexual desire and freedom. </w:t>
      </w:r>
    </w:p>
    <w:p w14:paraId="4C898D40" w14:textId="2DF43CE5" w:rsidR="00CB630B" w:rsidRDefault="00CB630B" w:rsidP="00E877D5">
      <w:pPr>
        <w:pStyle w:val="ListParagraph"/>
        <w:spacing w:line="360" w:lineRule="auto"/>
        <w:jc w:val="both"/>
        <w:rPr>
          <w:rFonts w:ascii="Garamond" w:hAnsi="Garamond"/>
          <w:sz w:val="24"/>
          <w:szCs w:val="24"/>
        </w:rPr>
      </w:pPr>
    </w:p>
    <w:p w14:paraId="0DD0EDBE" w14:textId="233D4F9E" w:rsidR="004F5DBC" w:rsidRDefault="004F5DBC" w:rsidP="00E877D5">
      <w:pPr>
        <w:pStyle w:val="ListParagraph"/>
        <w:spacing w:line="360" w:lineRule="auto"/>
        <w:jc w:val="both"/>
        <w:rPr>
          <w:rFonts w:ascii="Garamond" w:hAnsi="Garamond"/>
          <w:sz w:val="24"/>
          <w:szCs w:val="24"/>
        </w:rPr>
      </w:pPr>
    </w:p>
    <w:p w14:paraId="02241FB8" w14:textId="3EE1759D" w:rsidR="004F5DBC" w:rsidRDefault="004F5DBC" w:rsidP="00E877D5">
      <w:pPr>
        <w:pStyle w:val="ListParagraph"/>
        <w:spacing w:line="360" w:lineRule="auto"/>
        <w:jc w:val="both"/>
        <w:rPr>
          <w:rFonts w:ascii="Garamond" w:hAnsi="Garamond"/>
          <w:sz w:val="24"/>
          <w:szCs w:val="24"/>
        </w:rPr>
      </w:pPr>
    </w:p>
    <w:p w14:paraId="5820E6FD" w14:textId="014A6516" w:rsidR="004F5DBC" w:rsidRDefault="004F5DBC" w:rsidP="004F5DBC">
      <w:pPr>
        <w:spacing w:line="360" w:lineRule="auto"/>
        <w:jc w:val="both"/>
        <w:rPr>
          <w:rFonts w:ascii="Garamond" w:hAnsi="Garamond"/>
          <w:sz w:val="24"/>
          <w:szCs w:val="24"/>
        </w:rPr>
      </w:pPr>
    </w:p>
    <w:p w14:paraId="65769761" w14:textId="77777777" w:rsidR="005A6363" w:rsidRDefault="005A6363" w:rsidP="004F5DBC">
      <w:pPr>
        <w:spacing w:line="360" w:lineRule="auto"/>
        <w:jc w:val="both"/>
        <w:rPr>
          <w:rFonts w:ascii="Garamond" w:hAnsi="Garamond"/>
          <w:b/>
          <w:bCs/>
          <w:sz w:val="24"/>
          <w:szCs w:val="24"/>
        </w:rPr>
      </w:pPr>
    </w:p>
    <w:p w14:paraId="699F0525" w14:textId="77777777" w:rsidR="005A6363" w:rsidRDefault="005A6363" w:rsidP="004F5DBC">
      <w:pPr>
        <w:spacing w:line="360" w:lineRule="auto"/>
        <w:jc w:val="both"/>
        <w:rPr>
          <w:rFonts w:ascii="Garamond" w:hAnsi="Garamond"/>
          <w:b/>
          <w:bCs/>
          <w:sz w:val="24"/>
          <w:szCs w:val="24"/>
        </w:rPr>
      </w:pPr>
    </w:p>
    <w:p w14:paraId="3EF0B00E" w14:textId="77777777" w:rsidR="005A6363" w:rsidRDefault="005A6363" w:rsidP="004F5DBC">
      <w:pPr>
        <w:spacing w:line="360" w:lineRule="auto"/>
        <w:jc w:val="both"/>
        <w:rPr>
          <w:rFonts w:ascii="Garamond" w:hAnsi="Garamond"/>
          <w:b/>
          <w:bCs/>
          <w:sz w:val="24"/>
          <w:szCs w:val="24"/>
        </w:rPr>
      </w:pPr>
    </w:p>
    <w:p w14:paraId="1620BC81" w14:textId="77777777" w:rsidR="005A6363" w:rsidRDefault="005A6363" w:rsidP="004F5DBC">
      <w:pPr>
        <w:spacing w:line="360" w:lineRule="auto"/>
        <w:jc w:val="both"/>
        <w:rPr>
          <w:rFonts w:ascii="Garamond" w:hAnsi="Garamond"/>
          <w:b/>
          <w:bCs/>
          <w:sz w:val="24"/>
          <w:szCs w:val="24"/>
        </w:rPr>
      </w:pPr>
    </w:p>
    <w:p w14:paraId="05528072" w14:textId="77777777" w:rsidR="005A6363" w:rsidRDefault="005A6363" w:rsidP="004F5DBC">
      <w:pPr>
        <w:spacing w:line="360" w:lineRule="auto"/>
        <w:jc w:val="both"/>
        <w:rPr>
          <w:rFonts w:ascii="Garamond" w:hAnsi="Garamond"/>
          <w:b/>
          <w:bCs/>
          <w:sz w:val="24"/>
          <w:szCs w:val="24"/>
        </w:rPr>
      </w:pPr>
    </w:p>
    <w:p w14:paraId="76B512F8" w14:textId="77777777" w:rsidR="005A6363" w:rsidRDefault="005A6363" w:rsidP="004F5DBC">
      <w:pPr>
        <w:spacing w:line="360" w:lineRule="auto"/>
        <w:jc w:val="both"/>
        <w:rPr>
          <w:rFonts w:ascii="Garamond" w:hAnsi="Garamond"/>
          <w:b/>
          <w:bCs/>
          <w:sz w:val="24"/>
          <w:szCs w:val="24"/>
        </w:rPr>
      </w:pPr>
    </w:p>
    <w:p w14:paraId="3CF490F3" w14:textId="77777777" w:rsidR="005A6363" w:rsidRDefault="005A6363" w:rsidP="004F5DBC">
      <w:pPr>
        <w:spacing w:line="360" w:lineRule="auto"/>
        <w:jc w:val="both"/>
        <w:rPr>
          <w:rFonts w:ascii="Garamond" w:hAnsi="Garamond"/>
          <w:b/>
          <w:bCs/>
          <w:sz w:val="24"/>
          <w:szCs w:val="24"/>
        </w:rPr>
      </w:pPr>
    </w:p>
    <w:p w14:paraId="245BCBFB" w14:textId="77777777" w:rsidR="005A6363" w:rsidRDefault="005A6363" w:rsidP="004F5DBC">
      <w:pPr>
        <w:spacing w:line="360" w:lineRule="auto"/>
        <w:jc w:val="both"/>
        <w:rPr>
          <w:rFonts w:ascii="Garamond" w:hAnsi="Garamond"/>
          <w:b/>
          <w:bCs/>
          <w:sz w:val="24"/>
          <w:szCs w:val="24"/>
        </w:rPr>
      </w:pPr>
    </w:p>
    <w:p w14:paraId="3CB9DB7C" w14:textId="77777777" w:rsidR="005A6363" w:rsidRDefault="005A6363" w:rsidP="004F5DBC">
      <w:pPr>
        <w:spacing w:line="360" w:lineRule="auto"/>
        <w:jc w:val="both"/>
        <w:rPr>
          <w:rFonts w:ascii="Garamond" w:hAnsi="Garamond"/>
          <w:b/>
          <w:bCs/>
          <w:sz w:val="24"/>
          <w:szCs w:val="24"/>
        </w:rPr>
      </w:pPr>
    </w:p>
    <w:p w14:paraId="6AF9AE95" w14:textId="77777777" w:rsidR="005A6363" w:rsidRDefault="005A6363" w:rsidP="004F5DBC">
      <w:pPr>
        <w:spacing w:line="360" w:lineRule="auto"/>
        <w:jc w:val="both"/>
        <w:rPr>
          <w:rFonts w:ascii="Garamond" w:hAnsi="Garamond"/>
          <w:b/>
          <w:bCs/>
          <w:sz w:val="24"/>
          <w:szCs w:val="24"/>
        </w:rPr>
      </w:pPr>
    </w:p>
    <w:p w14:paraId="5685A310" w14:textId="77777777" w:rsidR="005A6363" w:rsidRDefault="005A6363" w:rsidP="004F5DBC">
      <w:pPr>
        <w:spacing w:line="360" w:lineRule="auto"/>
        <w:jc w:val="both"/>
        <w:rPr>
          <w:rFonts w:ascii="Garamond" w:hAnsi="Garamond"/>
          <w:b/>
          <w:bCs/>
          <w:sz w:val="24"/>
          <w:szCs w:val="24"/>
        </w:rPr>
      </w:pPr>
    </w:p>
    <w:p w14:paraId="68AC9212" w14:textId="77777777" w:rsidR="005A6363" w:rsidRDefault="005A6363" w:rsidP="004F5DBC">
      <w:pPr>
        <w:spacing w:line="360" w:lineRule="auto"/>
        <w:jc w:val="both"/>
        <w:rPr>
          <w:rFonts w:ascii="Garamond" w:hAnsi="Garamond"/>
          <w:b/>
          <w:bCs/>
          <w:sz w:val="24"/>
          <w:szCs w:val="24"/>
        </w:rPr>
      </w:pPr>
    </w:p>
    <w:p w14:paraId="465E5B8E" w14:textId="77777777" w:rsidR="005A6363" w:rsidRDefault="005A6363" w:rsidP="004F5DBC">
      <w:pPr>
        <w:spacing w:line="360" w:lineRule="auto"/>
        <w:jc w:val="both"/>
        <w:rPr>
          <w:rFonts w:ascii="Garamond" w:hAnsi="Garamond"/>
          <w:b/>
          <w:bCs/>
          <w:sz w:val="24"/>
          <w:szCs w:val="24"/>
        </w:rPr>
      </w:pPr>
    </w:p>
    <w:p w14:paraId="53661186" w14:textId="77777777" w:rsidR="005A6363" w:rsidRDefault="005A6363" w:rsidP="004F5DBC">
      <w:pPr>
        <w:spacing w:line="360" w:lineRule="auto"/>
        <w:jc w:val="both"/>
        <w:rPr>
          <w:rFonts w:ascii="Garamond" w:hAnsi="Garamond"/>
          <w:b/>
          <w:bCs/>
          <w:sz w:val="24"/>
          <w:szCs w:val="24"/>
        </w:rPr>
      </w:pPr>
    </w:p>
    <w:p w14:paraId="5CEDBC91" w14:textId="77777777" w:rsidR="005A6363" w:rsidRDefault="005A6363" w:rsidP="004F5DBC">
      <w:pPr>
        <w:spacing w:line="360" w:lineRule="auto"/>
        <w:jc w:val="both"/>
        <w:rPr>
          <w:rFonts w:ascii="Garamond" w:hAnsi="Garamond"/>
          <w:b/>
          <w:bCs/>
          <w:sz w:val="24"/>
          <w:szCs w:val="24"/>
        </w:rPr>
      </w:pPr>
    </w:p>
    <w:p w14:paraId="7DD98D63" w14:textId="77777777" w:rsidR="005A6363" w:rsidRDefault="005A6363" w:rsidP="004F5DBC">
      <w:pPr>
        <w:spacing w:line="360" w:lineRule="auto"/>
        <w:jc w:val="both"/>
        <w:rPr>
          <w:rFonts w:ascii="Garamond" w:hAnsi="Garamond"/>
          <w:b/>
          <w:bCs/>
          <w:sz w:val="24"/>
          <w:szCs w:val="24"/>
        </w:rPr>
      </w:pPr>
    </w:p>
    <w:p w14:paraId="1E14A30F" w14:textId="560AF804" w:rsidR="004F5DBC" w:rsidRDefault="004F5DBC" w:rsidP="004F5DBC">
      <w:pPr>
        <w:spacing w:line="360" w:lineRule="auto"/>
        <w:jc w:val="both"/>
        <w:rPr>
          <w:rFonts w:ascii="Garamond" w:hAnsi="Garamond"/>
          <w:b/>
          <w:bCs/>
          <w:sz w:val="24"/>
          <w:szCs w:val="24"/>
        </w:rPr>
      </w:pPr>
      <w:r>
        <w:rPr>
          <w:rFonts w:ascii="Garamond" w:hAnsi="Garamond"/>
          <w:b/>
          <w:bCs/>
          <w:sz w:val="24"/>
          <w:szCs w:val="24"/>
        </w:rPr>
        <w:t xml:space="preserve">References </w:t>
      </w:r>
    </w:p>
    <w:p w14:paraId="30186BC5" w14:textId="0B24FE89" w:rsidR="004F5DBC" w:rsidRDefault="004F5DBC" w:rsidP="004F5DBC">
      <w:pPr>
        <w:spacing w:line="360" w:lineRule="auto"/>
        <w:jc w:val="both"/>
        <w:rPr>
          <w:rFonts w:ascii="Garamond" w:hAnsi="Garamond"/>
          <w:b/>
          <w:bCs/>
          <w:sz w:val="24"/>
          <w:szCs w:val="24"/>
        </w:rPr>
      </w:pPr>
    </w:p>
    <w:p w14:paraId="25458E82" w14:textId="21ED23E5" w:rsidR="00053578" w:rsidRPr="00FD1D89" w:rsidRDefault="00053578" w:rsidP="004F5DBC">
      <w:pPr>
        <w:spacing w:line="360" w:lineRule="auto"/>
        <w:jc w:val="both"/>
        <w:rPr>
          <w:rFonts w:ascii="Garamond" w:hAnsi="Garamond"/>
          <w:sz w:val="24"/>
          <w:szCs w:val="24"/>
        </w:rPr>
      </w:pPr>
      <w:bookmarkStart w:id="5" w:name="_Hlk122126249"/>
      <w:r w:rsidRPr="00053578">
        <w:rPr>
          <w:rFonts w:ascii="Garamond" w:hAnsi="Garamond"/>
          <w:sz w:val="24"/>
          <w:szCs w:val="24"/>
        </w:rPr>
        <w:t xml:space="preserve">Jones, Owen. 2021. </w:t>
      </w:r>
      <w:r w:rsidRPr="00053578">
        <w:rPr>
          <w:rFonts w:ascii="Garamond" w:hAnsi="Garamond"/>
          <w:i/>
          <w:iCs/>
          <w:sz w:val="24"/>
          <w:szCs w:val="24"/>
        </w:rPr>
        <w:t>The right to sex, Me Too, incels and pornography with Amia Srinivasan</w:t>
      </w:r>
      <w:r>
        <w:rPr>
          <w:rFonts w:ascii="Garamond" w:hAnsi="Garamond"/>
          <w:sz w:val="24"/>
          <w:szCs w:val="24"/>
        </w:rPr>
        <w:t xml:space="preserve">. </w:t>
      </w:r>
      <w:r w:rsidR="00FD1D89">
        <w:rPr>
          <w:rFonts w:ascii="Garamond" w:hAnsi="Garamond"/>
          <w:sz w:val="24"/>
          <w:szCs w:val="24"/>
        </w:rPr>
        <w:t xml:space="preserve">YouTube. </w:t>
      </w:r>
      <w:hyperlink r:id="rId8" w:history="1">
        <w:r w:rsidR="00FD1D89" w:rsidRPr="003B5DEA">
          <w:rPr>
            <w:rStyle w:val="Hyperlink"/>
            <w:rFonts w:ascii="Garamond" w:hAnsi="Garamond"/>
            <w:sz w:val="24"/>
            <w:szCs w:val="24"/>
          </w:rPr>
          <w:t>https://www.youtube.com/watch?v=YGphqrBCaLE</w:t>
        </w:r>
      </w:hyperlink>
      <w:r w:rsidR="00FD1D89">
        <w:rPr>
          <w:rFonts w:ascii="Garamond" w:hAnsi="Garamond"/>
          <w:sz w:val="24"/>
          <w:szCs w:val="24"/>
        </w:rPr>
        <w:t xml:space="preserve">. </w:t>
      </w:r>
    </w:p>
    <w:bookmarkEnd w:id="5"/>
    <w:p w14:paraId="5182C0FC" w14:textId="77777777" w:rsidR="00053578" w:rsidRDefault="00053578" w:rsidP="004F5DBC">
      <w:pPr>
        <w:spacing w:line="360" w:lineRule="auto"/>
        <w:jc w:val="both"/>
        <w:rPr>
          <w:rFonts w:ascii="Garamond" w:hAnsi="Garamond"/>
          <w:b/>
          <w:bCs/>
          <w:sz w:val="24"/>
          <w:szCs w:val="24"/>
        </w:rPr>
      </w:pPr>
    </w:p>
    <w:p w14:paraId="2C83E1FB" w14:textId="233A13F4" w:rsidR="007A6290" w:rsidRDefault="007A6290" w:rsidP="004F5DBC">
      <w:pPr>
        <w:spacing w:line="360" w:lineRule="auto"/>
        <w:jc w:val="both"/>
        <w:rPr>
          <w:rFonts w:ascii="Garamond" w:hAnsi="Garamond"/>
          <w:sz w:val="24"/>
          <w:szCs w:val="24"/>
        </w:rPr>
      </w:pPr>
      <w:r w:rsidRPr="007A6290">
        <w:rPr>
          <w:rFonts w:ascii="Garamond" w:hAnsi="Garamond"/>
          <w:sz w:val="24"/>
          <w:szCs w:val="24"/>
        </w:rPr>
        <w:t xml:space="preserve">Peterson, Mikhaila. 2022. </w:t>
      </w:r>
      <w:r w:rsidRPr="007A6290">
        <w:rPr>
          <w:rFonts w:ascii="Garamond" w:hAnsi="Garamond"/>
          <w:i/>
          <w:iCs/>
          <w:sz w:val="24"/>
          <w:szCs w:val="24"/>
        </w:rPr>
        <w:t>The Case Against the Sexual Revolution | Louise Perry 165</w:t>
      </w:r>
      <w:r w:rsidRPr="007A6290">
        <w:rPr>
          <w:rFonts w:ascii="Garamond" w:hAnsi="Garamond"/>
          <w:sz w:val="24"/>
          <w:szCs w:val="24"/>
        </w:rPr>
        <w:t xml:space="preserve">. YouTube. </w:t>
      </w:r>
      <w:hyperlink r:id="rId9" w:history="1">
        <w:r w:rsidRPr="007A6290">
          <w:rPr>
            <w:rStyle w:val="Hyperlink"/>
            <w:rFonts w:ascii="Garamond" w:hAnsi="Garamond"/>
            <w:sz w:val="24"/>
            <w:szCs w:val="24"/>
          </w:rPr>
          <w:t>https://www.youtube.com/watch?v=5JbDbt4dk3M</w:t>
        </w:r>
      </w:hyperlink>
      <w:r w:rsidRPr="007A6290">
        <w:rPr>
          <w:rFonts w:ascii="Garamond" w:hAnsi="Garamond"/>
          <w:sz w:val="24"/>
          <w:szCs w:val="24"/>
        </w:rPr>
        <w:t xml:space="preserve">. </w:t>
      </w:r>
    </w:p>
    <w:p w14:paraId="26FB1B48" w14:textId="77777777" w:rsidR="007A6290" w:rsidRDefault="007A6290" w:rsidP="004F5DBC">
      <w:pPr>
        <w:spacing w:line="360" w:lineRule="auto"/>
        <w:jc w:val="both"/>
        <w:rPr>
          <w:rFonts w:ascii="Garamond" w:hAnsi="Garamond"/>
          <w:sz w:val="24"/>
          <w:szCs w:val="24"/>
        </w:rPr>
      </w:pPr>
    </w:p>
    <w:p w14:paraId="17C9E807" w14:textId="061C40B3" w:rsidR="007A6290" w:rsidRDefault="004F5DBC" w:rsidP="004F5DBC">
      <w:pPr>
        <w:spacing w:line="360" w:lineRule="auto"/>
        <w:jc w:val="both"/>
        <w:rPr>
          <w:rFonts w:ascii="Garamond" w:hAnsi="Garamond"/>
          <w:sz w:val="24"/>
          <w:szCs w:val="24"/>
        </w:rPr>
      </w:pPr>
      <w:r w:rsidRPr="004F5DBC">
        <w:rPr>
          <w:rFonts w:ascii="Garamond" w:hAnsi="Garamond"/>
          <w:sz w:val="24"/>
          <w:szCs w:val="24"/>
        </w:rPr>
        <w:t>Perry, Louise. </w:t>
      </w:r>
      <w:r w:rsidRPr="004F5DBC">
        <w:rPr>
          <w:rFonts w:ascii="Garamond" w:hAnsi="Garamond"/>
          <w:i/>
          <w:iCs/>
          <w:sz w:val="24"/>
          <w:szCs w:val="24"/>
        </w:rPr>
        <w:t>The Case Against the Sexual Revolution</w:t>
      </w:r>
      <w:r w:rsidRPr="004F5DBC">
        <w:rPr>
          <w:rFonts w:ascii="Garamond" w:hAnsi="Garamond"/>
          <w:sz w:val="24"/>
          <w:szCs w:val="24"/>
        </w:rPr>
        <w:t>. Available from: VitalSource Bookshelf, Polity, 2022.</w:t>
      </w:r>
    </w:p>
    <w:p w14:paraId="4F6F9895" w14:textId="77777777" w:rsidR="007A6290" w:rsidRPr="004F5DBC" w:rsidRDefault="007A6290" w:rsidP="004F5DBC">
      <w:pPr>
        <w:spacing w:line="360" w:lineRule="auto"/>
        <w:jc w:val="both"/>
        <w:rPr>
          <w:rFonts w:ascii="Garamond" w:hAnsi="Garamond"/>
          <w:sz w:val="24"/>
          <w:szCs w:val="24"/>
        </w:rPr>
      </w:pPr>
    </w:p>
    <w:p w14:paraId="0E778A86" w14:textId="07C7FB6A" w:rsidR="00492558" w:rsidRDefault="004F5DBC" w:rsidP="003D4199">
      <w:pPr>
        <w:spacing w:line="360" w:lineRule="auto"/>
        <w:jc w:val="both"/>
        <w:rPr>
          <w:rFonts w:ascii="Garamond" w:hAnsi="Garamond"/>
          <w:sz w:val="24"/>
          <w:szCs w:val="24"/>
        </w:rPr>
      </w:pPr>
      <w:bookmarkStart w:id="6" w:name="_Hlk122125495"/>
      <w:r w:rsidRPr="004F5DBC">
        <w:rPr>
          <w:rFonts w:ascii="Garamond" w:hAnsi="Garamond"/>
          <w:sz w:val="24"/>
          <w:szCs w:val="24"/>
        </w:rPr>
        <w:t>Srinivasan, Amia. </w:t>
      </w:r>
      <w:r w:rsidRPr="004F5DBC">
        <w:rPr>
          <w:rFonts w:ascii="Garamond" w:hAnsi="Garamond"/>
          <w:i/>
          <w:iCs/>
          <w:sz w:val="24"/>
          <w:szCs w:val="24"/>
        </w:rPr>
        <w:t>The Right to Sex</w:t>
      </w:r>
      <w:r w:rsidRPr="004F5DBC">
        <w:rPr>
          <w:rFonts w:ascii="Garamond" w:hAnsi="Garamond"/>
          <w:sz w:val="24"/>
          <w:szCs w:val="24"/>
        </w:rPr>
        <w:t>. Available from: VitalSource Bookshelf, Bloomsbury UK, 2021.</w:t>
      </w:r>
      <w:bookmarkEnd w:id="6"/>
    </w:p>
    <w:p w14:paraId="1E04D6F8" w14:textId="3AB7AA2E" w:rsidR="007A6290" w:rsidRDefault="007A6290" w:rsidP="003D4199">
      <w:pPr>
        <w:spacing w:line="360" w:lineRule="auto"/>
        <w:jc w:val="both"/>
        <w:rPr>
          <w:rFonts w:ascii="Garamond" w:hAnsi="Garamond"/>
          <w:sz w:val="24"/>
          <w:szCs w:val="24"/>
        </w:rPr>
      </w:pPr>
    </w:p>
    <w:p w14:paraId="3308887E" w14:textId="77777777" w:rsidR="007A6290" w:rsidRPr="004F5DBC" w:rsidRDefault="007A6290" w:rsidP="003D4199">
      <w:pPr>
        <w:spacing w:line="360" w:lineRule="auto"/>
        <w:jc w:val="both"/>
        <w:rPr>
          <w:rFonts w:ascii="Garamond" w:hAnsi="Garamond"/>
          <w:sz w:val="24"/>
          <w:szCs w:val="24"/>
        </w:rPr>
      </w:pPr>
    </w:p>
    <w:sectPr w:rsidR="007A6290" w:rsidRPr="004F5D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38C1D" w14:textId="77777777" w:rsidR="00EF536E" w:rsidRDefault="00EF536E" w:rsidP="00EF536E">
      <w:pPr>
        <w:spacing w:after="0" w:line="240" w:lineRule="auto"/>
      </w:pPr>
      <w:r>
        <w:separator/>
      </w:r>
    </w:p>
  </w:endnote>
  <w:endnote w:type="continuationSeparator" w:id="0">
    <w:p w14:paraId="0F429982" w14:textId="77777777" w:rsidR="00EF536E" w:rsidRDefault="00EF536E" w:rsidP="00EF5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C127D" w14:textId="77777777" w:rsidR="00EF536E" w:rsidRDefault="00EF536E" w:rsidP="00EF536E">
      <w:pPr>
        <w:spacing w:after="0" w:line="240" w:lineRule="auto"/>
      </w:pPr>
      <w:r>
        <w:separator/>
      </w:r>
    </w:p>
  </w:footnote>
  <w:footnote w:type="continuationSeparator" w:id="0">
    <w:p w14:paraId="7BB9D582" w14:textId="77777777" w:rsidR="00EF536E" w:rsidRDefault="00EF536E" w:rsidP="00EF536E">
      <w:pPr>
        <w:spacing w:after="0" w:line="240" w:lineRule="auto"/>
      </w:pPr>
      <w:r>
        <w:continuationSeparator/>
      </w:r>
    </w:p>
  </w:footnote>
  <w:footnote w:id="1">
    <w:p w14:paraId="4988C4EB" w14:textId="19C6842B" w:rsidR="00EF536E" w:rsidRPr="00EF536E" w:rsidRDefault="00EF536E">
      <w:pPr>
        <w:pStyle w:val="FootnoteText"/>
        <w:rPr>
          <w:lang w:val="en-US"/>
        </w:rPr>
      </w:pPr>
      <w:r>
        <w:rPr>
          <w:rStyle w:val="FootnoteReference"/>
        </w:rPr>
        <w:footnoteRef/>
      </w:r>
      <w:r>
        <w:t xml:space="preserve"> </w:t>
      </w:r>
      <w:r w:rsidR="00BA2919" w:rsidRPr="00BA2919">
        <w:t xml:space="preserve">Mikhaila, Peterson. 2022. </w:t>
      </w:r>
      <w:r w:rsidR="00BA2919" w:rsidRPr="007A6290">
        <w:rPr>
          <w:i/>
          <w:iCs/>
        </w:rPr>
        <w:t>The Case Against the Sexual Revolution | Louise Perry 165</w:t>
      </w:r>
      <w:r w:rsidR="00BA2919" w:rsidRPr="00BA2919">
        <w:t xml:space="preserve">. YouTube. </w:t>
      </w:r>
      <w:hyperlink r:id="rId1" w:history="1">
        <w:r w:rsidR="00BA2919" w:rsidRPr="00BA2919">
          <w:rPr>
            <w:rStyle w:val="Hyperlink"/>
          </w:rPr>
          <w:t>https://www.youtube.com/watch?v=5JbDbt4dk3M</w:t>
        </w:r>
      </w:hyperlink>
      <w:r w:rsidR="00BA2919" w:rsidRPr="00BA2919">
        <w:t>.</w:t>
      </w:r>
    </w:p>
  </w:footnote>
  <w:footnote w:id="2">
    <w:p w14:paraId="5656718C" w14:textId="04053B1A" w:rsidR="00EF536E" w:rsidRPr="00EF536E" w:rsidRDefault="00EF536E">
      <w:pPr>
        <w:pStyle w:val="FootnoteText"/>
        <w:rPr>
          <w:lang w:val="en-US"/>
        </w:rPr>
      </w:pPr>
      <w:r>
        <w:rPr>
          <w:rStyle w:val="FootnoteReference"/>
        </w:rPr>
        <w:footnoteRef/>
      </w:r>
      <w:r>
        <w:t xml:space="preserve"> </w:t>
      </w:r>
      <w:r w:rsidR="00BA2919" w:rsidRPr="00BA2919">
        <w:t xml:space="preserve">Mikhaila, Peterson. 2022. </w:t>
      </w:r>
      <w:r w:rsidR="00BA2919" w:rsidRPr="007A6290">
        <w:rPr>
          <w:i/>
          <w:iCs/>
        </w:rPr>
        <w:t>The Case Against the Sexual Revolution | Louise Perry 165</w:t>
      </w:r>
      <w:r w:rsidR="00BA2919" w:rsidRPr="00BA2919">
        <w:t xml:space="preserve">. YouTube. </w:t>
      </w:r>
      <w:hyperlink r:id="rId2" w:history="1">
        <w:r w:rsidR="00BA2919" w:rsidRPr="00BA2919">
          <w:rPr>
            <w:rStyle w:val="Hyperlink"/>
          </w:rPr>
          <w:t>https://www.youtube.com/watch?v=5JbDbt4dk3M</w:t>
        </w:r>
      </w:hyperlink>
      <w:r w:rsidR="00BA2919" w:rsidRPr="00BA2919">
        <w:t>.</w:t>
      </w:r>
    </w:p>
  </w:footnote>
  <w:footnote w:id="3">
    <w:p w14:paraId="3A8EF9DD" w14:textId="4D8CFD68" w:rsidR="009546EE" w:rsidRPr="009546EE" w:rsidRDefault="009546EE">
      <w:pPr>
        <w:pStyle w:val="FootnoteText"/>
        <w:rPr>
          <w:lang w:val="en-US"/>
        </w:rPr>
      </w:pPr>
      <w:r>
        <w:rPr>
          <w:rStyle w:val="FootnoteReference"/>
        </w:rPr>
        <w:footnoteRef/>
      </w:r>
      <w:r>
        <w:t xml:space="preserve"> </w:t>
      </w:r>
      <w:r w:rsidR="00BA2919" w:rsidRPr="00BA2919">
        <w:t xml:space="preserve">Mikhaila, Peterson. 2022. </w:t>
      </w:r>
      <w:r w:rsidR="00BA2919" w:rsidRPr="007A6290">
        <w:rPr>
          <w:i/>
          <w:iCs/>
        </w:rPr>
        <w:t>The Case Against the Sexual Revolution | Louise Perry 165</w:t>
      </w:r>
      <w:r w:rsidR="00BA2919" w:rsidRPr="00BA2919">
        <w:t xml:space="preserve">. YouTube. </w:t>
      </w:r>
      <w:hyperlink r:id="rId3" w:history="1">
        <w:r w:rsidR="00BA2919" w:rsidRPr="00BA2919">
          <w:rPr>
            <w:rStyle w:val="Hyperlink"/>
          </w:rPr>
          <w:t>https://www.youtube.com/watch?v=5JbDbt4dk3M</w:t>
        </w:r>
      </w:hyperlink>
      <w:r w:rsidR="00BA2919" w:rsidRPr="00BA2919">
        <w:t>.</w:t>
      </w:r>
    </w:p>
  </w:footnote>
  <w:footnote w:id="4">
    <w:p w14:paraId="5D9420F3" w14:textId="4A544E3F" w:rsidR="009546EE" w:rsidRPr="007A6290" w:rsidRDefault="009546EE">
      <w:pPr>
        <w:pStyle w:val="FootnoteText"/>
      </w:pPr>
      <w:r>
        <w:rPr>
          <w:rStyle w:val="FootnoteReference"/>
        </w:rPr>
        <w:footnoteRef/>
      </w:r>
      <w:r w:rsidR="007A6290">
        <w:t xml:space="preserve"> </w:t>
      </w:r>
      <w:bookmarkStart w:id="1" w:name="_Hlk122126053"/>
      <w:r w:rsidR="007A6290" w:rsidRPr="007A6290">
        <w:t>Mikhaila</w:t>
      </w:r>
      <w:r w:rsidR="007A6290">
        <w:t>, Peterson</w:t>
      </w:r>
      <w:r w:rsidR="007A6290" w:rsidRPr="007A6290">
        <w:t xml:space="preserve">. 2022. </w:t>
      </w:r>
      <w:r w:rsidR="007A6290" w:rsidRPr="007A6290">
        <w:rPr>
          <w:i/>
          <w:iCs/>
        </w:rPr>
        <w:t>The Case Against the Sexual Revolution | Louise Perry 165</w:t>
      </w:r>
      <w:r w:rsidR="007A6290" w:rsidRPr="007A6290">
        <w:t xml:space="preserve">. YouTube. </w:t>
      </w:r>
      <w:hyperlink r:id="rId4" w:history="1">
        <w:r w:rsidR="007A6290" w:rsidRPr="007A6290">
          <w:rPr>
            <w:rStyle w:val="Hyperlink"/>
          </w:rPr>
          <w:t>https://www.youtube.com/watch?v=5JbDbt4dk3M</w:t>
        </w:r>
      </w:hyperlink>
      <w:r w:rsidR="007A6290" w:rsidRPr="007A6290">
        <w:t xml:space="preserve">. </w:t>
      </w:r>
      <w:bookmarkEnd w:id="1"/>
    </w:p>
  </w:footnote>
  <w:footnote w:id="5">
    <w:p w14:paraId="47BB48B9" w14:textId="41C25091" w:rsidR="009546EE" w:rsidRPr="009546EE" w:rsidRDefault="009546EE">
      <w:pPr>
        <w:pStyle w:val="FootnoteText"/>
        <w:rPr>
          <w:lang w:val="en-US"/>
        </w:rPr>
      </w:pPr>
      <w:r>
        <w:rPr>
          <w:rStyle w:val="FootnoteReference"/>
        </w:rPr>
        <w:footnoteRef/>
      </w:r>
      <w:r>
        <w:t xml:space="preserve"> </w:t>
      </w:r>
      <w:r w:rsidR="007A6290" w:rsidRPr="007A6290">
        <w:t xml:space="preserve">Mikhaila, Peterson. 2022. </w:t>
      </w:r>
      <w:r w:rsidR="007A6290" w:rsidRPr="007A6290">
        <w:rPr>
          <w:i/>
          <w:iCs/>
        </w:rPr>
        <w:t>The Case Against the Sexual Revolution | Louise Perry 165</w:t>
      </w:r>
      <w:r w:rsidR="007A6290" w:rsidRPr="007A6290">
        <w:t xml:space="preserve">. YouTube. </w:t>
      </w:r>
      <w:hyperlink r:id="rId5" w:history="1">
        <w:r w:rsidR="007A6290" w:rsidRPr="007A6290">
          <w:rPr>
            <w:rStyle w:val="Hyperlink"/>
          </w:rPr>
          <w:t>https://www.youtube.com/watch?v=5JbDbt4dk3M</w:t>
        </w:r>
      </w:hyperlink>
      <w:r w:rsidR="007A6290" w:rsidRPr="007A6290">
        <w:t>.</w:t>
      </w:r>
    </w:p>
  </w:footnote>
  <w:footnote w:id="6">
    <w:p w14:paraId="6D7E5F8D" w14:textId="74B8B490" w:rsidR="009546EE" w:rsidRPr="009546EE" w:rsidRDefault="009546EE">
      <w:pPr>
        <w:pStyle w:val="FootnoteText"/>
        <w:rPr>
          <w:lang w:val="en-US"/>
        </w:rPr>
      </w:pPr>
      <w:r>
        <w:rPr>
          <w:rStyle w:val="FootnoteReference"/>
        </w:rPr>
        <w:footnoteRef/>
      </w:r>
      <w:r>
        <w:t xml:space="preserve"> </w:t>
      </w:r>
      <w:r w:rsidR="007A6290" w:rsidRPr="007A6290">
        <w:t xml:space="preserve">Mikhaila, Peterson. 2022. </w:t>
      </w:r>
      <w:r w:rsidR="007A6290" w:rsidRPr="007A6290">
        <w:rPr>
          <w:i/>
          <w:iCs/>
        </w:rPr>
        <w:t>The Case Against the Sexual Revolution | Louise Perry 165</w:t>
      </w:r>
      <w:r w:rsidR="007A6290" w:rsidRPr="007A6290">
        <w:t xml:space="preserve">. YouTube. </w:t>
      </w:r>
      <w:hyperlink r:id="rId6" w:history="1">
        <w:r w:rsidR="007A6290" w:rsidRPr="007A6290">
          <w:rPr>
            <w:rStyle w:val="Hyperlink"/>
          </w:rPr>
          <w:t>https://www.youtube.com/watch?v=5JbDbt4dk3M</w:t>
        </w:r>
      </w:hyperlink>
      <w:r w:rsidR="007A6290" w:rsidRPr="007A6290">
        <w:t>.</w:t>
      </w:r>
    </w:p>
  </w:footnote>
  <w:footnote w:id="7">
    <w:p w14:paraId="139CB3EA" w14:textId="4EEEC49C" w:rsidR="009546EE" w:rsidRPr="000A0A02" w:rsidRDefault="009546EE">
      <w:pPr>
        <w:pStyle w:val="FootnoteText"/>
      </w:pPr>
      <w:r>
        <w:rPr>
          <w:rStyle w:val="FootnoteReference"/>
        </w:rPr>
        <w:footnoteRef/>
      </w:r>
      <w:r>
        <w:t xml:space="preserve"> </w:t>
      </w:r>
      <w:r w:rsidR="000A0A02" w:rsidRPr="000A0A02">
        <w:t>Louise</w:t>
      </w:r>
      <w:r w:rsidR="000A0A02">
        <w:t>, Perry</w:t>
      </w:r>
      <w:r w:rsidR="000A0A02" w:rsidRPr="000A0A02">
        <w:t>. </w:t>
      </w:r>
      <w:r w:rsidR="000A0A02" w:rsidRPr="000A0A02">
        <w:rPr>
          <w:i/>
          <w:iCs/>
        </w:rPr>
        <w:t>The Case Against the Sexual Revolution</w:t>
      </w:r>
      <w:r w:rsidR="000A0A02" w:rsidRPr="000A0A02">
        <w:t>. Available from: VitalSource Bookshelf, Polity, 2022.</w:t>
      </w:r>
      <w:r w:rsidR="000A0A02">
        <w:t xml:space="preserve"> Pp 5.</w:t>
      </w:r>
    </w:p>
  </w:footnote>
  <w:footnote w:id="8">
    <w:p w14:paraId="25E17BB9" w14:textId="7D924198" w:rsidR="000A0A02" w:rsidRPr="000A0A02" w:rsidRDefault="009546EE" w:rsidP="000A0A02">
      <w:pPr>
        <w:pStyle w:val="FootnoteText"/>
      </w:pPr>
      <w:r>
        <w:rPr>
          <w:rStyle w:val="FootnoteReference"/>
        </w:rPr>
        <w:footnoteRef/>
      </w:r>
      <w:r>
        <w:t xml:space="preserve"> </w:t>
      </w:r>
      <w:r w:rsidR="000A0A02" w:rsidRPr="000A0A02">
        <w:t>Louise</w:t>
      </w:r>
      <w:r w:rsidR="000A0A02">
        <w:t>, Perry</w:t>
      </w:r>
      <w:r w:rsidR="000A0A02" w:rsidRPr="000A0A02">
        <w:t>. </w:t>
      </w:r>
      <w:r w:rsidR="000A0A02" w:rsidRPr="000A0A02">
        <w:rPr>
          <w:i/>
          <w:iCs/>
        </w:rPr>
        <w:t>The Case Against the Sexual Revolution</w:t>
      </w:r>
      <w:r w:rsidR="000A0A02" w:rsidRPr="000A0A02">
        <w:t>. Available from: VitalSource Bookshelf, Polity, 2022.</w:t>
      </w:r>
      <w:r w:rsidR="000A0A02">
        <w:t xml:space="preserve"> Pp 5.</w:t>
      </w:r>
    </w:p>
    <w:p w14:paraId="225E5F7E" w14:textId="5654408C" w:rsidR="009546EE" w:rsidRPr="000A0A02" w:rsidRDefault="009546EE">
      <w:pPr>
        <w:pStyle w:val="FootnoteText"/>
      </w:pPr>
    </w:p>
  </w:footnote>
  <w:footnote w:id="9">
    <w:p w14:paraId="187EBE01" w14:textId="355C7B85" w:rsidR="000A0A02" w:rsidRPr="000A0A02" w:rsidRDefault="009546EE" w:rsidP="000A0A02">
      <w:pPr>
        <w:pStyle w:val="FootnoteText"/>
      </w:pPr>
      <w:r>
        <w:rPr>
          <w:rStyle w:val="FootnoteReference"/>
        </w:rPr>
        <w:footnoteRef/>
      </w:r>
      <w:r w:rsidRPr="000A0A02">
        <w:t xml:space="preserve"> </w:t>
      </w:r>
      <w:bookmarkStart w:id="2" w:name="_Hlk122125270"/>
      <w:r w:rsidR="000A0A02" w:rsidRPr="000A0A02">
        <w:t>Louise</w:t>
      </w:r>
      <w:r w:rsidR="000A0A02">
        <w:t>, Perry</w:t>
      </w:r>
      <w:r w:rsidR="000A0A02" w:rsidRPr="000A0A02">
        <w:t>. </w:t>
      </w:r>
      <w:r w:rsidR="000A0A02" w:rsidRPr="000A0A02">
        <w:rPr>
          <w:i/>
          <w:iCs/>
        </w:rPr>
        <w:t>The Case Against the Sexual Revolution</w:t>
      </w:r>
      <w:r w:rsidR="000A0A02" w:rsidRPr="000A0A02">
        <w:t>. Available from: VitalSource Bookshelf, Polity, 2022.</w:t>
      </w:r>
    </w:p>
    <w:p w14:paraId="55EDB97E" w14:textId="514BFC9C" w:rsidR="009546EE" w:rsidRPr="000A0A02" w:rsidRDefault="000A0A02">
      <w:pPr>
        <w:pStyle w:val="FootnoteText"/>
      </w:pPr>
      <w:r w:rsidRPr="000A0A02">
        <w:t>Pp</w:t>
      </w:r>
      <w:r w:rsidR="009546EE" w:rsidRPr="000A0A02">
        <w:t xml:space="preserve"> 6-7</w:t>
      </w:r>
      <w:r w:rsidRPr="000A0A02">
        <w:t>.</w:t>
      </w:r>
      <w:bookmarkEnd w:id="2"/>
    </w:p>
  </w:footnote>
  <w:footnote w:id="10">
    <w:p w14:paraId="63E90979" w14:textId="77777777" w:rsidR="000A0A02" w:rsidRPr="000A0A02" w:rsidRDefault="009546EE"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1C5812ED" w14:textId="7E1D60C9" w:rsidR="009546EE" w:rsidRPr="000A0A02" w:rsidRDefault="000A0A02" w:rsidP="000A0A02">
      <w:pPr>
        <w:pStyle w:val="FootnoteText"/>
      </w:pPr>
      <w:r w:rsidRPr="000A0A02">
        <w:t>Pp 6-7.</w:t>
      </w:r>
    </w:p>
  </w:footnote>
  <w:footnote w:id="11">
    <w:p w14:paraId="35E7BFDB" w14:textId="77777777" w:rsidR="000A0A02" w:rsidRPr="000A0A02" w:rsidRDefault="009546EE"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4AD35A2A" w14:textId="16B7FB85" w:rsidR="009546EE" w:rsidRPr="000A0A02" w:rsidRDefault="000A0A02" w:rsidP="000A0A02">
      <w:pPr>
        <w:pStyle w:val="FootnoteText"/>
      </w:pPr>
      <w:r w:rsidRPr="000A0A02">
        <w:t>Pp 6-7.</w:t>
      </w:r>
    </w:p>
  </w:footnote>
  <w:footnote w:id="12">
    <w:p w14:paraId="6654A757" w14:textId="77777777" w:rsidR="000A0A02" w:rsidRPr="000A0A02" w:rsidRDefault="009546EE"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63F2F157" w14:textId="1814D699" w:rsidR="009546EE" w:rsidRPr="000A0A02" w:rsidRDefault="000A0A02" w:rsidP="000A0A02">
      <w:pPr>
        <w:pStyle w:val="FootnoteText"/>
      </w:pPr>
      <w:r w:rsidRPr="000A0A02">
        <w:t xml:space="preserve">Pp </w:t>
      </w:r>
      <w:r w:rsidR="009546EE" w:rsidRPr="000A0A02">
        <w:t>23-25</w:t>
      </w:r>
      <w:r w:rsidRPr="000A0A02">
        <w:t>.</w:t>
      </w:r>
    </w:p>
  </w:footnote>
  <w:footnote w:id="13">
    <w:p w14:paraId="35F3DC1D" w14:textId="77777777" w:rsidR="000A0A02" w:rsidRPr="000A0A02" w:rsidRDefault="009546EE"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4D2E0AA4" w14:textId="594693E9" w:rsidR="009546EE" w:rsidRPr="000A0A02" w:rsidRDefault="000A0A02" w:rsidP="000A0A02">
      <w:pPr>
        <w:pStyle w:val="FootnoteText"/>
        <w:rPr>
          <w:lang w:val="fr-FR"/>
        </w:rPr>
      </w:pPr>
      <w:r w:rsidRPr="000A0A02">
        <w:rPr>
          <w:lang w:val="fr-FR"/>
        </w:rPr>
        <w:t xml:space="preserve">Pp </w:t>
      </w:r>
      <w:r>
        <w:rPr>
          <w:lang w:val="fr-FR"/>
        </w:rPr>
        <w:t>24.</w:t>
      </w:r>
    </w:p>
  </w:footnote>
  <w:footnote w:id="14">
    <w:p w14:paraId="0C8A8A7B" w14:textId="77777777" w:rsidR="000A0A02" w:rsidRPr="000A0A02" w:rsidRDefault="009546EE"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75F0BDD5" w14:textId="3F463693" w:rsidR="009546EE" w:rsidRPr="000A0A02" w:rsidRDefault="000A0A02" w:rsidP="000A0A02">
      <w:pPr>
        <w:pStyle w:val="FootnoteText"/>
      </w:pPr>
      <w:r w:rsidRPr="000A0A02">
        <w:t>Pp 24.</w:t>
      </w:r>
    </w:p>
  </w:footnote>
  <w:footnote w:id="15">
    <w:p w14:paraId="60543C20" w14:textId="5ED43433" w:rsidR="004A53AD" w:rsidRPr="000A0A02" w:rsidRDefault="004A53AD"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r w:rsidR="000A0A02">
        <w:t xml:space="preserve"> Pp 24.</w:t>
      </w:r>
    </w:p>
  </w:footnote>
  <w:footnote w:id="16">
    <w:p w14:paraId="2E466B0F" w14:textId="77777777" w:rsidR="000A0A02" w:rsidRPr="000A0A02" w:rsidRDefault="004A53AD"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69790A43" w14:textId="4336D446" w:rsidR="004A53AD" w:rsidRPr="000A0A02" w:rsidRDefault="000A0A02" w:rsidP="000A0A02">
      <w:pPr>
        <w:pStyle w:val="FootnoteText"/>
      </w:pPr>
      <w:r w:rsidRPr="000A0A02">
        <w:t>Pp 24.</w:t>
      </w:r>
    </w:p>
  </w:footnote>
  <w:footnote w:id="17">
    <w:p w14:paraId="12D32E1F" w14:textId="11B96B36" w:rsidR="000A0A02" w:rsidRPr="000A0A02" w:rsidRDefault="004A53AD"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280378C7" w14:textId="2DEF3AEB" w:rsidR="004A53AD" w:rsidRPr="000A0A02" w:rsidRDefault="000A0A02" w:rsidP="000A0A02">
      <w:pPr>
        <w:pStyle w:val="FootnoteText"/>
      </w:pPr>
      <w:r w:rsidRPr="000A0A02">
        <w:t xml:space="preserve">Pp </w:t>
      </w:r>
      <w:r w:rsidR="004A53AD" w:rsidRPr="000A0A02">
        <w:t>25-26</w:t>
      </w:r>
      <w:r>
        <w:t>.</w:t>
      </w:r>
    </w:p>
  </w:footnote>
  <w:footnote w:id="18">
    <w:p w14:paraId="04C9E8F5" w14:textId="77777777" w:rsidR="000A0A02" w:rsidRPr="000A0A02" w:rsidRDefault="004A53AD" w:rsidP="000A0A02">
      <w:pPr>
        <w:pStyle w:val="FootnoteText"/>
      </w:pPr>
      <w:r>
        <w:rPr>
          <w:rStyle w:val="FootnoteReference"/>
        </w:rPr>
        <w:footnoteRef/>
      </w:r>
      <w:r w:rsidRP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4DFC1ABB" w14:textId="50AA3CE7" w:rsidR="004A53AD" w:rsidRPr="000A0A02" w:rsidRDefault="000A0A02" w:rsidP="000A0A02">
      <w:pPr>
        <w:pStyle w:val="FootnoteText"/>
      </w:pPr>
      <w:r w:rsidRPr="000A0A02">
        <w:t>Pp</w:t>
      </w:r>
      <w:r w:rsidR="004A53AD" w:rsidRPr="000A0A02">
        <w:t xml:space="preserve"> 25</w:t>
      </w:r>
      <w:r>
        <w:t>.</w:t>
      </w:r>
    </w:p>
  </w:footnote>
  <w:footnote w:id="19">
    <w:p w14:paraId="3BC98322" w14:textId="77777777" w:rsidR="000A0A02" w:rsidRPr="000A0A02" w:rsidRDefault="004A53AD" w:rsidP="000A0A02">
      <w:pPr>
        <w:pStyle w:val="FootnoteText"/>
      </w:pPr>
      <w:r>
        <w:rPr>
          <w:rStyle w:val="FootnoteReference"/>
        </w:rPr>
        <w:footnoteRef/>
      </w:r>
      <w:r w:rsidR="000A0A02">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712975E1" w14:textId="32BB25E9" w:rsidR="004A53AD" w:rsidRPr="004A53AD" w:rsidRDefault="000A0A02" w:rsidP="000A0A02">
      <w:pPr>
        <w:pStyle w:val="FootnoteText"/>
        <w:rPr>
          <w:lang w:val="en-US"/>
        </w:rPr>
      </w:pPr>
      <w:r w:rsidRPr="000A0A02">
        <w:t>Pp</w:t>
      </w:r>
      <w:r w:rsidR="004A53AD">
        <w:rPr>
          <w:lang w:val="en-US"/>
        </w:rPr>
        <w:t xml:space="preserve"> 25</w:t>
      </w:r>
      <w:r>
        <w:rPr>
          <w:lang w:val="en-US"/>
        </w:rPr>
        <w:t>.</w:t>
      </w:r>
    </w:p>
  </w:footnote>
  <w:footnote w:id="20">
    <w:p w14:paraId="61636989" w14:textId="77777777" w:rsidR="000A0A02" w:rsidRPr="000A0A02" w:rsidRDefault="004A53AD" w:rsidP="000A0A02">
      <w:pPr>
        <w:pStyle w:val="FootnoteText"/>
      </w:pPr>
      <w:r>
        <w:rPr>
          <w:rStyle w:val="FootnoteReference"/>
        </w:rPr>
        <w:footnoteRef/>
      </w:r>
      <w:r>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40B829AF" w14:textId="124B6F27" w:rsidR="004A53AD" w:rsidRPr="004A53AD" w:rsidRDefault="000A0A02" w:rsidP="000A0A02">
      <w:pPr>
        <w:pStyle w:val="FootnoteText"/>
        <w:rPr>
          <w:lang w:val="en-US"/>
        </w:rPr>
      </w:pPr>
      <w:r w:rsidRPr="000A0A02">
        <w:t>Pp 26.</w:t>
      </w:r>
    </w:p>
  </w:footnote>
  <w:footnote w:id="21">
    <w:p w14:paraId="2CDBE19D" w14:textId="77777777" w:rsidR="000A0A02" w:rsidRPr="000A0A02" w:rsidRDefault="004A53AD" w:rsidP="000A0A02">
      <w:pPr>
        <w:pStyle w:val="FootnoteText"/>
      </w:pPr>
      <w:r>
        <w:rPr>
          <w:rStyle w:val="FootnoteReference"/>
        </w:rPr>
        <w:footnoteRef/>
      </w:r>
      <w:r>
        <w:t xml:space="preserve"> </w:t>
      </w:r>
      <w:r w:rsidR="000A0A02" w:rsidRPr="000A0A02">
        <w:t>Louise, Perry. </w:t>
      </w:r>
      <w:r w:rsidR="000A0A02" w:rsidRPr="000A0A02">
        <w:rPr>
          <w:i/>
          <w:iCs/>
        </w:rPr>
        <w:t>The Case Against the Sexual Revolution</w:t>
      </w:r>
      <w:r w:rsidR="000A0A02" w:rsidRPr="000A0A02">
        <w:t>. Available from: VitalSource Bookshelf, Polity, 2022.</w:t>
      </w:r>
    </w:p>
    <w:p w14:paraId="473004A9" w14:textId="24CA03DA" w:rsidR="004A53AD" w:rsidRPr="000A0A02" w:rsidRDefault="000A0A02" w:rsidP="000A0A02">
      <w:pPr>
        <w:pStyle w:val="FootnoteText"/>
      </w:pPr>
      <w:r w:rsidRPr="000A0A02">
        <w:t xml:space="preserve">Pp </w:t>
      </w:r>
      <w:r>
        <w:t xml:space="preserve">26. </w:t>
      </w:r>
    </w:p>
  </w:footnote>
  <w:footnote w:id="22">
    <w:p w14:paraId="26CCCDD7" w14:textId="27E4FF35" w:rsidR="002D55D8" w:rsidRPr="002D55D8" w:rsidRDefault="002D55D8">
      <w:pPr>
        <w:pStyle w:val="FootnoteText"/>
        <w:rPr>
          <w:lang w:val="en-US"/>
        </w:rPr>
      </w:pPr>
      <w:r>
        <w:rPr>
          <w:rStyle w:val="FootnoteReference"/>
        </w:rPr>
        <w:footnoteRef/>
      </w:r>
      <w:r w:rsidR="004C0E5A">
        <w:t xml:space="preserve"> </w:t>
      </w:r>
      <w:bookmarkStart w:id="3" w:name="_Hlk122125553"/>
      <w:r w:rsidR="004C0E5A">
        <w:t xml:space="preserve">Amia, </w:t>
      </w:r>
      <w:r w:rsidR="004C0E5A" w:rsidRPr="004C0E5A">
        <w:t>Srinivasan. </w:t>
      </w:r>
      <w:r w:rsidR="004C0E5A" w:rsidRPr="004C0E5A">
        <w:rPr>
          <w:i/>
          <w:iCs/>
        </w:rPr>
        <w:t>The Right to Sex</w:t>
      </w:r>
      <w:r w:rsidR="004C0E5A" w:rsidRPr="004C0E5A">
        <w:t>. Available from: VitalSource Bookshelf, Bloomsbury UK, 2021.</w:t>
      </w:r>
      <w:bookmarkEnd w:id="3"/>
      <w:r>
        <w:rPr>
          <w:lang w:val="en-US"/>
        </w:rPr>
        <w:t xml:space="preserve"> Pp 8</w:t>
      </w:r>
      <w:r w:rsidR="00FA7314">
        <w:rPr>
          <w:lang w:val="en-US"/>
        </w:rPr>
        <w:t>.</w:t>
      </w:r>
    </w:p>
  </w:footnote>
  <w:footnote w:id="23">
    <w:p w14:paraId="66EE8DB4" w14:textId="0BD2F052" w:rsidR="00FA7314" w:rsidRPr="00FA7314" w:rsidRDefault="00FA7314">
      <w:pPr>
        <w:pStyle w:val="FootnoteText"/>
        <w:rPr>
          <w:lang w:val="en-US"/>
        </w:rPr>
      </w:pPr>
      <w:r>
        <w:rPr>
          <w:rStyle w:val="FootnoteReference"/>
        </w:rPr>
        <w:footnoteRef/>
      </w:r>
      <w:r>
        <w:t xml:space="preserve"> </w:t>
      </w:r>
      <w:r w:rsidR="004C0E5A">
        <w:rPr>
          <w:lang w:val="en-US"/>
        </w:rPr>
        <w:t xml:space="preserve"> </w:t>
      </w:r>
      <w:r w:rsidR="004C0E5A" w:rsidRPr="004C0E5A">
        <w:t>Amia, Srinivasan. </w:t>
      </w:r>
      <w:r w:rsidR="004C0E5A" w:rsidRPr="004C0E5A">
        <w:rPr>
          <w:i/>
          <w:iCs/>
        </w:rPr>
        <w:t>The Right to Sex</w:t>
      </w:r>
      <w:r w:rsidR="004C0E5A" w:rsidRPr="004C0E5A">
        <w:t>. Available from: VitalSource Bookshelf, Bloomsbury UK, 2021.</w:t>
      </w:r>
      <w:r w:rsidR="004C0E5A">
        <w:t xml:space="preserve"> </w:t>
      </w:r>
      <w:r>
        <w:rPr>
          <w:lang w:val="en-US"/>
        </w:rPr>
        <w:t>Pp 37.</w:t>
      </w:r>
    </w:p>
  </w:footnote>
  <w:footnote w:id="24">
    <w:p w14:paraId="70175583" w14:textId="3B848A7A" w:rsidR="00FA7314" w:rsidRPr="00FA7314" w:rsidRDefault="00FA7314">
      <w:pPr>
        <w:pStyle w:val="FootnoteText"/>
        <w:rPr>
          <w:lang w:val="en-US"/>
        </w:rPr>
      </w:pPr>
      <w:r>
        <w:rPr>
          <w:rStyle w:val="FootnoteReference"/>
        </w:rPr>
        <w:footnoteRef/>
      </w:r>
      <w:r>
        <w:t xml:space="preserve"> </w:t>
      </w:r>
      <w:r w:rsidR="004C0E5A" w:rsidRPr="004C0E5A">
        <w:t>Amia, Srinivasan. </w:t>
      </w:r>
      <w:r w:rsidR="004C0E5A" w:rsidRPr="004C0E5A">
        <w:rPr>
          <w:i/>
          <w:iCs/>
        </w:rPr>
        <w:t>The Right to Sex</w:t>
      </w:r>
      <w:r w:rsidR="004C0E5A" w:rsidRPr="004C0E5A">
        <w:t>. Available from: VitalSource Bookshelf, Bloomsbury UK, 2021.</w:t>
      </w:r>
      <w:r w:rsidR="004C0E5A">
        <w:rPr>
          <w:lang w:val="en-US"/>
        </w:rPr>
        <w:t xml:space="preserve"> </w:t>
      </w:r>
      <w:r>
        <w:rPr>
          <w:lang w:val="en-US"/>
        </w:rPr>
        <w:t xml:space="preserve">Pp 37. </w:t>
      </w:r>
    </w:p>
  </w:footnote>
  <w:footnote w:id="25">
    <w:p w14:paraId="4D1763E4" w14:textId="18784CEC" w:rsidR="0093480B" w:rsidRPr="0093480B" w:rsidRDefault="0093480B">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37-38. </w:t>
      </w:r>
    </w:p>
  </w:footnote>
  <w:footnote w:id="26">
    <w:p w14:paraId="671D1DA8" w14:textId="4069D862" w:rsidR="0093480B" w:rsidRPr="0093480B" w:rsidRDefault="0093480B">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34.</w:t>
      </w:r>
    </w:p>
  </w:footnote>
  <w:footnote w:id="27">
    <w:p w14:paraId="1BA46165" w14:textId="22AEAD7D" w:rsidR="0093480B" w:rsidRPr="0093480B" w:rsidRDefault="0093480B">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34. </w:t>
      </w:r>
    </w:p>
  </w:footnote>
  <w:footnote w:id="28">
    <w:p w14:paraId="51A77D64" w14:textId="6CCB9C30" w:rsidR="00DE67C0" w:rsidRPr="00DE67C0" w:rsidRDefault="00DE67C0">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35. </w:t>
      </w:r>
    </w:p>
  </w:footnote>
  <w:footnote w:id="29">
    <w:p w14:paraId="63C665EC" w14:textId="39D7B6BE" w:rsidR="00DE67C0" w:rsidRPr="00DE67C0" w:rsidRDefault="00DE67C0">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35. </w:t>
      </w:r>
    </w:p>
  </w:footnote>
  <w:footnote w:id="30">
    <w:p w14:paraId="1EA1493A" w14:textId="2776F9BE" w:rsidR="00DE67C0" w:rsidRPr="00DE67C0" w:rsidRDefault="00DE67C0">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35-36. </w:t>
      </w:r>
    </w:p>
  </w:footnote>
  <w:footnote w:id="31">
    <w:p w14:paraId="066177F4" w14:textId="088A42CF" w:rsidR="00DE67C0" w:rsidRPr="00DE67C0" w:rsidRDefault="00DE67C0">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36. </w:t>
      </w:r>
    </w:p>
  </w:footnote>
  <w:footnote w:id="32">
    <w:p w14:paraId="2E29EB88" w14:textId="59F5CCCE" w:rsidR="00DE67C0" w:rsidRPr="00DE67C0" w:rsidRDefault="00DE67C0">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36. </w:t>
      </w:r>
    </w:p>
  </w:footnote>
  <w:footnote w:id="33">
    <w:p w14:paraId="7560CB60" w14:textId="7DED5C1C" w:rsidR="00DE67C0" w:rsidRPr="00FD1D89" w:rsidRDefault="00DE67C0">
      <w:pPr>
        <w:pStyle w:val="FootnoteText"/>
      </w:pPr>
      <w:r>
        <w:rPr>
          <w:rStyle w:val="FootnoteReference"/>
        </w:rPr>
        <w:footnoteRef/>
      </w:r>
      <w:r>
        <w:t xml:space="preserve"> </w:t>
      </w:r>
      <w:r w:rsidR="00FD1D89" w:rsidRPr="00FD1D89">
        <w:t>Owen.</w:t>
      </w:r>
      <w:r w:rsidR="00FD1D89">
        <w:t xml:space="preserve"> Jones.</w:t>
      </w:r>
      <w:r w:rsidR="00FD1D89" w:rsidRPr="00FD1D89">
        <w:t xml:space="preserve"> 2021. </w:t>
      </w:r>
      <w:r w:rsidR="00FD1D89" w:rsidRPr="00053578">
        <w:rPr>
          <w:i/>
          <w:iCs/>
        </w:rPr>
        <w:t>The right to sex, Me Too, incels and pornography with Amia Srinivasan</w:t>
      </w:r>
      <w:r w:rsidR="00FD1D89" w:rsidRPr="00FD1D89">
        <w:t xml:space="preserve">. YouTube. </w:t>
      </w:r>
      <w:hyperlink r:id="rId7" w:history="1">
        <w:r w:rsidR="00FD1D89" w:rsidRPr="00FD1D89">
          <w:rPr>
            <w:rStyle w:val="Hyperlink"/>
          </w:rPr>
          <w:t>https://www.youtube.com/watch?v=YGphqrBCaLE</w:t>
        </w:r>
      </w:hyperlink>
      <w:r w:rsidR="00FD1D89" w:rsidRPr="00FD1D89">
        <w:t xml:space="preserve">. </w:t>
      </w:r>
    </w:p>
  </w:footnote>
  <w:footnote w:id="34">
    <w:p w14:paraId="1FA23802" w14:textId="0F750DF4" w:rsidR="00DE67C0" w:rsidRPr="00FD1D89" w:rsidRDefault="00DE67C0">
      <w:pPr>
        <w:pStyle w:val="FootnoteText"/>
      </w:pPr>
      <w:r>
        <w:rPr>
          <w:rStyle w:val="FootnoteReference"/>
        </w:rPr>
        <w:footnoteRef/>
      </w:r>
      <w:r w:rsidR="00FD1D89">
        <w:t xml:space="preserve"> </w:t>
      </w:r>
      <w:r w:rsidR="00FD1D89" w:rsidRPr="00FD1D89">
        <w:t>Owen</w:t>
      </w:r>
      <w:r w:rsidR="00FD1D89">
        <w:t>, Jones</w:t>
      </w:r>
      <w:r w:rsidR="00FD1D89" w:rsidRPr="00FD1D89">
        <w:t xml:space="preserve">. 2021. </w:t>
      </w:r>
      <w:r w:rsidR="00FD1D89" w:rsidRPr="00053578">
        <w:rPr>
          <w:i/>
          <w:iCs/>
        </w:rPr>
        <w:t>The right to sex, Me Too, incels and pornography with Amia Srinivasan</w:t>
      </w:r>
      <w:r w:rsidR="00FD1D89" w:rsidRPr="00FD1D89">
        <w:t xml:space="preserve">. YouTube. </w:t>
      </w:r>
      <w:hyperlink r:id="rId8" w:history="1">
        <w:r w:rsidR="00FD1D89" w:rsidRPr="00FD1D89">
          <w:rPr>
            <w:rStyle w:val="Hyperlink"/>
          </w:rPr>
          <w:t>https://www.youtube.com/watch?v=YGphqrBCaLE</w:t>
        </w:r>
      </w:hyperlink>
      <w:r w:rsidR="00FD1D89" w:rsidRPr="00FD1D89">
        <w:t xml:space="preserve">. </w:t>
      </w:r>
    </w:p>
  </w:footnote>
  <w:footnote w:id="35">
    <w:p w14:paraId="2BAA39D0" w14:textId="612E9DD6" w:rsidR="00A75361" w:rsidRPr="00FD1D89" w:rsidRDefault="00A75361">
      <w:pPr>
        <w:pStyle w:val="FootnoteText"/>
      </w:pPr>
      <w:r>
        <w:rPr>
          <w:rStyle w:val="FootnoteReference"/>
        </w:rPr>
        <w:footnoteRef/>
      </w:r>
      <w:r w:rsidR="00FD1D89">
        <w:t xml:space="preserve"> </w:t>
      </w:r>
      <w:r w:rsidR="00FD1D89" w:rsidRPr="00FD1D89">
        <w:t>Owen</w:t>
      </w:r>
      <w:r w:rsidR="00FD1D89">
        <w:t>, Jones</w:t>
      </w:r>
      <w:r w:rsidR="00FD1D89" w:rsidRPr="00FD1D89">
        <w:t xml:space="preserve">. 2021. </w:t>
      </w:r>
      <w:r w:rsidR="00FD1D89" w:rsidRPr="00053578">
        <w:rPr>
          <w:i/>
          <w:iCs/>
        </w:rPr>
        <w:t>The right to sex, Me Too, incels and pornography with Amia Srinivasan</w:t>
      </w:r>
      <w:r w:rsidR="00FD1D89" w:rsidRPr="00FD1D89">
        <w:t xml:space="preserve">. YouTube. </w:t>
      </w:r>
      <w:hyperlink r:id="rId9" w:history="1">
        <w:r w:rsidR="00FD1D89" w:rsidRPr="00FD1D89">
          <w:rPr>
            <w:rStyle w:val="Hyperlink"/>
          </w:rPr>
          <w:t>https://www.youtube.com/watch?v=YGphqrBCaLE</w:t>
        </w:r>
      </w:hyperlink>
      <w:r w:rsidR="00FD1D89" w:rsidRPr="00FD1D89">
        <w:t xml:space="preserve">. </w:t>
      </w:r>
    </w:p>
  </w:footnote>
  <w:footnote w:id="36">
    <w:p w14:paraId="6FE9E3C5" w14:textId="774FB469" w:rsidR="00A75361" w:rsidRPr="00A75361" w:rsidRDefault="00A75361">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40. </w:t>
      </w:r>
    </w:p>
  </w:footnote>
  <w:footnote w:id="37">
    <w:p w14:paraId="06271698" w14:textId="3026F1D2" w:rsidR="00A75361" w:rsidRPr="00A75361" w:rsidRDefault="00A75361">
      <w:pPr>
        <w:pStyle w:val="FootnoteText"/>
        <w:rPr>
          <w:lang w:val="en-US"/>
        </w:rPr>
      </w:pPr>
      <w:r>
        <w:rPr>
          <w:rStyle w:val="FootnoteReference"/>
        </w:rPr>
        <w:footnoteRef/>
      </w:r>
      <w:r>
        <w:t xml:space="preserve"> </w:t>
      </w:r>
      <w:r w:rsidR="00B85BBA" w:rsidRPr="00B85BBA">
        <w:t>Amia, Srinivasan. </w:t>
      </w:r>
      <w:r w:rsidR="00B85BBA" w:rsidRPr="00B85BBA">
        <w:rPr>
          <w:i/>
          <w:iCs/>
        </w:rPr>
        <w:t>The Right to Sex</w:t>
      </w:r>
      <w:r w:rsidR="00B85BBA" w:rsidRPr="00B85BBA">
        <w:t>. Available from: VitalSource Bookshelf, Bloomsbury UK, 2021.</w:t>
      </w:r>
      <w:r>
        <w:rPr>
          <w:lang w:val="en-US"/>
        </w:rPr>
        <w:t xml:space="preserve"> Pp 40.</w:t>
      </w:r>
    </w:p>
  </w:footnote>
  <w:footnote w:id="38">
    <w:p w14:paraId="5285C932" w14:textId="5DFA74F5" w:rsidR="00A75361" w:rsidRPr="00A75361" w:rsidRDefault="00A75361">
      <w:pPr>
        <w:pStyle w:val="FootnoteText"/>
        <w:rPr>
          <w:lang w:val="en-US"/>
        </w:rPr>
      </w:pPr>
      <w:r>
        <w:rPr>
          <w:rStyle w:val="FootnoteReference"/>
        </w:rPr>
        <w:footnoteRef/>
      </w:r>
      <w:r>
        <w:t xml:space="preserve"> </w:t>
      </w:r>
      <w:r w:rsidR="005A6363" w:rsidRPr="005A6363">
        <w:t>Amia, Srinivasan. </w:t>
      </w:r>
      <w:r w:rsidR="005A6363" w:rsidRPr="005A6363">
        <w:rPr>
          <w:i/>
          <w:iCs/>
        </w:rPr>
        <w:t>The Right to Sex</w:t>
      </w:r>
      <w:r w:rsidR="005A6363" w:rsidRPr="005A6363">
        <w:t>. Available from: VitalSource Bookshelf, Bloomsbury UK, 2021.</w:t>
      </w:r>
      <w:r>
        <w:rPr>
          <w:lang w:val="en-US"/>
        </w:rPr>
        <w:t xml:space="preserve"> Pp 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41AEC"/>
    <w:multiLevelType w:val="hybridMultilevel"/>
    <w:tmpl w:val="D6E0E590"/>
    <w:lvl w:ilvl="0" w:tplc="43EE8738">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019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99"/>
    <w:rsid w:val="0002140F"/>
    <w:rsid w:val="00053578"/>
    <w:rsid w:val="00060EC3"/>
    <w:rsid w:val="00065382"/>
    <w:rsid w:val="000A0A02"/>
    <w:rsid w:val="000E0B7D"/>
    <w:rsid w:val="000E4587"/>
    <w:rsid w:val="000E7F2F"/>
    <w:rsid w:val="000F5A89"/>
    <w:rsid w:val="001168EF"/>
    <w:rsid w:val="00135043"/>
    <w:rsid w:val="001428E4"/>
    <w:rsid w:val="001B114E"/>
    <w:rsid w:val="001F691A"/>
    <w:rsid w:val="00217A06"/>
    <w:rsid w:val="00237BE5"/>
    <w:rsid w:val="00255ED3"/>
    <w:rsid w:val="00281C24"/>
    <w:rsid w:val="00286EB8"/>
    <w:rsid w:val="00295DC3"/>
    <w:rsid w:val="002B5400"/>
    <w:rsid w:val="002D55D8"/>
    <w:rsid w:val="002E026F"/>
    <w:rsid w:val="002E5547"/>
    <w:rsid w:val="0036595A"/>
    <w:rsid w:val="0038258A"/>
    <w:rsid w:val="00386AD0"/>
    <w:rsid w:val="003A5074"/>
    <w:rsid w:val="003C1DCA"/>
    <w:rsid w:val="003D4199"/>
    <w:rsid w:val="003D56C2"/>
    <w:rsid w:val="003E10B2"/>
    <w:rsid w:val="00402CE4"/>
    <w:rsid w:val="0040616D"/>
    <w:rsid w:val="00454AB7"/>
    <w:rsid w:val="0046447D"/>
    <w:rsid w:val="00492558"/>
    <w:rsid w:val="004A53AD"/>
    <w:rsid w:val="004C0A48"/>
    <w:rsid w:val="004C0E5A"/>
    <w:rsid w:val="004C42C4"/>
    <w:rsid w:val="004E7123"/>
    <w:rsid w:val="004F5DBC"/>
    <w:rsid w:val="005013B1"/>
    <w:rsid w:val="00515C92"/>
    <w:rsid w:val="00517A0D"/>
    <w:rsid w:val="00536E2F"/>
    <w:rsid w:val="00541069"/>
    <w:rsid w:val="00542F06"/>
    <w:rsid w:val="00551837"/>
    <w:rsid w:val="00557AE3"/>
    <w:rsid w:val="00572545"/>
    <w:rsid w:val="005727CA"/>
    <w:rsid w:val="005A1075"/>
    <w:rsid w:val="005A35AA"/>
    <w:rsid w:val="005A6363"/>
    <w:rsid w:val="005B1BF5"/>
    <w:rsid w:val="005C2CDF"/>
    <w:rsid w:val="00626F38"/>
    <w:rsid w:val="006307B8"/>
    <w:rsid w:val="006B50DA"/>
    <w:rsid w:val="006E1BFB"/>
    <w:rsid w:val="006F3120"/>
    <w:rsid w:val="0070066E"/>
    <w:rsid w:val="00717151"/>
    <w:rsid w:val="00721D00"/>
    <w:rsid w:val="007361D1"/>
    <w:rsid w:val="00736738"/>
    <w:rsid w:val="00737D29"/>
    <w:rsid w:val="007548EE"/>
    <w:rsid w:val="007A6290"/>
    <w:rsid w:val="007E7E78"/>
    <w:rsid w:val="00805A6A"/>
    <w:rsid w:val="008140F2"/>
    <w:rsid w:val="008219C0"/>
    <w:rsid w:val="0083615A"/>
    <w:rsid w:val="00857262"/>
    <w:rsid w:val="00865475"/>
    <w:rsid w:val="0087568F"/>
    <w:rsid w:val="008A4CD6"/>
    <w:rsid w:val="008D2A81"/>
    <w:rsid w:val="008E2DD9"/>
    <w:rsid w:val="00916D91"/>
    <w:rsid w:val="00925EA6"/>
    <w:rsid w:val="009305CF"/>
    <w:rsid w:val="0093480B"/>
    <w:rsid w:val="009458B7"/>
    <w:rsid w:val="009546EE"/>
    <w:rsid w:val="00963139"/>
    <w:rsid w:val="009A6DBC"/>
    <w:rsid w:val="009B2CEE"/>
    <w:rsid w:val="009C24DF"/>
    <w:rsid w:val="009E6C2C"/>
    <w:rsid w:val="009F068C"/>
    <w:rsid w:val="009F7F48"/>
    <w:rsid w:val="00A04638"/>
    <w:rsid w:val="00A11447"/>
    <w:rsid w:val="00A13778"/>
    <w:rsid w:val="00A66E9A"/>
    <w:rsid w:val="00A709F4"/>
    <w:rsid w:val="00A73E5A"/>
    <w:rsid w:val="00A75361"/>
    <w:rsid w:val="00A86325"/>
    <w:rsid w:val="00A977ED"/>
    <w:rsid w:val="00AD7454"/>
    <w:rsid w:val="00AE380D"/>
    <w:rsid w:val="00B0333E"/>
    <w:rsid w:val="00B1351C"/>
    <w:rsid w:val="00B21D67"/>
    <w:rsid w:val="00B34662"/>
    <w:rsid w:val="00B457E6"/>
    <w:rsid w:val="00B525CA"/>
    <w:rsid w:val="00B5743F"/>
    <w:rsid w:val="00B704B8"/>
    <w:rsid w:val="00B85BBA"/>
    <w:rsid w:val="00BA2919"/>
    <w:rsid w:val="00BC7E1D"/>
    <w:rsid w:val="00BE679A"/>
    <w:rsid w:val="00BE7F39"/>
    <w:rsid w:val="00BF114B"/>
    <w:rsid w:val="00BF245F"/>
    <w:rsid w:val="00C06789"/>
    <w:rsid w:val="00C07591"/>
    <w:rsid w:val="00C30B42"/>
    <w:rsid w:val="00C30ED5"/>
    <w:rsid w:val="00C67EDE"/>
    <w:rsid w:val="00C97A78"/>
    <w:rsid w:val="00CA595D"/>
    <w:rsid w:val="00CB630B"/>
    <w:rsid w:val="00CC5753"/>
    <w:rsid w:val="00D246F5"/>
    <w:rsid w:val="00D37394"/>
    <w:rsid w:val="00D457DF"/>
    <w:rsid w:val="00D6476C"/>
    <w:rsid w:val="00DC7DBF"/>
    <w:rsid w:val="00DD49B3"/>
    <w:rsid w:val="00DE03F4"/>
    <w:rsid w:val="00DE63C4"/>
    <w:rsid w:val="00DE67C0"/>
    <w:rsid w:val="00DF5BD5"/>
    <w:rsid w:val="00E05A7A"/>
    <w:rsid w:val="00E25B79"/>
    <w:rsid w:val="00E43D20"/>
    <w:rsid w:val="00E54036"/>
    <w:rsid w:val="00E6747E"/>
    <w:rsid w:val="00E756BB"/>
    <w:rsid w:val="00E80F92"/>
    <w:rsid w:val="00E877D5"/>
    <w:rsid w:val="00EA0B74"/>
    <w:rsid w:val="00EF536E"/>
    <w:rsid w:val="00EF6B4E"/>
    <w:rsid w:val="00F01924"/>
    <w:rsid w:val="00F06401"/>
    <w:rsid w:val="00F0663B"/>
    <w:rsid w:val="00F105BF"/>
    <w:rsid w:val="00F109D9"/>
    <w:rsid w:val="00F563A7"/>
    <w:rsid w:val="00F67977"/>
    <w:rsid w:val="00F978C1"/>
    <w:rsid w:val="00FA0672"/>
    <w:rsid w:val="00FA7314"/>
    <w:rsid w:val="00FD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4B5A0"/>
  <w15:chartTrackingRefBased/>
  <w15:docId w15:val="{90EFC9A4-DC29-4D77-994C-E5FEF2089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E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A48"/>
    <w:pPr>
      <w:ind w:left="720"/>
      <w:contextualSpacing/>
    </w:pPr>
  </w:style>
  <w:style w:type="paragraph" w:styleId="FootnoteText">
    <w:name w:val="footnote text"/>
    <w:basedOn w:val="Normal"/>
    <w:link w:val="FootnoteTextChar"/>
    <w:uiPriority w:val="99"/>
    <w:semiHidden/>
    <w:unhideWhenUsed/>
    <w:rsid w:val="00EF53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536E"/>
    <w:rPr>
      <w:sz w:val="20"/>
      <w:szCs w:val="20"/>
    </w:rPr>
  </w:style>
  <w:style w:type="character" w:styleId="FootnoteReference">
    <w:name w:val="footnote reference"/>
    <w:basedOn w:val="DefaultParagraphFont"/>
    <w:uiPriority w:val="99"/>
    <w:semiHidden/>
    <w:unhideWhenUsed/>
    <w:rsid w:val="00EF536E"/>
    <w:rPr>
      <w:vertAlign w:val="superscript"/>
    </w:rPr>
  </w:style>
  <w:style w:type="character" w:styleId="Hyperlink">
    <w:name w:val="Hyperlink"/>
    <w:basedOn w:val="DefaultParagraphFont"/>
    <w:uiPriority w:val="99"/>
    <w:unhideWhenUsed/>
    <w:rsid w:val="007A6290"/>
    <w:rPr>
      <w:color w:val="0563C1" w:themeColor="hyperlink"/>
      <w:u w:val="single"/>
    </w:rPr>
  </w:style>
  <w:style w:type="character" w:styleId="UnresolvedMention">
    <w:name w:val="Unresolved Mention"/>
    <w:basedOn w:val="DefaultParagraphFont"/>
    <w:uiPriority w:val="99"/>
    <w:semiHidden/>
    <w:unhideWhenUsed/>
    <w:rsid w:val="007A6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814348">
      <w:bodyDiv w:val="1"/>
      <w:marLeft w:val="0"/>
      <w:marRight w:val="0"/>
      <w:marTop w:val="0"/>
      <w:marBottom w:val="0"/>
      <w:divBdr>
        <w:top w:val="none" w:sz="0" w:space="0" w:color="auto"/>
        <w:left w:val="none" w:sz="0" w:space="0" w:color="auto"/>
        <w:bottom w:val="none" w:sz="0" w:space="0" w:color="auto"/>
        <w:right w:val="none" w:sz="0" w:space="0" w:color="auto"/>
      </w:divBdr>
    </w:div>
    <w:div w:id="193046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GphqrBCaL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5JbDbt4dk3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YGphqrBCaLE" TargetMode="External"/><Relationship Id="rId3" Type="http://schemas.openxmlformats.org/officeDocument/2006/relationships/hyperlink" Target="https://www.youtube.com/watch?v=5JbDbt4dk3M" TargetMode="External"/><Relationship Id="rId7" Type="http://schemas.openxmlformats.org/officeDocument/2006/relationships/hyperlink" Target="https://www.youtube.com/watch?v=YGphqrBCaLE" TargetMode="External"/><Relationship Id="rId2" Type="http://schemas.openxmlformats.org/officeDocument/2006/relationships/hyperlink" Target="https://www.youtube.com/watch?v=5JbDbt4dk3M" TargetMode="External"/><Relationship Id="rId1" Type="http://schemas.openxmlformats.org/officeDocument/2006/relationships/hyperlink" Target="https://www.youtube.com/watch?v=5JbDbt4dk3M" TargetMode="External"/><Relationship Id="rId6" Type="http://schemas.openxmlformats.org/officeDocument/2006/relationships/hyperlink" Target="https://www.youtube.com/watch?v=5JbDbt4dk3M" TargetMode="External"/><Relationship Id="rId5" Type="http://schemas.openxmlformats.org/officeDocument/2006/relationships/hyperlink" Target="https://www.youtube.com/watch?v=5JbDbt4dk3M" TargetMode="External"/><Relationship Id="rId4" Type="http://schemas.openxmlformats.org/officeDocument/2006/relationships/hyperlink" Target="https://www.youtube.com/watch?v=5JbDbt4dk3M" TargetMode="External"/><Relationship Id="rId9" Type="http://schemas.openxmlformats.org/officeDocument/2006/relationships/hyperlink" Target="https://www.youtube.com/watch?v=YGphqrBC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923CF-FF39-4B3E-AD73-73E020F06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 Silurean8</dc:creator>
  <cp:keywords/>
  <dc:description/>
  <cp:lastModifiedBy>Pipe Silurean8</cp:lastModifiedBy>
  <cp:revision>2</cp:revision>
  <dcterms:created xsi:type="dcterms:W3CDTF">2022-12-16T23:43:00Z</dcterms:created>
  <dcterms:modified xsi:type="dcterms:W3CDTF">2022-12-16T23:43:00Z</dcterms:modified>
</cp:coreProperties>
</file>