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B0AE2" w14:textId="61D2E381" w:rsidR="00AE2CB2" w:rsidRPr="00741CF8" w:rsidRDefault="00544EC9" w:rsidP="00AE2CB2">
      <w:pPr>
        <w:rPr>
          <w:rFonts w:ascii="Arial" w:hAnsi="Arial" w:cs="Arial"/>
          <w:b/>
          <w:bCs/>
          <w:sz w:val="28"/>
          <w:szCs w:val="28"/>
          <w:u w:val="single"/>
        </w:rPr>
      </w:pPr>
      <w:r w:rsidRPr="00741CF8">
        <w:rPr>
          <w:rFonts w:ascii="Arial" w:hAnsi="Arial" w:cs="Arial"/>
          <w:b/>
          <w:bCs/>
          <w:sz w:val="28"/>
          <w:szCs w:val="28"/>
          <w:u w:val="single"/>
        </w:rPr>
        <w:t xml:space="preserve">References </w:t>
      </w:r>
    </w:p>
    <w:p w14:paraId="1B4D742B" w14:textId="77777777" w:rsidR="00AE2CB2" w:rsidRPr="00270B64" w:rsidRDefault="00AE2CB2" w:rsidP="00AE2CB2">
      <w:pPr>
        <w:pStyle w:val="NormalWeb"/>
        <w:numPr>
          <w:ilvl w:val="0"/>
          <w:numId w:val="2"/>
        </w:numPr>
        <w:spacing w:before="0" w:beforeAutospacing="0" w:after="0" w:afterAutospacing="0" w:line="480" w:lineRule="auto"/>
        <w:rPr>
          <w:rFonts w:ascii="Arial" w:hAnsi="Arial" w:cs="Arial"/>
          <w:sz w:val="26"/>
          <w:szCs w:val="26"/>
        </w:rPr>
      </w:pPr>
      <w:r w:rsidRPr="00270B64">
        <w:rPr>
          <w:rFonts w:ascii="Arial" w:hAnsi="Arial" w:cs="Arial"/>
          <w:sz w:val="26"/>
          <w:szCs w:val="26"/>
        </w:rPr>
        <w:t xml:space="preserve">Anderson, K. (2020) “Inclusive learning: how to make your L&amp;D initiatives accessible to all,” </w:t>
      </w:r>
      <w:proofErr w:type="spellStart"/>
      <w:r w:rsidRPr="00270B64">
        <w:rPr>
          <w:rFonts w:ascii="Arial" w:hAnsi="Arial" w:cs="Arial"/>
          <w:i/>
          <w:iCs/>
          <w:sz w:val="26"/>
          <w:szCs w:val="26"/>
        </w:rPr>
        <w:t>TrainingZone</w:t>
      </w:r>
      <w:proofErr w:type="spellEnd"/>
      <w:r w:rsidRPr="00270B64">
        <w:rPr>
          <w:rFonts w:ascii="Arial" w:hAnsi="Arial" w:cs="Arial"/>
          <w:sz w:val="26"/>
          <w:szCs w:val="26"/>
        </w:rPr>
        <w:t>, 27 August. Available at: https://www.trainingzone.co.uk/deliver/training/inclusive-learning-how-to-make-your-ld-initiatives-accessible-to-all.</w:t>
      </w:r>
    </w:p>
    <w:p w14:paraId="056E570A" w14:textId="77777777" w:rsidR="00AE2CB2" w:rsidRPr="00270B64" w:rsidRDefault="00AE2CB2" w:rsidP="00AE2CB2">
      <w:pPr>
        <w:pStyle w:val="NormalWeb"/>
        <w:numPr>
          <w:ilvl w:val="0"/>
          <w:numId w:val="2"/>
        </w:numPr>
        <w:spacing w:before="0" w:beforeAutospacing="0" w:after="0" w:afterAutospacing="0" w:line="480" w:lineRule="auto"/>
        <w:rPr>
          <w:rFonts w:ascii="Arial" w:hAnsi="Arial" w:cs="Arial"/>
          <w:sz w:val="26"/>
          <w:szCs w:val="26"/>
        </w:rPr>
      </w:pPr>
      <w:r w:rsidRPr="00270B64">
        <w:rPr>
          <w:rFonts w:ascii="Arial" w:hAnsi="Arial" w:cs="Arial"/>
          <w:i/>
          <w:iCs/>
          <w:sz w:val="26"/>
          <w:szCs w:val="26"/>
        </w:rPr>
        <w:t>CIPD | Learning &amp; Development Strategy and Policy | Factsheets</w:t>
      </w:r>
      <w:r w:rsidRPr="00270B64">
        <w:rPr>
          <w:rFonts w:ascii="Arial" w:hAnsi="Arial" w:cs="Arial"/>
          <w:sz w:val="26"/>
          <w:szCs w:val="26"/>
        </w:rPr>
        <w:t xml:space="preserve"> (no date). Available at: </w:t>
      </w:r>
      <w:hyperlink r:id="rId7" w:history="1">
        <w:r w:rsidRPr="00270B64">
          <w:rPr>
            <w:rStyle w:val="Hyperlink"/>
            <w:rFonts w:ascii="Arial" w:hAnsi="Arial" w:cs="Arial"/>
            <w:sz w:val="26"/>
            <w:szCs w:val="26"/>
          </w:rPr>
          <w:t>https://www.cipd.org/uk/knowledge/factsheets/strategy-development-factsheet/</w:t>
        </w:r>
      </w:hyperlink>
      <w:r w:rsidRPr="00270B64">
        <w:rPr>
          <w:rFonts w:ascii="Arial" w:hAnsi="Arial" w:cs="Arial"/>
          <w:sz w:val="26"/>
          <w:szCs w:val="26"/>
        </w:rPr>
        <w:t>.</w:t>
      </w:r>
    </w:p>
    <w:p w14:paraId="750DBDB2" w14:textId="77777777" w:rsidR="00AE2CB2" w:rsidRPr="00270B64" w:rsidRDefault="00AE2CB2" w:rsidP="00AE2CB2">
      <w:pPr>
        <w:pStyle w:val="NormalWeb"/>
        <w:numPr>
          <w:ilvl w:val="0"/>
          <w:numId w:val="2"/>
        </w:numPr>
        <w:spacing w:before="0" w:beforeAutospacing="0" w:after="0" w:afterAutospacing="0" w:line="480" w:lineRule="auto"/>
        <w:rPr>
          <w:rFonts w:ascii="Arial" w:hAnsi="Arial" w:cs="Arial"/>
          <w:sz w:val="26"/>
          <w:szCs w:val="26"/>
        </w:rPr>
      </w:pPr>
      <w:r w:rsidRPr="00270B64">
        <w:rPr>
          <w:rFonts w:ascii="Arial" w:hAnsi="Arial" w:cs="Arial"/>
          <w:i/>
          <w:iCs/>
          <w:sz w:val="26"/>
          <w:szCs w:val="26"/>
        </w:rPr>
        <w:t>CIPD | On this page</w:t>
      </w:r>
      <w:r w:rsidRPr="00270B64">
        <w:rPr>
          <w:rFonts w:ascii="Arial" w:hAnsi="Arial" w:cs="Arial"/>
          <w:sz w:val="26"/>
          <w:szCs w:val="26"/>
        </w:rPr>
        <w:t xml:space="preserve"> (no date). Available at: </w:t>
      </w:r>
      <w:hyperlink r:id="rId8" w:history="1">
        <w:r w:rsidRPr="00270B64">
          <w:rPr>
            <w:rStyle w:val="Hyperlink"/>
            <w:rFonts w:ascii="Arial" w:hAnsi="Arial" w:cs="Arial"/>
            <w:sz w:val="26"/>
            <w:szCs w:val="26"/>
          </w:rPr>
          <w:t>https://www.cipd.org/uk/knowledge/factsheets/coaching-mentoring-factsheet/</w:t>
        </w:r>
      </w:hyperlink>
      <w:r w:rsidRPr="00270B64">
        <w:rPr>
          <w:rFonts w:ascii="Arial" w:hAnsi="Arial" w:cs="Arial"/>
          <w:sz w:val="26"/>
          <w:szCs w:val="26"/>
        </w:rPr>
        <w:t>.</w:t>
      </w:r>
    </w:p>
    <w:p w14:paraId="2B33562B" w14:textId="77777777" w:rsidR="00AE2CB2" w:rsidRPr="00270B64" w:rsidRDefault="00AE2CB2" w:rsidP="00AE2CB2">
      <w:pPr>
        <w:pStyle w:val="NormalWeb"/>
        <w:numPr>
          <w:ilvl w:val="0"/>
          <w:numId w:val="2"/>
        </w:numPr>
        <w:spacing w:before="0" w:beforeAutospacing="0" w:after="0" w:afterAutospacing="0" w:line="480" w:lineRule="auto"/>
        <w:rPr>
          <w:rFonts w:ascii="Arial" w:hAnsi="Arial" w:cs="Arial"/>
          <w:sz w:val="26"/>
          <w:szCs w:val="26"/>
        </w:rPr>
      </w:pPr>
      <w:r w:rsidRPr="00270B64">
        <w:rPr>
          <w:rFonts w:ascii="Arial" w:hAnsi="Arial" w:cs="Arial"/>
          <w:i/>
          <w:iCs/>
          <w:sz w:val="26"/>
          <w:szCs w:val="26"/>
        </w:rPr>
        <w:t>CIPD | The Profession Map / Specialist knowledge / Learning and development</w:t>
      </w:r>
      <w:r w:rsidRPr="00270B64">
        <w:rPr>
          <w:rFonts w:ascii="Arial" w:hAnsi="Arial" w:cs="Arial"/>
          <w:sz w:val="26"/>
          <w:szCs w:val="26"/>
        </w:rPr>
        <w:t xml:space="preserve"> (no date). Available at: https://www.cipd.org/uk/the-people-profession/the-profession-map/explore-the-profession-map/specialist-knowledge/learning-development?_gl=1*1dr61zw*_ga*ODE4NjM0LjE2NDMyOTI4MTU.*_ga_D9HN5GYHYY*MTY5MTkyMDM3OS42Ni4xLjE2OTE5MjAzODIuNTcuMC4w.</w:t>
      </w:r>
    </w:p>
    <w:p w14:paraId="6B7D76E0" w14:textId="77777777" w:rsidR="00AE2CB2" w:rsidRPr="00270B64" w:rsidRDefault="00AE2CB2" w:rsidP="00AE2CB2">
      <w:pPr>
        <w:pStyle w:val="NormalWeb"/>
        <w:numPr>
          <w:ilvl w:val="0"/>
          <w:numId w:val="2"/>
        </w:numPr>
        <w:spacing w:before="0" w:beforeAutospacing="0" w:after="0" w:afterAutospacing="0" w:line="480" w:lineRule="auto"/>
        <w:rPr>
          <w:rFonts w:ascii="Arial" w:hAnsi="Arial" w:cs="Arial"/>
          <w:sz w:val="26"/>
          <w:szCs w:val="26"/>
        </w:rPr>
      </w:pPr>
      <w:r w:rsidRPr="00270B64">
        <w:rPr>
          <w:rFonts w:ascii="Arial" w:hAnsi="Arial" w:cs="Arial"/>
          <w:sz w:val="26"/>
          <w:szCs w:val="26"/>
        </w:rPr>
        <w:t xml:space="preserve">Harry (2023) “Why learning and development (L&amp;D) matters: 12 Crucial reasons,” </w:t>
      </w:r>
      <w:r w:rsidRPr="00270B64">
        <w:rPr>
          <w:rFonts w:ascii="Arial" w:hAnsi="Arial" w:cs="Arial"/>
          <w:i/>
          <w:iCs/>
          <w:sz w:val="26"/>
          <w:szCs w:val="26"/>
        </w:rPr>
        <w:t>Growth Engineering</w:t>
      </w:r>
      <w:r w:rsidRPr="00270B64">
        <w:rPr>
          <w:rFonts w:ascii="Arial" w:hAnsi="Arial" w:cs="Arial"/>
          <w:sz w:val="26"/>
          <w:szCs w:val="26"/>
        </w:rPr>
        <w:t xml:space="preserve"> [Preprint]. Available at: https://www.growthengineering.co.uk/12-reasons-learning-and-development-is-important/.</w:t>
      </w:r>
    </w:p>
    <w:p w14:paraId="4746659D" w14:textId="77777777" w:rsidR="00AE2CB2" w:rsidRPr="00270B64" w:rsidRDefault="00AE2CB2" w:rsidP="00AE2CB2">
      <w:pPr>
        <w:pStyle w:val="NormalWeb"/>
        <w:numPr>
          <w:ilvl w:val="0"/>
          <w:numId w:val="2"/>
        </w:numPr>
        <w:spacing w:before="0" w:beforeAutospacing="0" w:after="0" w:afterAutospacing="0" w:line="480" w:lineRule="auto"/>
        <w:rPr>
          <w:rFonts w:ascii="Arial" w:hAnsi="Arial" w:cs="Arial"/>
          <w:sz w:val="26"/>
          <w:szCs w:val="26"/>
        </w:rPr>
      </w:pPr>
      <w:r w:rsidRPr="00270B64">
        <w:rPr>
          <w:rFonts w:ascii="Arial" w:hAnsi="Arial" w:cs="Arial"/>
          <w:sz w:val="26"/>
          <w:szCs w:val="26"/>
        </w:rPr>
        <w:t xml:space="preserve">Panel, E. (2021) “HR Experts Explain 16 Benefits </w:t>
      </w:r>
      <w:proofErr w:type="gramStart"/>
      <w:r w:rsidRPr="00270B64">
        <w:rPr>
          <w:rFonts w:ascii="Arial" w:hAnsi="Arial" w:cs="Arial"/>
          <w:sz w:val="26"/>
          <w:szCs w:val="26"/>
        </w:rPr>
        <w:t>Of</w:t>
      </w:r>
      <w:proofErr w:type="gramEnd"/>
      <w:r w:rsidRPr="00270B64">
        <w:rPr>
          <w:rFonts w:ascii="Arial" w:hAnsi="Arial" w:cs="Arial"/>
          <w:sz w:val="26"/>
          <w:szCs w:val="26"/>
        </w:rPr>
        <w:t xml:space="preserve"> Training And Development,” </w:t>
      </w:r>
      <w:r w:rsidRPr="00270B64">
        <w:rPr>
          <w:rFonts w:ascii="Arial" w:hAnsi="Arial" w:cs="Arial"/>
          <w:i/>
          <w:iCs/>
          <w:sz w:val="26"/>
          <w:szCs w:val="26"/>
        </w:rPr>
        <w:t>Forbes</w:t>
      </w:r>
      <w:r w:rsidRPr="00270B64">
        <w:rPr>
          <w:rFonts w:ascii="Arial" w:hAnsi="Arial" w:cs="Arial"/>
          <w:sz w:val="26"/>
          <w:szCs w:val="26"/>
        </w:rPr>
        <w:t>, 17 December. Available at: https://www.forbes.com/sites/forbeshumanresourcescouncil/2021/12/17/hr-experts-explain-16-benefits-of-training-and-development/.</w:t>
      </w:r>
    </w:p>
    <w:p w14:paraId="72B503C9" w14:textId="77777777" w:rsidR="00AE2CB2" w:rsidRPr="00270B64" w:rsidRDefault="00AE2CB2" w:rsidP="00AE2CB2">
      <w:pPr>
        <w:pStyle w:val="NormalWeb"/>
        <w:numPr>
          <w:ilvl w:val="0"/>
          <w:numId w:val="2"/>
        </w:numPr>
        <w:spacing w:before="0" w:beforeAutospacing="0" w:after="0" w:afterAutospacing="0" w:line="480" w:lineRule="auto"/>
        <w:rPr>
          <w:rFonts w:ascii="Arial" w:hAnsi="Arial" w:cs="Arial"/>
          <w:sz w:val="26"/>
          <w:szCs w:val="26"/>
        </w:rPr>
      </w:pPr>
      <w:proofErr w:type="spellStart"/>
      <w:r w:rsidRPr="00270B64">
        <w:rPr>
          <w:rFonts w:ascii="Arial" w:hAnsi="Arial" w:cs="Arial"/>
          <w:sz w:val="26"/>
          <w:szCs w:val="26"/>
        </w:rPr>
        <w:t>Thalheimer</w:t>
      </w:r>
      <w:proofErr w:type="spellEnd"/>
      <w:r w:rsidRPr="00270B64">
        <w:rPr>
          <w:rFonts w:ascii="Arial" w:hAnsi="Arial" w:cs="Arial"/>
          <w:sz w:val="26"/>
          <w:szCs w:val="26"/>
        </w:rPr>
        <w:t xml:space="preserve">, W. (2018) </w:t>
      </w:r>
      <w:r w:rsidRPr="00270B64">
        <w:rPr>
          <w:rFonts w:ascii="Arial" w:hAnsi="Arial" w:cs="Arial"/>
          <w:i/>
          <w:iCs/>
          <w:sz w:val="26"/>
          <w:szCs w:val="26"/>
        </w:rPr>
        <w:t>The Learning-Transfer Evaluation Model: Sending Messages to Enable Learning Effectiveness</w:t>
      </w:r>
      <w:r w:rsidRPr="00270B64">
        <w:rPr>
          <w:rFonts w:ascii="Arial" w:hAnsi="Arial" w:cs="Arial"/>
          <w:sz w:val="26"/>
          <w:szCs w:val="26"/>
        </w:rPr>
        <w:t>. Available at: https://www.worklearning.com/wp-content/uploads/2018/02/Thalheimer-The-Learning-Transfer-Evaluation-Model-Report-for-LTEM-v11.pdf (Accessed: August 1, 2023).</w:t>
      </w:r>
    </w:p>
    <w:p w14:paraId="255F285D" w14:textId="77777777" w:rsidR="00AE2CB2" w:rsidRPr="00270B64" w:rsidRDefault="00AE2CB2" w:rsidP="00AE2CB2">
      <w:pPr>
        <w:pStyle w:val="NormalWeb"/>
        <w:numPr>
          <w:ilvl w:val="0"/>
          <w:numId w:val="2"/>
        </w:numPr>
        <w:spacing w:before="0" w:beforeAutospacing="0" w:after="0" w:afterAutospacing="0" w:line="480" w:lineRule="auto"/>
        <w:rPr>
          <w:rFonts w:ascii="Arial" w:hAnsi="Arial" w:cs="Arial"/>
          <w:sz w:val="26"/>
          <w:szCs w:val="26"/>
        </w:rPr>
      </w:pPr>
      <w:r w:rsidRPr="00270B64">
        <w:rPr>
          <w:rFonts w:ascii="Arial" w:hAnsi="Arial" w:cs="Arial"/>
          <w:i/>
          <w:iCs/>
          <w:sz w:val="26"/>
          <w:szCs w:val="26"/>
        </w:rPr>
        <w:t>The essential components of a successful L&amp;D strategy</w:t>
      </w:r>
      <w:r w:rsidRPr="00270B64">
        <w:rPr>
          <w:rFonts w:ascii="Arial" w:hAnsi="Arial" w:cs="Arial"/>
          <w:sz w:val="26"/>
          <w:szCs w:val="26"/>
        </w:rPr>
        <w:t xml:space="preserve"> (2019). Available at: </w:t>
      </w:r>
      <w:hyperlink r:id="rId9" w:history="1">
        <w:r w:rsidRPr="00270B64">
          <w:rPr>
            <w:rStyle w:val="Hyperlink"/>
            <w:rFonts w:ascii="Arial" w:hAnsi="Arial" w:cs="Arial"/>
            <w:sz w:val="26"/>
            <w:szCs w:val="26"/>
          </w:rPr>
          <w:t>https://www.mckinsey.com/capabilities/people-and-organizational-performance/our-insights/the-essential-components-of-a-successful-l-and-d-strategy</w:t>
        </w:r>
      </w:hyperlink>
      <w:r w:rsidRPr="00270B64">
        <w:rPr>
          <w:rFonts w:ascii="Arial" w:hAnsi="Arial" w:cs="Arial"/>
          <w:sz w:val="26"/>
          <w:szCs w:val="26"/>
        </w:rPr>
        <w:t>.</w:t>
      </w:r>
    </w:p>
    <w:p w14:paraId="4E9C3274" w14:textId="68F67726" w:rsidR="00AE2CB2" w:rsidRDefault="00AE2CB2" w:rsidP="00AE2CB2">
      <w:pPr>
        <w:pStyle w:val="NormalWeb"/>
        <w:numPr>
          <w:ilvl w:val="0"/>
          <w:numId w:val="2"/>
        </w:numPr>
        <w:spacing w:before="0" w:beforeAutospacing="0" w:after="0" w:afterAutospacing="0" w:line="480" w:lineRule="auto"/>
        <w:rPr>
          <w:rFonts w:ascii="Arial" w:hAnsi="Arial" w:cs="Arial"/>
          <w:sz w:val="26"/>
          <w:szCs w:val="26"/>
        </w:rPr>
      </w:pPr>
      <w:proofErr w:type="spellStart"/>
      <w:r w:rsidRPr="00270B64">
        <w:rPr>
          <w:rFonts w:ascii="Arial" w:hAnsi="Arial" w:cs="Arial"/>
          <w:sz w:val="26"/>
          <w:szCs w:val="26"/>
        </w:rPr>
        <w:t>Vanacker</w:t>
      </w:r>
      <w:proofErr w:type="spellEnd"/>
      <w:r w:rsidRPr="00270B64">
        <w:rPr>
          <w:rFonts w:ascii="Arial" w:hAnsi="Arial" w:cs="Arial"/>
          <w:sz w:val="26"/>
          <w:szCs w:val="26"/>
        </w:rPr>
        <w:t xml:space="preserve">, A. (2021) “Demystifying Happiness </w:t>
      </w:r>
      <w:proofErr w:type="gramStart"/>
      <w:r w:rsidRPr="00270B64">
        <w:rPr>
          <w:rFonts w:ascii="Arial" w:hAnsi="Arial" w:cs="Arial"/>
          <w:sz w:val="26"/>
          <w:szCs w:val="26"/>
        </w:rPr>
        <w:t>At</w:t>
      </w:r>
      <w:proofErr w:type="gramEnd"/>
      <w:r w:rsidRPr="00270B64">
        <w:rPr>
          <w:rFonts w:ascii="Arial" w:hAnsi="Arial" w:cs="Arial"/>
          <w:sz w:val="26"/>
          <w:szCs w:val="26"/>
        </w:rPr>
        <w:t xml:space="preserve"> Work,” </w:t>
      </w:r>
      <w:r w:rsidRPr="00270B64">
        <w:rPr>
          <w:rFonts w:ascii="Arial" w:hAnsi="Arial" w:cs="Arial"/>
          <w:i/>
          <w:iCs/>
          <w:sz w:val="26"/>
          <w:szCs w:val="26"/>
        </w:rPr>
        <w:t>Forbes</w:t>
      </w:r>
      <w:r w:rsidRPr="00270B64">
        <w:rPr>
          <w:rFonts w:ascii="Arial" w:hAnsi="Arial" w:cs="Arial"/>
          <w:sz w:val="26"/>
          <w:szCs w:val="26"/>
        </w:rPr>
        <w:t xml:space="preserve">, 2 June. Available at: </w:t>
      </w:r>
      <w:hyperlink r:id="rId10" w:history="1">
        <w:r w:rsidR="00270B64" w:rsidRPr="0095006A">
          <w:rPr>
            <w:rStyle w:val="Hyperlink"/>
            <w:rFonts w:ascii="Arial" w:hAnsi="Arial" w:cs="Arial"/>
            <w:sz w:val="26"/>
            <w:szCs w:val="26"/>
          </w:rPr>
          <w:t>https://www.forbes.com/sites/forbesbusinesscouncil/2021/06/02/demystifying-happiness-at-work/</w:t>
        </w:r>
      </w:hyperlink>
      <w:r w:rsidRPr="00270B64">
        <w:rPr>
          <w:rFonts w:ascii="Arial" w:hAnsi="Arial" w:cs="Arial"/>
          <w:sz w:val="26"/>
          <w:szCs w:val="26"/>
        </w:rPr>
        <w:t>.</w:t>
      </w:r>
    </w:p>
    <w:p w14:paraId="663CAF9C" w14:textId="77777777" w:rsidR="00270B64" w:rsidRPr="00270B64" w:rsidRDefault="00270B64" w:rsidP="00270B64">
      <w:pPr>
        <w:pStyle w:val="paragraph"/>
        <w:numPr>
          <w:ilvl w:val="0"/>
          <w:numId w:val="2"/>
        </w:numPr>
        <w:spacing w:before="0" w:beforeAutospacing="0" w:after="0" w:afterAutospacing="0"/>
        <w:textAlignment w:val="baseline"/>
        <w:rPr>
          <w:rFonts w:ascii="Arial" w:hAnsi="Arial" w:cs="Arial"/>
          <w:sz w:val="26"/>
          <w:szCs w:val="26"/>
        </w:rPr>
      </w:pPr>
      <w:r w:rsidRPr="00270B64">
        <w:rPr>
          <w:rStyle w:val="normaltextrun"/>
          <w:rFonts w:ascii="Arial" w:hAnsi="Arial" w:cs="Arial"/>
          <w:color w:val="000000"/>
          <w:sz w:val="26"/>
          <w:szCs w:val="26"/>
        </w:rPr>
        <w:t xml:space="preserve">Waite, K. </w:t>
      </w:r>
      <w:r w:rsidRPr="00270B64">
        <w:rPr>
          <w:rStyle w:val="normaltextrun"/>
          <w:rFonts w:ascii="Arial" w:hAnsi="Arial" w:cs="Arial"/>
          <w:i/>
          <w:iCs/>
          <w:color w:val="000000"/>
          <w:sz w:val="26"/>
          <w:szCs w:val="26"/>
        </w:rPr>
        <w:t>et al.</w:t>
      </w:r>
      <w:r w:rsidRPr="00270B64">
        <w:rPr>
          <w:rStyle w:val="normaltextrun"/>
          <w:rFonts w:ascii="Arial" w:hAnsi="Arial" w:cs="Arial"/>
          <w:color w:val="000000"/>
          <w:sz w:val="26"/>
          <w:szCs w:val="26"/>
        </w:rPr>
        <w:t xml:space="preserve"> (2021) </w:t>
      </w:r>
      <w:r w:rsidRPr="00270B64">
        <w:rPr>
          <w:rStyle w:val="normaltextrun"/>
          <w:rFonts w:ascii="Arial" w:hAnsi="Arial" w:cs="Arial"/>
          <w:i/>
          <w:iCs/>
          <w:color w:val="000000"/>
          <w:sz w:val="26"/>
          <w:szCs w:val="26"/>
        </w:rPr>
        <w:t>People Practice: A Complete Guide</w:t>
      </w:r>
      <w:r w:rsidRPr="00270B64">
        <w:rPr>
          <w:rStyle w:val="normaltextrun"/>
          <w:rFonts w:ascii="Arial" w:hAnsi="Arial" w:cs="Arial"/>
          <w:color w:val="000000"/>
          <w:sz w:val="26"/>
          <w:szCs w:val="26"/>
        </w:rPr>
        <w:t xml:space="preserve">. 1st </w:t>
      </w:r>
      <w:proofErr w:type="spellStart"/>
      <w:r w:rsidRPr="00270B64">
        <w:rPr>
          <w:rStyle w:val="normaltextrun"/>
          <w:rFonts w:ascii="Arial" w:hAnsi="Arial" w:cs="Arial"/>
          <w:color w:val="000000"/>
          <w:sz w:val="26"/>
          <w:szCs w:val="26"/>
        </w:rPr>
        <w:t>edn</w:t>
      </w:r>
      <w:proofErr w:type="spellEnd"/>
      <w:r w:rsidRPr="00270B64">
        <w:rPr>
          <w:rStyle w:val="normaltextrun"/>
          <w:rFonts w:ascii="Arial" w:hAnsi="Arial" w:cs="Arial"/>
          <w:color w:val="000000"/>
          <w:sz w:val="26"/>
          <w:szCs w:val="26"/>
        </w:rPr>
        <w:t>. CIPD - Kogan Page.</w:t>
      </w:r>
      <w:r w:rsidRPr="00270B64">
        <w:rPr>
          <w:rStyle w:val="eop"/>
          <w:rFonts w:ascii="Arial" w:hAnsi="Arial" w:cs="Arial"/>
          <w:color w:val="000000"/>
          <w:sz w:val="26"/>
          <w:szCs w:val="26"/>
        </w:rPr>
        <w:t> </w:t>
      </w:r>
    </w:p>
    <w:p w14:paraId="4129DC92" w14:textId="77777777" w:rsidR="00270B64" w:rsidRDefault="00270B64" w:rsidP="00270B64">
      <w:pPr>
        <w:pStyle w:val="paragraph"/>
        <w:spacing w:before="0" w:beforeAutospacing="0" w:after="0" w:afterAutospacing="0"/>
        <w:ind w:left="720" w:hanging="720"/>
        <w:textAlignment w:val="baseline"/>
        <w:rPr>
          <w:rFonts w:ascii="Segoe UI" w:hAnsi="Segoe UI" w:cs="Segoe UI"/>
          <w:sz w:val="18"/>
          <w:szCs w:val="18"/>
        </w:rPr>
      </w:pPr>
      <w:r>
        <w:rPr>
          <w:rStyle w:val="eop"/>
          <w:color w:val="05103E"/>
          <w:sz w:val="22"/>
          <w:szCs w:val="22"/>
        </w:rPr>
        <w:t> </w:t>
      </w:r>
    </w:p>
    <w:p w14:paraId="1F62A733" w14:textId="77777777" w:rsidR="00570735" w:rsidRDefault="00570735" w:rsidP="00270B64">
      <w:pPr>
        <w:pStyle w:val="NormalWeb"/>
        <w:spacing w:before="0" w:beforeAutospacing="0" w:after="0" w:afterAutospacing="0" w:line="480" w:lineRule="auto"/>
      </w:pPr>
    </w:p>
    <w:p w14:paraId="2D1A3AC1" w14:textId="5A588B55" w:rsidR="00544EC9" w:rsidRPr="00443639" w:rsidRDefault="00443639" w:rsidP="00741CF8">
      <w:pPr>
        <w:pStyle w:val="ListParagraph"/>
        <w:rPr>
          <w:rFonts w:ascii="Arial" w:hAnsi="Arial" w:cs="Arial"/>
          <w:b/>
          <w:bCs/>
          <w:sz w:val="24"/>
          <w:szCs w:val="24"/>
          <w:u w:val="single"/>
        </w:rPr>
      </w:pPr>
      <w:r>
        <w:rPr>
          <w:rFonts w:ascii="Arial" w:hAnsi="Arial" w:cs="Arial"/>
          <w:b/>
          <w:bCs/>
          <w:sz w:val="24"/>
          <w:szCs w:val="24"/>
          <w:u w:val="single"/>
        </w:rPr>
        <w:t xml:space="preserve">Wordcount </w:t>
      </w:r>
      <w:r w:rsidR="00741CF8">
        <w:rPr>
          <w:rFonts w:ascii="Arial" w:hAnsi="Arial" w:cs="Arial"/>
          <w:b/>
          <w:bCs/>
          <w:sz w:val="24"/>
          <w:szCs w:val="24"/>
          <w:u w:val="single"/>
        </w:rPr>
        <w:t>- 1236</w:t>
      </w:r>
      <w:r w:rsidR="00544EC9" w:rsidRPr="00443639">
        <w:rPr>
          <w:rFonts w:ascii="Arial" w:hAnsi="Arial" w:cs="Arial"/>
          <w:b/>
          <w:bCs/>
          <w:sz w:val="24"/>
          <w:szCs w:val="24"/>
          <w:u w:val="single"/>
        </w:rPr>
        <w:br w:type="page"/>
      </w:r>
    </w:p>
    <w:p w14:paraId="5E5787A5" w14:textId="41D896B3" w:rsidR="00384A0A" w:rsidRDefault="00235FC9">
      <w:r>
        <w:rPr>
          <w:noProof/>
        </w:rPr>
        <w:lastRenderedPageBreak/>
        <mc:AlternateContent>
          <mc:Choice Requires="wps">
            <w:drawing>
              <wp:anchor distT="0" distB="0" distL="114300" distR="114300" simplePos="0" relativeHeight="251835392" behindDoc="0" locked="0" layoutInCell="1" allowOverlap="1" wp14:anchorId="4964CE10" wp14:editId="34A285CB">
                <wp:simplePos x="0" y="0"/>
                <wp:positionH relativeFrom="column">
                  <wp:posOffset>5089814</wp:posOffset>
                </wp:positionH>
                <wp:positionV relativeFrom="paragraph">
                  <wp:posOffset>5968588</wp:posOffset>
                </wp:positionV>
                <wp:extent cx="8982446" cy="3621809"/>
                <wp:effectExtent l="19050" t="19050" r="28575" b="17145"/>
                <wp:wrapNone/>
                <wp:docPr id="6" name="Text Box 6"/>
                <wp:cNvGraphicFramePr/>
                <a:graphic xmlns:a="http://schemas.openxmlformats.org/drawingml/2006/main">
                  <a:graphicData uri="http://schemas.microsoft.com/office/word/2010/wordprocessingShape">
                    <wps:wsp>
                      <wps:cNvSpPr txBox="1"/>
                      <wps:spPr>
                        <a:xfrm>
                          <a:off x="0" y="0"/>
                          <a:ext cx="8982446" cy="3621809"/>
                        </a:xfrm>
                        <a:prstGeom prst="rect">
                          <a:avLst/>
                        </a:prstGeom>
                        <a:solidFill>
                          <a:schemeClr val="accent1">
                            <a:lumMod val="20000"/>
                            <a:lumOff val="80000"/>
                          </a:schemeClr>
                        </a:solidFill>
                        <a:ln w="28575">
                          <a:solidFill>
                            <a:schemeClr val="accent1">
                              <a:lumMod val="50000"/>
                            </a:schemeClr>
                          </a:solidFill>
                        </a:ln>
                      </wps:spPr>
                      <wps:txbx>
                        <w:txbxContent>
                          <w:p w14:paraId="491347ED" w14:textId="77777777" w:rsidR="00C02191" w:rsidRPr="007B2C27" w:rsidRDefault="00961BB0" w:rsidP="00C02191">
                            <w:pPr>
                              <w:pStyle w:val="Listparag"/>
                              <w:numPr>
                                <w:ilvl w:val="0"/>
                                <w:numId w:val="0"/>
                              </w:numPr>
                              <w:jc w:val="both"/>
                              <w:rPr>
                                <w:color w:val="2F5496" w:themeColor="accent1" w:themeShade="BF"/>
                                <w:sz w:val="27"/>
                                <w:szCs w:val="27"/>
                              </w:rPr>
                            </w:pPr>
                            <w:r w:rsidRPr="007B2C27">
                              <w:rPr>
                                <w:b/>
                                <w:bCs/>
                                <w:color w:val="2F5496" w:themeColor="accent1" w:themeShade="BF"/>
                                <w:sz w:val="27"/>
                                <w:szCs w:val="27"/>
                              </w:rPr>
                              <w:t>(AC 6.5)</w:t>
                            </w:r>
                            <w:r w:rsidR="00C02191" w:rsidRPr="007B2C27">
                              <w:rPr>
                                <w:b/>
                                <w:bCs/>
                                <w:color w:val="2F5496" w:themeColor="accent1" w:themeShade="BF"/>
                                <w:sz w:val="27"/>
                                <w:szCs w:val="27"/>
                              </w:rPr>
                              <w:t xml:space="preserve"> </w:t>
                            </w:r>
                            <w:r w:rsidR="00C02191" w:rsidRPr="007B2C27">
                              <w:rPr>
                                <w:color w:val="2F5496" w:themeColor="accent1" w:themeShade="BF"/>
                                <w:sz w:val="27"/>
                                <w:szCs w:val="27"/>
                              </w:rPr>
                              <w:t xml:space="preserve">Learning and Development evaluation is essential for optimizing investment in training and aligning training programmes to enhance employee performance. The CIPD Professional map outlines that for us to be confident in fulfilling our purpose we need to ensure employees have the correct skills, </w:t>
                            </w:r>
                            <w:proofErr w:type="gramStart"/>
                            <w:r w:rsidR="00C02191" w:rsidRPr="007B2C27">
                              <w:rPr>
                                <w:color w:val="2F5496" w:themeColor="accent1" w:themeShade="BF"/>
                                <w:sz w:val="27"/>
                                <w:szCs w:val="27"/>
                              </w:rPr>
                              <w:t>knowledge</w:t>
                            </w:r>
                            <w:proofErr w:type="gramEnd"/>
                            <w:r w:rsidR="00C02191" w:rsidRPr="007B2C27">
                              <w:rPr>
                                <w:color w:val="2F5496" w:themeColor="accent1" w:themeShade="BF"/>
                                <w:sz w:val="27"/>
                                <w:szCs w:val="27"/>
                              </w:rPr>
                              <w:t xml:space="preserve"> and experience to fulfil their roles, so we need to measure this by evaluating the training programmes to keep improving offerings. Hayden (2021) explained evaluation activities can include looking at the impact L&amp;D has on performance, then the transfer of how this has gone back to employees and their role and finally the engagement of employees undertaking L&amp;D activities.  One method of evaluating L&amp;D is Kirkpatrick's model which has four levels, Waite et al (2021) describes it starting with the ‘reaction’ of how a learner reacts to an L&amp;D activity, for example did they enjoy it and was it engaging, then the ‘learning’ stage where Kirkpatrick outlines assessing the extent learners acquire the new skills and knowledge. The third stage is the ‘behaviour’ where we will observe the any changes in the learner's behaviour and see if they are applying their learning into their roles, and the final stage being ‘results’ which would be measuring the impact these changed behaviours have had on the organisation and evaluating is it contributing to achieving organisational goals. Another method is the </w:t>
                            </w:r>
                            <w:proofErr w:type="spellStart"/>
                            <w:r w:rsidR="00C02191" w:rsidRPr="007B2C27">
                              <w:rPr>
                                <w:color w:val="2F5496" w:themeColor="accent1" w:themeShade="BF"/>
                                <w:sz w:val="27"/>
                                <w:szCs w:val="27"/>
                              </w:rPr>
                              <w:t>Thalheimer</w:t>
                            </w:r>
                            <w:proofErr w:type="spellEnd"/>
                            <w:r w:rsidR="00C02191" w:rsidRPr="007B2C27">
                              <w:rPr>
                                <w:color w:val="2F5496" w:themeColor="accent1" w:themeShade="BF"/>
                                <w:sz w:val="27"/>
                                <w:szCs w:val="27"/>
                              </w:rPr>
                              <w:t xml:space="preserve"> model, </w:t>
                            </w:r>
                            <w:proofErr w:type="spellStart"/>
                            <w:r w:rsidR="00C02191" w:rsidRPr="007B2C27">
                              <w:rPr>
                                <w:color w:val="2F5496" w:themeColor="accent1" w:themeShade="BF"/>
                                <w:sz w:val="27"/>
                                <w:szCs w:val="27"/>
                              </w:rPr>
                              <w:t>Thalheimer</w:t>
                            </w:r>
                            <w:proofErr w:type="spellEnd"/>
                            <w:r w:rsidR="00C02191" w:rsidRPr="007B2C27">
                              <w:rPr>
                                <w:color w:val="2F5496" w:themeColor="accent1" w:themeShade="BF"/>
                                <w:sz w:val="27"/>
                                <w:szCs w:val="27"/>
                              </w:rPr>
                              <w:t xml:space="preserve"> (2018) Model is divided into 8 colour coded tiers, these tiers act like a barometer and that work using a traffic light system, green meaning the learning methods used is the most impactful for the learners results and red being the learning method is not adequate to mearing what was impactful.</w:t>
                            </w:r>
                          </w:p>
                          <w:p w14:paraId="5097A02D" w14:textId="03BB3CB9" w:rsidR="004A0448" w:rsidRDefault="004A044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64CE10" id="_x0000_t202" coordsize="21600,21600" o:spt="202" path="m,l,21600r21600,l21600,xe">
                <v:stroke joinstyle="miter"/>
                <v:path gradientshapeok="t" o:connecttype="rect"/>
              </v:shapetype>
              <v:shape id="Text Box 6" o:spid="_x0000_s1026" type="#_x0000_t202" style="position:absolute;margin-left:400.75pt;margin-top:469.95pt;width:707.3pt;height:285.2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" fillcolor="#d9e2f3 [660]" strokecolor="#1f3763 [1604]" strokeweight="2.25pt">
                <v:textbox>
                  <w:txbxContent>
                    <w:p w14:paraId="491347ED" w14:textId="77777777" w:rsidR="00C02191" w:rsidRPr="007B2C27" w:rsidRDefault="00961BB0" w:rsidP="00C02191">
                      <w:pPr>
                        <w:pStyle w:val="Listparag"/>
                        <w:numPr>
                          <w:ilvl w:val="0"/>
                          <w:numId w:val="0"/>
                        </w:numPr>
                        <w:jc w:val="both"/>
                        <w:rPr>
                          <w:color w:val="2F5496" w:themeColor="accent1" w:themeShade="BF"/>
                          <w:sz w:val="27"/>
                          <w:szCs w:val="27"/>
                        </w:rPr>
                      </w:pPr>
                      <w:r w:rsidRPr="007B2C27">
                        <w:rPr>
                          <w:b/>
                          <w:bCs/>
                          <w:color w:val="2F5496" w:themeColor="accent1" w:themeShade="BF"/>
                          <w:sz w:val="27"/>
                          <w:szCs w:val="27"/>
                        </w:rPr>
                        <w:t>(AC 6.5)</w:t>
                      </w:r>
                      <w:r w:rsidR="00C02191" w:rsidRPr="007B2C27">
                        <w:rPr>
                          <w:b/>
                          <w:bCs/>
                          <w:color w:val="2F5496" w:themeColor="accent1" w:themeShade="BF"/>
                          <w:sz w:val="27"/>
                          <w:szCs w:val="27"/>
                        </w:rPr>
                        <w:t xml:space="preserve"> </w:t>
                      </w:r>
                      <w:r w:rsidR="00C02191" w:rsidRPr="007B2C27">
                        <w:rPr>
                          <w:color w:val="2F5496" w:themeColor="accent1" w:themeShade="BF"/>
                          <w:sz w:val="27"/>
                          <w:szCs w:val="27"/>
                        </w:rPr>
                        <w:t xml:space="preserve">Learning and Development evaluation is essential for optimizing investment in training and aligning training programmes to enhance employee performance. The CIPD Professional map outlines that for us to be confident in fulfilling our purpose we need to ensure employees have the correct skills, </w:t>
                      </w:r>
                      <w:proofErr w:type="gramStart"/>
                      <w:r w:rsidR="00C02191" w:rsidRPr="007B2C27">
                        <w:rPr>
                          <w:color w:val="2F5496" w:themeColor="accent1" w:themeShade="BF"/>
                          <w:sz w:val="27"/>
                          <w:szCs w:val="27"/>
                        </w:rPr>
                        <w:t>knowledge</w:t>
                      </w:r>
                      <w:proofErr w:type="gramEnd"/>
                      <w:r w:rsidR="00C02191" w:rsidRPr="007B2C27">
                        <w:rPr>
                          <w:color w:val="2F5496" w:themeColor="accent1" w:themeShade="BF"/>
                          <w:sz w:val="27"/>
                          <w:szCs w:val="27"/>
                        </w:rPr>
                        <w:t xml:space="preserve"> and experience to fulfil their roles, so we need to measure this by evaluating the training programmes to keep improving offerings. Hayden (2021) explained evaluation activities can include looking at the impact L&amp;D has on performance, then the transfer of how this has gone back to employees and their role and finally the engagement of employees undertaking L&amp;D activities.  One method of evaluating L&amp;D is Kirkpatrick's model which has four levels, Waite et al (2021) describes it starting with the ‘reaction’ of how a learner reacts to an L&amp;D activity, for example did they enjoy it and was it engaging, then the ‘learning’ stage where Kirkpatrick outlines assessing the extent learners acquire the new skills and knowledge. The third stage is the ‘behaviour’ where we will observe the any changes in the learner's behaviour and see if they are applying their learning into their roles, and the final stage being ‘results’ which would be measuring the impact these changed behaviours have had on the organisation and evaluating is it contributing to achieving organisational goals. Another method is the </w:t>
                      </w:r>
                      <w:proofErr w:type="spellStart"/>
                      <w:r w:rsidR="00C02191" w:rsidRPr="007B2C27">
                        <w:rPr>
                          <w:color w:val="2F5496" w:themeColor="accent1" w:themeShade="BF"/>
                          <w:sz w:val="27"/>
                          <w:szCs w:val="27"/>
                        </w:rPr>
                        <w:t>Thalheimer</w:t>
                      </w:r>
                      <w:proofErr w:type="spellEnd"/>
                      <w:r w:rsidR="00C02191" w:rsidRPr="007B2C27">
                        <w:rPr>
                          <w:color w:val="2F5496" w:themeColor="accent1" w:themeShade="BF"/>
                          <w:sz w:val="27"/>
                          <w:szCs w:val="27"/>
                        </w:rPr>
                        <w:t xml:space="preserve"> model, </w:t>
                      </w:r>
                      <w:proofErr w:type="spellStart"/>
                      <w:r w:rsidR="00C02191" w:rsidRPr="007B2C27">
                        <w:rPr>
                          <w:color w:val="2F5496" w:themeColor="accent1" w:themeShade="BF"/>
                          <w:sz w:val="27"/>
                          <w:szCs w:val="27"/>
                        </w:rPr>
                        <w:t>Thalheimer</w:t>
                      </w:r>
                      <w:proofErr w:type="spellEnd"/>
                      <w:r w:rsidR="00C02191" w:rsidRPr="007B2C27">
                        <w:rPr>
                          <w:color w:val="2F5496" w:themeColor="accent1" w:themeShade="BF"/>
                          <w:sz w:val="27"/>
                          <w:szCs w:val="27"/>
                        </w:rPr>
                        <w:t xml:space="preserve"> (2018) Model is divided into 8 colour coded tiers, these tiers act like a barometer and that work using a traffic light system, green meaning the learning methods used is the most impactful for the learners results and red being the learning method is not adequate to mearing what was impactful.</w:t>
                      </w:r>
                    </w:p>
                    <w:p w14:paraId="5097A02D" w14:textId="03BB3CB9" w:rsidR="004A0448" w:rsidRDefault="004A0448"/>
                  </w:txbxContent>
                </v:textbox>
              </v:shape>
            </w:pict>
          </mc:Fallback>
        </mc:AlternateContent>
      </w:r>
      <w:r>
        <w:rPr>
          <w:noProof/>
        </w:rPr>
        <mc:AlternateContent>
          <mc:Choice Requires="wps">
            <w:drawing>
              <wp:anchor distT="0" distB="0" distL="114300" distR="114300" simplePos="0" relativeHeight="251646976" behindDoc="0" locked="0" layoutInCell="1" allowOverlap="1" wp14:anchorId="2625A71A" wp14:editId="1299592C">
                <wp:simplePos x="0" y="0"/>
                <wp:positionH relativeFrom="column">
                  <wp:posOffset>-587564</wp:posOffset>
                </wp:positionH>
                <wp:positionV relativeFrom="paragraph">
                  <wp:posOffset>5390317</wp:posOffset>
                </wp:positionV>
                <wp:extent cx="5556885" cy="4203717"/>
                <wp:effectExtent l="19050" t="19050" r="24765" b="25400"/>
                <wp:wrapNone/>
                <wp:docPr id="3" name="Text Box 3"/>
                <wp:cNvGraphicFramePr/>
                <a:graphic xmlns:a="http://schemas.openxmlformats.org/drawingml/2006/main">
                  <a:graphicData uri="http://schemas.microsoft.com/office/word/2010/wordprocessingShape">
                    <wps:wsp>
                      <wps:cNvSpPr txBox="1"/>
                      <wps:spPr>
                        <a:xfrm>
                          <a:off x="0" y="0"/>
                          <a:ext cx="5556885" cy="4203717"/>
                        </a:xfrm>
                        <a:prstGeom prst="rect">
                          <a:avLst/>
                        </a:prstGeom>
                        <a:solidFill>
                          <a:schemeClr val="accent1">
                            <a:lumMod val="60000"/>
                            <a:lumOff val="40000"/>
                          </a:schemeClr>
                        </a:solidFill>
                        <a:ln w="28575">
                          <a:solidFill>
                            <a:prstClr val="black"/>
                          </a:solidFill>
                        </a:ln>
                      </wps:spPr>
                      <wps:txbx>
                        <w:txbxContent>
                          <w:p w14:paraId="782F1A89" w14:textId="77777777" w:rsidR="004147AC" w:rsidRPr="00F80A37" w:rsidRDefault="001554F2" w:rsidP="004147AC">
                            <w:pPr>
                              <w:pStyle w:val="Listparag"/>
                              <w:numPr>
                                <w:ilvl w:val="0"/>
                                <w:numId w:val="0"/>
                              </w:numPr>
                              <w:jc w:val="both"/>
                              <w:rPr>
                                <w:color w:val="2F5496" w:themeColor="accent1" w:themeShade="BF"/>
                                <w:sz w:val="28"/>
                                <w:szCs w:val="28"/>
                                <w:highlight w:val="yellow"/>
                              </w:rPr>
                            </w:pPr>
                            <w:r w:rsidRPr="00F80A37">
                              <w:rPr>
                                <w:color w:val="2F5496" w:themeColor="accent1" w:themeShade="BF"/>
                                <w:sz w:val="28"/>
                                <w:szCs w:val="28"/>
                              </w:rPr>
                              <w:t>(AC 6.2)</w:t>
                            </w:r>
                            <w:r w:rsidR="004147AC" w:rsidRPr="00F80A37">
                              <w:rPr>
                                <w:color w:val="2F5496" w:themeColor="accent1" w:themeShade="BF"/>
                                <w:sz w:val="28"/>
                                <w:szCs w:val="28"/>
                              </w:rPr>
                              <w:t xml:space="preserve"> - Waite et al (2021) describes a learning need as a gap between what an individual wants, needs or is required to do, and what they can do. And explains that learning needs don’t always come from performance issues but are mostly driven by change. Hayden (2021) states that the first step of to creating an effective L&amp;D policy is to identify gaps in employees' skills and knowledge. There are generally 3 types of learning needs, these being compliance, capability, and motivation needs, each of these can arise for different reasons for both the organisation and the individual. These can come from both internal and external factors, for example the organisation may introduce a new online system where the employers will need to train their staff to use the new technology effectively. On the other hand, a learning need may come from legislation updates from the Government, such as The Data Protection Act (2010) and GDPR, meaning organisation must implement adequate training for staff to protect data. And finally, the individual may want to learn </w:t>
                            </w:r>
                            <w:proofErr w:type="spellStart"/>
                            <w:r w:rsidR="004147AC" w:rsidRPr="00F80A37">
                              <w:rPr>
                                <w:color w:val="2F5496" w:themeColor="accent1" w:themeShade="BF"/>
                                <w:sz w:val="28"/>
                                <w:szCs w:val="28"/>
                              </w:rPr>
                              <w:t>soley</w:t>
                            </w:r>
                            <w:proofErr w:type="spellEnd"/>
                            <w:r w:rsidR="004147AC" w:rsidRPr="00F80A37">
                              <w:rPr>
                                <w:color w:val="2F5496" w:themeColor="accent1" w:themeShade="BF"/>
                                <w:sz w:val="28"/>
                                <w:szCs w:val="28"/>
                              </w:rPr>
                              <w:t xml:space="preserve"> for their own personal growth and continuous professional development. </w:t>
                            </w:r>
                          </w:p>
                          <w:p w14:paraId="5A071BF1" w14:textId="4219F759" w:rsidR="001554F2" w:rsidRDefault="001554F2" w:rsidP="001554F2">
                            <w:pPr>
                              <w:pStyle w:val="Listparag"/>
                              <w:numPr>
                                <w:ilvl w:val="0"/>
                                <w:numId w:val="0"/>
                              </w:numPr>
                              <w:rPr>
                                <w:b/>
                                <w:bCs/>
                              </w:rPr>
                            </w:pPr>
                          </w:p>
                          <w:p w14:paraId="5EBFC95C" w14:textId="77777777" w:rsidR="00A62AF0" w:rsidRDefault="00A62A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5A71A" id="Text Box 3" o:spid="_x0000_s1027" type="#_x0000_t202" style="position:absolute;margin-left:-46.25pt;margin-top:424.45pt;width:437.55pt;height:331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" fillcolor="#8eaadb [1940]" strokeweight="2.25pt">
                <v:textbox>
                  <w:txbxContent>
                    <w:p w14:paraId="782F1A89" w14:textId="77777777" w:rsidR="004147AC" w:rsidRPr="00F80A37" w:rsidRDefault="001554F2" w:rsidP="004147AC">
                      <w:pPr>
                        <w:pStyle w:val="Listparag"/>
                        <w:numPr>
                          <w:ilvl w:val="0"/>
                          <w:numId w:val="0"/>
                        </w:numPr>
                        <w:jc w:val="both"/>
                        <w:rPr>
                          <w:color w:val="2F5496" w:themeColor="accent1" w:themeShade="BF"/>
                          <w:sz w:val="28"/>
                          <w:szCs w:val="28"/>
                          <w:highlight w:val="yellow"/>
                        </w:rPr>
                      </w:pPr>
                      <w:r w:rsidRPr="00F80A37">
                        <w:rPr>
                          <w:color w:val="2F5496" w:themeColor="accent1" w:themeShade="BF"/>
                          <w:sz w:val="28"/>
                          <w:szCs w:val="28"/>
                        </w:rPr>
                        <w:t>(AC 6.2)</w:t>
                      </w:r>
                      <w:r w:rsidR="004147AC" w:rsidRPr="00F80A37">
                        <w:rPr>
                          <w:color w:val="2F5496" w:themeColor="accent1" w:themeShade="BF"/>
                          <w:sz w:val="28"/>
                          <w:szCs w:val="28"/>
                        </w:rPr>
                        <w:t xml:space="preserve"> - Waite et al (2021) describes a learning need as a gap between what an individual wants, needs or is required to do, and what they can do. And explains that learning needs don’t always come from performance issues but are mostly driven by change. Hayden (2021) states that the first step of to creating an effective L&amp;D policy is to identify gaps in employees' skills and knowledge. There are generally 3 types of learning needs, these being compliance, capability, and motivation needs, each of these can arise for different reasons for both the organisation and the individual. These can come from both internal and external factors, for example the organisation may introduce a new online system where the employers will need to train their staff to use the new technology effectively. On the other hand, a learning need may come from legislation updates from the Government, such as The Data Protection Act (2010) and GDPR, meaning organisation must implement adequate training for staff to protect data. And finally, the individual may want to learn </w:t>
                      </w:r>
                      <w:proofErr w:type="spellStart"/>
                      <w:r w:rsidR="004147AC" w:rsidRPr="00F80A37">
                        <w:rPr>
                          <w:color w:val="2F5496" w:themeColor="accent1" w:themeShade="BF"/>
                          <w:sz w:val="28"/>
                          <w:szCs w:val="28"/>
                        </w:rPr>
                        <w:t>soley</w:t>
                      </w:r>
                      <w:proofErr w:type="spellEnd"/>
                      <w:r w:rsidR="004147AC" w:rsidRPr="00F80A37">
                        <w:rPr>
                          <w:color w:val="2F5496" w:themeColor="accent1" w:themeShade="BF"/>
                          <w:sz w:val="28"/>
                          <w:szCs w:val="28"/>
                        </w:rPr>
                        <w:t xml:space="preserve"> for their own personal growth and continuous professional development. </w:t>
                      </w:r>
                    </w:p>
                    <w:p w14:paraId="5A071BF1" w14:textId="4219F759" w:rsidR="001554F2" w:rsidRDefault="001554F2" w:rsidP="001554F2">
                      <w:pPr>
                        <w:pStyle w:val="Listparag"/>
                        <w:numPr>
                          <w:ilvl w:val="0"/>
                          <w:numId w:val="0"/>
                        </w:numPr>
                        <w:rPr>
                          <w:b/>
                          <w:bCs/>
                        </w:rPr>
                      </w:pPr>
                    </w:p>
                    <w:p w14:paraId="5EBFC95C" w14:textId="77777777" w:rsidR="00A62AF0" w:rsidRDefault="00A62AF0"/>
                  </w:txbxContent>
                </v:textbox>
              </v:shape>
            </w:pict>
          </mc:Fallback>
        </mc:AlternateContent>
      </w:r>
      <w:r>
        <w:rPr>
          <w:noProof/>
        </w:rPr>
        <mc:AlternateContent>
          <mc:Choice Requires="wps">
            <w:drawing>
              <wp:anchor distT="0" distB="0" distL="114300" distR="114300" simplePos="0" relativeHeight="251577344" behindDoc="0" locked="0" layoutInCell="1" allowOverlap="1" wp14:anchorId="38C92056" wp14:editId="153E6C9D">
                <wp:simplePos x="0" y="0"/>
                <wp:positionH relativeFrom="column">
                  <wp:posOffset>-593766</wp:posOffset>
                </wp:positionH>
                <wp:positionV relativeFrom="paragraph">
                  <wp:posOffset>-142504</wp:posOffset>
                </wp:positionV>
                <wp:extent cx="5568950" cy="5415148"/>
                <wp:effectExtent l="0" t="0" r="12700" b="14605"/>
                <wp:wrapNone/>
                <wp:docPr id="2" name="Text Box 2"/>
                <wp:cNvGraphicFramePr/>
                <a:graphic xmlns:a="http://schemas.openxmlformats.org/drawingml/2006/main">
                  <a:graphicData uri="http://schemas.microsoft.com/office/word/2010/wordprocessingShape">
                    <wps:wsp>
                      <wps:cNvSpPr txBox="1"/>
                      <wps:spPr>
                        <a:xfrm>
                          <a:off x="0" y="0"/>
                          <a:ext cx="5568950" cy="5415148"/>
                        </a:xfrm>
                        <a:prstGeom prst="rect">
                          <a:avLst/>
                        </a:prstGeom>
                        <a:solidFill>
                          <a:schemeClr val="accent1">
                            <a:lumMod val="40000"/>
                            <a:lumOff val="60000"/>
                          </a:schemeClr>
                        </a:solidFill>
                        <a:ln w="19050">
                          <a:solidFill>
                            <a:prstClr val="black"/>
                          </a:solidFill>
                        </a:ln>
                      </wps:spPr>
                      <wps:txbx>
                        <w:txbxContent>
                          <w:p w14:paraId="0D006D15" w14:textId="77777777" w:rsidR="00EC50D7" w:rsidRPr="00235FC9" w:rsidRDefault="00986533" w:rsidP="00EC50D7">
                            <w:pPr>
                              <w:pStyle w:val="Listparag"/>
                              <w:numPr>
                                <w:ilvl w:val="0"/>
                                <w:numId w:val="0"/>
                              </w:numPr>
                              <w:jc w:val="both"/>
                              <w:rPr>
                                <w:color w:val="2F5496" w:themeColor="accent1" w:themeShade="BF"/>
                                <w:sz w:val="26"/>
                                <w:szCs w:val="26"/>
                              </w:rPr>
                            </w:pPr>
                            <w:r w:rsidRPr="00235FC9">
                              <w:rPr>
                                <w:b/>
                                <w:bCs/>
                                <w:color w:val="2F5496" w:themeColor="accent1" w:themeShade="BF"/>
                                <w:sz w:val="26"/>
                                <w:szCs w:val="26"/>
                              </w:rPr>
                              <w:t xml:space="preserve">(AC 6.1) - </w:t>
                            </w:r>
                            <w:r w:rsidR="00EC50D7" w:rsidRPr="00235FC9">
                              <w:rPr>
                                <w:color w:val="2F5496" w:themeColor="accent1" w:themeShade="BF"/>
                                <w:sz w:val="26"/>
                                <w:szCs w:val="26"/>
                              </w:rPr>
                              <w:t>Hayden (2022) describes Learning and Development also known as L&amp;D as an overall business strategy that outlines how the organisation develops their workforce, it specifically looks at skill gaps within the organisation and develops programmes to upskill and align staff to the organisational needs as well as offering continuous professional development. L&amp;D activities are beneficial for both the organisation and individuals, these activities boost employee's productivity and build on their knowledge and skills. Investing in L&amp;D is hugely beneficial to the organisation as the workforce will not only be higher performing, but it also attracts top talent, Growth (2023) found that 87% of millennials say development and growth opportunities are more important to them when job searching. Retention is a major challenge for many organisations and L&amp;D has quickly become a competitive advantage when onboarding and retaining staff. Page (2021) outlined that organisations that foster good L&amp;D activities found the morale and motivation of staff improved, which in hand will retain employees within the organisation. Pace (2021) also highlighted that L&amp;D activities help to drive staff's self-initiative and growth, giving them motivation to pursue their career goals and again are more likely to stay in the organisation as they feel well supported and can see opportunities to grow. L&amp;D activities have several benefits to individuals as it allows employees to enhance their knowledge and skills. Brassey (2021) explains that staff require ongoing investment so employees can keep up to date with changes in the workplace/technology leaving staff to feel confident and motivated.  L&amp;D activities allow staff to have higher job satisfaction.</w:t>
                            </w:r>
                          </w:p>
                          <w:p w14:paraId="601DAA6A" w14:textId="64658403" w:rsidR="00DB74F3" w:rsidRDefault="00DB74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92056" id="Text Box 2" o:spid="_x0000_s1028" type="#_x0000_t202" style="position:absolute;margin-left:-46.75pt;margin-top:-11.2pt;width:438.5pt;height:426.4pt;z-index:25157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" fillcolor="#b4c6e7 [1300]" strokeweight="1.5pt">
                <v:textbox>
                  <w:txbxContent>
                    <w:p w14:paraId="0D006D15" w14:textId="77777777" w:rsidR="00EC50D7" w:rsidRPr="00235FC9" w:rsidRDefault="00986533" w:rsidP="00EC50D7">
                      <w:pPr>
                        <w:pStyle w:val="Listparag"/>
                        <w:numPr>
                          <w:ilvl w:val="0"/>
                          <w:numId w:val="0"/>
                        </w:numPr>
                        <w:jc w:val="both"/>
                        <w:rPr>
                          <w:color w:val="2F5496" w:themeColor="accent1" w:themeShade="BF"/>
                          <w:sz w:val="26"/>
                          <w:szCs w:val="26"/>
                        </w:rPr>
                      </w:pPr>
                      <w:r w:rsidRPr="00235FC9">
                        <w:rPr>
                          <w:b/>
                          <w:bCs/>
                          <w:color w:val="2F5496" w:themeColor="accent1" w:themeShade="BF"/>
                          <w:sz w:val="26"/>
                          <w:szCs w:val="26"/>
                        </w:rPr>
                        <w:t xml:space="preserve">(AC 6.1) - </w:t>
                      </w:r>
                      <w:r w:rsidR="00EC50D7" w:rsidRPr="00235FC9">
                        <w:rPr>
                          <w:color w:val="2F5496" w:themeColor="accent1" w:themeShade="BF"/>
                          <w:sz w:val="26"/>
                          <w:szCs w:val="26"/>
                        </w:rPr>
                        <w:t>Hayden (2022) describes Learning and Development also known as L&amp;D as an overall business strategy that outlines how the organisation develops their workforce, it specifically looks at skill gaps within the organisation and develops programmes to upskill and align staff to the organisational needs as well as offering continuous professional development. L&amp;D activities are beneficial for both the organisation and individuals, these activities boost employee's productivity and build on their knowledge and skills. Investing in L&amp;D is hugely beneficial to the organisation as the workforce will not only be higher performing, but it also attracts top talent, Growth (2023) found that 87% of millennials say development and growth opportunities are more important to them when job searching. Retention is a major challenge for many organisations and L&amp;D has quickly become a competitive advantage when onboarding and retaining staff. Page (2021) outlined that organisations that foster good L&amp;D activities found the morale and motivation of staff improved, which in hand will retain employees within the organisation. Pace (2021) also highlighted that L&amp;D activities help to drive staff's self-initiative and growth, giving them motivation to pursue their career goals and again are more likely to stay in the organisation as they feel well supported and can see opportunities to grow. L&amp;D activities have several benefits to individuals as it allows employees to enhance their knowledge and skills. Brassey (2021) explains that staff require ongoing investment so employees can keep up to date with changes in the workplace/technology leaving staff to feel confident and motivated.  L&amp;D activities allow staff to have higher job satisfaction.</w:t>
                      </w:r>
                    </w:p>
                    <w:p w14:paraId="601DAA6A" w14:textId="64658403" w:rsidR="00DB74F3" w:rsidRDefault="00DB74F3"/>
                  </w:txbxContent>
                </v:textbox>
              </v:shape>
            </w:pict>
          </mc:Fallback>
        </mc:AlternateContent>
      </w:r>
      <w:r w:rsidR="008F1572">
        <w:rPr>
          <w:noProof/>
        </w:rPr>
        <mc:AlternateContent>
          <mc:Choice Requires="wps">
            <w:drawing>
              <wp:anchor distT="0" distB="0" distL="114300" distR="114300" simplePos="0" relativeHeight="251722752" behindDoc="0" locked="0" layoutInCell="1" allowOverlap="1" wp14:anchorId="354E26C9" wp14:editId="68463F61">
                <wp:simplePos x="0" y="0"/>
                <wp:positionH relativeFrom="column">
                  <wp:posOffset>5066063</wp:posOffset>
                </wp:positionH>
                <wp:positionV relativeFrom="paragraph">
                  <wp:posOffset>256556</wp:posOffset>
                </wp:positionV>
                <wp:extent cx="4885459" cy="5597979"/>
                <wp:effectExtent l="19050" t="19050" r="10795" b="22225"/>
                <wp:wrapNone/>
                <wp:docPr id="4" name="Text Box 4"/>
                <wp:cNvGraphicFramePr/>
                <a:graphic xmlns:a="http://schemas.openxmlformats.org/drawingml/2006/main">
                  <a:graphicData uri="http://schemas.microsoft.com/office/word/2010/wordprocessingShape">
                    <wps:wsp>
                      <wps:cNvSpPr txBox="1"/>
                      <wps:spPr>
                        <a:xfrm>
                          <a:off x="0" y="0"/>
                          <a:ext cx="4885459" cy="5597979"/>
                        </a:xfrm>
                        <a:prstGeom prst="rect">
                          <a:avLst/>
                        </a:prstGeom>
                        <a:solidFill>
                          <a:schemeClr val="accent1">
                            <a:lumMod val="60000"/>
                            <a:lumOff val="40000"/>
                          </a:schemeClr>
                        </a:solidFill>
                        <a:ln w="28575">
                          <a:solidFill>
                            <a:schemeClr val="accent1">
                              <a:lumMod val="50000"/>
                            </a:schemeClr>
                          </a:solidFill>
                        </a:ln>
                      </wps:spPr>
                      <wps:txbx>
                        <w:txbxContent>
                          <w:p w14:paraId="50FC0F04" w14:textId="3AA5650E" w:rsidR="00BA4676" w:rsidRPr="00C02191" w:rsidRDefault="00BA4676" w:rsidP="00A776A2">
                            <w:pPr>
                              <w:pStyle w:val="Listparag"/>
                              <w:numPr>
                                <w:ilvl w:val="0"/>
                                <w:numId w:val="0"/>
                              </w:numPr>
                              <w:jc w:val="both"/>
                              <w:rPr>
                                <w:color w:val="2F5496" w:themeColor="accent1" w:themeShade="BF"/>
                                <w:sz w:val="24"/>
                              </w:rPr>
                            </w:pPr>
                            <w:r w:rsidRPr="00C02191">
                              <w:rPr>
                                <w:b/>
                                <w:bCs/>
                                <w:color w:val="2F5496" w:themeColor="accent1" w:themeShade="BF"/>
                                <w:sz w:val="24"/>
                              </w:rPr>
                              <w:t>(AC 6.3)</w:t>
                            </w:r>
                            <w:r w:rsidRPr="00C02191">
                              <w:rPr>
                                <w:color w:val="2F5496" w:themeColor="accent1" w:themeShade="BF"/>
                                <w:sz w:val="24"/>
                              </w:rPr>
                              <w:t xml:space="preserve"> </w:t>
                            </w:r>
                            <w:proofErr w:type="spellStart"/>
                            <w:r w:rsidR="00A776A2" w:rsidRPr="00C02191">
                              <w:rPr>
                                <w:color w:val="2F5496" w:themeColor="accent1" w:themeShade="BF"/>
                                <w:sz w:val="24"/>
                              </w:rPr>
                              <w:t>Vanakar</w:t>
                            </w:r>
                            <w:proofErr w:type="spellEnd"/>
                            <w:r w:rsidR="00A776A2" w:rsidRPr="00C02191">
                              <w:rPr>
                                <w:color w:val="2F5496" w:themeColor="accent1" w:themeShade="BF"/>
                                <w:sz w:val="24"/>
                              </w:rPr>
                              <w:t xml:space="preserve"> (2021) found that employees who are well trained are happier in the workplace, therefore it is just as important to take into consideration the training approaches as well as the training content when creating programmes. Firstly Hayden (2021) describes training as being an instructor led and a very structured learning process and is the process of teaching individuals of a new skill/knowledge which is content based used to develop skills, training is often delivered through a trainer with specific knowledge using presentations, </w:t>
                            </w:r>
                            <w:r w:rsidR="00BA73A8" w:rsidRPr="00C02191">
                              <w:rPr>
                                <w:color w:val="2F5496" w:themeColor="accent1" w:themeShade="BF"/>
                                <w:sz w:val="24"/>
                              </w:rPr>
                              <w:t>demonstrations,</w:t>
                            </w:r>
                            <w:r w:rsidR="00A776A2" w:rsidRPr="00C02191">
                              <w:rPr>
                                <w:color w:val="2F5496" w:themeColor="accent1" w:themeShade="BF"/>
                                <w:sz w:val="24"/>
                              </w:rPr>
                              <w:t xml:space="preserve"> and skills practice. Waite et al (2021) describes facilitation as a more ‘hands off’ approach with the facilitator focusing more on supporting the learning process opposed to delivering learning by providing guidance and structure. The facilitator ensures discussion are productive and any decision made are done collaboratively ensuring there is an engaging and inclusive environment to help with teamwork and participation. Coaching and mentoring are also important L&amp;D approaches, Hayden (2023) explains coaching as a non-directive form of development that focuses on improving performance and develops the individual by providing guidance and feedback particularly focusing on reflection and self-awareness. Coaching is usually on a one to one or in small interactive groups to allow individuals to overcome challenges and develop specific skills. Mentoring is a relationship where one person with more experience acts as a beneficial guide to support another by providing guidance and advice by sharing their past experiences and knowledge to support their mentees to develop. Waite et al (2021) highlighted that all the above methods are valued greatly when used efficiently but suggested blending two or three of these approaches together to make a more complex and interesting programme.  </w:t>
                            </w:r>
                          </w:p>
                          <w:p w14:paraId="62DC0EE4" w14:textId="77777777" w:rsidR="001545DC" w:rsidRDefault="001545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E26C9" id="Text Box 4" o:spid="_x0000_s1029" type="#_x0000_t202" style="position:absolute;margin-left:398.9pt;margin-top:20.2pt;width:384.7pt;height:440.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" fillcolor="#8eaadb [1940]" strokecolor="#1f3763 [1604]" strokeweight="2.25pt">
                <v:textbox>
                  <w:txbxContent>
                    <w:p w14:paraId="50FC0F04" w14:textId="3AA5650E" w:rsidR="00BA4676" w:rsidRPr="00C02191" w:rsidRDefault="00BA4676" w:rsidP="00A776A2">
                      <w:pPr>
                        <w:pStyle w:val="Listparag"/>
                        <w:numPr>
                          <w:ilvl w:val="0"/>
                          <w:numId w:val="0"/>
                        </w:numPr>
                        <w:jc w:val="both"/>
                        <w:rPr>
                          <w:color w:val="2F5496" w:themeColor="accent1" w:themeShade="BF"/>
                          <w:sz w:val="24"/>
                        </w:rPr>
                      </w:pPr>
                      <w:r w:rsidRPr="00C02191">
                        <w:rPr>
                          <w:b/>
                          <w:bCs/>
                          <w:color w:val="2F5496" w:themeColor="accent1" w:themeShade="BF"/>
                          <w:sz w:val="24"/>
                        </w:rPr>
                        <w:t>(AC 6.3)</w:t>
                      </w:r>
                      <w:r w:rsidRPr="00C02191">
                        <w:rPr>
                          <w:color w:val="2F5496" w:themeColor="accent1" w:themeShade="BF"/>
                          <w:sz w:val="24"/>
                        </w:rPr>
                        <w:t xml:space="preserve"> </w:t>
                      </w:r>
                      <w:proofErr w:type="spellStart"/>
                      <w:r w:rsidR="00A776A2" w:rsidRPr="00C02191">
                        <w:rPr>
                          <w:color w:val="2F5496" w:themeColor="accent1" w:themeShade="BF"/>
                          <w:sz w:val="24"/>
                        </w:rPr>
                        <w:t>Vanakar</w:t>
                      </w:r>
                      <w:proofErr w:type="spellEnd"/>
                      <w:r w:rsidR="00A776A2" w:rsidRPr="00C02191">
                        <w:rPr>
                          <w:color w:val="2F5496" w:themeColor="accent1" w:themeShade="BF"/>
                          <w:sz w:val="24"/>
                        </w:rPr>
                        <w:t xml:space="preserve"> (2021) found that employees who are well trained are happier in the workplace, therefore it is just as important to take into consideration the training approaches as well as the training content when creating programmes. Firstly Hayden (2021) describes training as being an instructor led and a very structured learning process and is the process of teaching individuals of a new skill/knowledge which is content based used to develop skills, training is often delivered through a trainer with specific knowledge using presentations, </w:t>
                      </w:r>
                      <w:r w:rsidR="00BA73A8" w:rsidRPr="00C02191">
                        <w:rPr>
                          <w:color w:val="2F5496" w:themeColor="accent1" w:themeShade="BF"/>
                          <w:sz w:val="24"/>
                        </w:rPr>
                        <w:t>demonstrations,</w:t>
                      </w:r>
                      <w:r w:rsidR="00A776A2" w:rsidRPr="00C02191">
                        <w:rPr>
                          <w:color w:val="2F5496" w:themeColor="accent1" w:themeShade="BF"/>
                          <w:sz w:val="24"/>
                        </w:rPr>
                        <w:t xml:space="preserve"> and skills practice. Waite et al (2021) describes facilitation as a more ‘hands off’ approach with the facilitator focusing more on supporting the learning process opposed to delivering learning by providing guidance and structure. The facilitator ensures discussion are productive and any decision made are done collaboratively ensuring there is an engaging and inclusive environment to help with teamwork and participation. Coaching and mentoring are also important L&amp;D approaches, Hayden (2023) explains coaching as a non-directive form of development that focuses on improving performance and develops the individual by providing guidance and feedback particularly focusing on reflection and self-awareness. Coaching is usually on a one to one or in small interactive groups to allow individuals to overcome challenges and develop specific skills. Mentoring is a relationship where one person with more experience acts as a beneficial guide to support another by providing guidance and advice by sharing their past experiences and knowledge to support their mentees to develop. Waite et al (2021) highlighted that all the above methods are valued greatly when used efficiently but suggested blending two or three of these approaches together to make a more complex and interesting programme.  </w:t>
                      </w:r>
                    </w:p>
                    <w:p w14:paraId="62DC0EE4" w14:textId="77777777" w:rsidR="001545DC" w:rsidRDefault="001545DC"/>
                  </w:txbxContent>
                </v:textbox>
              </v:shape>
            </w:pict>
          </mc:Fallback>
        </mc:AlternateContent>
      </w:r>
      <w:r w:rsidR="008F1572">
        <w:rPr>
          <w:noProof/>
        </w:rPr>
        <mc:AlternateContent>
          <mc:Choice Requires="wps">
            <w:drawing>
              <wp:anchor distT="0" distB="0" distL="114300" distR="114300" simplePos="0" relativeHeight="251794432" behindDoc="0" locked="0" layoutInCell="1" allowOverlap="1" wp14:anchorId="288BD76B" wp14:editId="7B95B5CB">
                <wp:simplePos x="0" y="0"/>
                <wp:positionH relativeFrom="column">
                  <wp:posOffset>10022774</wp:posOffset>
                </wp:positionH>
                <wp:positionV relativeFrom="paragraph">
                  <wp:posOffset>256556</wp:posOffset>
                </wp:positionV>
                <wp:extent cx="4067546" cy="5586095"/>
                <wp:effectExtent l="19050" t="19050" r="28575" b="14605"/>
                <wp:wrapNone/>
                <wp:docPr id="5" name="Text Box 5"/>
                <wp:cNvGraphicFramePr/>
                <a:graphic xmlns:a="http://schemas.openxmlformats.org/drawingml/2006/main">
                  <a:graphicData uri="http://schemas.microsoft.com/office/word/2010/wordprocessingShape">
                    <wps:wsp>
                      <wps:cNvSpPr txBox="1"/>
                      <wps:spPr>
                        <a:xfrm>
                          <a:off x="0" y="0"/>
                          <a:ext cx="4067546" cy="5586095"/>
                        </a:xfrm>
                        <a:prstGeom prst="rect">
                          <a:avLst/>
                        </a:prstGeom>
                        <a:solidFill>
                          <a:schemeClr val="accent1">
                            <a:lumMod val="40000"/>
                            <a:lumOff val="60000"/>
                          </a:schemeClr>
                        </a:solidFill>
                        <a:ln w="28575">
                          <a:solidFill>
                            <a:schemeClr val="accent1">
                              <a:lumMod val="50000"/>
                            </a:schemeClr>
                          </a:solidFill>
                        </a:ln>
                      </wps:spPr>
                      <wps:txbx>
                        <w:txbxContent>
                          <w:p w14:paraId="38947712" w14:textId="066FD350" w:rsidR="004A0448" w:rsidRPr="00C02191" w:rsidRDefault="00FF0DD8" w:rsidP="004A0448">
                            <w:pPr>
                              <w:pStyle w:val="Listparag"/>
                              <w:numPr>
                                <w:ilvl w:val="0"/>
                                <w:numId w:val="0"/>
                              </w:numPr>
                              <w:jc w:val="both"/>
                              <w:rPr>
                                <w:color w:val="2F5496" w:themeColor="accent1" w:themeShade="BF"/>
                                <w:sz w:val="24"/>
                              </w:rPr>
                            </w:pPr>
                            <w:r w:rsidRPr="00C02191">
                              <w:rPr>
                                <w:b/>
                                <w:bCs/>
                                <w:color w:val="2F5496" w:themeColor="accent1" w:themeShade="BF"/>
                                <w:sz w:val="24"/>
                              </w:rPr>
                              <w:t>(AC 6.4)</w:t>
                            </w:r>
                            <w:r w:rsidR="004A0448" w:rsidRPr="00C02191">
                              <w:rPr>
                                <w:b/>
                                <w:bCs/>
                                <w:color w:val="2F5496" w:themeColor="accent1" w:themeShade="BF"/>
                                <w:sz w:val="24"/>
                              </w:rPr>
                              <w:t xml:space="preserve"> -</w:t>
                            </w:r>
                            <w:r w:rsidR="004A0448" w:rsidRPr="00C02191">
                              <w:rPr>
                                <w:color w:val="2F5496" w:themeColor="accent1" w:themeShade="BF"/>
                                <w:sz w:val="24"/>
                              </w:rPr>
                              <w:t xml:space="preserve"> Hayden (2021) outlined that individuals' preferences and requirements are essential for effective development, therefore it is crucial to accommodate people's preferences and requirements when we design and deliver L&amp;D activities. By doing so it ensures the learning experience for the individuals is effective and engaging, allowing them to acquire the new skills we are teaching. Waite et al (2021) highlighted that everybody has different learning styles and found that L&amp;D delivery methods can only be successful if these needs are taken into consideration. When designing L&amp;D initiatives Anderson (2020) stated considering users with different abilities at the start of the design process will ultimately create a programme that works for more people, for example some people prefer to learn through experience and doing while others opt for a more formal approach such as books or lecture style classes. It is also important to note the individuals preferred learning environment, for examples learning in a group session compared to others who would prefer to learn independently. Additionally, the learner's history of learning needs to be taken into consideration, for example if an individual has previously completed a similar course, it would be a waste of resource and time for this to be repeated. All the examples can be affected by factors such as job roles, </w:t>
                            </w:r>
                            <w:r w:rsidR="00B00C63" w:rsidRPr="00C02191">
                              <w:rPr>
                                <w:color w:val="2F5496" w:themeColor="accent1" w:themeShade="BF"/>
                                <w:sz w:val="24"/>
                              </w:rPr>
                              <w:t>departments,</w:t>
                            </w:r>
                            <w:r w:rsidR="004A0448" w:rsidRPr="00C02191">
                              <w:rPr>
                                <w:color w:val="2F5496" w:themeColor="accent1" w:themeShade="BF"/>
                                <w:sz w:val="24"/>
                              </w:rPr>
                              <w:t xml:space="preserve"> and complexity, so these also needs to be considered when designing and delivering initiatives, ensuring that learning can be offered to the employee's convenience.</w:t>
                            </w:r>
                          </w:p>
                          <w:p w14:paraId="32A8C090" w14:textId="77777777" w:rsidR="004A0448" w:rsidRDefault="004A0448" w:rsidP="004A0448">
                            <w:pPr>
                              <w:pStyle w:val="Listparag"/>
                              <w:numPr>
                                <w:ilvl w:val="0"/>
                                <w:numId w:val="0"/>
                              </w:numPr>
                            </w:pPr>
                          </w:p>
                          <w:p w14:paraId="5CFCC78F" w14:textId="0EF011AF" w:rsidR="00A776A2" w:rsidRDefault="00A776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BD76B" id="Text Box 5" o:spid="_x0000_s1030" type="#_x0000_t202" style="position:absolute;margin-left:789.2pt;margin-top:20.2pt;width:320.3pt;height:439.85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" fillcolor="#b4c6e7 [1300]" strokecolor="#1f3763 [1604]" strokeweight="2.25pt">
                <v:textbox>
                  <w:txbxContent>
                    <w:p w14:paraId="38947712" w14:textId="066FD350" w:rsidR="004A0448" w:rsidRPr="00C02191" w:rsidRDefault="00FF0DD8" w:rsidP="004A0448">
                      <w:pPr>
                        <w:pStyle w:val="Listparag"/>
                        <w:numPr>
                          <w:ilvl w:val="0"/>
                          <w:numId w:val="0"/>
                        </w:numPr>
                        <w:jc w:val="both"/>
                        <w:rPr>
                          <w:color w:val="2F5496" w:themeColor="accent1" w:themeShade="BF"/>
                          <w:sz w:val="24"/>
                        </w:rPr>
                      </w:pPr>
                      <w:r w:rsidRPr="00C02191">
                        <w:rPr>
                          <w:b/>
                          <w:bCs/>
                          <w:color w:val="2F5496" w:themeColor="accent1" w:themeShade="BF"/>
                          <w:sz w:val="24"/>
                        </w:rPr>
                        <w:t>(AC 6.4)</w:t>
                      </w:r>
                      <w:r w:rsidR="004A0448" w:rsidRPr="00C02191">
                        <w:rPr>
                          <w:b/>
                          <w:bCs/>
                          <w:color w:val="2F5496" w:themeColor="accent1" w:themeShade="BF"/>
                          <w:sz w:val="24"/>
                        </w:rPr>
                        <w:t xml:space="preserve"> -</w:t>
                      </w:r>
                      <w:r w:rsidR="004A0448" w:rsidRPr="00C02191">
                        <w:rPr>
                          <w:color w:val="2F5496" w:themeColor="accent1" w:themeShade="BF"/>
                          <w:sz w:val="24"/>
                        </w:rPr>
                        <w:t xml:space="preserve"> Hayden (2021) outlined that individuals' preferences and requirements are essential for effective development, therefore it is crucial to accommodate people's preferences and requirements when we design and deliver L&amp;D activities. By doing so it ensures the learning experience for the individuals is effective and engaging, allowing them to acquire the new skills we are teaching. Waite et al (2021) highlighted that everybody has different learning styles and found that L&amp;D delivery methods can only be successful if these needs are taken into consideration. When designing L&amp;D initiatives Anderson (2020) stated considering users with different abilities at the start of the design process will ultimately create a programme that works for more people, for example some people prefer to learn through experience and doing while others opt for a more formal approach such as books or lecture style classes. It is also important to note the individuals preferred learning environment, for examples learning in a group session compared to others who would prefer to learn independently. Additionally, the learner's history of learning needs to be taken into consideration, for example if an individual has previously completed a similar course, it would be a waste of resource and time for this to be repeated. All the examples can be affected by factors such as job roles, </w:t>
                      </w:r>
                      <w:r w:rsidR="00B00C63" w:rsidRPr="00C02191">
                        <w:rPr>
                          <w:color w:val="2F5496" w:themeColor="accent1" w:themeShade="BF"/>
                          <w:sz w:val="24"/>
                        </w:rPr>
                        <w:t>departments,</w:t>
                      </w:r>
                      <w:r w:rsidR="004A0448" w:rsidRPr="00C02191">
                        <w:rPr>
                          <w:color w:val="2F5496" w:themeColor="accent1" w:themeShade="BF"/>
                          <w:sz w:val="24"/>
                        </w:rPr>
                        <w:t xml:space="preserve"> and complexity, so these also needs to be considered when designing and delivering initiatives, ensuring that learning can be offered to the employee's convenience.</w:t>
                      </w:r>
                    </w:p>
                    <w:p w14:paraId="32A8C090" w14:textId="77777777" w:rsidR="004A0448" w:rsidRDefault="004A0448" w:rsidP="004A0448">
                      <w:pPr>
                        <w:pStyle w:val="Listparag"/>
                        <w:numPr>
                          <w:ilvl w:val="0"/>
                          <w:numId w:val="0"/>
                        </w:numPr>
                      </w:pPr>
                    </w:p>
                    <w:p w14:paraId="5CFCC78F" w14:textId="0EF011AF" w:rsidR="00A776A2" w:rsidRDefault="00A776A2"/>
                  </w:txbxContent>
                </v:textbox>
              </v:shape>
            </w:pict>
          </mc:Fallback>
        </mc:AlternateContent>
      </w:r>
      <w:r w:rsidR="008F1572">
        <w:rPr>
          <w:noProof/>
        </w:rPr>
        <mc:AlternateContent>
          <mc:Choice Requires="wps">
            <w:drawing>
              <wp:anchor distT="0" distB="0" distL="114300" distR="114300" simplePos="0" relativeHeight="251520000" behindDoc="0" locked="0" layoutInCell="1" allowOverlap="1" wp14:anchorId="26DD94C8" wp14:editId="42E549F2">
                <wp:simplePos x="0" y="0"/>
                <wp:positionH relativeFrom="column">
                  <wp:posOffset>5054188</wp:posOffset>
                </wp:positionH>
                <wp:positionV relativeFrom="paragraph">
                  <wp:posOffset>-835973</wp:posOffset>
                </wp:positionV>
                <wp:extent cx="9036685" cy="1037854"/>
                <wp:effectExtent l="19050" t="19050" r="12065" b="10160"/>
                <wp:wrapNone/>
                <wp:docPr id="1" name="Text Box 1"/>
                <wp:cNvGraphicFramePr/>
                <a:graphic xmlns:a="http://schemas.openxmlformats.org/drawingml/2006/main">
                  <a:graphicData uri="http://schemas.microsoft.com/office/word/2010/wordprocessingShape">
                    <wps:wsp>
                      <wps:cNvSpPr txBox="1"/>
                      <wps:spPr>
                        <a:xfrm>
                          <a:off x="0" y="0"/>
                          <a:ext cx="9036685" cy="1037854"/>
                        </a:xfrm>
                        <a:prstGeom prst="rect">
                          <a:avLst/>
                        </a:prstGeom>
                        <a:solidFill>
                          <a:schemeClr val="accent1">
                            <a:lumMod val="20000"/>
                            <a:lumOff val="80000"/>
                          </a:schemeClr>
                        </a:solidFill>
                        <a:ln w="28575"/>
                      </wps:spPr>
                      <wps:style>
                        <a:lnRef idx="2">
                          <a:schemeClr val="accent1"/>
                        </a:lnRef>
                        <a:fillRef idx="1">
                          <a:schemeClr val="lt1"/>
                        </a:fillRef>
                        <a:effectRef idx="0">
                          <a:schemeClr val="accent1"/>
                        </a:effectRef>
                        <a:fontRef idx="minor">
                          <a:schemeClr val="dk1"/>
                        </a:fontRef>
                      </wps:style>
                      <wps:txbx>
                        <w:txbxContent>
                          <w:p w14:paraId="4C73B774" w14:textId="4D6E887E" w:rsidR="00891B88" w:rsidRPr="001545DC" w:rsidRDefault="0047342B" w:rsidP="001545DC">
                            <w:pPr>
                              <w:jc w:val="both"/>
                              <w:rPr>
                                <w:rFonts w:ascii="Arial" w:hAnsi="Arial" w:cs="Arial"/>
                                <w:b/>
                                <w:bCs/>
                                <w:color w:val="2F5496" w:themeColor="accent1" w:themeShade="BF"/>
                                <w:sz w:val="24"/>
                                <w:szCs w:val="24"/>
                              </w:rPr>
                            </w:pPr>
                            <w:r w:rsidRPr="001545DC">
                              <w:rPr>
                                <w:rFonts w:ascii="Arial" w:hAnsi="Arial" w:cs="Arial"/>
                                <w:b/>
                                <w:bCs/>
                                <w:color w:val="2F5496" w:themeColor="accent1" w:themeShade="BF"/>
                                <w:sz w:val="24"/>
                                <w:szCs w:val="24"/>
                              </w:rPr>
                              <w:t>Employee</w:t>
                            </w:r>
                            <w:r w:rsidR="000B5211" w:rsidRPr="001545DC">
                              <w:rPr>
                                <w:rFonts w:ascii="Arial" w:hAnsi="Arial" w:cs="Arial"/>
                                <w:b/>
                                <w:bCs/>
                                <w:color w:val="2F5496" w:themeColor="accent1" w:themeShade="BF"/>
                                <w:sz w:val="24"/>
                                <w:szCs w:val="24"/>
                              </w:rPr>
                              <w:t xml:space="preserve"> development is very important to us here at Healthcare on Han</w:t>
                            </w:r>
                            <w:r w:rsidR="0005459E" w:rsidRPr="001545DC">
                              <w:rPr>
                                <w:rFonts w:ascii="Arial" w:hAnsi="Arial" w:cs="Arial"/>
                                <w:b/>
                                <w:bCs/>
                                <w:color w:val="2F5496" w:themeColor="accent1" w:themeShade="BF"/>
                                <w:sz w:val="24"/>
                                <w:szCs w:val="24"/>
                              </w:rPr>
                              <w:t>d and we are passionate</w:t>
                            </w:r>
                            <w:r w:rsidRPr="001545DC">
                              <w:rPr>
                                <w:rFonts w:ascii="Arial" w:hAnsi="Arial" w:cs="Arial"/>
                                <w:b/>
                                <w:bCs/>
                                <w:color w:val="2F5496" w:themeColor="accent1" w:themeShade="BF"/>
                                <w:sz w:val="24"/>
                                <w:szCs w:val="24"/>
                              </w:rPr>
                              <w:t xml:space="preserve"> about</w:t>
                            </w:r>
                            <w:r w:rsidR="0005459E" w:rsidRPr="001545DC">
                              <w:rPr>
                                <w:rFonts w:ascii="Arial" w:hAnsi="Arial" w:cs="Arial"/>
                                <w:b/>
                                <w:bCs/>
                                <w:color w:val="2F5496" w:themeColor="accent1" w:themeShade="BF"/>
                                <w:sz w:val="24"/>
                                <w:szCs w:val="24"/>
                              </w:rPr>
                              <w:t xml:space="preserve"> staff </w:t>
                            </w:r>
                            <w:r w:rsidRPr="001545DC">
                              <w:rPr>
                                <w:rFonts w:ascii="Arial" w:hAnsi="Arial" w:cs="Arial"/>
                                <w:b/>
                                <w:bCs/>
                                <w:color w:val="2F5496" w:themeColor="accent1" w:themeShade="BF"/>
                                <w:sz w:val="24"/>
                                <w:szCs w:val="24"/>
                              </w:rPr>
                              <w:t>ha</w:t>
                            </w:r>
                            <w:r w:rsidR="0006315F" w:rsidRPr="001545DC">
                              <w:rPr>
                                <w:rFonts w:ascii="Arial" w:hAnsi="Arial" w:cs="Arial"/>
                                <w:b/>
                                <w:bCs/>
                                <w:color w:val="2F5496" w:themeColor="accent1" w:themeShade="BF"/>
                                <w:sz w:val="24"/>
                                <w:szCs w:val="24"/>
                              </w:rPr>
                              <w:t>vi</w:t>
                            </w:r>
                            <w:r w:rsidRPr="001545DC">
                              <w:rPr>
                                <w:rFonts w:ascii="Arial" w:hAnsi="Arial" w:cs="Arial"/>
                                <w:b/>
                                <w:bCs/>
                                <w:color w:val="2F5496" w:themeColor="accent1" w:themeShade="BF"/>
                                <w:sz w:val="24"/>
                                <w:szCs w:val="24"/>
                              </w:rPr>
                              <w:t xml:space="preserve">ng the opportunity </w:t>
                            </w:r>
                            <w:r w:rsidR="0005459E" w:rsidRPr="001545DC">
                              <w:rPr>
                                <w:rFonts w:ascii="Arial" w:hAnsi="Arial" w:cs="Arial"/>
                                <w:b/>
                                <w:bCs/>
                                <w:color w:val="2F5496" w:themeColor="accent1" w:themeShade="BF"/>
                                <w:sz w:val="24"/>
                                <w:szCs w:val="24"/>
                              </w:rPr>
                              <w:t xml:space="preserve">to develop new skills and knowledge in their roles to </w:t>
                            </w:r>
                            <w:r w:rsidRPr="001545DC">
                              <w:rPr>
                                <w:rFonts w:ascii="Arial" w:hAnsi="Arial" w:cs="Arial"/>
                                <w:b/>
                                <w:bCs/>
                                <w:color w:val="2F5496" w:themeColor="accent1" w:themeShade="BF"/>
                                <w:sz w:val="24"/>
                                <w:szCs w:val="24"/>
                              </w:rPr>
                              <w:t xml:space="preserve">working to </w:t>
                            </w:r>
                            <w:r w:rsidR="0005459E" w:rsidRPr="001545DC">
                              <w:rPr>
                                <w:rFonts w:ascii="Arial" w:hAnsi="Arial" w:cs="Arial"/>
                                <w:b/>
                                <w:bCs/>
                                <w:color w:val="2F5496" w:themeColor="accent1" w:themeShade="BF"/>
                                <w:sz w:val="24"/>
                                <w:szCs w:val="24"/>
                              </w:rPr>
                              <w:t>their full potential and excel in their role</w:t>
                            </w:r>
                            <w:r w:rsidRPr="001545DC">
                              <w:rPr>
                                <w:rFonts w:ascii="Arial" w:hAnsi="Arial" w:cs="Arial"/>
                                <w:b/>
                                <w:bCs/>
                                <w:color w:val="2F5496" w:themeColor="accent1" w:themeShade="BF"/>
                                <w:sz w:val="24"/>
                                <w:szCs w:val="24"/>
                              </w:rPr>
                              <w:t>. W</w:t>
                            </w:r>
                            <w:r w:rsidR="0005459E" w:rsidRPr="001545DC">
                              <w:rPr>
                                <w:rFonts w:ascii="Arial" w:hAnsi="Arial" w:cs="Arial"/>
                                <w:b/>
                                <w:bCs/>
                                <w:color w:val="2F5496" w:themeColor="accent1" w:themeShade="BF"/>
                                <w:sz w:val="24"/>
                                <w:szCs w:val="24"/>
                              </w:rPr>
                              <w:t>e are prou</w:t>
                            </w:r>
                            <w:r w:rsidRPr="001545DC">
                              <w:rPr>
                                <w:rFonts w:ascii="Arial" w:hAnsi="Arial" w:cs="Arial"/>
                                <w:b/>
                                <w:bCs/>
                                <w:color w:val="2F5496" w:themeColor="accent1" w:themeShade="BF"/>
                                <w:sz w:val="24"/>
                                <w:szCs w:val="24"/>
                              </w:rPr>
                              <w:t>d</w:t>
                            </w:r>
                            <w:r w:rsidR="0005459E" w:rsidRPr="001545DC">
                              <w:rPr>
                                <w:rFonts w:ascii="Arial" w:hAnsi="Arial" w:cs="Arial"/>
                                <w:b/>
                                <w:bCs/>
                                <w:color w:val="2F5496" w:themeColor="accent1" w:themeShade="BF"/>
                                <w:sz w:val="24"/>
                                <w:szCs w:val="24"/>
                              </w:rPr>
                              <w:t xml:space="preserve"> to support staff to </w:t>
                            </w:r>
                            <w:r w:rsidR="000A6A27" w:rsidRPr="001545DC">
                              <w:rPr>
                                <w:rFonts w:ascii="Arial" w:hAnsi="Arial" w:cs="Arial"/>
                                <w:b/>
                                <w:bCs/>
                                <w:color w:val="2F5496" w:themeColor="accent1" w:themeShade="BF"/>
                                <w:sz w:val="24"/>
                                <w:szCs w:val="24"/>
                              </w:rPr>
                              <w:t xml:space="preserve">develop their skills as they work and </w:t>
                            </w:r>
                            <w:r w:rsidRPr="001545DC">
                              <w:rPr>
                                <w:rFonts w:ascii="Arial" w:hAnsi="Arial" w:cs="Arial"/>
                                <w:b/>
                                <w:bCs/>
                                <w:color w:val="2F5496" w:themeColor="accent1" w:themeShade="BF"/>
                                <w:sz w:val="24"/>
                                <w:szCs w:val="24"/>
                              </w:rPr>
                              <w:t xml:space="preserve">encourage staff to progress in our organisation. </w:t>
                            </w:r>
                            <w:r w:rsidR="004133D2" w:rsidRPr="001545DC">
                              <w:rPr>
                                <w:rFonts w:ascii="Arial" w:hAnsi="Arial" w:cs="Arial"/>
                                <w:b/>
                                <w:bCs/>
                                <w:color w:val="2F5496" w:themeColor="accent1" w:themeShade="BF"/>
                                <w:sz w:val="24"/>
                                <w:szCs w:val="24"/>
                              </w:rPr>
                              <w:t xml:space="preserve">This Factsheet is designed to </w:t>
                            </w:r>
                            <w:r w:rsidR="004D5D1A" w:rsidRPr="001545DC">
                              <w:rPr>
                                <w:rFonts w:ascii="Arial" w:hAnsi="Arial" w:cs="Arial"/>
                                <w:b/>
                                <w:bCs/>
                                <w:color w:val="2F5496" w:themeColor="accent1" w:themeShade="BF"/>
                                <w:sz w:val="24"/>
                                <w:szCs w:val="24"/>
                              </w:rPr>
                              <w:t xml:space="preserve">raise awareness to our staff that what training programmes we offer and </w:t>
                            </w:r>
                            <w:r w:rsidR="0006315F" w:rsidRPr="001545DC">
                              <w:rPr>
                                <w:rFonts w:ascii="Arial" w:hAnsi="Arial" w:cs="Arial"/>
                                <w:b/>
                                <w:bCs/>
                                <w:color w:val="2F5496" w:themeColor="accent1" w:themeShade="BF"/>
                                <w:sz w:val="24"/>
                                <w:szCs w:val="24"/>
                              </w:rPr>
                              <w:t xml:space="preserve">how this is beneficial to our workforce.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D94C8" id="Text Box 1" o:spid="_x0000_s1031" type="#_x0000_t202" style="position:absolute;margin-left:397.95pt;margin-top:-65.8pt;width:711.55pt;height:81.7pt;z-index:251520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" fillcolor="#d9e2f3 [660]" strokecolor="#4472c4 [3204]" strokeweight="2.25pt">
                <v:textbox>
                  <w:txbxContent>
                    <w:p w14:paraId="4C73B774" w14:textId="4D6E887E" w:rsidR="00891B88" w:rsidRPr="001545DC" w:rsidRDefault="0047342B" w:rsidP="001545DC">
                      <w:pPr>
                        <w:jc w:val="both"/>
                        <w:rPr>
                          <w:rFonts w:ascii="Arial" w:hAnsi="Arial" w:cs="Arial"/>
                          <w:b/>
                          <w:bCs/>
                          <w:color w:val="2F5496" w:themeColor="accent1" w:themeShade="BF"/>
                          <w:sz w:val="24"/>
                          <w:szCs w:val="24"/>
                        </w:rPr>
                      </w:pPr>
                      <w:r w:rsidRPr="001545DC">
                        <w:rPr>
                          <w:rFonts w:ascii="Arial" w:hAnsi="Arial" w:cs="Arial"/>
                          <w:b/>
                          <w:bCs/>
                          <w:color w:val="2F5496" w:themeColor="accent1" w:themeShade="BF"/>
                          <w:sz w:val="24"/>
                          <w:szCs w:val="24"/>
                        </w:rPr>
                        <w:t>Employee</w:t>
                      </w:r>
                      <w:r w:rsidR="000B5211" w:rsidRPr="001545DC">
                        <w:rPr>
                          <w:rFonts w:ascii="Arial" w:hAnsi="Arial" w:cs="Arial"/>
                          <w:b/>
                          <w:bCs/>
                          <w:color w:val="2F5496" w:themeColor="accent1" w:themeShade="BF"/>
                          <w:sz w:val="24"/>
                          <w:szCs w:val="24"/>
                        </w:rPr>
                        <w:t xml:space="preserve"> development is very important to us here at Healthcare on Han</w:t>
                      </w:r>
                      <w:r w:rsidR="0005459E" w:rsidRPr="001545DC">
                        <w:rPr>
                          <w:rFonts w:ascii="Arial" w:hAnsi="Arial" w:cs="Arial"/>
                          <w:b/>
                          <w:bCs/>
                          <w:color w:val="2F5496" w:themeColor="accent1" w:themeShade="BF"/>
                          <w:sz w:val="24"/>
                          <w:szCs w:val="24"/>
                        </w:rPr>
                        <w:t>d and we are passionate</w:t>
                      </w:r>
                      <w:r w:rsidRPr="001545DC">
                        <w:rPr>
                          <w:rFonts w:ascii="Arial" w:hAnsi="Arial" w:cs="Arial"/>
                          <w:b/>
                          <w:bCs/>
                          <w:color w:val="2F5496" w:themeColor="accent1" w:themeShade="BF"/>
                          <w:sz w:val="24"/>
                          <w:szCs w:val="24"/>
                        </w:rPr>
                        <w:t xml:space="preserve"> about</w:t>
                      </w:r>
                      <w:r w:rsidR="0005459E" w:rsidRPr="001545DC">
                        <w:rPr>
                          <w:rFonts w:ascii="Arial" w:hAnsi="Arial" w:cs="Arial"/>
                          <w:b/>
                          <w:bCs/>
                          <w:color w:val="2F5496" w:themeColor="accent1" w:themeShade="BF"/>
                          <w:sz w:val="24"/>
                          <w:szCs w:val="24"/>
                        </w:rPr>
                        <w:t xml:space="preserve"> staff </w:t>
                      </w:r>
                      <w:r w:rsidRPr="001545DC">
                        <w:rPr>
                          <w:rFonts w:ascii="Arial" w:hAnsi="Arial" w:cs="Arial"/>
                          <w:b/>
                          <w:bCs/>
                          <w:color w:val="2F5496" w:themeColor="accent1" w:themeShade="BF"/>
                          <w:sz w:val="24"/>
                          <w:szCs w:val="24"/>
                        </w:rPr>
                        <w:t>ha</w:t>
                      </w:r>
                      <w:r w:rsidR="0006315F" w:rsidRPr="001545DC">
                        <w:rPr>
                          <w:rFonts w:ascii="Arial" w:hAnsi="Arial" w:cs="Arial"/>
                          <w:b/>
                          <w:bCs/>
                          <w:color w:val="2F5496" w:themeColor="accent1" w:themeShade="BF"/>
                          <w:sz w:val="24"/>
                          <w:szCs w:val="24"/>
                        </w:rPr>
                        <w:t>vi</w:t>
                      </w:r>
                      <w:r w:rsidRPr="001545DC">
                        <w:rPr>
                          <w:rFonts w:ascii="Arial" w:hAnsi="Arial" w:cs="Arial"/>
                          <w:b/>
                          <w:bCs/>
                          <w:color w:val="2F5496" w:themeColor="accent1" w:themeShade="BF"/>
                          <w:sz w:val="24"/>
                          <w:szCs w:val="24"/>
                        </w:rPr>
                        <w:t xml:space="preserve">ng the opportunity </w:t>
                      </w:r>
                      <w:r w:rsidR="0005459E" w:rsidRPr="001545DC">
                        <w:rPr>
                          <w:rFonts w:ascii="Arial" w:hAnsi="Arial" w:cs="Arial"/>
                          <w:b/>
                          <w:bCs/>
                          <w:color w:val="2F5496" w:themeColor="accent1" w:themeShade="BF"/>
                          <w:sz w:val="24"/>
                          <w:szCs w:val="24"/>
                        </w:rPr>
                        <w:t xml:space="preserve">to develop new skills and knowledge in their roles to </w:t>
                      </w:r>
                      <w:r w:rsidRPr="001545DC">
                        <w:rPr>
                          <w:rFonts w:ascii="Arial" w:hAnsi="Arial" w:cs="Arial"/>
                          <w:b/>
                          <w:bCs/>
                          <w:color w:val="2F5496" w:themeColor="accent1" w:themeShade="BF"/>
                          <w:sz w:val="24"/>
                          <w:szCs w:val="24"/>
                        </w:rPr>
                        <w:t xml:space="preserve">working to </w:t>
                      </w:r>
                      <w:r w:rsidR="0005459E" w:rsidRPr="001545DC">
                        <w:rPr>
                          <w:rFonts w:ascii="Arial" w:hAnsi="Arial" w:cs="Arial"/>
                          <w:b/>
                          <w:bCs/>
                          <w:color w:val="2F5496" w:themeColor="accent1" w:themeShade="BF"/>
                          <w:sz w:val="24"/>
                          <w:szCs w:val="24"/>
                        </w:rPr>
                        <w:t>their full potential and excel in their role</w:t>
                      </w:r>
                      <w:r w:rsidRPr="001545DC">
                        <w:rPr>
                          <w:rFonts w:ascii="Arial" w:hAnsi="Arial" w:cs="Arial"/>
                          <w:b/>
                          <w:bCs/>
                          <w:color w:val="2F5496" w:themeColor="accent1" w:themeShade="BF"/>
                          <w:sz w:val="24"/>
                          <w:szCs w:val="24"/>
                        </w:rPr>
                        <w:t>. W</w:t>
                      </w:r>
                      <w:r w:rsidR="0005459E" w:rsidRPr="001545DC">
                        <w:rPr>
                          <w:rFonts w:ascii="Arial" w:hAnsi="Arial" w:cs="Arial"/>
                          <w:b/>
                          <w:bCs/>
                          <w:color w:val="2F5496" w:themeColor="accent1" w:themeShade="BF"/>
                          <w:sz w:val="24"/>
                          <w:szCs w:val="24"/>
                        </w:rPr>
                        <w:t>e are prou</w:t>
                      </w:r>
                      <w:r w:rsidRPr="001545DC">
                        <w:rPr>
                          <w:rFonts w:ascii="Arial" w:hAnsi="Arial" w:cs="Arial"/>
                          <w:b/>
                          <w:bCs/>
                          <w:color w:val="2F5496" w:themeColor="accent1" w:themeShade="BF"/>
                          <w:sz w:val="24"/>
                          <w:szCs w:val="24"/>
                        </w:rPr>
                        <w:t>d</w:t>
                      </w:r>
                      <w:r w:rsidR="0005459E" w:rsidRPr="001545DC">
                        <w:rPr>
                          <w:rFonts w:ascii="Arial" w:hAnsi="Arial" w:cs="Arial"/>
                          <w:b/>
                          <w:bCs/>
                          <w:color w:val="2F5496" w:themeColor="accent1" w:themeShade="BF"/>
                          <w:sz w:val="24"/>
                          <w:szCs w:val="24"/>
                        </w:rPr>
                        <w:t xml:space="preserve"> to support staff to </w:t>
                      </w:r>
                      <w:r w:rsidR="000A6A27" w:rsidRPr="001545DC">
                        <w:rPr>
                          <w:rFonts w:ascii="Arial" w:hAnsi="Arial" w:cs="Arial"/>
                          <w:b/>
                          <w:bCs/>
                          <w:color w:val="2F5496" w:themeColor="accent1" w:themeShade="BF"/>
                          <w:sz w:val="24"/>
                          <w:szCs w:val="24"/>
                        </w:rPr>
                        <w:t xml:space="preserve">develop their skills as they work and </w:t>
                      </w:r>
                      <w:r w:rsidRPr="001545DC">
                        <w:rPr>
                          <w:rFonts w:ascii="Arial" w:hAnsi="Arial" w:cs="Arial"/>
                          <w:b/>
                          <w:bCs/>
                          <w:color w:val="2F5496" w:themeColor="accent1" w:themeShade="BF"/>
                          <w:sz w:val="24"/>
                          <w:szCs w:val="24"/>
                        </w:rPr>
                        <w:t xml:space="preserve">encourage staff to progress in our organisation. </w:t>
                      </w:r>
                      <w:r w:rsidR="004133D2" w:rsidRPr="001545DC">
                        <w:rPr>
                          <w:rFonts w:ascii="Arial" w:hAnsi="Arial" w:cs="Arial"/>
                          <w:b/>
                          <w:bCs/>
                          <w:color w:val="2F5496" w:themeColor="accent1" w:themeShade="BF"/>
                          <w:sz w:val="24"/>
                          <w:szCs w:val="24"/>
                        </w:rPr>
                        <w:t xml:space="preserve">This Factsheet is designed to </w:t>
                      </w:r>
                      <w:r w:rsidR="004D5D1A" w:rsidRPr="001545DC">
                        <w:rPr>
                          <w:rFonts w:ascii="Arial" w:hAnsi="Arial" w:cs="Arial"/>
                          <w:b/>
                          <w:bCs/>
                          <w:color w:val="2F5496" w:themeColor="accent1" w:themeShade="BF"/>
                          <w:sz w:val="24"/>
                          <w:szCs w:val="24"/>
                        </w:rPr>
                        <w:t xml:space="preserve">raise awareness to our staff that what training programmes we offer and </w:t>
                      </w:r>
                      <w:r w:rsidR="0006315F" w:rsidRPr="001545DC">
                        <w:rPr>
                          <w:rFonts w:ascii="Arial" w:hAnsi="Arial" w:cs="Arial"/>
                          <w:b/>
                          <w:bCs/>
                          <w:color w:val="2F5496" w:themeColor="accent1" w:themeShade="BF"/>
                          <w:sz w:val="24"/>
                          <w:szCs w:val="24"/>
                        </w:rPr>
                        <w:t xml:space="preserve">how this is beneficial to our workforce. </w:t>
                      </w:r>
                    </w:p>
                  </w:txbxContent>
                </v:textbox>
              </v:shape>
            </w:pict>
          </mc:Fallback>
        </mc:AlternateContent>
      </w:r>
    </w:p>
    <w:sectPr w:rsidR="00384A0A" w:rsidSect="00F51250">
      <w:headerReference w:type="default" r:id="rId11"/>
      <w:pgSz w:w="23811" w:h="16838" w:orient="landscape" w:code="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73F3D" w14:textId="77777777" w:rsidR="0096506F" w:rsidRDefault="0096506F" w:rsidP="0096506F">
      <w:pPr>
        <w:spacing w:after="0" w:line="240" w:lineRule="auto"/>
      </w:pPr>
      <w:r>
        <w:separator/>
      </w:r>
    </w:p>
  </w:endnote>
  <w:endnote w:type="continuationSeparator" w:id="0">
    <w:p w14:paraId="2F12FDA9" w14:textId="77777777" w:rsidR="0096506F" w:rsidRDefault="0096506F" w:rsidP="0096506F">
      <w:pPr>
        <w:spacing w:after="0" w:line="240" w:lineRule="auto"/>
      </w:pPr>
      <w:r>
        <w:continuationSeparator/>
      </w:r>
    </w:p>
  </w:endnote>
  <w:endnote w:type="continuationNotice" w:id="1">
    <w:p w14:paraId="0E909E2B" w14:textId="77777777" w:rsidR="002839F2" w:rsidRDefault="002839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75BDA" w14:textId="77777777" w:rsidR="0096506F" w:rsidRDefault="0096506F" w:rsidP="0096506F">
      <w:pPr>
        <w:spacing w:after="0" w:line="240" w:lineRule="auto"/>
      </w:pPr>
      <w:r>
        <w:separator/>
      </w:r>
    </w:p>
  </w:footnote>
  <w:footnote w:type="continuationSeparator" w:id="0">
    <w:p w14:paraId="555F1E97" w14:textId="77777777" w:rsidR="0096506F" w:rsidRDefault="0096506F" w:rsidP="0096506F">
      <w:pPr>
        <w:spacing w:after="0" w:line="240" w:lineRule="auto"/>
      </w:pPr>
      <w:r>
        <w:continuationSeparator/>
      </w:r>
    </w:p>
  </w:footnote>
  <w:footnote w:type="continuationNotice" w:id="1">
    <w:p w14:paraId="22E6A783" w14:textId="77777777" w:rsidR="002839F2" w:rsidRDefault="002839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4A119" w14:textId="77777777" w:rsidR="00B123A7" w:rsidRPr="00EA383B" w:rsidRDefault="00B123A7" w:rsidP="00B123A7">
    <w:pPr>
      <w:pStyle w:val="Header"/>
      <w:tabs>
        <w:tab w:val="clear" w:pos="4513"/>
        <w:tab w:val="clear" w:pos="9026"/>
        <w:tab w:val="left" w:pos="1820"/>
      </w:tabs>
      <w:rPr>
        <w:rFonts w:cstheme="minorHAnsi"/>
      </w:rPr>
    </w:pPr>
    <w:r>
      <w:rPr>
        <w:rFonts w:cstheme="minorHAnsi"/>
        <w:b/>
        <w:bCs/>
        <w:color w:val="4472C4" w:themeColor="accent1"/>
      </w:rPr>
      <w:t xml:space="preserve">Rosanna Baxter: </w:t>
    </w:r>
    <w:r w:rsidRPr="00EA383B">
      <w:rPr>
        <w:rFonts w:cstheme="minorHAnsi"/>
        <w:b/>
        <w:bCs/>
        <w:color w:val="4472C4" w:themeColor="accent1"/>
      </w:rPr>
      <w:t>3CO04 - Essentials of people practice</w:t>
    </w:r>
    <w:r>
      <w:rPr>
        <w:rFonts w:cstheme="minorHAnsi"/>
        <w:b/>
        <w:bCs/>
        <w:color w:val="4472C4" w:themeColor="accent1"/>
      </w:rPr>
      <w:t xml:space="preserve"> – Task 5: Fact Sheet   </w:t>
    </w:r>
  </w:p>
  <w:p w14:paraId="1C2EE392" w14:textId="10B3DA5D" w:rsidR="0096506F" w:rsidRDefault="009650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56B6E13A"/>
    <w:lvl w:ilvl="0" w:tplc="FFFFFFFF">
      <w:start w:val="1"/>
      <w:numFmt w:val="bullet"/>
      <w:pStyle w:val="Listparag"/>
      <w:lvlText w:val=""/>
      <w:lvlJc w:val="left"/>
      <w:pPr>
        <w:ind w:left="502" w:hanging="360"/>
      </w:pPr>
      <w:rPr>
        <w:rFonts w:ascii="Wingdings" w:hAnsi="Wingdings" w:hint="default"/>
        <w:strike w:val="0"/>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204D6"/>
    <w:multiLevelType w:val="multilevel"/>
    <w:tmpl w:val="69FC5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AE0792"/>
    <w:multiLevelType w:val="hybridMultilevel"/>
    <w:tmpl w:val="29B67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909F1"/>
    <w:multiLevelType w:val="hybridMultilevel"/>
    <w:tmpl w:val="0570DDEC"/>
    <w:lvl w:ilvl="0" w:tplc="5DE237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9484442">
    <w:abstractNumId w:val="0"/>
  </w:num>
  <w:num w:numId="2" w16cid:durableId="313682771">
    <w:abstractNumId w:val="2"/>
  </w:num>
  <w:num w:numId="3" w16cid:durableId="1621646503">
    <w:abstractNumId w:val="3"/>
  </w:num>
  <w:num w:numId="4" w16cid:durableId="1241063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A2DFA3"/>
    <w:rsid w:val="0005459E"/>
    <w:rsid w:val="0006315F"/>
    <w:rsid w:val="000A6A27"/>
    <w:rsid w:val="000B5211"/>
    <w:rsid w:val="001545DC"/>
    <w:rsid w:val="001554F2"/>
    <w:rsid w:val="001C5E47"/>
    <w:rsid w:val="00235FC9"/>
    <w:rsid w:val="00270B64"/>
    <w:rsid w:val="002839F2"/>
    <w:rsid w:val="002A74EA"/>
    <w:rsid w:val="00384A0A"/>
    <w:rsid w:val="004133D2"/>
    <w:rsid w:val="004147AC"/>
    <w:rsid w:val="00443639"/>
    <w:rsid w:val="0047342B"/>
    <w:rsid w:val="004A0448"/>
    <w:rsid w:val="004D5D1A"/>
    <w:rsid w:val="004F2841"/>
    <w:rsid w:val="00506B6C"/>
    <w:rsid w:val="00544EC9"/>
    <w:rsid w:val="00555EA6"/>
    <w:rsid w:val="00570735"/>
    <w:rsid w:val="00741CF8"/>
    <w:rsid w:val="007B2C27"/>
    <w:rsid w:val="00853BE4"/>
    <w:rsid w:val="00891B88"/>
    <w:rsid w:val="008F1572"/>
    <w:rsid w:val="009321D3"/>
    <w:rsid w:val="00961BB0"/>
    <w:rsid w:val="0096506F"/>
    <w:rsid w:val="00986533"/>
    <w:rsid w:val="00A62AF0"/>
    <w:rsid w:val="00A776A2"/>
    <w:rsid w:val="00AE2CB2"/>
    <w:rsid w:val="00B00C63"/>
    <w:rsid w:val="00B123A7"/>
    <w:rsid w:val="00B41995"/>
    <w:rsid w:val="00BA4676"/>
    <w:rsid w:val="00BA73A8"/>
    <w:rsid w:val="00BE175E"/>
    <w:rsid w:val="00C02191"/>
    <w:rsid w:val="00D33F24"/>
    <w:rsid w:val="00DB74F3"/>
    <w:rsid w:val="00DE2456"/>
    <w:rsid w:val="00EC4AC3"/>
    <w:rsid w:val="00EC50D7"/>
    <w:rsid w:val="00EE6EFB"/>
    <w:rsid w:val="00F51250"/>
    <w:rsid w:val="00F80A37"/>
    <w:rsid w:val="00FE310A"/>
    <w:rsid w:val="00FF0DD8"/>
    <w:rsid w:val="12A2D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2DFA3"/>
  <w15:chartTrackingRefBased/>
  <w15:docId w15:val="{99C27A08-83AD-46AB-8FDD-0785A8660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06F"/>
  </w:style>
  <w:style w:type="paragraph" w:styleId="Footer">
    <w:name w:val="footer"/>
    <w:basedOn w:val="Normal"/>
    <w:link w:val="FooterChar"/>
    <w:uiPriority w:val="99"/>
    <w:unhideWhenUsed/>
    <w:rsid w:val="00965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06F"/>
  </w:style>
  <w:style w:type="paragraph" w:customStyle="1" w:styleId="Listparag">
    <w:name w:val="List parag"/>
    <w:basedOn w:val="ListParagraph"/>
    <w:link w:val="ListparagChar"/>
    <w:qFormat/>
    <w:rsid w:val="00EC50D7"/>
    <w:pPr>
      <w:numPr>
        <w:numId w:val="1"/>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EC50D7"/>
    <w:rPr>
      <w:rFonts w:ascii="Arial" w:eastAsia="Times New Roman" w:hAnsi="Arial" w:cs="Arial"/>
      <w:szCs w:val="24"/>
      <w:lang w:eastAsia="en-GB"/>
    </w:rPr>
  </w:style>
  <w:style w:type="paragraph" w:styleId="ListParagraph">
    <w:name w:val="List Paragraph"/>
    <w:basedOn w:val="Normal"/>
    <w:uiPriority w:val="34"/>
    <w:qFormat/>
    <w:rsid w:val="00EC50D7"/>
    <w:pPr>
      <w:ind w:left="720"/>
      <w:contextualSpacing/>
    </w:pPr>
  </w:style>
  <w:style w:type="paragraph" w:styleId="NormalWeb">
    <w:name w:val="Normal (Web)"/>
    <w:basedOn w:val="Normal"/>
    <w:uiPriority w:val="99"/>
    <w:unhideWhenUsed/>
    <w:rsid w:val="005707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70735"/>
    <w:rPr>
      <w:color w:val="0563C1" w:themeColor="hyperlink"/>
      <w:u w:val="single"/>
    </w:rPr>
  </w:style>
  <w:style w:type="character" w:styleId="UnresolvedMention">
    <w:name w:val="Unresolved Mention"/>
    <w:basedOn w:val="DefaultParagraphFont"/>
    <w:uiPriority w:val="99"/>
    <w:semiHidden/>
    <w:unhideWhenUsed/>
    <w:rsid w:val="00570735"/>
    <w:rPr>
      <w:color w:val="605E5C"/>
      <w:shd w:val="clear" w:color="auto" w:fill="E1DFDD"/>
    </w:rPr>
  </w:style>
  <w:style w:type="paragraph" w:customStyle="1" w:styleId="paragraph">
    <w:name w:val="paragraph"/>
    <w:basedOn w:val="Normal"/>
    <w:rsid w:val="00270B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70B64"/>
  </w:style>
  <w:style w:type="character" w:customStyle="1" w:styleId="eop">
    <w:name w:val="eop"/>
    <w:basedOn w:val="DefaultParagraphFont"/>
    <w:rsid w:val="00270B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364760">
      <w:bodyDiv w:val="1"/>
      <w:marLeft w:val="0"/>
      <w:marRight w:val="0"/>
      <w:marTop w:val="0"/>
      <w:marBottom w:val="0"/>
      <w:divBdr>
        <w:top w:val="none" w:sz="0" w:space="0" w:color="auto"/>
        <w:left w:val="none" w:sz="0" w:space="0" w:color="auto"/>
        <w:bottom w:val="none" w:sz="0" w:space="0" w:color="auto"/>
        <w:right w:val="none" w:sz="0" w:space="0" w:color="auto"/>
      </w:divBdr>
    </w:div>
    <w:div w:id="769620032">
      <w:bodyDiv w:val="1"/>
      <w:marLeft w:val="0"/>
      <w:marRight w:val="0"/>
      <w:marTop w:val="0"/>
      <w:marBottom w:val="0"/>
      <w:divBdr>
        <w:top w:val="none" w:sz="0" w:space="0" w:color="auto"/>
        <w:left w:val="none" w:sz="0" w:space="0" w:color="auto"/>
        <w:bottom w:val="none" w:sz="0" w:space="0" w:color="auto"/>
        <w:right w:val="none" w:sz="0" w:space="0" w:color="auto"/>
      </w:divBdr>
      <w:divsChild>
        <w:div w:id="33508419">
          <w:marLeft w:val="0"/>
          <w:marRight w:val="0"/>
          <w:marTop w:val="0"/>
          <w:marBottom w:val="0"/>
          <w:divBdr>
            <w:top w:val="none" w:sz="0" w:space="0" w:color="auto"/>
            <w:left w:val="none" w:sz="0" w:space="0" w:color="auto"/>
            <w:bottom w:val="none" w:sz="0" w:space="0" w:color="auto"/>
            <w:right w:val="none" w:sz="0" w:space="0" w:color="auto"/>
          </w:divBdr>
        </w:div>
        <w:div w:id="1398287684">
          <w:marLeft w:val="0"/>
          <w:marRight w:val="0"/>
          <w:marTop w:val="0"/>
          <w:marBottom w:val="0"/>
          <w:divBdr>
            <w:top w:val="none" w:sz="0" w:space="0" w:color="auto"/>
            <w:left w:val="none" w:sz="0" w:space="0" w:color="auto"/>
            <w:bottom w:val="none" w:sz="0" w:space="0" w:color="auto"/>
            <w:right w:val="none" w:sz="0" w:space="0" w:color="auto"/>
          </w:divBdr>
        </w:div>
      </w:divsChild>
    </w:div>
    <w:div w:id="1059548047">
      <w:bodyDiv w:val="1"/>
      <w:marLeft w:val="0"/>
      <w:marRight w:val="0"/>
      <w:marTop w:val="0"/>
      <w:marBottom w:val="0"/>
      <w:divBdr>
        <w:top w:val="none" w:sz="0" w:space="0" w:color="auto"/>
        <w:left w:val="none" w:sz="0" w:space="0" w:color="auto"/>
        <w:bottom w:val="none" w:sz="0" w:space="0" w:color="auto"/>
        <w:right w:val="none" w:sz="0" w:space="0" w:color="auto"/>
      </w:divBdr>
    </w:div>
    <w:div w:id="1078744364">
      <w:bodyDiv w:val="1"/>
      <w:marLeft w:val="0"/>
      <w:marRight w:val="0"/>
      <w:marTop w:val="0"/>
      <w:marBottom w:val="0"/>
      <w:divBdr>
        <w:top w:val="none" w:sz="0" w:space="0" w:color="auto"/>
        <w:left w:val="none" w:sz="0" w:space="0" w:color="auto"/>
        <w:bottom w:val="none" w:sz="0" w:space="0" w:color="auto"/>
        <w:right w:val="none" w:sz="0" w:space="0" w:color="auto"/>
      </w:divBdr>
    </w:div>
    <w:div w:id="1151412699">
      <w:bodyDiv w:val="1"/>
      <w:marLeft w:val="0"/>
      <w:marRight w:val="0"/>
      <w:marTop w:val="0"/>
      <w:marBottom w:val="0"/>
      <w:divBdr>
        <w:top w:val="none" w:sz="0" w:space="0" w:color="auto"/>
        <w:left w:val="none" w:sz="0" w:space="0" w:color="auto"/>
        <w:bottom w:val="none" w:sz="0" w:space="0" w:color="auto"/>
        <w:right w:val="none" w:sz="0" w:space="0" w:color="auto"/>
      </w:divBdr>
    </w:div>
    <w:div w:id="1465663407">
      <w:bodyDiv w:val="1"/>
      <w:marLeft w:val="0"/>
      <w:marRight w:val="0"/>
      <w:marTop w:val="0"/>
      <w:marBottom w:val="0"/>
      <w:divBdr>
        <w:top w:val="none" w:sz="0" w:space="0" w:color="auto"/>
        <w:left w:val="none" w:sz="0" w:space="0" w:color="auto"/>
        <w:bottom w:val="none" w:sz="0" w:space="0" w:color="auto"/>
        <w:right w:val="none" w:sz="0" w:space="0" w:color="auto"/>
      </w:divBdr>
    </w:div>
    <w:div w:id="1543593934">
      <w:bodyDiv w:val="1"/>
      <w:marLeft w:val="0"/>
      <w:marRight w:val="0"/>
      <w:marTop w:val="0"/>
      <w:marBottom w:val="0"/>
      <w:divBdr>
        <w:top w:val="none" w:sz="0" w:space="0" w:color="auto"/>
        <w:left w:val="none" w:sz="0" w:space="0" w:color="auto"/>
        <w:bottom w:val="none" w:sz="0" w:space="0" w:color="auto"/>
        <w:right w:val="none" w:sz="0" w:space="0" w:color="auto"/>
      </w:divBdr>
    </w:div>
    <w:div w:id="1766026540">
      <w:bodyDiv w:val="1"/>
      <w:marLeft w:val="0"/>
      <w:marRight w:val="0"/>
      <w:marTop w:val="0"/>
      <w:marBottom w:val="0"/>
      <w:divBdr>
        <w:top w:val="none" w:sz="0" w:space="0" w:color="auto"/>
        <w:left w:val="none" w:sz="0" w:space="0" w:color="auto"/>
        <w:bottom w:val="none" w:sz="0" w:space="0" w:color="auto"/>
        <w:right w:val="none" w:sz="0" w:space="0" w:color="auto"/>
      </w:divBdr>
    </w:div>
    <w:div w:id="1777750719">
      <w:bodyDiv w:val="1"/>
      <w:marLeft w:val="0"/>
      <w:marRight w:val="0"/>
      <w:marTop w:val="0"/>
      <w:marBottom w:val="0"/>
      <w:divBdr>
        <w:top w:val="none" w:sz="0" w:space="0" w:color="auto"/>
        <w:left w:val="none" w:sz="0" w:space="0" w:color="auto"/>
        <w:bottom w:val="none" w:sz="0" w:space="0" w:color="auto"/>
        <w:right w:val="none" w:sz="0" w:space="0" w:color="auto"/>
      </w:divBdr>
    </w:div>
    <w:div w:id="1997026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coaching-mentoring-factshee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knowledge/factsheets/strategy-development-factshee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forbes.com/sites/forbesbusinesscouncil/2021/06/02/demystifying-happiness-at-work/" TargetMode="External"/><Relationship Id="rId4" Type="http://schemas.openxmlformats.org/officeDocument/2006/relationships/webSettings" Target="webSettings.xml"/><Relationship Id="rId9" Type="http://schemas.openxmlformats.org/officeDocument/2006/relationships/hyperlink" Target="https://www.mckinsey.com/capabilities/people-and-organizational-performance/our-insights/the-essential-components-of-a-successful-l-and-d-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388</Words>
  <Characters>2213</Characters>
  <Application>Microsoft Office Word</Application>
  <DocSecurity>4</DocSecurity>
  <Lines>18</Lines>
  <Paragraphs>5</Paragraphs>
  <ScaleCrop>false</ScaleCrop>
  <Company/>
  <LinksUpToDate>false</LinksUpToDate>
  <CharactersWithSpaces>2596</CharactersWithSpaces>
  <SharedDoc>false</SharedDoc>
  <HLinks>
    <vt:vector size="18" baseType="variant">
      <vt:variant>
        <vt:i4>6357116</vt:i4>
      </vt:variant>
      <vt:variant>
        <vt:i4>6</vt:i4>
      </vt:variant>
      <vt:variant>
        <vt:i4>0</vt:i4>
      </vt:variant>
      <vt:variant>
        <vt:i4>5</vt:i4>
      </vt:variant>
      <vt:variant>
        <vt:lpwstr>https://www.mckinsey.com/capabilities/people-and-organizational-performance/our-insights/the-essential-components-of-a-successful-l-and-d-strategy</vt:lpwstr>
      </vt:variant>
      <vt:variant>
        <vt:lpwstr/>
      </vt:variant>
      <vt:variant>
        <vt:i4>7733357</vt:i4>
      </vt:variant>
      <vt:variant>
        <vt:i4>3</vt:i4>
      </vt:variant>
      <vt:variant>
        <vt:i4>0</vt:i4>
      </vt:variant>
      <vt:variant>
        <vt:i4>5</vt:i4>
      </vt:variant>
      <vt:variant>
        <vt:lpwstr>https://www.cipd.org/uk/knowledge/factsheets/coaching-mentoring-factsheet/</vt:lpwstr>
      </vt:variant>
      <vt:variant>
        <vt:lpwstr/>
      </vt:variant>
      <vt:variant>
        <vt:i4>65563</vt:i4>
      </vt:variant>
      <vt:variant>
        <vt:i4>0</vt:i4>
      </vt:variant>
      <vt:variant>
        <vt:i4>0</vt:i4>
      </vt:variant>
      <vt:variant>
        <vt:i4>5</vt:i4>
      </vt:variant>
      <vt:variant>
        <vt:lpwstr>https://www.cipd.org/uk/knowledge/factsheets/strategy-development-factsheet/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Baxter (Hywel Dda UHB - Education and Compliance Administrator)</dc:creator>
  <cp:keywords/>
  <dc:description/>
  <cp:lastModifiedBy>Rose Baxter (Hywel Dda UHB - Education and Compliance Administrator)</cp:lastModifiedBy>
  <cp:revision>2</cp:revision>
  <dcterms:created xsi:type="dcterms:W3CDTF">2023-08-13T23:21:00Z</dcterms:created>
  <dcterms:modified xsi:type="dcterms:W3CDTF">2023-08-13T23:21:00Z</dcterms:modified>
</cp:coreProperties>
</file>