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5CF9414D">
            <wp:extent cx="3835400" cy="1936750"/>
            <wp:effectExtent l="0" t="0" r="0" b="63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5400" cy="1936750"/>
                    </a:xfrm>
                    <a:prstGeom prst="rect">
                      <a:avLst/>
                    </a:prstGeom>
                  </pic:spPr>
                </pic:pic>
              </a:graphicData>
            </a:graphic>
          </wp:inline>
        </w:drawing>
      </w:r>
    </w:p>
    <w:p w14:paraId="42C3B68B" w14:textId="1FB733B9" w:rsidR="05133FDC" w:rsidRDefault="05133FDC" w:rsidP="05133FDC">
      <w:pPr>
        <w:rPr>
          <w:sz w:val="32"/>
          <w:szCs w:val="32"/>
        </w:rPr>
      </w:pPr>
    </w:p>
    <w:p w14:paraId="17CF41B1" w14:textId="77777777" w:rsidR="001C6FEE" w:rsidRDefault="001C6FEE" w:rsidP="05133FDC">
      <w:pPr>
        <w:rPr>
          <w:sz w:val="32"/>
          <w:szCs w:val="32"/>
        </w:rPr>
      </w:pPr>
    </w:p>
    <w:p w14:paraId="1A26D3BA" w14:textId="77777777" w:rsidR="00684B37" w:rsidRPr="003A0686" w:rsidRDefault="00684B37" w:rsidP="00684B37">
      <w:pPr>
        <w:spacing w:line="360" w:lineRule="auto"/>
        <w:jc w:val="center"/>
        <w:rPr>
          <w:rFonts w:ascii="Times New Roman" w:hAnsi="Times New Roman" w:cs="Times New Roman"/>
          <w:b/>
          <w:bCs/>
          <w:color w:val="000000" w:themeColor="text1"/>
          <w:sz w:val="104"/>
          <w:szCs w:val="104"/>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Academic skills </w:t>
      </w:r>
    </w:p>
    <w:p w14:paraId="5E9543B6" w14:textId="77777777" w:rsidR="00684B37" w:rsidRPr="009E1CB3" w:rsidRDefault="00684B37" w:rsidP="00684B37">
      <w:pPr>
        <w:spacing w:line="240" w:lineRule="auto"/>
        <w:jc w:val="cente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A6577">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Assignment </w:t>
      </w:r>
      <w: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w:t>
      </w:r>
    </w:p>
    <w:p w14:paraId="7642A1EF" w14:textId="68764126" w:rsidR="05133FDC" w:rsidRDefault="05133FDC" w:rsidP="05133FDC">
      <w:pPr>
        <w:rPr>
          <w:sz w:val="32"/>
          <w:szCs w:val="32"/>
        </w:rPr>
      </w:pPr>
    </w:p>
    <w:p w14:paraId="02E735F1" w14:textId="660C2C7C"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 xml:space="preserve"> </w:t>
      </w:r>
    </w:p>
    <w:p w14:paraId="18395B3A" w14:textId="753BB389" w:rsidR="05133FDC" w:rsidRDefault="05133FDC" w:rsidP="05133FDC">
      <w:pPr>
        <w:rPr>
          <w:sz w:val="32"/>
          <w:szCs w:val="32"/>
        </w:rPr>
      </w:pPr>
    </w:p>
    <w:p w14:paraId="3D88E110" w14:textId="77777777" w:rsidR="00F147C1" w:rsidRDefault="00F147C1" w:rsidP="00F147C1">
      <w:pPr>
        <w:jc w:val="right"/>
        <w:rPr>
          <w:rFonts w:ascii="Times New Roman" w:hAnsi="Times New Roman" w:cs="Times New Roman"/>
          <w:b/>
          <w:bCs/>
          <w:sz w:val="28"/>
          <w:szCs w:val="28"/>
          <w:lang w:val="en-US"/>
        </w:rPr>
      </w:pPr>
    </w:p>
    <w:p w14:paraId="26624F17" w14:textId="77777777" w:rsidR="001C6FEE" w:rsidRDefault="001C6FEE" w:rsidP="00F147C1">
      <w:pPr>
        <w:jc w:val="right"/>
        <w:rPr>
          <w:rFonts w:ascii="Times New Roman" w:hAnsi="Times New Roman" w:cs="Times New Roman"/>
          <w:b/>
          <w:bCs/>
          <w:sz w:val="28"/>
          <w:szCs w:val="28"/>
          <w:lang w:val="en-US"/>
        </w:rPr>
      </w:pPr>
    </w:p>
    <w:p w14:paraId="472F020C" w14:textId="6AA75846" w:rsidR="00F147C1" w:rsidRPr="00141D7E"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Title of the Assignment:</w:t>
      </w:r>
      <w:r w:rsidRPr="004A6577">
        <w:rPr>
          <w:rFonts w:ascii="Times New Roman" w:hAnsi="Times New Roman" w:cs="Times New Roman"/>
          <w:sz w:val="28"/>
          <w:szCs w:val="28"/>
          <w:lang w:val="en-US"/>
        </w:rPr>
        <w:t xml:space="preserve"> </w:t>
      </w:r>
      <w:r w:rsidR="001C6FEE" w:rsidRPr="001C6FEE">
        <w:rPr>
          <w:rFonts w:ascii="Times New Roman" w:hAnsi="Times New Roman" w:cs="Times New Roman"/>
          <w:i/>
          <w:iCs/>
          <w:sz w:val="28"/>
          <w:szCs w:val="28"/>
          <w:lang w:val="en-US"/>
        </w:rPr>
        <w:t>Indicative Reading List in the Module Descriptor</w:t>
      </w:r>
    </w:p>
    <w:p w14:paraId="716E5B07" w14:textId="0517DAE7" w:rsidR="00F147C1" w:rsidRPr="0028313C"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Module Title</w:t>
      </w:r>
      <w:r>
        <w:rPr>
          <w:rFonts w:ascii="Times New Roman" w:hAnsi="Times New Roman" w:cs="Times New Roman"/>
          <w:b/>
          <w:bCs/>
          <w:sz w:val="28"/>
          <w:szCs w:val="28"/>
          <w:lang w:val="en-US"/>
        </w:rPr>
        <w:t>/Name</w:t>
      </w:r>
      <w:r w:rsidRPr="004A6577">
        <w:rPr>
          <w:rFonts w:ascii="Times New Roman" w:hAnsi="Times New Roman" w:cs="Times New Roman"/>
          <w:b/>
          <w:bCs/>
          <w:sz w:val="28"/>
          <w:szCs w:val="28"/>
          <w:lang w:val="en-US"/>
        </w:rPr>
        <w:t>:</w:t>
      </w:r>
      <w:r w:rsidRPr="004A6577">
        <w:rPr>
          <w:rFonts w:ascii="Times New Roman" w:hAnsi="Times New Roman" w:cs="Times New Roman"/>
          <w:sz w:val="28"/>
          <w:szCs w:val="28"/>
          <w:lang w:val="en-US"/>
        </w:rPr>
        <w:t xml:space="preserve"> </w:t>
      </w:r>
      <w:r w:rsidR="00424C66" w:rsidRPr="00424C66">
        <w:rPr>
          <w:rFonts w:ascii="Times New Roman" w:hAnsi="Times New Roman" w:cs="Times New Roman"/>
          <w:i/>
          <w:iCs/>
          <w:sz w:val="28"/>
          <w:szCs w:val="28"/>
          <w:lang w:val="en-US"/>
        </w:rPr>
        <w:t>Academic Skills</w:t>
      </w:r>
    </w:p>
    <w:p w14:paraId="31A6FF20" w14:textId="402C2045"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Module Code:</w:t>
      </w:r>
      <w:r w:rsidRPr="004A6577">
        <w:rPr>
          <w:rFonts w:ascii="Times New Roman" w:hAnsi="Times New Roman" w:cs="Times New Roman"/>
          <w:sz w:val="28"/>
          <w:szCs w:val="28"/>
          <w:lang w:val="en-US"/>
        </w:rPr>
        <w:t xml:space="preserve"> </w:t>
      </w:r>
      <w:r w:rsidR="00EA68C3" w:rsidRPr="00EA68C3">
        <w:rPr>
          <w:rFonts w:ascii="Times New Roman" w:hAnsi="Times New Roman" w:cs="Times New Roman"/>
          <w:i/>
          <w:iCs/>
          <w:sz w:val="28"/>
          <w:szCs w:val="28"/>
        </w:rPr>
        <w:t>LCBB4006</w:t>
      </w:r>
      <w:r w:rsidRPr="00EA68C3">
        <w:rPr>
          <w:rFonts w:ascii="Times New Roman" w:hAnsi="Times New Roman" w:cs="Times New Roman"/>
          <w:i/>
          <w:iCs/>
          <w:sz w:val="36"/>
          <w:szCs w:val="36"/>
          <w:lang w:val="en-US"/>
        </w:rPr>
        <w:t xml:space="preserve"> </w:t>
      </w:r>
    </w:p>
    <w:p w14:paraId="6E963189" w14:textId="77777777"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Student name:</w:t>
      </w:r>
      <w:r w:rsidRPr="004A6577">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Aleksandar Chimshirov</w:t>
      </w:r>
    </w:p>
    <w:p w14:paraId="12F7367B" w14:textId="76016B66" w:rsidR="00F147C1" w:rsidRPr="004A6577" w:rsidRDefault="00F147C1" w:rsidP="00F147C1">
      <w:pPr>
        <w:jc w:val="right"/>
        <w:rPr>
          <w:rFonts w:ascii="Times New Roman" w:hAnsi="Times New Roman" w:cs="Times New Roman"/>
          <w:sz w:val="28"/>
          <w:szCs w:val="28"/>
        </w:rPr>
      </w:pPr>
      <w:r>
        <w:rPr>
          <w:rFonts w:ascii="Times New Roman" w:hAnsi="Times New Roman" w:cs="Times New Roman"/>
          <w:b/>
          <w:bCs/>
          <w:sz w:val="28"/>
          <w:szCs w:val="28"/>
          <w:lang w:val="en-US"/>
        </w:rPr>
        <w:t xml:space="preserve">Student </w:t>
      </w:r>
      <w:r w:rsidRPr="004A6577">
        <w:rPr>
          <w:rFonts w:ascii="Times New Roman" w:hAnsi="Times New Roman" w:cs="Times New Roman"/>
          <w:b/>
          <w:bCs/>
          <w:sz w:val="28"/>
          <w:szCs w:val="28"/>
          <w:lang w:val="en-US"/>
        </w:rPr>
        <w:t>ID:</w:t>
      </w:r>
      <w:r w:rsidR="001818BB">
        <w:rPr>
          <w:rFonts w:ascii="Times New Roman" w:hAnsi="Times New Roman" w:cs="Times New Roman"/>
          <w:b/>
          <w:bCs/>
          <w:sz w:val="28"/>
          <w:szCs w:val="28"/>
          <w:lang w:val="en-US"/>
        </w:rPr>
        <w:t xml:space="preserve"> </w:t>
      </w:r>
      <w:r w:rsidR="00CC472A" w:rsidRPr="00CB4240">
        <w:rPr>
          <w:rFonts w:ascii="Times New Roman" w:hAnsi="Times New Roman" w:cs="Times New Roman"/>
          <w:i/>
          <w:iCs/>
          <w:sz w:val="28"/>
          <w:szCs w:val="28"/>
          <w:lang w:val="en-US"/>
        </w:rPr>
        <w:t>223</w:t>
      </w:r>
      <w:r w:rsidR="00CB4240" w:rsidRPr="00CB4240">
        <w:rPr>
          <w:rFonts w:ascii="Times New Roman" w:hAnsi="Times New Roman" w:cs="Times New Roman"/>
          <w:i/>
          <w:iCs/>
          <w:sz w:val="28"/>
          <w:szCs w:val="28"/>
          <w:lang w:val="en-US"/>
        </w:rPr>
        <w:t>5</w:t>
      </w:r>
      <w:r w:rsidR="00CC472A" w:rsidRPr="00CB4240">
        <w:rPr>
          <w:rFonts w:ascii="Times New Roman" w:hAnsi="Times New Roman" w:cs="Times New Roman"/>
          <w:i/>
          <w:iCs/>
          <w:sz w:val="28"/>
          <w:szCs w:val="28"/>
          <w:lang w:val="en-US"/>
        </w:rPr>
        <w:t>3</w:t>
      </w:r>
      <w:r w:rsidR="00CB4240" w:rsidRPr="00CB4240">
        <w:rPr>
          <w:rFonts w:ascii="Times New Roman" w:hAnsi="Times New Roman" w:cs="Times New Roman"/>
          <w:i/>
          <w:iCs/>
          <w:sz w:val="28"/>
          <w:szCs w:val="28"/>
          <w:lang w:val="en-US"/>
        </w:rPr>
        <w:t>3</w:t>
      </w:r>
      <w:r w:rsidR="00CC472A" w:rsidRPr="00CB4240">
        <w:rPr>
          <w:rFonts w:ascii="Times New Roman" w:hAnsi="Times New Roman" w:cs="Times New Roman"/>
          <w:i/>
          <w:iCs/>
          <w:sz w:val="28"/>
          <w:szCs w:val="28"/>
          <w:lang w:val="en-US"/>
        </w:rPr>
        <w:t>6</w:t>
      </w:r>
    </w:p>
    <w:p w14:paraId="296FB10C" w14:textId="785D1F8A" w:rsidR="05133FDC" w:rsidRDefault="00F147C1" w:rsidP="00F147C1">
      <w:pPr>
        <w:jc w:val="right"/>
        <w:rPr>
          <w:sz w:val="32"/>
          <w:szCs w:val="32"/>
        </w:rPr>
      </w:pPr>
      <w:r w:rsidRPr="004A6577">
        <w:rPr>
          <w:rFonts w:ascii="Times New Roman" w:hAnsi="Times New Roman" w:cs="Times New Roman"/>
          <w:b/>
          <w:bCs/>
          <w:sz w:val="28"/>
          <w:szCs w:val="28"/>
          <w:lang w:val="en-US"/>
        </w:rPr>
        <w:t>Word count:</w:t>
      </w:r>
      <w:r w:rsidRPr="004A6577">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1</w:t>
      </w:r>
      <w:r w:rsidR="001818BB">
        <w:rPr>
          <w:rFonts w:ascii="Times New Roman" w:hAnsi="Times New Roman" w:cs="Times New Roman"/>
          <w:i/>
          <w:iCs/>
          <w:sz w:val="28"/>
          <w:szCs w:val="28"/>
          <w:lang w:val="en-US"/>
        </w:rPr>
        <w:t>250</w:t>
      </w:r>
    </w:p>
    <w:p w14:paraId="47AE6264" w14:textId="2321BCF4" w:rsidR="05133FDC" w:rsidRPr="00752D0A" w:rsidRDefault="00F147C1" w:rsidP="00F147C1">
      <w:pPr>
        <w:jc w:val="right"/>
        <w:rPr>
          <w:sz w:val="28"/>
          <w:szCs w:val="28"/>
        </w:rPr>
      </w:pPr>
      <w:r>
        <w:rPr>
          <w:rFonts w:ascii="Times New Roman" w:hAnsi="Times New Roman" w:cs="Times New Roman"/>
          <w:b/>
          <w:bCs/>
          <w:sz w:val="28"/>
          <w:szCs w:val="28"/>
          <w:lang w:val="en-US"/>
        </w:rPr>
        <w:t>Lecture</w:t>
      </w:r>
      <w:r w:rsidRPr="004A6577">
        <w:rPr>
          <w:rFonts w:ascii="Times New Roman" w:hAnsi="Times New Roman" w:cs="Times New Roman"/>
          <w:b/>
          <w:bCs/>
          <w:sz w:val="28"/>
          <w:szCs w:val="28"/>
          <w:lang w:val="en-US"/>
        </w:rPr>
        <w:t>:</w:t>
      </w:r>
      <w:r w:rsidR="00752D0A">
        <w:rPr>
          <w:rFonts w:ascii="Times New Roman" w:hAnsi="Times New Roman" w:cs="Times New Roman"/>
          <w:b/>
          <w:bCs/>
          <w:sz w:val="28"/>
          <w:szCs w:val="28"/>
          <w:lang w:val="en-US"/>
        </w:rPr>
        <w:t xml:space="preserve"> </w:t>
      </w:r>
      <w:proofErr w:type="spellStart"/>
      <w:r w:rsidR="00752D0A" w:rsidRPr="00752D0A">
        <w:rPr>
          <w:rFonts w:ascii="Times New Roman" w:hAnsi="Times New Roman" w:cs="Times New Roman"/>
          <w:i/>
          <w:iCs/>
          <w:sz w:val="28"/>
          <w:szCs w:val="28"/>
        </w:rPr>
        <w:t>Dr</w:t>
      </w:r>
      <w:r w:rsidR="00801BF8">
        <w:rPr>
          <w:rFonts w:ascii="Times New Roman" w:hAnsi="Times New Roman" w:cs="Times New Roman"/>
          <w:i/>
          <w:iCs/>
          <w:sz w:val="28"/>
          <w:szCs w:val="28"/>
        </w:rPr>
        <w:t>.</w:t>
      </w:r>
      <w:proofErr w:type="spellEnd"/>
      <w:r w:rsidR="00752D0A" w:rsidRPr="00752D0A">
        <w:rPr>
          <w:rFonts w:ascii="Times New Roman" w:hAnsi="Times New Roman" w:cs="Times New Roman"/>
          <w:i/>
          <w:iCs/>
          <w:sz w:val="28"/>
          <w:szCs w:val="28"/>
        </w:rPr>
        <w:t xml:space="preserve"> </w:t>
      </w:r>
      <w:proofErr w:type="spellStart"/>
      <w:r w:rsidR="00752D0A" w:rsidRPr="00752D0A">
        <w:rPr>
          <w:rFonts w:ascii="Times New Roman" w:hAnsi="Times New Roman" w:cs="Times New Roman"/>
          <w:i/>
          <w:iCs/>
          <w:sz w:val="28"/>
          <w:szCs w:val="28"/>
        </w:rPr>
        <w:t>Lizeta</w:t>
      </w:r>
      <w:proofErr w:type="spellEnd"/>
      <w:r w:rsidR="00752D0A" w:rsidRPr="00752D0A">
        <w:rPr>
          <w:rFonts w:ascii="Times New Roman" w:hAnsi="Times New Roman" w:cs="Times New Roman"/>
          <w:i/>
          <w:iCs/>
          <w:sz w:val="28"/>
          <w:szCs w:val="28"/>
        </w:rPr>
        <w:t xml:space="preserve"> Demetriou</w:t>
      </w:r>
    </w:p>
    <w:sdt>
      <w:sdtPr>
        <w:rPr>
          <w:rFonts w:asciiTheme="minorHAnsi" w:eastAsiaTheme="minorEastAsia" w:hAnsiTheme="minorHAnsi" w:cstheme="minorBidi"/>
          <w:color w:val="auto"/>
          <w:sz w:val="22"/>
          <w:szCs w:val="22"/>
          <w:lang w:eastAsia="zh-CN"/>
        </w:rPr>
        <w:id w:val="-10216403"/>
        <w:docPartObj>
          <w:docPartGallery w:val="Table of Contents"/>
          <w:docPartUnique/>
        </w:docPartObj>
      </w:sdtPr>
      <w:sdtEnd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7D259656" w14:textId="514C85B9" w:rsidR="00E669CC" w:rsidRPr="00E1734C" w:rsidRDefault="00E669CC" w:rsidP="00E1734C">
          <w:pPr>
            <w:pStyle w:val="TOCHeading"/>
            <w:jc w:val="center"/>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E1734C">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Table of Contents</w:t>
          </w:r>
        </w:p>
        <w:p w14:paraId="6822EBB9" w14:textId="77777777" w:rsidR="00E1734C" w:rsidRPr="00E1734C" w:rsidRDefault="00E1734C" w:rsidP="00E1734C">
          <w:pPr>
            <w:rPr>
              <w:lang w:eastAsia="en-GB"/>
            </w:rPr>
          </w:pPr>
        </w:p>
        <w:p w14:paraId="5A5F8B01" w14:textId="1B88E68E" w:rsidR="00FC04CF" w:rsidRPr="00FC04CF" w:rsidRDefault="00E669CC" w:rsidP="00FC04CF">
          <w:pPr>
            <w:pStyle w:val="TOC1"/>
          </w:pPr>
          <w:r w:rsidRPr="00E1734C">
            <w:rPr>
              <w:lang w:eastAsia="en-GB"/>
            </w:rPr>
            <w:fldChar w:fldCharType="begin"/>
          </w:r>
          <w:r w:rsidRPr="00E1734C">
            <w:instrText xml:space="preserve"> TOC \o "1-3" \h \z \u </w:instrText>
          </w:r>
          <w:r w:rsidRPr="00E1734C">
            <w:rPr>
              <w:lang w:eastAsia="en-GB"/>
            </w:rPr>
            <w:fldChar w:fldCharType="separate"/>
          </w:r>
          <w:hyperlink w:anchor="_Toc131310913" w:history="1">
            <w:r w:rsidR="00FC04CF" w:rsidRPr="00FC04CF">
              <w:rPr>
                <w:rStyle w:val="Hyperlink"/>
                <w:color w:val="000000" w:themeColor="text1"/>
              </w:rPr>
              <w:t>Introduction</w:t>
            </w:r>
            <w:r w:rsidR="00FC04CF" w:rsidRPr="00FC04CF">
              <w:rPr>
                <w:webHidden/>
              </w:rPr>
              <w:tab/>
            </w:r>
            <w:r w:rsidR="00FC04CF" w:rsidRPr="00FC04CF">
              <w:rPr>
                <w:webHidden/>
              </w:rPr>
              <w:fldChar w:fldCharType="begin"/>
            </w:r>
            <w:r w:rsidR="00FC04CF" w:rsidRPr="00FC04CF">
              <w:rPr>
                <w:webHidden/>
              </w:rPr>
              <w:instrText xml:space="preserve"> PAGEREF _Toc131310913 \h </w:instrText>
            </w:r>
            <w:r w:rsidR="00FC04CF" w:rsidRPr="00FC04CF">
              <w:rPr>
                <w:webHidden/>
              </w:rPr>
            </w:r>
            <w:r w:rsidR="00FC04CF" w:rsidRPr="00FC04CF">
              <w:rPr>
                <w:webHidden/>
              </w:rPr>
              <w:fldChar w:fldCharType="separate"/>
            </w:r>
            <w:r w:rsidR="006D73FE">
              <w:rPr>
                <w:webHidden/>
              </w:rPr>
              <w:t>3</w:t>
            </w:r>
            <w:r w:rsidR="00FC04CF" w:rsidRPr="00FC04CF">
              <w:rPr>
                <w:webHidden/>
              </w:rPr>
              <w:fldChar w:fldCharType="end"/>
            </w:r>
          </w:hyperlink>
        </w:p>
        <w:p w14:paraId="1E648EA4" w14:textId="4E74FFA5" w:rsidR="00FC04CF" w:rsidRPr="00FC04CF" w:rsidRDefault="001250A9" w:rsidP="00FC04CF">
          <w:pPr>
            <w:pStyle w:val="TOC1"/>
          </w:pPr>
          <w:hyperlink w:anchor="_Toc131310914" w:history="1">
            <w:r w:rsidR="00FC04CF" w:rsidRPr="00FC04CF">
              <w:rPr>
                <w:rStyle w:val="Hyperlink"/>
                <w:color w:val="000000" w:themeColor="text1"/>
              </w:rPr>
              <w:t>Summary of the chapter Twelve from the book “The Study Skills Handbook” by Stella Cottrell</w:t>
            </w:r>
            <w:r w:rsidR="00FC04CF" w:rsidRPr="00FC04CF">
              <w:rPr>
                <w:webHidden/>
              </w:rPr>
              <w:tab/>
            </w:r>
            <w:r w:rsidR="00FC04CF" w:rsidRPr="00FC04CF">
              <w:rPr>
                <w:webHidden/>
              </w:rPr>
              <w:fldChar w:fldCharType="begin"/>
            </w:r>
            <w:r w:rsidR="00FC04CF" w:rsidRPr="00FC04CF">
              <w:rPr>
                <w:webHidden/>
              </w:rPr>
              <w:instrText xml:space="preserve"> PAGEREF _Toc131310914 \h </w:instrText>
            </w:r>
            <w:r w:rsidR="00FC04CF" w:rsidRPr="00FC04CF">
              <w:rPr>
                <w:webHidden/>
              </w:rPr>
            </w:r>
            <w:r w:rsidR="00FC04CF" w:rsidRPr="00FC04CF">
              <w:rPr>
                <w:webHidden/>
              </w:rPr>
              <w:fldChar w:fldCharType="separate"/>
            </w:r>
            <w:r w:rsidR="006D73FE">
              <w:rPr>
                <w:webHidden/>
              </w:rPr>
              <w:t>4</w:t>
            </w:r>
            <w:r w:rsidR="00FC04CF" w:rsidRPr="00FC04CF">
              <w:rPr>
                <w:webHidden/>
              </w:rPr>
              <w:fldChar w:fldCharType="end"/>
            </w:r>
          </w:hyperlink>
        </w:p>
        <w:p w14:paraId="12C0E4ED" w14:textId="46F62600" w:rsidR="00FC04CF" w:rsidRPr="00FC04CF" w:rsidRDefault="001250A9" w:rsidP="00FC04CF">
          <w:pPr>
            <w:pStyle w:val="TOC1"/>
          </w:pPr>
          <w:hyperlink w:anchor="_Toc131310915" w:history="1">
            <w:r w:rsidR="00FC04CF" w:rsidRPr="00FC04CF">
              <w:rPr>
                <w:rStyle w:val="Hyperlink"/>
                <w:color w:val="000000" w:themeColor="text1"/>
              </w:rPr>
              <w:t>Evaluation of the skills</w:t>
            </w:r>
            <w:r w:rsidR="00FC04CF" w:rsidRPr="00FC04CF">
              <w:rPr>
                <w:webHidden/>
              </w:rPr>
              <w:tab/>
            </w:r>
            <w:r w:rsidR="00FC04CF" w:rsidRPr="00FC04CF">
              <w:rPr>
                <w:webHidden/>
              </w:rPr>
              <w:fldChar w:fldCharType="begin"/>
            </w:r>
            <w:r w:rsidR="00FC04CF" w:rsidRPr="00FC04CF">
              <w:rPr>
                <w:webHidden/>
              </w:rPr>
              <w:instrText xml:space="preserve"> PAGEREF _Toc131310915 \h </w:instrText>
            </w:r>
            <w:r w:rsidR="00FC04CF" w:rsidRPr="00FC04CF">
              <w:rPr>
                <w:webHidden/>
              </w:rPr>
            </w:r>
            <w:r w:rsidR="00FC04CF" w:rsidRPr="00FC04CF">
              <w:rPr>
                <w:webHidden/>
              </w:rPr>
              <w:fldChar w:fldCharType="separate"/>
            </w:r>
            <w:r w:rsidR="006D73FE">
              <w:rPr>
                <w:webHidden/>
              </w:rPr>
              <w:t>5</w:t>
            </w:r>
            <w:r w:rsidR="00FC04CF" w:rsidRPr="00FC04CF">
              <w:rPr>
                <w:webHidden/>
              </w:rPr>
              <w:fldChar w:fldCharType="end"/>
            </w:r>
          </w:hyperlink>
        </w:p>
        <w:p w14:paraId="0D1B062F" w14:textId="22B03129" w:rsidR="00FC04CF" w:rsidRPr="00FC04CF" w:rsidRDefault="001250A9" w:rsidP="00FC04CF">
          <w:pPr>
            <w:pStyle w:val="TOC1"/>
          </w:pPr>
          <w:hyperlink w:anchor="_Toc131310916" w:history="1">
            <w:r w:rsidR="00FC04CF" w:rsidRPr="00FC04CF">
              <w:rPr>
                <w:rStyle w:val="Hyperlink"/>
                <w:color w:val="000000" w:themeColor="text1"/>
              </w:rPr>
              <w:t>Conclusion</w:t>
            </w:r>
            <w:r w:rsidR="00FC04CF" w:rsidRPr="00FC04CF">
              <w:rPr>
                <w:webHidden/>
              </w:rPr>
              <w:tab/>
            </w:r>
            <w:r w:rsidR="00FC04CF" w:rsidRPr="00FC04CF">
              <w:rPr>
                <w:webHidden/>
              </w:rPr>
              <w:fldChar w:fldCharType="begin"/>
            </w:r>
            <w:r w:rsidR="00FC04CF" w:rsidRPr="00FC04CF">
              <w:rPr>
                <w:webHidden/>
              </w:rPr>
              <w:instrText xml:space="preserve"> PAGEREF _Toc131310916 \h </w:instrText>
            </w:r>
            <w:r w:rsidR="00FC04CF" w:rsidRPr="00FC04CF">
              <w:rPr>
                <w:webHidden/>
              </w:rPr>
            </w:r>
            <w:r w:rsidR="00FC04CF" w:rsidRPr="00FC04CF">
              <w:rPr>
                <w:webHidden/>
              </w:rPr>
              <w:fldChar w:fldCharType="separate"/>
            </w:r>
            <w:r w:rsidR="006D73FE">
              <w:rPr>
                <w:webHidden/>
              </w:rPr>
              <w:t>6</w:t>
            </w:r>
            <w:r w:rsidR="00FC04CF" w:rsidRPr="00FC04CF">
              <w:rPr>
                <w:webHidden/>
              </w:rPr>
              <w:fldChar w:fldCharType="end"/>
            </w:r>
          </w:hyperlink>
        </w:p>
        <w:p w14:paraId="60C8E162" w14:textId="1C700038" w:rsidR="00FC04CF" w:rsidRPr="00FC04CF" w:rsidRDefault="001250A9" w:rsidP="00FC04CF">
          <w:pPr>
            <w:pStyle w:val="TOC1"/>
          </w:pPr>
          <w:hyperlink w:anchor="_Toc131310917" w:history="1">
            <w:r w:rsidR="00FC04CF" w:rsidRPr="00FC04CF">
              <w:rPr>
                <w:rStyle w:val="Hyperlink"/>
                <w:color w:val="000000" w:themeColor="text1"/>
              </w:rPr>
              <w:t>References</w:t>
            </w:r>
            <w:r w:rsidR="00FC04CF" w:rsidRPr="00FC04CF">
              <w:rPr>
                <w:webHidden/>
              </w:rPr>
              <w:tab/>
            </w:r>
            <w:r w:rsidR="00FC04CF" w:rsidRPr="00FC04CF">
              <w:rPr>
                <w:webHidden/>
              </w:rPr>
              <w:fldChar w:fldCharType="begin"/>
            </w:r>
            <w:r w:rsidR="00FC04CF" w:rsidRPr="00FC04CF">
              <w:rPr>
                <w:webHidden/>
              </w:rPr>
              <w:instrText xml:space="preserve"> PAGEREF _Toc131310917 \h </w:instrText>
            </w:r>
            <w:r w:rsidR="00FC04CF" w:rsidRPr="00FC04CF">
              <w:rPr>
                <w:webHidden/>
              </w:rPr>
            </w:r>
            <w:r w:rsidR="00FC04CF" w:rsidRPr="00FC04CF">
              <w:rPr>
                <w:webHidden/>
              </w:rPr>
              <w:fldChar w:fldCharType="separate"/>
            </w:r>
            <w:r w:rsidR="006D73FE">
              <w:rPr>
                <w:webHidden/>
              </w:rPr>
              <w:t>7</w:t>
            </w:r>
            <w:r w:rsidR="00FC04CF" w:rsidRPr="00FC04CF">
              <w:rPr>
                <w:webHidden/>
              </w:rPr>
              <w:fldChar w:fldCharType="end"/>
            </w:r>
          </w:hyperlink>
        </w:p>
        <w:p w14:paraId="260561BF" w14:textId="157B622B" w:rsidR="00E669CC" w:rsidRPr="00E1734C" w:rsidRDefault="00E669C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734C">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383EB317" w14:textId="6513E050" w:rsidR="4B0EC5F8" w:rsidRPr="00E1734C" w:rsidRDefault="4B0EC5F8" w:rsidP="4B0EC5F8">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53BB0B" w14:textId="5A3B7760" w:rsidR="00E247B9" w:rsidRDefault="00E247B9">
      <w:pPr>
        <w:rPr>
          <w:sz w:val="32"/>
          <w:szCs w:val="32"/>
        </w:rPr>
      </w:pPr>
    </w:p>
    <w:p w14:paraId="365F8AAC" w14:textId="0A57B870" w:rsidR="00E247B9" w:rsidRDefault="00E247B9">
      <w:pPr>
        <w:rPr>
          <w:sz w:val="32"/>
          <w:szCs w:val="32"/>
        </w:rPr>
      </w:pPr>
    </w:p>
    <w:p w14:paraId="2960BEEC" w14:textId="77777777" w:rsidR="00024495" w:rsidRDefault="00024495">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F40DE02" w14:textId="2691D5DC" w:rsidR="00E247B9" w:rsidRDefault="00E247B9" w:rsidP="00E247B9">
      <w:pPr>
        <w:rPr>
          <w:sz w:val="32"/>
          <w:szCs w:val="32"/>
        </w:rPr>
      </w:pPr>
    </w:p>
    <w:p w14:paraId="4DD721B7" w14:textId="4E01DC8F" w:rsidR="007F48AF" w:rsidRPr="00A6461C" w:rsidRDefault="007F48AF" w:rsidP="00E57A94">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0" w:name="_Toc90012352"/>
      <w:bookmarkStart w:id="1" w:name="_Toc131310913"/>
      <w:r w:rsidRPr="00CB4412">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Introduction</w:t>
      </w:r>
      <w:bookmarkEnd w:id="0"/>
      <w:bookmarkEnd w:id="1"/>
    </w:p>
    <w:p w14:paraId="6A4E9D53" w14:textId="49BBDD90" w:rsidR="002137DC" w:rsidRDefault="00233F39" w:rsidP="00FC04CF">
      <w:pPr>
        <w:pStyle w:val="NoSpacing"/>
        <w:spacing w:line="360" w:lineRule="auto"/>
        <w:ind w:firstLine="720"/>
        <w:rPr>
          <w:rFonts w:ascii="Times New Roman" w:hAnsi="Times New Roman" w:cs="Times New Roman"/>
          <w:sz w:val="24"/>
          <w:szCs w:val="24"/>
          <w:lang w:eastAsia="en-US"/>
        </w:rPr>
      </w:pPr>
      <w:r w:rsidRPr="00885F6C">
        <w:rPr>
          <w:rFonts w:ascii="Times New Roman" w:eastAsia="Times New Roman" w:hAnsi="Times New Roman" w:cs="Times New Roman"/>
          <w:sz w:val="24"/>
          <w:szCs w:val="24"/>
        </w:rPr>
        <w:t>Critical thinking is an essential skill for students in today's fast-paced and ever-changing world. It allows individuals to analyse, evaluate and interpret information thoughtfully and logically. In the context of academic studies, critical thinking is particularly important as it enables students to engage with complex ideas and arguments and to develop their ideas and opinions based on evidence and reasoning. This report focuses on Chapter 12 of the book "The Study Skills Handbook" by Stella Cottrell, which is dedicated to the topic of critical thinking (Graff &amp; Birkenstein, 2018). The chapter provides an overview of the concept of critical thinking, as well as practical strategies for developing and applying this skill in various academic contexts. The thesis statement for this report is: "This report will evaluate the key ideas and strategies presented in Chapter 12 of 'The Study Skills Handbook', and discuss their significance in helping students to develop effective critical thinking skills." Through this report, we will explore the importance of critical thinking in academic studies, and how it can be developed through techniques such as analysing assumptions, evaluating evidence, and considering alternative perspectives (Scriven &amp; Paul, 2022). We will also evaluate the effectiveness of the strategies and techniques presented in the chapter and consider their potential impact on student's academic performance and professional development.</w:t>
      </w:r>
    </w:p>
    <w:p w14:paraId="2D3D9B0D" w14:textId="77777777" w:rsidR="00A974FE" w:rsidRDefault="00A974FE" w:rsidP="00A974FE">
      <w:pPr>
        <w:ind w:left="360"/>
        <w:rPr>
          <w:sz w:val="32"/>
          <w:szCs w:val="32"/>
        </w:rPr>
      </w:pPr>
    </w:p>
    <w:p w14:paraId="4A027872" w14:textId="77777777" w:rsidR="00595D78" w:rsidRDefault="00595D78" w:rsidP="00A974FE">
      <w:pPr>
        <w:ind w:left="360"/>
        <w:rPr>
          <w:sz w:val="32"/>
          <w:szCs w:val="32"/>
        </w:rPr>
      </w:pPr>
    </w:p>
    <w:p w14:paraId="5F7F7430" w14:textId="77777777" w:rsidR="00595D78" w:rsidRDefault="00595D78" w:rsidP="00A974FE">
      <w:pPr>
        <w:ind w:left="360"/>
        <w:rPr>
          <w:sz w:val="32"/>
          <w:szCs w:val="32"/>
        </w:rPr>
      </w:pPr>
    </w:p>
    <w:p w14:paraId="3B74FC69" w14:textId="77777777" w:rsidR="00595D78" w:rsidRDefault="00595D78" w:rsidP="00A974FE">
      <w:pPr>
        <w:ind w:left="360"/>
        <w:rPr>
          <w:sz w:val="32"/>
          <w:szCs w:val="32"/>
        </w:rPr>
      </w:pPr>
    </w:p>
    <w:p w14:paraId="11D74251" w14:textId="77777777" w:rsidR="00595D78" w:rsidRDefault="00595D78" w:rsidP="00A974FE">
      <w:pPr>
        <w:ind w:left="360"/>
        <w:rPr>
          <w:sz w:val="32"/>
          <w:szCs w:val="32"/>
        </w:rPr>
      </w:pPr>
    </w:p>
    <w:p w14:paraId="1E0E4691" w14:textId="77777777" w:rsidR="00595D78" w:rsidRDefault="00595D78" w:rsidP="00A974FE">
      <w:pPr>
        <w:ind w:left="360"/>
        <w:rPr>
          <w:sz w:val="32"/>
          <w:szCs w:val="32"/>
        </w:rPr>
      </w:pPr>
    </w:p>
    <w:p w14:paraId="48B7A5BF" w14:textId="77777777" w:rsidR="00595D78" w:rsidRDefault="00595D78" w:rsidP="00A974FE">
      <w:pPr>
        <w:ind w:left="360"/>
        <w:rPr>
          <w:sz w:val="32"/>
          <w:szCs w:val="32"/>
        </w:rPr>
      </w:pPr>
    </w:p>
    <w:p w14:paraId="483066D3" w14:textId="675FC25D" w:rsidR="00595D78" w:rsidRDefault="00595D78" w:rsidP="00A974FE">
      <w:pPr>
        <w:ind w:left="360"/>
        <w:rPr>
          <w:sz w:val="32"/>
          <w:szCs w:val="32"/>
        </w:rPr>
      </w:pPr>
    </w:p>
    <w:p w14:paraId="0B32BF5D" w14:textId="77777777" w:rsidR="00595D78" w:rsidRDefault="00595D78" w:rsidP="00A974FE">
      <w:pPr>
        <w:ind w:left="360"/>
        <w:rPr>
          <w:sz w:val="32"/>
          <w:szCs w:val="32"/>
        </w:rPr>
      </w:pPr>
    </w:p>
    <w:p w14:paraId="6FDF2968" w14:textId="77777777" w:rsidR="00233F39" w:rsidRDefault="00233F39" w:rsidP="00FC04CF">
      <w:pPr>
        <w:rPr>
          <w:sz w:val="32"/>
          <w:szCs w:val="32"/>
        </w:rPr>
      </w:pPr>
    </w:p>
    <w:p w14:paraId="55525AC3" w14:textId="77777777" w:rsidR="00233F39" w:rsidRPr="00A974FE" w:rsidRDefault="00233F39" w:rsidP="00A974FE">
      <w:pPr>
        <w:ind w:left="360"/>
        <w:rPr>
          <w:sz w:val="32"/>
          <w:szCs w:val="32"/>
        </w:rPr>
      </w:pPr>
    </w:p>
    <w:p w14:paraId="13E89AE7" w14:textId="26CB8CA8" w:rsidR="00E57A94" w:rsidRPr="00E57A94" w:rsidRDefault="00836FF4" w:rsidP="00E57A94">
      <w:pPr>
        <w:pStyle w:val="Heading1"/>
        <w:spacing w:line="360" w:lineRule="auto"/>
        <w:jc w:val="cente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2" w:name="_Toc131310914"/>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Summary</w:t>
      </w:r>
      <w:r w:rsidR="00E57A94">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of the chapter </w:t>
      </w:r>
      <w:r w:rsidR="0087183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Twe</w:t>
      </w:r>
      <w:r w:rsidR="00AB2FF5">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lve </w:t>
      </w:r>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from the book </w:t>
      </w:r>
      <w:r w:rsidR="00AB2FF5">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Study Skills Handbook” by Stella Cottrell</w:t>
      </w:r>
      <w:bookmarkEnd w:id="2"/>
    </w:p>
    <w:p w14:paraId="085B0EE9" w14:textId="77777777" w:rsidR="00E57A94" w:rsidRDefault="00E57A94" w:rsidP="00E57A94">
      <w:pPr>
        <w:spacing w:line="240" w:lineRule="auto"/>
        <w:ind w:firstLine="720"/>
        <w:jc w:val="both"/>
        <w:rPr>
          <w:rFonts w:ascii="Times New Roman" w:eastAsia="Times New Roman" w:hAnsi="Times New Roman" w:cs="Times New Roman"/>
        </w:rPr>
      </w:pPr>
    </w:p>
    <w:p w14:paraId="09A5CAFF" w14:textId="62B5B1A3" w:rsidR="004C2269" w:rsidRPr="003F1A99" w:rsidRDefault="004C2269" w:rsidP="004C2269">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rPr>
        <w:t xml:space="preserve">Chapter 12 of "The Study Skills Handbook" by Stella Cottrell provides an overview of the concept of critical thinking, as well as practical strategies for developing and applying this skill in various academic contexts (Van Gelder, 2018). The chapter begins with an explanation of what critical thinking is, and why it is important for students. The author highlights that critical thinking is a process of evaluating, </w:t>
      </w:r>
      <w:r w:rsidR="001250A9" w:rsidRPr="003F1A99">
        <w:rPr>
          <w:rFonts w:ascii="Times New Roman" w:eastAsia="Times New Roman" w:hAnsi="Times New Roman" w:cs="Times New Roman"/>
        </w:rPr>
        <w:t>analysing</w:t>
      </w:r>
      <w:r w:rsidRPr="003F1A99">
        <w:rPr>
          <w:rFonts w:ascii="Times New Roman" w:eastAsia="Times New Roman" w:hAnsi="Times New Roman" w:cs="Times New Roman"/>
        </w:rPr>
        <w:t>, and interpreting information in a way that is logical, thoughtful, and reflective (Lipman, 2019). The chapter then goes on to explore key components of critical thinking, including questioning assumptions, evaluating evidence, and considering alternative perspectives.</w:t>
      </w:r>
    </w:p>
    <w:p w14:paraId="38694B84" w14:textId="77777777" w:rsidR="004C2269" w:rsidRPr="003F1A99" w:rsidRDefault="004C2269" w:rsidP="004C2269">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rPr>
        <w:t>The author also provides practical strategies for developing critical thinking skills, such as brainstorming, mind mapping, and the use of logic and reasoning. The chapter emphasizes the importance of developing an open-minded approach to thinking and encourages students to challenge their own assumptions and biases. One key theme throughout the chapter is the importance of using critical thinking skills in academic writing. The author provides guidance on how to use critical thinking to structure arguments, evaluate evidence, and engage with complex ideas and theories (</w:t>
      </w:r>
      <w:proofErr w:type="spellStart"/>
      <w:r w:rsidRPr="003F1A99">
        <w:rPr>
          <w:rFonts w:ascii="Times New Roman" w:eastAsia="Times New Roman" w:hAnsi="Times New Roman" w:cs="Times New Roman"/>
        </w:rPr>
        <w:t>McPeck</w:t>
      </w:r>
      <w:proofErr w:type="spellEnd"/>
      <w:r w:rsidRPr="003F1A99">
        <w:rPr>
          <w:rFonts w:ascii="Times New Roman" w:eastAsia="Times New Roman" w:hAnsi="Times New Roman" w:cs="Times New Roman"/>
        </w:rPr>
        <w:t>, 2017). The chapter also provides practical advice on how to avoid common pitfalls in academic writing, such as plagiarism and overgeneralization. The chapter provides a comprehensive and practical guide to developing critical thinking skills in academic contexts. The author's clear and concise writing style, coupled with the numerous examples and exercises, make this chapter an invaluable resource for students looking to improve their critical thinking skills (Paul &amp; Elder, 2021). By following the guidance and strategies presented in the chapter, students can learn to think more critically, engage more effectively with complex ideas and arguments, and ultimately achieve greater success in their academic studies.</w:t>
      </w:r>
    </w:p>
    <w:p w14:paraId="18FE1EF4" w14:textId="77777777" w:rsidR="00595D78" w:rsidRDefault="00595D78" w:rsidP="00595D78">
      <w:pPr>
        <w:rPr>
          <w:color w:val="FF0000"/>
          <w:sz w:val="32"/>
          <w:szCs w:val="32"/>
        </w:rPr>
      </w:pPr>
    </w:p>
    <w:p w14:paraId="7A897135" w14:textId="77777777" w:rsidR="00595D78" w:rsidRDefault="00595D78" w:rsidP="00595D78">
      <w:pPr>
        <w:rPr>
          <w:color w:val="FF0000"/>
          <w:sz w:val="32"/>
          <w:szCs w:val="32"/>
        </w:rPr>
      </w:pPr>
    </w:p>
    <w:p w14:paraId="5F7C12AD" w14:textId="77777777" w:rsidR="00595D78" w:rsidRDefault="00595D78" w:rsidP="00595D78">
      <w:pPr>
        <w:rPr>
          <w:color w:val="FF0000"/>
          <w:sz w:val="32"/>
          <w:szCs w:val="32"/>
        </w:rPr>
      </w:pPr>
    </w:p>
    <w:p w14:paraId="6919AF89" w14:textId="77777777" w:rsidR="00595D78" w:rsidRDefault="00595D78" w:rsidP="00595D78">
      <w:pPr>
        <w:rPr>
          <w:color w:val="FF0000"/>
          <w:sz w:val="32"/>
          <w:szCs w:val="32"/>
        </w:rPr>
      </w:pPr>
    </w:p>
    <w:p w14:paraId="22142330" w14:textId="77777777" w:rsidR="00595D78" w:rsidRDefault="00595D78" w:rsidP="00595D78">
      <w:pPr>
        <w:rPr>
          <w:color w:val="FF0000"/>
          <w:sz w:val="32"/>
          <w:szCs w:val="32"/>
        </w:rPr>
      </w:pPr>
    </w:p>
    <w:p w14:paraId="76833FC2" w14:textId="77777777" w:rsidR="00595D78" w:rsidRDefault="00595D78" w:rsidP="00595D78">
      <w:pPr>
        <w:rPr>
          <w:color w:val="FF0000"/>
          <w:sz w:val="32"/>
          <w:szCs w:val="32"/>
        </w:rPr>
      </w:pPr>
    </w:p>
    <w:p w14:paraId="229A69F7" w14:textId="77777777" w:rsidR="00595D78" w:rsidRPr="00595D78" w:rsidRDefault="00595D78" w:rsidP="00595D78">
      <w:pPr>
        <w:rPr>
          <w:color w:val="FF0000"/>
          <w:sz w:val="32"/>
          <w:szCs w:val="32"/>
        </w:rPr>
      </w:pPr>
    </w:p>
    <w:p w14:paraId="7AE74FAD" w14:textId="6873AE78" w:rsidR="00836FF4" w:rsidRPr="00836FF4" w:rsidRDefault="00836FF4" w:rsidP="00836FF4">
      <w:pPr>
        <w:keepNext/>
        <w:keepLines/>
        <w:spacing w:before="240" w:after="0" w:line="60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3" w:name="_Toc131310915"/>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Evaluation of the ski</w:t>
      </w:r>
      <w:r w:rsidR="0027724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lls</w:t>
      </w:r>
      <w:bookmarkEnd w:id="3"/>
      <w:r w:rsidR="0027724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4A371FEE" w14:textId="6063CF8C" w:rsidR="001C5757" w:rsidRPr="003F1A99" w:rsidRDefault="001C5757" w:rsidP="001C5757">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b/>
        </w:rPr>
        <w:t>Importance of Critical Thinking Skills in Academic and Professional Career:</w:t>
      </w:r>
      <w:r w:rsidRPr="003F1A99">
        <w:rPr>
          <w:rFonts w:ascii="Times New Roman" w:eastAsia="Times New Roman" w:hAnsi="Times New Roman" w:cs="Times New Roman"/>
        </w:rPr>
        <w:t xml:space="preserve"> Critical thinking skills are crucial for both academic and professional success. In academic contexts, the ability to think critically enables students to engage with complex ideas and arguments, and to develop their own ideas and opinions based on evidence and reasoning (Moore &amp; Parker, 2019). This skill is particularly important for students in higher education, as it can help them to achieve better grades and more fulfilling academic experiences. In professional contexts, critical thinking is essential for making sound decisions, solving complex problems, and engaging in effective communication. Employers value critical thinking skills because they enable employees to </w:t>
      </w:r>
      <w:r w:rsidR="001250A9" w:rsidRPr="003F1A99">
        <w:rPr>
          <w:rFonts w:ascii="Times New Roman" w:eastAsia="Times New Roman" w:hAnsi="Times New Roman" w:cs="Times New Roman"/>
        </w:rPr>
        <w:t>analyse</w:t>
      </w:r>
      <w:r w:rsidRPr="003F1A99">
        <w:rPr>
          <w:rFonts w:ascii="Times New Roman" w:eastAsia="Times New Roman" w:hAnsi="Times New Roman" w:cs="Times New Roman"/>
        </w:rPr>
        <w:t xml:space="preserve"> information, evaluate evidence, and make informed decisions that contribute to the success of the organization.</w:t>
      </w:r>
    </w:p>
    <w:p w14:paraId="3FD0C1E8" w14:textId="43E75688" w:rsidR="001C5757" w:rsidRPr="003F1A99" w:rsidRDefault="001C5757" w:rsidP="001C5757">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b/>
        </w:rPr>
        <w:t>Tips for Developing Critical Thinking Skills:</w:t>
      </w:r>
      <w:r w:rsidRPr="003F1A99">
        <w:rPr>
          <w:rFonts w:ascii="Times New Roman" w:eastAsia="Times New Roman" w:hAnsi="Times New Roman" w:cs="Times New Roman"/>
        </w:rPr>
        <w:t xml:space="preserve"> The Study Skills Handbook Chapter 12 provides several practical tips for developing critical thinking skills (Fisher, 2020). These include analysing assumptions, evaluating evidence, and considering alternative perspectives. Other effective strategies for developing critical thinking skills include brainstorming, mind mapping, and the use of logic and reasoning.</w:t>
      </w:r>
    </w:p>
    <w:p w14:paraId="46ABAFF5" w14:textId="77777777" w:rsidR="001C5757" w:rsidRPr="003F1A99" w:rsidRDefault="001C5757" w:rsidP="001C5757">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b/>
        </w:rPr>
        <w:t>Lessons from the Book:</w:t>
      </w:r>
      <w:r w:rsidRPr="003F1A99">
        <w:rPr>
          <w:rFonts w:ascii="Times New Roman" w:eastAsia="Times New Roman" w:hAnsi="Times New Roman" w:cs="Times New Roman"/>
        </w:rPr>
        <w:t xml:space="preserve"> One lesson we can take from the book is the importance of an open-minded approach to thinking. By challenging our own assumptions and biases, we can develop a more balanced and nuanced understanding of complex issues (Paul &amp; Elder, 2022). Additionally, the book emphasizes the importance of using critical thinking skills in academic writing, including structuring arguments and avoiding common pitfalls like plagiarism and overgeneralization.</w:t>
      </w:r>
    </w:p>
    <w:p w14:paraId="73ADAF4B" w14:textId="6C51012F" w:rsidR="00595D78" w:rsidRPr="001C5757" w:rsidRDefault="001C5757" w:rsidP="001C5757">
      <w:pPr>
        <w:spacing w:line="360" w:lineRule="auto"/>
        <w:ind w:firstLine="720"/>
        <w:jc w:val="both"/>
        <w:rPr>
          <w:rFonts w:ascii="Times New Roman" w:eastAsia="Times New Roman" w:hAnsi="Times New Roman" w:cs="Times New Roman"/>
        </w:rPr>
      </w:pPr>
      <w:r w:rsidRPr="003F1A99">
        <w:rPr>
          <w:rFonts w:ascii="Times New Roman" w:eastAsia="Times New Roman" w:hAnsi="Times New Roman" w:cs="Times New Roman"/>
          <w:b/>
        </w:rPr>
        <w:t>Additional Sources on Critical Thinking and Its Importance:</w:t>
      </w:r>
      <w:r w:rsidRPr="003F1A99">
        <w:rPr>
          <w:rFonts w:ascii="Times New Roman" w:eastAsia="Times New Roman" w:hAnsi="Times New Roman" w:cs="Times New Roman"/>
        </w:rPr>
        <w:t xml:space="preserve"> Another source that provides useful insights into developing critical thinking skills is the book "Thinking, Fast and Slow" by Daniel Kahneman. In this book, Kahneman explores the ways in which our thinking is influenced by cognitive biases and heuristics and provides strategies for overcoming these biases and developing more rational and reflective thinking (Fairbairn &amp; Winch, 2011). Developing critical thinking skills is essential for achieving success both academically and professionally. By following the practical tips and strategies presented in The Study Skills Handbook Chapter 12 and other sources like "Thinking, Fast and Slow," students and professionals can develop the critical thinking skills necessary to make informed decisions, solve complex problems, and communicate effectively in a variety of contexts.</w:t>
      </w:r>
    </w:p>
    <w:p w14:paraId="1D3C15AF" w14:textId="77777777" w:rsidR="00595D78" w:rsidRDefault="00595D78" w:rsidP="00595D78">
      <w:pPr>
        <w:rPr>
          <w:color w:val="FF0000"/>
          <w:sz w:val="32"/>
          <w:szCs w:val="32"/>
        </w:rPr>
      </w:pPr>
    </w:p>
    <w:p w14:paraId="27594F63" w14:textId="77777777" w:rsidR="00BB27A9" w:rsidRPr="00595D78" w:rsidRDefault="00BB27A9" w:rsidP="00595D78">
      <w:pPr>
        <w:rPr>
          <w:color w:val="FF0000"/>
          <w:sz w:val="32"/>
          <w:szCs w:val="32"/>
        </w:rPr>
      </w:pPr>
    </w:p>
    <w:p w14:paraId="4B271953" w14:textId="0046F74D" w:rsidR="00277240" w:rsidRPr="00AD07B9" w:rsidRDefault="00277240" w:rsidP="00595D78">
      <w:pPr>
        <w:pStyle w:val="ListParagraph"/>
        <w:keepNext/>
        <w:keepLines/>
        <w:spacing w:before="240" w:after="0" w:line="600" w:lineRule="auto"/>
        <w:jc w:val="center"/>
        <w:outlineLvl w:val="0"/>
        <w:rPr>
          <w:rFonts w:ascii="Times New Roman" w:eastAsia="Times New Roman" w:hAnsi="Times New Roman" w:cs="Times New Roman"/>
          <w:b/>
          <w:color w:val="2F5496"/>
          <w:sz w:val="24"/>
          <w:szCs w:val="24"/>
          <w:lang w:val="en-US" w:eastAsia="en-US"/>
        </w:rPr>
      </w:pPr>
      <w:bookmarkStart w:id="4" w:name="_Toc131310916"/>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Conclu</w:t>
      </w:r>
      <w:r w:rsidR="00AD07B9">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sion</w:t>
      </w:r>
      <w:bookmarkEnd w:id="4"/>
    </w:p>
    <w:p w14:paraId="4EEE6343" w14:textId="35926C54" w:rsidR="00595D78" w:rsidRDefault="00C91B0C" w:rsidP="00FC04CF">
      <w:pPr>
        <w:spacing w:line="360" w:lineRule="auto"/>
        <w:ind w:firstLine="720"/>
        <w:jc w:val="both"/>
        <w:rPr>
          <w:rFonts w:ascii="Times New Roman" w:hAnsi="Times New Roman" w:cs="Times New Roman"/>
        </w:rPr>
      </w:pPr>
      <w:r w:rsidRPr="003F1A99">
        <w:rPr>
          <w:rFonts w:ascii="Times New Roman" w:eastAsia="Times New Roman" w:hAnsi="Times New Roman" w:cs="Times New Roman"/>
        </w:rPr>
        <w:t>The chapter on critical thinking in "The Study Skills Handbook" by Stella Cottrell provides valuable insights into the development of this essential skill for academic and professional success. The chapter defines critical thinking as a process of actively and systematically analysing information, evaluating evidence, and considering alternative perspectives. It highlights the importance of this skill in various academic and professional contexts and presents practical strategies for applying critical thinking skills in these contexts. One of the key takeaways from the chapter is the importance of an open-minded approach to thinking, which involves challenging one's assumptions and biases to develop a more balanced and nuanced understanding of complex issues. The chapter also provides guidance on structuring arguments, avoiding common pitfalls in academic writing, and developing a critical stance in the evaluation of evidence. The chapter on critical thinking is an important resource for students seeking to develop their critical thinking skills and succeed academically and professionally. The strategies presented in the chapter can help students to make informed decisions, solve complex problems, and communicate effectively in a variety of contexts.</w:t>
      </w:r>
    </w:p>
    <w:p w14:paraId="78BEE450" w14:textId="77777777" w:rsidR="00FC04CF" w:rsidRDefault="00FC04CF" w:rsidP="00FC04CF">
      <w:pPr>
        <w:spacing w:line="360" w:lineRule="auto"/>
        <w:ind w:firstLine="720"/>
        <w:jc w:val="both"/>
        <w:rPr>
          <w:rFonts w:ascii="Times New Roman" w:hAnsi="Times New Roman" w:cs="Times New Roman"/>
        </w:rPr>
      </w:pPr>
    </w:p>
    <w:p w14:paraId="7F10C4EA" w14:textId="77777777" w:rsidR="00FC04CF" w:rsidRDefault="00FC04CF" w:rsidP="00FC04CF">
      <w:pPr>
        <w:spacing w:line="360" w:lineRule="auto"/>
        <w:ind w:firstLine="720"/>
        <w:jc w:val="both"/>
        <w:rPr>
          <w:rFonts w:ascii="Times New Roman" w:hAnsi="Times New Roman" w:cs="Times New Roman"/>
        </w:rPr>
      </w:pPr>
    </w:p>
    <w:p w14:paraId="7EF1DA28" w14:textId="77777777" w:rsidR="00FC04CF" w:rsidRDefault="00FC04CF" w:rsidP="00FC04CF">
      <w:pPr>
        <w:spacing w:line="360" w:lineRule="auto"/>
        <w:ind w:firstLine="720"/>
        <w:jc w:val="both"/>
        <w:rPr>
          <w:rFonts w:ascii="Times New Roman" w:hAnsi="Times New Roman" w:cs="Times New Roman"/>
        </w:rPr>
      </w:pPr>
    </w:p>
    <w:p w14:paraId="21EA1602" w14:textId="77777777" w:rsidR="00FC04CF" w:rsidRDefault="00FC04CF" w:rsidP="00FC04CF">
      <w:pPr>
        <w:spacing w:line="360" w:lineRule="auto"/>
        <w:ind w:firstLine="720"/>
        <w:jc w:val="both"/>
        <w:rPr>
          <w:rFonts w:ascii="Times New Roman" w:hAnsi="Times New Roman" w:cs="Times New Roman"/>
        </w:rPr>
      </w:pPr>
    </w:p>
    <w:p w14:paraId="3F09C6AF" w14:textId="77777777" w:rsidR="00FC04CF" w:rsidRDefault="00FC04CF" w:rsidP="00FC04CF">
      <w:pPr>
        <w:spacing w:line="360" w:lineRule="auto"/>
        <w:ind w:firstLine="720"/>
        <w:jc w:val="both"/>
        <w:rPr>
          <w:rFonts w:ascii="Times New Roman" w:hAnsi="Times New Roman" w:cs="Times New Roman"/>
        </w:rPr>
      </w:pPr>
    </w:p>
    <w:p w14:paraId="366DE07F" w14:textId="77777777" w:rsidR="00FC04CF" w:rsidRDefault="00FC04CF" w:rsidP="00FC04CF">
      <w:pPr>
        <w:spacing w:line="360" w:lineRule="auto"/>
        <w:ind w:firstLine="720"/>
        <w:jc w:val="both"/>
        <w:rPr>
          <w:rFonts w:ascii="Times New Roman" w:hAnsi="Times New Roman" w:cs="Times New Roman"/>
        </w:rPr>
      </w:pPr>
    </w:p>
    <w:p w14:paraId="2C955CB3" w14:textId="77777777" w:rsidR="00FC04CF" w:rsidRDefault="00FC04CF" w:rsidP="00FC04CF">
      <w:pPr>
        <w:spacing w:line="360" w:lineRule="auto"/>
        <w:ind w:firstLine="720"/>
        <w:jc w:val="both"/>
        <w:rPr>
          <w:rFonts w:ascii="Times New Roman" w:hAnsi="Times New Roman" w:cs="Times New Roman"/>
        </w:rPr>
      </w:pPr>
    </w:p>
    <w:p w14:paraId="447F2345" w14:textId="77777777" w:rsidR="00FC04CF" w:rsidRPr="00FC04CF" w:rsidRDefault="00FC04CF" w:rsidP="00FC04CF">
      <w:pPr>
        <w:spacing w:line="360" w:lineRule="auto"/>
        <w:ind w:firstLine="720"/>
        <w:jc w:val="both"/>
        <w:rPr>
          <w:rFonts w:ascii="Times New Roman" w:eastAsia="Times New Roman" w:hAnsi="Times New Roman" w:cs="Times New Roman"/>
        </w:rPr>
      </w:pPr>
    </w:p>
    <w:p w14:paraId="6F9F1725" w14:textId="77777777" w:rsidR="00595D78" w:rsidRDefault="00595D78" w:rsidP="00277240">
      <w:pPr>
        <w:pStyle w:val="ListParagraph"/>
        <w:rPr>
          <w:color w:val="FF0000"/>
          <w:sz w:val="32"/>
          <w:szCs w:val="32"/>
        </w:rPr>
      </w:pPr>
    </w:p>
    <w:p w14:paraId="000FECB1" w14:textId="77777777" w:rsidR="00595D78" w:rsidRDefault="00595D78" w:rsidP="00277240">
      <w:pPr>
        <w:pStyle w:val="ListParagraph"/>
        <w:rPr>
          <w:color w:val="FF0000"/>
          <w:sz w:val="32"/>
          <w:szCs w:val="32"/>
        </w:rPr>
      </w:pPr>
    </w:p>
    <w:p w14:paraId="07090B34" w14:textId="77777777" w:rsidR="00595D78" w:rsidRDefault="00595D78" w:rsidP="00277240">
      <w:pPr>
        <w:pStyle w:val="ListParagraph"/>
        <w:rPr>
          <w:color w:val="FF0000"/>
          <w:sz w:val="32"/>
          <w:szCs w:val="32"/>
        </w:rPr>
      </w:pPr>
    </w:p>
    <w:p w14:paraId="3EF2A360" w14:textId="77777777" w:rsidR="00595D78" w:rsidRDefault="00595D78" w:rsidP="00277240">
      <w:pPr>
        <w:pStyle w:val="ListParagraph"/>
        <w:rPr>
          <w:color w:val="FF0000"/>
          <w:sz w:val="32"/>
          <w:szCs w:val="32"/>
        </w:rPr>
      </w:pPr>
    </w:p>
    <w:p w14:paraId="2DB5CBA2" w14:textId="77777777" w:rsidR="00595D78" w:rsidRPr="00AD07B9" w:rsidRDefault="00595D78" w:rsidP="00277240">
      <w:pPr>
        <w:pStyle w:val="ListParagraph"/>
        <w:rPr>
          <w:color w:val="FF0000"/>
          <w:sz w:val="32"/>
          <w:szCs w:val="32"/>
        </w:rPr>
      </w:pPr>
    </w:p>
    <w:p w14:paraId="67EAF6E8" w14:textId="5C3D246B" w:rsidR="007F48AF" w:rsidRPr="00CB4412" w:rsidRDefault="00A974FE" w:rsidP="007F48AF">
      <w:pPr>
        <w:keepNext/>
        <w:keepLines/>
        <w:spacing w:before="240" w:after="0" w:line="600" w:lineRule="auto"/>
        <w:jc w:val="center"/>
        <w:outlineLvl w:val="0"/>
        <w:rPr>
          <w:rFonts w:ascii="Times New Roman" w:eastAsia="Times New Roman" w:hAnsi="Times New Roman" w:cs="Times New Roman"/>
          <w:b/>
          <w:color w:val="2F5496"/>
          <w:sz w:val="24"/>
          <w:szCs w:val="24"/>
          <w:lang w:val="en-US" w:eastAsia="en-US"/>
        </w:rPr>
      </w:pPr>
      <w:bookmarkStart w:id="5" w:name="_Toc131310917"/>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References</w:t>
      </w:r>
      <w:bookmarkEnd w:id="5"/>
    </w:p>
    <w:p w14:paraId="2C82A825" w14:textId="4DB03F5C" w:rsidR="00A974FE" w:rsidRPr="005B7D64" w:rsidRDefault="0078776F" w:rsidP="005B7D64">
      <w:pPr>
        <w:pStyle w:val="ListParagraph"/>
        <w:numPr>
          <w:ilvl w:val="0"/>
          <w:numId w:val="8"/>
        </w:numPr>
        <w:rPr>
          <w:rFonts w:ascii="Times New Roman" w:hAnsi="Times New Roman" w:cs="Times New Roman"/>
          <w:sz w:val="28"/>
          <w:szCs w:val="28"/>
        </w:rPr>
      </w:pPr>
      <w:r w:rsidRPr="005B7D64">
        <w:rPr>
          <w:rFonts w:ascii="Times New Roman" w:hAnsi="Times New Roman" w:cs="Times New Roman"/>
          <w:sz w:val="28"/>
          <w:szCs w:val="28"/>
        </w:rPr>
        <w:t>Cottrell, S. (2019) The Study Skills Handbook, 5th Ed. London: Red Globe Press. (12), 253-273</w:t>
      </w:r>
      <w:r w:rsidR="0088334E" w:rsidRPr="005B7D64">
        <w:rPr>
          <w:rFonts w:ascii="Times New Roman" w:hAnsi="Times New Roman" w:cs="Times New Roman"/>
          <w:sz w:val="28"/>
          <w:szCs w:val="28"/>
        </w:rPr>
        <w:t>.</w:t>
      </w:r>
    </w:p>
    <w:p w14:paraId="2C040B40" w14:textId="64380122"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Fairbairn, G., &amp; Winch, C. (2011). Reading, Writing, and Reasoning: A Guide for Students (3rd ed.). Maidenhead: Open University Press.</w:t>
      </w:r>
    </w:p>
    <w:p w14:paraId="0651BF27" w14:textId="47D44C85"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Fisher, A. (2020). Critical Thinking: An Introduction. Cambridge: Cambridge University Press.</w:t>
      </w:r>
    </w:p>
    <w:p w14:paraId="0403729E" w14:textId="6CC062BA"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Graff, G., &amp; Birkenstein, C. (2018). They Say, I Say: The Moves That Matter in Academic Writing (4th ed.). New York: W.W. Norton &amp; Company.</w:t>
      </w:r>
    </w:p>
    <w:p w14:paraId="1ACC2459" w14:textId="03CDD22D"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Lipman, M. (2019). Thinking in Education (2nd ed.). Cambridge: Cambridge University Press.</w:t>
      </w:r>
    </w:p>
    <w:p w14:paraId="6DBC60E7" w14:textId="1B508701"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proofErr w:type="spellStart"/>
      <w:r w:rsidRPr="005B7D64">
        <w:rPr>
          <w:rFonts w:ascii="Times New Roman" w:eastAsia="Times New Roman" w:hAnsi="Times New Roman" w:cs="Times New Roman"/>
          <w:sz w:val="28"/>
          <w:szCs w:val="28"/>
        </w:rPr>
        <w:t>McPeck</w:t>
      </w:r>
      <w:proofErr w:type="spellEnd"/>
      <w:r w:rsidRPr="005B7D64">
        <w:rPr>
          <w:rFonts w:ascii="Times New Roman" w:eastAsia="Times New Roman" w:hAnsi="Times New Roman" w:cs="Times New Roman"/>
          <w:sz w:val="28"/>
          <w:szCs w:val="28"/>
        </w:rPr>
        <w:t>, J. E. (2017). Teaching Critical Thinking: Dialogue and Dialectic. New York: Routledge.</w:t>
      </w:r>
    </w:p>
    <w:p w14:paraId="67B90718" w14:textId="579428E2"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Moore, B. N., &amp; Parker, R. (2019). Critical Thinking (10th ed.). New York: McGraw-Hill.</w:t>
      </w:r>
    </w:p>
    <w:p w14:paraId="27A3C427" w14:textId="0C39B14F"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Paul, R., &amp; Elder, L. (2022). Critical Thinking: The Nature of Critical and Creative Thought. Journal of Developmental Education, 30(2), 34-35.</w:t>
      </w:r>
    </w:p>
    <w:p w14:paraId="78CC4092" w14:textId="3033BC07"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Paul, R., &amp; Elder, L. (2021). The Miniature Guide to Critical Thinking: Concepts and Tools. Dillon Beach: Foundation for Critical Thinking.</w:t>
      </w:r>
    </w:p>
    <w:p w14:paraId="06506A16" w14:textId="7165D1A7" w:rsidR="005B7D64" w:rsidRPr="005B7D64" w:rsidRDefault="005B7D64" w:rsidP="005B7D64">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 xml:space="preserve">Scriven, M., &amp; Paul, R. (2022). Defining Critical Thinking. The Critical Thinking Community. Retrieved from </w:t>
      </w:r>
      <w:hyperlink r:id="rId9" w:history="1">
        <w:r w:rsidRPr="0048111A">
          <w:rPr>
            <w:rStyle w:val="Hyperlink"/>
            <w:rFonts w:ascii="Times New Roman" w:eastAsia="Times New Roman" w:hAnsi="Times New Roman" w:cs="Times New Roman"/>
            <w:sz w:val="28"/>
            <w:szCs w:val="28"/>
          </w:rPr>
          <w:t>https://www.criticalthinking.org/resources/articles/defining-critical-thinking/494</w:t>
        </w:r>
      </w:hyperlink>
      <w:r>
        <w:rPr>
          <w:rFonts w:ascii="Times New Roman" w:eastAsia="Times New Roman" w:hAnsi="Times New Roman" w:cs="Times New Roman"/>
          <w:sz w:val="28"/>
          <w:szCs w:val="28"/>
        </w:rPr>
        <w:t xml:space="preserve"> </w:t>
      </w:r>
      <w:r w:rsidR="006D73FE" w:rsidRPr="007D6EBF">
        <w:rPr>
          <w:rFonts w:ascii="Times New Roman" w:hAnsi="Times New Roman" w:cs="Times New Roman"/>
          <w:sz w:val="24"/>
          <w:szCs w:val="24"/>
        </w:rPr>
        <w:t xml:space="preserve">[Accessed </w:t>
      </w:r>
      <w:r w:rsidR="006D73FE">
        <w:rPr>
          <w:rFonts w:ascii="Times New Roman" w:hAnsi="Times New Roman" w:cs="Times New Roman"/>
          <w:szCs w:val="24"/>
        </w:rPr>
        <w:t>18</w:t>
      </w:r>
      <w:r w:rsidR="006D73FE" w:rsidRPr="007D6EBF">
        <w:rPr>
          <w:rFonts w:ascii="Times New Roman" w:hAnsi="Times New Roman" w:cs="Times New Roman"/>
          <w:szCs w:val="24"/>
          <w:vertAlign w:val="superscript"/>
        </w:rPr>
        <w:t>th</w:t>
      </w:r>
      <w:r w:rsidR="006D73FE" w:rsidRPr="007D6EBF">
        <w:rPr>
          <w:rFonts w:ascii="Times New Roman" w:hAnsi="Times New Roman" w:cs="Times New Roman"/>
          <w:szCs w:val="24"/>
        </w:rPr>
        <w:t xml:space="preserve"> </w:t>
      </w:r>
      <w:r w:rsidR="006D73FE">
        <w:rPr>
          <w:rFonts w:ascii="Times New Roman" w:hAnsi="Times New Roman" w:cs="Times New Roman"/>
          <w:szCs w:val="24"/>
        </w:rPr>
        <w:t xml:space="preserve">March </w:t>
      </w:r>
      <w:r w:rsidR="006D73FE" w:rsidRPr="007D6EBF">
        <w:rPr>
          <w:rFonts w:ascii="Times New Roman" w:hAnsi="Times New Roman" w:cs="Times New Roman"/>
          <w:sz w:val="24"/>
          <w:szCs w:val="24"/>
        </w:rPr>
        <w:t>202</w:t>
      </w:r>
      <w:r w:rsidR="006D73FE">
        <w:rPr>
          <w:rFonts w:ascii="Times New Roman" w:hAnsi="Times New Roman" w:cs="Times New Roman"/>
          <w:sz w:val="24"/>
          <w:szCs w:val="24"/>
        </w:rPr>
        <w:t>3</w:t>
      </w:r>
      <w:r w:rsidR="006D73FE" w:rsidRPr="007D6EBF">
        <w:rPr>
          <w:rFonts w:ascii="Times New Roman" w:hAnsi="Times New Roman" w:cs="Times New Roman"/>
          <w:sz w:val="24"/>
          <w:szCs w:val="24"/>
        </w:rPr>
        <w:t>]</w:t>
      </w:r>
    </w:p>
    <w:p w14:paraId="6A69A15F" w14:textId="4779AF6D" w:rsidR="004A61CC" w:rsidRPr="006D73FE" w:rsidRDefault="005B7D64" w:rsidP="4B0EC5F8">
      <w:pPr>
        <w:pStyle w:val="ListParagraph"/>
        <w:numPr>
          <w:ilvl w:val="0"/>
          <w:numId w:val="8"/>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Van Gelder, T. (2018). Teaching Critical Thinking: Some Lessons from Cognitive Science. College Teaching, 53(1), 41-46.</w:t>
      </w:r>
    </w:p>
    <w:p w14:paraId="3ECFA249" w14:textId="20B8AB1E" w:rsidR="004A61CC" w:rsidRDefault="004A61CC" w:rsidP="00277240">
      <w:pPr>
        <w:pStyle w:val="ListParagraph"/>
        <w:ind w:left="1080"/>
        <w:rPr>
          <w:sz w:val="32"/>
          <w:szCs w:val="32"/>
        </w:rPr>
      </w:pPr>
      <w:r w:rsidRPr="3456D382">
        <w:rPr>
          <w:sz w:val="32"/>
          <w:szCs w:val="32"/>
        </w:rPr>
        <w:t xml:space="preserve"> </w:t>
      </w:r>
    </w:p>
    <w:p w14:paraId="48BC8800" w14:textId="7323AFB2" w:rsidR="00E247B9" w:rsidRPr="004A61CC" w:rsidRDefault="00E247B9" w:rsidP="004A61CC">
      <w:pPr>
        <w:rPr>
          <w:sz w:val="32"/>
          <w:szCs w:val="32"/>
        </w:rPr>
      </w:pPr>
    </w:p>
    <w:sectPr w:rsidR="00E247B9" w:rsidRPr="004A61CC" w:rsidSect="003A21D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thickThinSmallGap" w:sz="18" w:space="24" w:color="auto"/>
        <w:left w:val="thickThin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08E0" w14:textId="77777777" w:rsidR="00831E2F" w:rsidRDefault="00831E2F">
      <w:pPr>
        <w:spacing w:after="0" w:line="240" w:lineRule="auto"/>
      </w:pPr>
      <w:r>
        <w:separator/>
      </w:r>
    </w:p>
  </w:endnote>
  <w:endnote w:type="continuationSeparator" w:id="0">
    <w:p w14:paraId="7BE91456" w14:textId="77777777" w:rsidR="00831E2F" w:rsidRDefault="00831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BAB4" w14:textId="77777777" w:rsidR="006D73FE" w:rsidRDefault="006D73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81509"/>
      <w:docPartObj>
        <w:docPartGallery w:val="Page Numbers (Bottom of Page)"/>
        <w:docPartUnique/>
      </w:docPartObj>
    </w:sdtPr>
    <w:sdtEndPr/>
    <w:sdtContent>
      <w:sdt>
        <w:sdtPr>
          <w:id w:val="1728636285"/>
          <w:docPartObj>
            <w:docPartGallery w:val="Page Numbers (Top of Page)"/>
            <w:docPartUnique/>
          </w:docPartObj>
        </w:sdtPr>
        <w:sdtEndPr/>
        <w:sdtContent>
          <w:p w14:paraId="69929619" w14:textId="1910F495" w:rsidR="00024495" w:rsidRDefault="00024495">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1F3D04" w14:textId="0A318EAD" w:rsidR="05133FDC" w:rsidRDefault="05133FDC" w:rsidP="05133F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1856" w14:textId="77777777" w:rsidR="006D73FE" w:rsidRDefault="006D7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A4CF7" w14:textId="77777777" w:rsidR="00831E2F" w:rsidRDefault="00831E2F">
      <w:pPr>
        <w:spacing w:after="0" w:line="240" w:lineRule="auto"/>
      </w:pPr>
      <w:r>
        <w:separator/>
      </w:r>
    </w:p>
  </w:footnote>
  <w:footnote w:type="continuationSeparator" w:id="0">
    <w:p w14:paraId="6B5DBC58" w14:textId="77777777" w:rsidR="00831E2F" w:rsidRDefault="00831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2CD6" w14:textId="77777777" w:rsidR="006D73FE" w:rsidRDefault="006D73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AA7D0" w14:textId="77777777" w:rsidR="006D73FE" w:rsidRDefault="006D73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CFB6F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44249B"/>
    <w:multiLevelType w:val="hybridMultilevel"/>
    <w:tmpl w:val="00B2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364333">
    <w:abstractNumId w:val="3"/>
  </w:num>
  <w:num w:numId="2" w16cid:durableId="2014337563">
    <w:abstractNumId w:val="6"/>
  </w:num>
  <w:num w:numId="3" w16cid:durableId="801458264">
    <w:abstractNumId w:val="7"/>
  </w:num>
  <w:num w:numId="4" w16cid:durableId="1239097881">
    <w:abstractNumId w:val="1"/>
  </w:num>
  <w:num w:numId="5" w16cid:durableId="238906728">
    <w:abstractNumId w:val="4"/>
  </w:num>
  <w:num w:numId="6" w16cid:durableId="626667765">
    <w:abstractNumId w:val="0"/>
  </w:num>
  <w:num w:numId="7" w16cid:durableId="1853489273">
    <w:abstractNumId w:val="5"/>
  </w:num>
  <w:num w:numId="8" w16cid:durableId="1983385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24495"/>
    <w:rsid w:val="00095573"/>
    <w:rsid w:val="000B444D"/>
    <w:rsid w:val="000C260D"/>
    <w:rsid w:val="000F05DD"/>
    <w:rsid w:val="001017A4"/>
    <w:rsid w:val="001250A9"/>
    <w:rsid w:val="00153E58"/>
    <w:rsid w:val="00155FF4"/>
    <w:rsid w:val="00174B84"/>
    <w:rsid w:val="001818BB"/>
    <w:rsid w:val="00185E6C"/>
    <w:rsid w:val="001A087A"/>
    <w:rsid w:val="001C5757"/>
    <w:rsid w:val="001C6FEE"/>
    <w:rsid w:val="001F7101"/>
    <w:rsid w:val="0021071D"/>
    <w:rsid w:val="002137DC"/>
    <w:rsid w:val="0022559B"/>
    <w:rsid w:val="00233F39"/>
    <w:rsid w:val="00277240"/>
    <w:rsid w:val="002777D7"/>
    <w:rsid w:val="00292732"/>
    <w:rsid w:val="002A0EBA"/>
    <w:rsid w:val="002A60BE"/>
    <w:rsid w:val="0033241B"/>
    <w:rsid w:val="00351385"/>
    <w:rsid w:val="003555CA"/>
    <w:rsid w:val="0036092F"/>
    <w:rsid w:val="003A21D1"/>
    <w:rsid w:val="003E6CF2"/>
    <w:rsid w:val="003F1BC0"/>
    <w:rsid w:val="003F5F25"/>
    <w:rsid w:val="00415A15"/>
    <w:rsid w:val="00424C66"/>
    <w:rsid w:val="004266B4"/>
    <w:rsid w:val="004548EC"/>
    <w:rsid w:val="004601CB"/>
    <w:rsid w:val="004A61CC"/>
    <w:rsid w:val="004C2269"/>
    <w:rsid w:val="004C6232"/>
    <w:rsid w:val="004E21B3"/>
    <w:rsid w:val="00557E91"/>
    <w:rsid w:val="00595D78"/>
    <w:rsid w:val="005B2E75"/>
    <w:rsid w:val="005B7D64"/>
    <w:rsid w:val="005C3AAE"/>
    <w:rsid w:val="005C68D0"/>
    <w:rsid w:val="00623099"/>
    <w:rsid w:val="00625449"/>
    <w:rsid w:val="00635ECA"/>
    <w:rsid w:val="00657EC5"/>
    <w:rsid w:val="00684B37"/>
    <w:rsid w:val="006D1CB8"/>
    <w:rsid w:val="006D73FE"/>
    <w:rsid w:val="006E0617"/>
    <w:rsid w:val="00725A64"/>
    <w:rsid w:val="00750D4E"/>
    <w:rsid w:val="00752D0A"/>
    <w:rsid w:val="0078776F"/>
    <w:rsid w:val="007C71A4"/>
    <w:rsid w:val="007D20B6"/>
    <w:rsid w:val="007F48AF"/>
    <w:rsid w:val="00801BF8"/>
    <w:rsid w:val="00831E2F"/>
    <w:rsid w:val="00836FF4"/>
    <w:rsid w:val="00871830"/>
    <w:rsid w:val="0088334E"/>
    <w:rsid w:val="00885F6C"/>
    <w:rsid w:val="00886423"/>
    <w:rsid w:val="008B64E7"/>
    <w:rsid w:val="008D7571"/>
    <w:rsid w:val="008E020A"/>
    <w:rsid w:val="008E7301"/>
    <w:rsid w:val="00912332"/>
    <w:rsid w:val="00936AFD"/>
    <w:rsid w:val="00956A18"/>
    <w:rsid w:val="009675E4"/>
    <w:rsid w:val="009C088E"/>
    <w:rsid w:val="009C3A76"/>
    <w:rsid w:val="00A6461C"/>
    <w:rsid w:val="00A71594"/>
    <w:rsid w:val="00A974FE"/>
    <w:rsid w:val="00AB2FF5"/>
    <w:rsid w:val="00AD07B9"/>
    <w:rsid w:val="00AF22F9"/>
    <w:rsid w:val="00AF72B6"/>
    <w:rsid w:val="00B2303C"/>
    <w:rsid w:val="00BA0146"/>
    <w:rsid w:val="00BB27A9"/>
    <w:rsid w:val="00BE1053"/>
    <w:rsid w:val="00BF7814"/>
    <w:rsid w:val="00C30B93"/>
    <w:rsid w:val="00C83D7A"/>
    <w:rsid w:val="00C91B0C"/>
    <w:rsid w:val="00CB4240"/>
    <w:rsid w:val="00CC472A"/>
    <w:rsid w:val="00CE21D5"/>
    <w:rsid w:val="00D41E56"/>
    <w:rsid w:val="00E1734C"/>
    <w:rsid w:val="00E247B9"/>
    <w:rsid w:val="00E45EFD"/>
    <w:rsid w:val="00E57A94"/>
    <w:rsid w:val="00E669CC"/>
    <w:rsid w:val="00E81438"/>
    <w:rsid w:val="00EA68C3"/>
    <w:rsid w:val="00F04EB1"/>
    <w:rsid w:val="00F147C1"/>
    <w:rsid w:val="00F26527"/>
    <w:rsid w:val="00F97A22"/>
    <w:rsid w:val="00FC04CF"/>
    <w:rsid w:val="00FD607B"/>
    <w:rsid w:val="00FF29F8"/>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153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E58"/>
    <w:pPr>
      <w:outlineLvl w:val="9"/>
    </w:pPr>
    <w:rPr>
      <w:lang w:eastAsia="en-GB"/>
    </w:rPr>
  </w:style>
  <w:style w:type="paragraph" w:styleId="TOC2">
    <w:name w:val="toc 2"/>
    <w:basedOn w:val="Normal"/>
    <w:next w:val="Normal"/>
    <w:autoRedefine/>
    <w:uiPriority w:val="39"/>
    <w:unhideWhenUsed/>
    <w:rsid w:val="00E669CC"/>
    <w:pPr>
      <w:spacing w:after="100"/>
      <w:ind w:left="220"/>
    </w:pPr>
    <w:rPr>
      <w:rFonts w:cs="Times New Roman"/>
      <w:lang w:eastAsia="en-GB"/>
    </w:rPr>
  </w:style>
  <w:style w:type="paragraph" w:styleId="TOC1">
    <w:name w:val="toc 1"/>
    <w:basedOn w:val="Normal"/>
    <w:next w:val="Normal"/>
    <w:autoRedefine/>
    <w:uiPriority w:val="39"/>
    <w:unhideWhenUsed/>
    <w:rsid w:val="00FC04CF"/>
    <w:pPr>
      <w:tabs>
        <w:tab w:val="right" w:leader="dot" w:pos="9016"/>
      </w:tabs>
      <w:spacing w:after="100"/>
    </w:pPr>
    <w:rPr>
      <w:rFonts w:ascii="Times New Roman" w:eastAsia="Times New Roman" w:hAnsi="Times New Roman" w:cs="Times New Roman"/>
      <w:noProof/>
      <w:color w:val="000000" w:themeColor="text1"/>
      <w:sz w:val="28"/>
      <w:szCs w:val="28"/>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3">
    <w:name w:val="toc 3"/>
    <w:basedOn w:val="Normal"/>
    <w:next w:val="Normal"/>
    <w:autoRedefine/>
    <w:uiPriority w:val="39"/>
    <w:unhideWhenUsed/>
    <w:rsid w:val="00E669CC"/>
    <w:pPr>
      <w:spacing w:after="100"/>
      <w:ind w:left="440"/>
    </w:pPr>
    <w:rPr>
      <w:rFonts w:cs="Times New Roman"/>
      <w:lang w:eastAsia="en-GB"/>
    </w:rPr>
  </w:style>
  <w:style w:type="character" w:styleId="Hyperlink">
    <w:name w:val="Hyperlink"/>
    <w:basedOn w:val="DefaultParagraphFont"/>
    <w:uiPriority w:val="99"/>
    <w:unhideWhenUsed/>
    <w:rsid w:val="00E1734C"/>
    <w:rPr>
      <w:color w:val="0563C1" w:themeColor="hyperlink"/>
      <w:u w:val="single"/>
    </w:rPr>
  </w:style>
  <w:style w:type="paragraph" w:styleId="NoSpacing">
    <w:name w:val="No Spacing"/>
    <w:uiPriority w:val="1"/>
    <w:qFormat/>
    <w:rsid w:val="00657EC5"/>
    <w:pPr>
      <w:spacing w:after="0" w:line="240" w:lineRule="auto"/>
    </w:pPr>
  </w:style>
  <w:style w:type="character" w:styleId="Strong">
    <w:name w:val="Strong"/>
    <w:basedOn w:val="DefaultParagraphFont"/>
    <w:uiPriority w:val="22"/>
    <w:qFormat/>
    <w:rsid w:val="0033241B"/>
    <w:rPr>
      <w:b/>
      <w:bCs/>
    </w:rPr>
  </w:style>
  <w:style w:type="paragraph" w:styleId="NormalWeb">
    <w:name w:val="Normal (Web)"/>
    <w:basedOn w:val="Normal"/>
    <w:uiPriority w:val="99"/>
    <w:unhideWhenUsed/>
    <w:rsid w:val="00174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174B84"/>
    <w:rPr>
      <w:i/>
      <w:iCs/>
    </w:rPr>
  </w:style>
  <w:style w:type="character" w:styleId="UnresolvedMention">
    <w:name w:val="Unresolved Mention"/>
    <w:basedOn w:val="DefaultParagraphFont"/>
    <w:uiPriority w:val="99"/>
    <w:semiHidden/>
    <w:unhideWhenUsed/>
    <w:rsid w:val="005B7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51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riticalthinking.org/resources/articles/defining-critical-thinking/494"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94A9-7F1E-4D5D-85E6-C8C9BA22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1471</Words>
  <Characters>8386</Characters>
  <Application>Microsoft Office Word</Application>
  <DocSecurity>0</DocSecurity>
  <Lines>69</Lines>
  <Paragraphs>19</Paragraphs>
  <ScaleCrop>false</ScaleCrop>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Aleksandar Chimshirov</cp:lastModifiedBy>
  <cp:revision>8</cp:revision>
  <dcterms:created xsi:type="dcterms:W3CDTF">2023-04-02T05:41:00Z</dcterms:created>
  <dcterms:modified xsi:type="dcterms:W3CDTF">2023-04-02T06:05:00Z</dcterms:modified>
</cp:coreProperties>
</file>