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3F9C0E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418E4">
              <w:rPr>
                <w:rFonts w:ascii="Times New Roman" w:hAnsi="Times New Roman" w:cs="Times New Roman"/>
                <w:b/>
                <w:color w:val="auto"/>
                <w:sz w:val="48"/>
              </w:rPr>
              <w:t>Bethan Ffion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E807D8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418E4">
              <w:t xml:space="preserve"> </w:t>
            </w:r>
            <w:hyperlink r:id="rId11" w:history="1">
              <w:r w:rsidR="00C418E4" w:rsidRPr="009D0122">
                <w:rPr>
                  <w:rStyle w:val="Hyperddolen"/>
                  <w:b/>
                  <w:sz w:val="32"/>
                  <w:szCs w:val="32"/>
                </w:rPr>
                <w:t>2521745@student.uwtsd.ac.uk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E742D7B"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418E4" w:rsidRPr="00C418E4">
              <w:rPr>
                <w:rFonts w:ascii="Times New Roman" w:hAnsi="Times New Roman" w:cs="Times New Roman"/>
                <w:b/>
                <w:color w:val="auto"/>
                <w:sz w:val="36"/>
                <w:szCs w:val="36"/>
              </w:rPr>
              <w:t>2521745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BC383F4" w14:textId="77777777" w:rsidR="00885DCE" w:rsidRDefault="00885DCE" w:rsidP="00885DCE">
            <w:pPr>
              <w:rPr>
                <w:sz w:val="24"/>
                <w:szCs w:val="24"/>
              </w:rPr>
            </w:pPr>
            <w:r w:rsidRPr="00EC137D">
              <w:rPr>
                <w:sz w:val="24"/>
                <w:szCs w:val="24"/>
              </w:rPr>
              <w:t xml:space="preserve">This essay </w:t>
            </w:r>
            <w:r>
              <w:rPr>
                <w:sz w:val="24"/>
                <w:szCs w:val="24"/>
              </w:rPr>
              <w:t xml:space="preserve">will look at a case study form my practice as a social worker in the Adults Team.  It will be based on an assessment undertaken with others concerning the safeguarding of an adult.  I will then go on to demonstrate how this case study relates to, or could relate to safeguarding legislation, policies, strategies and procedures.  I will also be relating to the interface between social services provision in Wales within the United Kingdom, the European Union and outside the European Union.   I will demonstrate my understanding of the integration of analysis in </w:t>
            </w:r>
            <w:proofErr w:type="gramStart"/>
            <w:r>
              <w:rPr>
                <w:sz w:val="24"/>
                <w:szCs w:val="24"/>
              </w:rPr>
              <w:t>assessment, and</w:t>
            </w:r>
            <w:proofErr w:type="gramEnd"/>
            <w:r>
              <w:rPr>
                <w:sz w:val="24"/>
                <w:szCs w:val="24"/>
              </w:rPr>
              <w:t xml:space="preserve"> will also be discussing collaborative working and professional judgements in social work and safeguarding which are complex situations.  I will be looking at social work theories and how they have related to my practice and how they relate to safeguarding within social work.  The social work theories that I will be discussing will be the System’s theory, Maslow’s Hierarchy of Needs, and person-centred practice. I will also be referring to the dimensions that are specific to working in Wales, and in relation to the Welsh context.</w:t>
            </w:r>
          </w:p>
          <w:p w14:paraId="06AA0275" w14:textId="77777777" w:rsidR="00885DCE" w:rsidRDefault="00885DCE" w:rsidP="00885DCE">
            <w:pPr>
              <w:rPr>
                <w:sz w:val="24"/>
                <w:szCs w:val="24"/>
              </w:rPr>
            </w:pPr>
          </w:p>
          <w:p w14:paraId="432CFBAD" w14:textId="77777777" w:rsidR="00885DCE" w:rsidRDefault="00885DCE" w:rsidP="00885DCE">
            <w:pPr>
              <w:rPr>
                <w:sz w:val="24"/>
                <w:szCs w:val="24"/>
              </w:rPr>
            </w:pPr>
            <w:r>
              <w:rPr>
                <w:sz w:val="24"/>
                <w:szCs w:val="24"/>
              </w:rPr>
              <w:t xml:space="preserve">To begin with, I will give an outline on the background of the person who I was supporting and how a safeguarding concern came to my attention.  To ensure anonymity and confidentiality, I will refer to the person as Mrs 4.  Mrs 4 is a woman in her seventies who used to live in a rural village where </w:t>
            </w:r>
            <w:proofErr w:type="gramStart"/>
            <w:r>
              <w:rPr>
                <w:sz w:val="24"/>
                <w:szCs w:val="24"/>
              </w:rPr>
              <w:t>the majority of</w:t>
            </w:r>
            <w:proofErr w:type="gramEnd"/>
            <w:r>
              <w:rPr>
                <w:sz w:val="24"/>
                <w:szCs w:val="24"/>
              </w:rPr>
              <w:t xml:space="preserve"> the population are Welsh speaking.  Mrs 4 had lived in this village all her life and worked there and raised her children there and had been an active member of the community up until her health deteriorated in recent years.  Mrs 4 has a heart and a lung condition, her mobility has deteriorated, and she also struggles with anxiety and panic attacks.  Mrs 4 had a lengthy period of a few months in </w:t>
            </w:r>
            <w:proofErr w:type="gramStart"/>
            <w:r>
              <w:rPr>
                <w:sz w:val="24"/>
                <w:szCs w:val="24"/>
              </w:rPr>
              <w:t>hospital</w:t>
            </w:r>
            <w:proofErr w:type="gramEnd"/>
            <w:r>
              <w:rPr>
                <w:sz w:val="24"/>
                <w:szCs w:val="24"/>
              </w:rPr>
              <w:t xml:space="preserve"> and it </w:t>
            </w:r>
            <w:r>
              <w:rPr>
                <w:sz w:val="24"/>
                <w:szCs w:val="24"/>
              </w:rPr>
              <w:lastRenderedPageBreak/>
              <w:t>was whilst she was in hospital that I met her and assessed her care and support needs.  Mrs 4 returned home with a care package but became unwell with a chest infection and was re-admitted to hospital where she remained for a few months again.  I re-assessed her care and support needs and in partnership with Mrs 4 concluded that a residential care home would best be able to meet her care and support needs.  At this point, Mrs 4 was needing oxygen therapy.  I reviewed Mrs 4’s placement and her care and support needs along with Mrs 4, the care home manager and her daughter who she wanted present. Mrs 4 had settled well at the care home and was happy with the care and support she was receiving.  A few weeks later I had contact from Mrs 4’s daughter to let me know that her mother had become unwell and was back in hospital again.  Her daughter said that a family member had visited and noticed that Mrs 4 looked unwell, and that her legs and face were swollen.  An ambulance was called and when Mrs 4 was transferred to the ambulance and using a different oxygen tank, her breathing improved.  Mrs 4’s daughter felt that the staff at the care home had been neglectful as she felt that staff hadn’t noticed that her mother appeared swollen, and that there was a problem with the oxygen machine and that staff hadn’t noticed.</w:t>
            </w:r>
          </w:p>
          <w:p w14:paraId="2FBFE607" w14:textId="77777777" w:rsidR="00885DCE" w:rsidRDefault="00885DCE" w:rsidP="00885DCE">
            <w:pPr>
              <w:rPr>
                <w:sz w:val="24"/>
                <w:szCs w:val="24"/>
              </w:rPr>
            </w:pPr>
          </w:p>
          <w:p w14:paraId="6FE86DA3" w14:textId="77777777" w:rsidR="00885DCE" w:rsidRDefault="00885DCE" w:rsidP="00885DCE">
            <w:pPr>
              <w:rPr>
                <w:sz w:val="24"/>
                <w:szCs w:val="24"/>
              </w:rPr>
            </w:pPr>
            <w:r>
              <w:rPr>
                <w:sz w:val="24"/>
                <w:szCs w:val="24"/>
              </w:rPr>
              <w:t xml:space="preserve">In Wales, the Welsh Government has devolved law-making powers, including around health and social care.  A crucial and prominent statute law in Wales is the Social Services and Well-being (Wales) Act 2014 (SSWBA 2014).   On my first interaction with Mrs 4 I had a duty under section 19 of the Social Services and Well-being (Wales) Act 2014 to assess Mrs 4’s needs as she appeared to have care and support </w:t>
            </w:r>
            <w:proofErr w:type="gramStart"/>
            <w:r>
              <w:rPr>
                <w:sz w:val="24"/>
                <w:szCs w:val="24"/>
              </w:rPr>
              <w:t>needs, and</w:t>
            </w:r>
            <w:proofErr w:type="gramEnd"/>
            <w:r>
              <w:rPr>
                <w:sz w:val="24"/>
                <w:szCs w:val="24"/>
              </w:rPr>
              <w:t xml:space="preserve"> have continued to assess and review her needs throughout my input with her. It is important for social workers to have a clear understanding of law in relation to safeguarding.  Social workers are expected to promote and safeguard rights of individuals, whilst ensuring that other people’s rights aren’t breached and do not cause harm.   Part 7 of the SSWBA 2014 relates to safeguarding, and there is </w:t>
            </w:r>
            <w:r w:rsidRPr="003377BB">
              <w:rPr>
                <w:sz w:val="24"/>
                <w:szCs w:val="24"/>
              </w:rPr>
              <w:t xml:space="preserve">statutory guidance to assist with implementing the law, </w:t>
            </w:r>
            <w:r>
              <w:rPr>
                <w:sz w:val="24"/>
                <w:szCs w:val="24"/>
              </w:rPr>
              <w:t xml:space="preserve">‘Working Together to Safeguard People’ (Welsh Government, 2016a). The SSWBA 2014 defines an adult as someone over the age of 18, and defines an ‘adult at risk’ under section 126 (1), </w:t>
            </w:r>
            <w:r w:rsidRPr="003377BB">
              <w:rPr>
                <w:sz w:val="24"/>
                <w:szCs w:val="24"/>
              </w:rPr>
              <w:t xml:space="preserve">as an adult </w:t>
            </w:r>
            <w:proofErr w:type="gramStart"/>
            <w:r w:rsidRPr="003377BB">
              <w:rPr>
                <w:sz w:val="24"/>
                <w:szCs w:val="24"/>
              </w:rPr>
              <w:t>who:-</w:t>
            </w:r>
            <w:proofErr w:type="gramEnd"/>
          </w:p>
          <w:p w14:paraId="42C2F0EA" w14:textId="77777777" w:rsidR="00885DCE" w:rsidRPr="003377BB" w:rsidRDefault="00885DCE" w:rsidP="00885DCE">
            <w:pPr>
              <w:rPr>
                <w:sz w:val="24"/>
                <w:szCs w:val="24"/>
              </w:rPr>
            </w:pPr>
          </w:p>
          <w:p w14:paraId="4BA10DA9" w14:textId="77777777" w:rsidR="00885DCE" w:rsidRPr="003377BB" w:rsidRDefault="00885DCE" w:rsidP="00885DCE">
            <w:pPr>
              <w:pStyle w:val="ParagraffRhestr"/>
              <w:numPr>
                <w:ilvl w:val="0"/>
                <w:numId w:val="54"/>
              </w:numPr>
              <w:rPr>
                <w:rFonts w:ascii="Arial" w:hAnsi="Arial" w:cs="Arial"/>
              </w:rPr>
            </w:pPr>
            <w:r w:rsidRPr="003377BB">
              <w:rPr>
                <w:rFonts w:ascii="Arial" w:hAnsi="Arial" w:cs="Arial"/>
              </w:rPr>
              <w:t xml:space="preserve">is </w:t>
            </w:r>
            <w:proofErr w:type="spellStart"/>
            <w:r w:rsidRPr="003377BB">
              <w:rPr>
                <w:rFonts w:ascii="Arial" w:hAnsi="Arial" w:cs="Arial"/>
              </w:rPr>
              <w:t>experiencing</w:t>
            </w:r>
            <w:proofErr w:type="spellEnd"/>
            <w:r w:rsidRPr="003377BB">
              <w:rPr>
                <w:rFonts w:ascii="Arial" w:hAnsi="Arial" w:cs="Arial"/>
              </w:rPr>
              <w:t xml:space="preserve"> or is at </w:t>
            </w:r>
            <w:proofErr w:type="spellStart"/>
            <w:r w:rsidRPr="003377BB">
              <w:rPr>
                <w:rFonts w:ascii="Arial" w:hAnsi="Arial" w:cs="Arial"/>
              </w:rPr>
              <w:t>risk</w:t>
            </w:r>
            <w:proofErr w:type="spellEnd"/>
            <w:r w:rsidRPr="003377BB">
              <w:rPr>
                <w:rFonts w:ascii="Arial" w:hAnsi="Arial" w:cs="Arial"/>
              </w:rPr>
              <w:t xml:space="preserve"> of </w:t>
            </w:r>
            <w:proofErr w:type="spellStart"/>
            <w:r w:rsidRPr="003377BB">
              <w:rPr>
                <w:rFonts w:ascii="Arial" w:hAnsi="Arial" w:cs="Arial"/>
              </w:rPr>
              <w:t>abuse</w:t>
            </w:r>
            <w:proofErr w:type="spellEnd"/>
            <w:r w:rsidRPr="003377BB">
              <w:rPr>
                <w:rFonts w:ascii="Arial" w:hAnsi="Arial" w:cs="Arial"/>
              </w:rPr>
              <w:t xml:space="preserve"> or </w:t>
            </w:r>
            <w:proofErr w:type="spellStart"/>
            <w:r w:rsidRPr="003377BB">
              <w:rPr>
                <w:rFonts w:ascii="Arial" w:hAnsi="Arial" w:cs="Arial"/>
              </w:rPr>
              <w:t>neglect</w:t>
            </w:r>
            <w:proofErr w:type="spellEnd"/>
            <w:r w:rsidRPr="003377BB">
              <w:rPr>
                <w:rFonts w:ascii="Arial" w:hAnsi="Arial" w:cs="Arial"/>
              </w:rPr>
              <w:t>;</w:t>
            </w:r>
          </w:p>
          <w:p w14:paraId="7C95DF43" w14:textId="77777777" w:rsidR="00885DCE" w:rsidRPr="003377BB" w:rsidRDefault="00885DCE" w:rsidP="00885DCE">
            <w:pPr>
              <w:pStyle w:val="ParagraffRhestr"/>
              <w:numPr>
                <w:ilvl w:val="0"/>
                <w:numId w:val="54"/>
              </w:numPr>
              <w:rPr>
                <w:rFonts w:ascii="Arial" w:hAnsi="Arial" w:cs="Arial"/>
              </w:rPr>
            </w:pPr>
            <w:proofErr w:type="spellStart"/>
            <w:r w:rsidRPr="003377BB">
              <w:rPr>
                <w:rFonts w:ascii="Arial" w:hAnsi="Arial" w:cs="Arial"/>
              </w:rPr>
              <w:t>has</w:t>
            </w:r>
            <w:proofErr w:type="spellEnd"/>
            <w:r w:rsidRPr="003377BB">
              <w:rPr>
                <w:rFonts w:ascii="Arial" w:hAnsi="Arial" w:cs="Arial"/>
              </w:rPr>
              <w:t xml:space="preserve"> </w:t>
            </w:r>
            <w:proofErr w:type="spellStart"/>
            <w:r w:rsidRPr="003377BB">
              <w:rPr>
                <w:rFonts w:ascii="Arial" w:hAnsi="Arial" w:cs="Arial"/>
              </w:rPr>
              <w:t>needs</w:t>
            </w:r>
            <w:proofErr w:type="spellEnd"/>
            <w:r w:rsidRPr="003377BB">
              <w:rPr>
                <w:rFonts w:ascii="Arial" w:hAnsi="Arial" w:cs="Arial"/>
              </w:rPr>
              <w:t xml:space="preserve"> </w:t>
            </w:r>
            <w:proofErr w:type="spellStart"/>
            <w:r w:rsidRPr="003377BB">
              <w:rPr>
                <w:rFonts w:ascii="Arial" w:hAnsi="Arial" w:cs="Arial"/>
              </w:rPr>
              <w:t>for</w:t>
            </w:r>
            <w:proofErr w:type="spellEnd"/>
            <w:r w:rsidRPr="003377BB">
              <w:rPr>
                <w:rFonts w:ascii="Arial" w:hAnsi="Arial" w:cs="Arial"/>
              </w:rPr>
              <w:t xml:space="preserve"> </w:t>
            </w:r>
            <w:proofErr w:type="spellStart"/>
            <w:r w:rsidRPr="003377BB">
              <w:rPr>
                <w:rFonts w:ascii="Arial" w:hAnsi="Arial" w:cs="Arial"/>
              </w:rPr>
              <w:t>care</w:t>
            </w:r>
            <w:proofErr w:type="spellEnd"/>
            <w:r w:rsidRPr="003377BB">
              <w:rPr>
                <w:rFonts w:ascii="Arial" w:hAnsi="Arial" w:cs="Arial"/>
              </w:rPr>
              <w:t xml:space="preserve"> and </w:t>
            </w:r>
            <w:proofErr w:type="spellStart"/>
            <w:r w:rsidRPr="003377BB">
              <w:rPr>
                <w:rFonts w:ascii="Arial" w:hAnsi="Arial" w:cs="Arial"/>
              </w:rPr>
              <w:t>support</w:t>
            </w:r>
            <w:proofErr w:type="spellEnd"/>
            <w:r w:rsidRPr="003377BB">
              <w:rPr>
                <w:rFonts w:ascii="Arial" w:hAnsi="Arial" w:cs="Arial"/>
              </w:rPr>
              <w:t xml:space="preserve"> (</w:t>
            </w:r>
            <w:proofErr w:type="spellStart"/>
            <w:r w:rsidRPr="003377BB">
              <w:rPr>
                <w:rFonts w:ascii="Arial" w:hAnsi="Arial" w:cs="Arial"/>
              </w:rPr>
              <w:t>whether</w:t>
            </w:r>
            <w:proofErr w:type="spellEnd"/>
            <w:r w:rsidRPr="003377BB">
              <w:rPr>
                <w:rFonts w:ascii="Arial" w:hAnsi="Arial" w:cs="Arial"/>
              </w:rPr>
              <w:t xml:space="preserve"> or not the </w:t>
            </w:r>
            <w:proofErr w:type="spellStart"/>
            <w:r w:rsidRPr="003377BB">
              <w:rPr>
                <w:rFonts w:ascii="Arial" w:hAnsi="Arial" w:cs="Arial"/>
              </w:rPr>
              <w:t>authority</w:t>
            </w:r>
            <w:proofErr w:type="spellEnd"/>
            <w:r w:rsidRPr="003377BB">
              <w:rPr>
                <w:rFonts w:ascii="Arial" w:hAnsi="Arial" w:cs="Arial"/>
              </w:rPr>
              <w:t xml:space="preserve"> is </w:t>
            </w:r>
            <w:proofErr w:type="spellStart"/>
            <w:r w:rsidRPr="003377BB">
              <w:rPr>
                <w:rFonts w:ascii="Arial" w:hAnsi="Arial" w:cs="Arial"/>
              </w:rPr>
              <w:t>meeting</w:t>
            </w:r>
            <w:proofErr w:type="spellEnd"/>
            <w:r w:rsidRPr="003377BB">
              <w:rPr>
                <w:rFonts w:ascii="Arial" w:hAnsi="Arial" w:cs="Arial"/>
              </w:rPr>
              <w:t xml:space="preserve"> </w:t>
            </w:r>
            <w:proofErr w:type="spellStart"/>
            <w:r w:rsidRPr="003377BB">
              <w:rPr>
                <w:rFonts w:ascii="Arial" w:hAnsi="Arial" w:cs="Arial"/>
              </w:rPr>
              <w:t>any</w:t>
            </w:r>
            <w:proofErr w:type="spellEnd"/>
            <w:r w:rsidRPr="003377BB">
              <w:rPr>
                <w:rFonts w:ascii="Arial" w:hAnsi="Arial" w:cs="Arial"/>
              </w:rPr>
              <w:t xml:space="preserve"> of </w:t>
            </w:r>
            <w:proofErr w:type="spellStart"/>
            <w:r w:rsidRPr="003377BB">
              <w:rPr>
                <w:rFonts w:ascii="Arial" w:hAnsi="Arial" w:cs="Arial"/>
              </w:rPr>
              <w:t>those</w:t>
            </w:r>
            <w:proofErr w:type="spellEnd"/>
            <w:r w:rsidRPr="003377BB">
              <w:rPr>
                <w:rFonts w:ascii="Arial" w:hAnsi="Arial" w:cs="Arial"/>
              </w:rPr>
              <w:t xml:space="preserve"> </w:t>
            </w:r>
            <w:proofErr w:type="spellStart"/>
            <w:r w:rsidRPr="003377BB">
              <w:rPr>
                <w:rFonts w:ascii="Arial" w:hAnsi="Arial" w:cs="Arial"/>
              </w:rPr>
              <w:t>needs</w:t>
            </w:r>
            <w:proofErr w:type="spellEnd"/>
            <w:r w:rsidRPr="003377BB">
              <w:rPr>
                <w:rFonts w:ascii="Arial" w:hAnsi="Arial" w:cs="Arial"/>
              </w:rPr>
              <w:t>); and</w:t>
            </w:r>
          </w:p>
          <w:p w14:paraId="1CA30980" w14:textId="77777777" w:rsidR="00885DCE" w:rsidRPr="003377BB" w:rsidRDefault="00885DCE" w:rsidP="00885DCE">
            <w:pPr>
              <w:pStyle w:val="ParagraffRhestr"/>
              <w:numPr>
                <w:ilvl w:val="0"/>
                <w:numId w:val="54"/>
              </w:numPr>
              <w:rPr>
                <w:rFonts w:ascii="Arial" w:hAnsi="Arial" w:cs="Arial"/>
              </w:rPr>
            </w:pPr>
            <w:r w:rsidRPr="003377BB">
              <w:rPr>
                <w:rFonts w:ascii="Arial" w:hAnsi="Arial" w:cs="Arial"/>
              </w:rPr>
              <w:t xml:space="preserve">as a </w:t>
            </w:r>
            <w:proofErr w:type="spellStart"/>
            <w:r w:rsidRPr="003377BB">
              <w:rPr>
                <w:rFonts w:ascii="Arial" w:hAnsi="Arial" w:cs="Arial"/>
              </w:rPr>
              <w:t>result</w:t>
            </w:r>
            <w:proofErr w:type="spellEnd"/>
            <w:r w:rsidRPr="003377BB">
              <w:rPr>
                <w:rFonts w:ascii="Arial" w:hAnsi="Arial" w:cs="Arial"/>
              </w:rPr>
              <w:t xml:space="preserve"> of </w:t>
            </w:r>
            <w:proofErr w:type="spellStart"/>
            <w:r w:rsidRPr="003377BB">
              <w:rPr>
                <w:rFonts w:ascii="Arial" w:hAnsi="Arial" w:cs="Arial"/>
              </w:rPr>
              <w:t>those</w:t>
            </w:r>
            <w:proofErr w:type="spellEnd"/>
            <w:r w:rsidRPr="003377BB">
              <w:rPr>
                <w:rFonts w:ascii="Arial" w:hAnsi="Arial" w:cs="Arial"/>
              </w:rPr>
              <w:t xml:space="preserve"> </w:t>
            </w:r>
            <w:proofErr w:type="spellStart"/>
            <w:r w:rsidRPr="003377BB">
              <w:rPr>
                <w:rFonts w:ascii="Arial" w:hAnsi="Arial" w:cs="Arial"/>
              </w:rPr>
              <w:t>needs</w:t>
            </w:r>
            <w:proofErr w:type="spellEnd"/>
            <w:r w:rsidRPr="003377BB">
              <w:rPr>
                <w:rFonts w:ascii="Arial" w:hAnsi="Arial" w:cs="Arial"/>
              </w:rPr>
              <w:t xml:space="preserve"> is </w:t>
            </w:r>
            <w:proofErr w:type="spellStart"/>
            <w:r w:rsidRPr="003377BB">
              <w:rPr>
                <w:rFonts w:ascii="Arial" w:hAnsi="Arial" w:cs="Arial"/>
              </w:rPr>
              <w:t>un</w:t>
            </w:r>
            <w:r>
              <w:rPr>
                <w:rFonts w:ascii="Arial" w:hAnsi="Arial" w:cs="Arial"/>
              </w:rPr>
              <w:t>ab</w:t>
            </w:r>
            <w:r w:rsidRPr="003377BB">
              <w:rPr>
                <w:rFonts w:ascii="Arial" w:hAnsi="Arial" w:cs="Arial"/>
              </w:rPr>
              <w:t>le</w:t>
            </w:r>
            <w:proofErr w:type="spellEnd"/>
            <w:r w:rsidRPr="003377BB">
              <w:rPr>
                <w:rFonts w:ascii="Arial" w:hAnsi="Arial" w:cs="Arial"/>
              </w:rPr>
              <w:t xml:space="preserve"> to </w:t>
            </w:r>
            <w:proofErr w:type="spellStart"/>
            <w:r w:rsidRPr="003377BB">
              <w:rPr>
                <w:rFonts w:ascii="Arial" w:hAnsi="Arial" w:cs="Arial"/>
              </w:rPr>
              <w:t>protect</w:t>
            </w:r>
            <w:proofErr w:type="spellEnd"/>
            <w:r w:rsidRPr="003377BB">
              <w:rPr>
                <w:rFonts w:ascii="Arial" w:hAnsi="Arial" w:cs="Arial"/>
              </w:rPr>
              <w:t xml:space="preserve"> </w:t>
            </w:r>
            <w:proofErr w:type="spellStart"/>
            <w:r w:rsidRPr="003377BB">
              <w:rPr>
                <w:rFonts w:ascii="Arial" w:hAnsi="Arial" w:cs="Arial"/>
              </w:rPr>
              <w:t>himself</w:t>
            </w:r>
            <w:proofErr w:type="spellEnd"/>
            <w:r w:rsidRPr="003377BB">
              <w:rPr>
                <w:rFonts w:ascii="Arial" w:hAnsi="Arial" w:cs="Arial"/>
              </w:rPr>
              <w:t xml:space="preserve"> or </w:t>
            </w:r>
            <w:proofErr w:type="spellStart"/>
            <w:r w:rsidRPr="003377BB">
              <w:rPr>
                <w:rFonts w:ascii="Arial" w:hAnsi="Arial" w:cs="Arial"/>
              </w:rPr>
              <w:t>herself</w:t>
            </w:r>
            <w:proofErr w:type="spellEnd"/>
            <w:r w:rsidRPr="003377BB">
              <w:rPr>
                <w:rFonts w:ascii="Arial" w:hAnsi="Arial" w:cs="Arial"/>
              </w:rPr>
              <w:t xml:space="preserve"> </w:t>
            </w:r>
            <w:proofErr w:type="spellStart"/>
            <w:r w:rsidRPr="003377BB">
              <w:rPr>
                <w:rFonts w:ascii="Arial" w:hAnsi="Arial" w:cs="Arial"/>
              </w:rPr>
              <w:t>against</w:t>
            </w:r>
            <w:proofErr w:type="spellEnd"/>
            <w:r w:rsidRPr="003377BB">
              <w:rPr>
                <w:rFonts w:ascii="Arial" w:hAnsi="Arial" w:cs="Arial"/>
              </w:rPr>
              <w:t xml:space="preserve"> the </w:t>
            </w:r>
            <w:proofErr w:type="spellStart"/>
            <w:r w:rsidRPr="003377BB">
              <w:rPr>
                <w:rFonts w:ascii="Arial" w:hAnsi="Arial" w:cs="Arial"/>
              </w:rPr>
              <w:t>abuse</w:t>
            </w:r>
            <w:proofErr w:type="spellEnd"/>
            <w:r w:rsidRPr="003377BB">
              <w:rPr>
                <w:rFonts w:ascii="Arial" w:hAnsi="Arial" w:cs="Arial"/>
              </w:rPr>
              <w:t xml:space="preserve"> or </w:t>
            </w:r>
            <w:proofErr w:type="spellStart"/>
            <w:r w:rsidRPr="003377BB">
              <w:rPr>
                <w:rFonts w:ascii="Arial" w:hAnsi="Arial" w:cs="Arial"/>
              </w:rPr>
              <w:t>neglect</w:t>
            </w:r>
            <w:proofErr w:type="spellEnd"/>
            <w:r w:rsidRPr="003377BB">
              <w:rPr>
                <w:rFonts w:ascii="Arial" w:hAnsi="Arial" w:cs="Arial"/>
              </w:rPr>
              <w:t xml:space="preserve"> or the </w:t>
            </w:r>
            <w:proofErr w:type="spellStart"/>
            <w:r w:rsidRPr="003377BB">
              <w:rPr>
                <w:rFonts w:ascii="Arial" w:hAnsi="Arial" w:cs="Arial"/>
              </w:rPr>
              <w:t>risk</w:t>
            </w:r>
            <w:proofErr w:type="spellEnd"/>
            <w:r w:rsidRPr="003377BB">
              <w:rPr>
                <w:rFonts w:ascii="Arial" w:hAnsi="Arial" w:cs="Arial"/>
              </w:rPr>
              <w:t xml:space="preserve"> of it.</w:t>
            </w:r>
          </w:p>
          <w:p w14:paraId="35B0263A" w14:textId="7BD4E107" w:rsidR="00885DCE" w:rsidRDefault="00885DCE" w:rsidP="00885DCE">
            <w:pPr>
              <w:rPr>
                <w:sz w:val="24"/>
                <w:szCs w:val="24"/>
              </w:rPr>
            </w:pPr>
            <w:r>
              <w:rPr>
                <w:sz w:val="24"/>
                <w:szCs w:val="24"/>
              </w:rPr>
              <w:t>Mrs 4 had care and support need, with the local authority meeting those need</w:t>
            </w:r>
            <w:r>
              <w:rPr>
                <w:sz w:val="24"/>
                <w:szCs w:val="24"/>
              </w:rPr>
              <w:t>s</w:t>
            </w:r>
            <w:r>
              <w:rPr>
                <w:sz w:val="24"/>
                <w:szCs w:val="24"/>
              </w:rPr>
              <w:t>, and there was reasonable cause to suspect that neglect had occurred.  Section 126 (2) of SSWBA 2014 states that ‘if a local authority has reasonable cause to suspect that a person within its area is an adult at risk, it must –</w:t>
            </w:r>
          </w:p>
          <w:p w14:paraId="41B757C9" w14:textId="77777777" w:rsidR="00885DCE" w:rsidRDefault="00885DCE" w:rsidP="00885DCE">
            <w:pPr>
              <w:rPr>
                <w:sz w:val="24"/>
                <w:szCs w:val="24"/>
              </w:rPr>
            </w:pPr>
          </w:p>
          <w:p w14:paraId="31AF9642" w14:textId="77777777" w:rsidR="00885DCE" w:rsidRPr="0020690C" w:rsidRDefault="00885DCE" w:rsidP="00885DCE">
            <w:pPr>
              <w:pStyle w:val="ParagraffRhestr"/>
              <w:numPr>
                <w:ilvl w:val="0"/>
                <w:numId w:val="55"/>
              </w:numPr>
              <w:rPr>
                <w:rFonts w:ascii="Arial" w:hAnsi="Arial" w:cs="Arial"/>
              </w:rPr>
            </w:pPr>
            <w:proofErr w:type="spellStart"/>
            <w:r w:rsidRPr="0020690C">
              <w:rPr>
                <w:rFonts w:ascii="Arial" w:hAnsi="Arial" w:cs="Arial"/>
              </w:rPr>
              <w:t>make</w:t>
            </w:r>
            <w:proofErr w:type="spellEnd"/>
            <w:r w:rsidRPr="0020690C">
              <w:rPr>
                <w:rFonts w:ascii="Arial" w:hAnsi="Arial" w:cs="Arial"/>
              </w:rPr>
              <w:t xml:space="preserve"> (or </w:t>
            </w:r>
            <w:proofErr w:type="spellStart"/>
            <w:r w:rsidRPr="0020690C">
              <w:rPr>
                <w:rFonts w:ascii="Arial" w:hAnsi="Arial" w:cs="Arial"/>
              </w:rPr>
              <w:t>ca</w:t>
            </w:r>
            <w:r>
              <w:rPr>
                <w:rFonts w:ascii="Arial" w:hAnsi="Arial" w:cs="Arial"/>
              </w:rPr>
              <w:t>us</w:t>
            </w:r>
            <w:r w:rsidRPr="0020690C">
              <w:rPr>
                <w:rFonts w:ascii="Arial" w:hAnsi="Arial" w:cs="Arial"/>
              </w:rPr>
              <w:t>e</w:t>
            </w:r>
            <w:proofErr w:type="spellEnd"/>
            <w:r w:rsidRPr="0020690C">
              <w:rPr>
                <w:rFonts w:ascii="Arial" w:hAnsi="Arial" w:cs="Arial"/>
              </w:rPr>
              <w:t xml:space="preserve"> to be </w:t>
            </w:r>
            <w:proofErr w:type="spellStart"/>
            <w:r w:rsidRPr="0020690C">
              <w:rPr>
                <w:rFonts w:ascii="Arial" w:hAnsi="Arial" w:cs="Arial"/>
              </w:rPr>
              <w:t>made</w:t>
            </w:r>
            <w:proofErr w:type="spellEnd"/>
            <w:r w:rsidRPr="0020690C">
              <w:rPr>
                <w:rFonts w:ascii="Arial" w:hAnsi="Arial" w:cs="Arial"/>
              </w:rPr>
              <w:t xml:space="preserve">) </w:t>
            </w:r>
            <w:proofErr w:type="spellStart"/>
            <w:r w:rsidRPr="0020690C">
              <w:rPr>
                <w:rFonts w:ascii="Arial" w:hAnsi="Arial" w:cs="Arial"/>
              </w:rPr>
              <w:t>whatever</w:t>
            </w:r>
            <w:proofErr w:type="spellEnd"/>
            <w:r w:rsidRPr="0020690C">
              <w:rPr>
                <w:rFonts w:ascii="Arial" w:hAnsi="Arial" w:cs="Arial"/>
              </w:rPr>
              <w:t xml:space="preserve"> </w:t>
            </w:r>
            <w:proofErr w:type="spellStart"/>
            <w:r w:rsidRPr="0020690C">
              <w:rPr>
                <w:rFonts w:ascii="Arial" w:hAnsi="Arial" w:cs="Arial"/>
              </w:rPr>
              <w:t>enquiries</w:t>
            </w:r>
            <w:proofErr w:type="spellEnd"/>
            <w:r w:rsidRPr="0020690C">
              <w:rPr>
                <w:rFonts w:ascii="Arial" w:hAnsi="Arial" w:cs="Arial"/>
              </w:rPr>
              <w:t xml:space="preserve"> it </w:t>
            </w:r>
            <w:proofErr w:type="spellStart"/>
            <w:r w:rsidRPr="0020690C">
              <w:rPr>
                <w:rFonts w:ascii="Arial" w:hAnsi="Arial" w:cs="Arial"/>
              </w:rPr>
              <w:t>thinks</w:t>
            </w:r>
            <w:proofErr w:type="spellEnd"/>
            <w:r w:rsidRPr="0020690C">
              <w:rPr>
                <w:rFonts w:ascii="Arial" w:hAnsi="Arial" w:cs="Arial"/>
              </w:rPr>
              <w:t xml:space="preserve"> </w:t>
            </w:r>
            <w:proofErr w:type="spellStart"/>
            <w:r w:rsidRPr="0020690C">
              <w:rPr>
                <w:rFonts w:ascii="Arial" w:hAnsi="Arial" w:cs="Arial"/>
              </w:rPr>
              <w:t>necessary</w:t>
            </w:r>
            <w:proofErr w:type="spellEnd"/>
            <w:r w:rsidRPr="0020690C">
              <w:rPr>
                <w:rFonts w:ascii="Arial" w:hAnsi="Arial" w:cs="Arial"/>
              </w:rPr>
              <w:t xml:space="preserve"> to </w:t>
            </w:r>
            <w:proofErr w:type="spellStart"/>
            <w:r w:rsidRPr="0020690C">
              <w:rPr>
                <w:rFonts w:ascii="Arial" w:hAnsi="Arial" w:cs="Arial"/>
              </w:rPr>
              <w:t>enable</w:t>
            </w:r>
            <w:proofErr w:type="spellEnd"/>
            <w:r w:rsidRPr="0020690C">
              <w:rPr>
                <w:rFonts w:ascii="Arial" w:hAnsi="Arial" w:cs="Arial"/>
              </w:rPr>
              <w:t xml:space="preserve"> it to </w:t>
            </w:r>
            <w:proofErr w:type="spellStart"/>
            <w:r w:rsidRPr="0020690C">
              <w:rPr>
                <w:rFonts w:ascii="Arial" w:hAnsi="Arial" w:cs="Arial"/>
              </w:rPr>
              <w:t>decide</w:t>
            </w:r>
            <w:proofErr w:type="spellEnd"/>
            <w:r w:rsidRPr="0020690C">
              <w:rPr>
                <w:rFonts w:ascii="Arial" w:hAnsi="Arial" w:cs="Arial"/>
              </w:rPr>
              <w:t xml:space="preserve"> </w:t>
            </w:r>
            <w:proofErr w:type="spellStart"/>
            <w:r w:rsidRPr="0020690C">
              <w:rPr>
                <w:rFonts w:ascii="Arial" w:hAnsi="Arial" w:cs="Arial"/>
              </w:rPr>
              <w:t>whether</w:t>
            </w:r>
            <w:proofErr w:type="spellEnd"/>
            <w:r w:rsidRPr="0020690C">
              <w:rPr>
                <w:rFonts w:ascii="Arial" w:hAnsi="Arial" w:cs="Arial"/>
              </w:rPr>
              <w:t xml:space="preserve"> </w:t>
            </w:r>
            <w:proofErr w:type="spellStart"/>
            <w:r w:rsidRPr="0020690C">
              <w:rPr>
                <w:rFonts w:ascii="Arial" w:hAnsi="Arial" w:cs="Arial"/>
              </w:rPr>
              <w:t>any</w:t>
            </w:r>
            <w:proofErr w:type="spellEnd"/>
            <w:r w:rsidRPr="0020690C">
              <w:rPr>
                <w:rFonts w:ascii="Arial" w:hAnsi="Arial" w:cs="Arial"/>
              </w:rPr>
              <w:t xml:space="preserve"> action </w:t>
            </w:r>
            <w:proofErr w:type="spellStart"/>
            <w:r w:rsidRPr="0020690C">
              <w:rPr>
                <w:rFonts w:ascii="Arial" w:hAnsi="Arial" w:cs="Arial"/>
              </w:rPr>
              <w:t>should</w:t>
            </w:r>
            <w:proofErr w:type="spellEnd"/>
            <w:r w:rsidRPr="0020690C">
              <w:rPr>
                <w:rFonts w:ascii="Arial" w:hAnsi="Arial" w:cs="Arial"/>
              </w:rPr>
              <w:t xml:space="preserve"> be </w:t>
            </w:r>
            <w:proofErr w:type="spellStart"/>
            <w:r w:rsidRPr="0020690C">
              <w:rPr>
                <w:rFonts w:ascii="Arial" w:hAnsi="Arial" w:cs="Arial"/>
              </w:rPr>
              <w:t>taken</w:t>
            </w:r>
            <w:proofErr w:type="spellEnd"/>
            <w:r w:rsidRPr="0020690C">
              <w:rPr>
                <w:rFonts w:ascii="Arial" w:hAnsi="Arial" w:cs="Arial"/>
              </w:rPr>
              <w:t xml:space="preserve"> (</w:t>
            </w:r>
            <w:proofErr w:type="spellStart"/>
            <w:r w:rsidRPr="0020690C">
              <w:rPr>
                <w:rFonts w:ascii="Arial" w:hAnsi="Arial" w:cs="Arial"/>
              </w:rPr>
              <w:t>whether</w:t>
            </w:r>
            <w:proofErr w:type="spellEnd"/>
            <w:r w:rsidRPr="0020690C">
              <w:rPr>
                <w:rFonts w:ascii="Arial" w:hAnsi="Arial" w:cs="Arial"/>
              </w:rPr>
              <w:t xml:space="preserve"> </w:t>
            </w:r>
            <w:proofErr w:type="spellStart"/>
            <w:r w:rsidRPr="0020690C">
              <w:rPr>
                <w:rFonts w:ascii="Arial" w:hAnsi="Arial" w:cs="Arial"/>
              </w:rPr>
              <w:t>under</w:t>
            </w:r>
            <w:proofErr w:type="spellEnd"/>
            <w:r w:rsidRPr="0020690C">
              <w:rPr>
                <w:rFonts w:ascii="Arial" w:hAnsi="Arial" w:cs="Arial"/>
              </w:rPr>
              <w:t xml:space="preserve"> </w:t>
            </w:r>
            <w:proofErr w:type="spellStart"/>
            <w:r w:rsidRPr="0020690C">
              <w:rPr>
                <w:rFonts w:ascii="Arial" w:hAnsi="Arial" w:cs="Arial"/>
              </w:rPr>
              <w:t>this</w:t>
            </w:r>
            <w:proofErr w:type="spellEnd"/>
            <w:r w:rsidRPr="0020690C">
              <w:rPr>
                <w:rFonts w:ascii="Arial" w:hAnsi="Arial" w:cs="Arial"/>
              </w:rPr>
              <w:t xml:space="preserve"> Act or </w:t>
            </w:r>
            <w:proofErr w:type="spellStart"/>
            <w:r w:rsidRPr="0020690C">
              <w:rPr>
                <w:rFonts w:ascii="Arial" w:hAnsi="Arial" w:cs="Arial"/>
              </w:rPr>
              <w:t>otherwise</w:t>
            </w:r>
            <w:proofErr w:type="spellEnd"/>
            <w:r w:rsidRPr="0020690C">
              <w:rPr>
                <w:rFonts w:ascii="Arial" w:hAnsi="Arial" w:cs="Arial"/>
              </w:rPr>
              <w:t xml:space="preserve">) and, </w:t>
            </w:r>
            <w:proofErr w:type="spellStart"/>
            <w:r w:rsidRPr="0020690C">
              <w:rPr>
                <w:rFonts w:ascii="Arial" w:hAnsi="Arial" w:cs="Arial"/>
              </w:rPr>
              <w:t>if</w:t>
            </w:r>
            <w:proofErr w:type="spellEnd"/>
            <w:r w:rsidRPr="0020690C">
              <w:rPr>
                <w:rFonts w:ascii="Arial" w:hAnsi="Arial" w:cs="Arial"/>
              </w:rPr>
              <w:t xml:space="preserve"> </w:t>
            </w:r>
            <w:proofErr w:type="spellStart"/>
            <w:r w:rsidRPr="0020690C">
              <w:rPr>
                <w:rFonts w:ascii="Arial" w:hAnsi="Arial" w:cs="Arial"/>
              </w:rPr>
              <w:t>so</w:t>
            </w:r>
            <w:proofErr w:type="spellEnd"/>
            <w:r w:rsidRPr="0020690C">
              <w:rPr>
                <w:rFonts w:ascii="Arial" w:hAnsi="Arial" w:cs="Arial"/>
              </w:rPr>
              <w:t xml:space="preserve">, </w:t>
            </w:r>
            <w:proofErr w:type="spellStart"/>
            <w:r w:rsidRPr="0020690C">
              <w:rPr>
                <w:rFonts w:ascii="Arial" w:hAnsi="Arial" w:cs="Arial"/>
              </w:rPr>
              <w:t>what</w:t>
            </w:r>
            <w:proofErr w:type="spellEnd"/>
            <w:r w:rsidRPr="0020690C">
              <w:rPr>
                <w:rFonts w:ascii="Arial" w:hAnsi="Arial" w:cs="Arial"/>
              </w:rPr>
              <w:t xml:space="preserve"> and by </w:t>
            </w:r>
            <w:proofErr w:type="spellStart"/>
            <w:r w:rsidRPr="0020690C">
              <w:rPr>
                <w:rFonts w:ascii="Arial" w:hAnsi="Arial" w:cs="Arial"/>
              </w:rPr>
              <w:t>whim</w:t>
            </w:r>
            <w:proofErr w:type="spellEnd"/>
            <w:r w:rsidRPr="0020690C">
              <w:rPr>
                <w:rFonts w:ascii="Arial" w:hAnsi="Arial" w:cs="Arial"/>
              </w:rPr>
              <w:t>, and</w:t>
            </w:r>
          </w:p>
          <w:p w14:paraId="38242C75" w14:textId="77777777" w:rsidR="00885DCE" w:rsidRDefault="00885DCE" w:rsidP="00885DCE">
            <w:pPr>
              <w:pStyle w:val="ParagraffRhestr"/>
              <w:numPr>
                <w:ilvl w:val="0"/>
                <w:numId w:val="55"/>
              </w:numPr>
              <w:rPr>
                <w:rFonts w:ascii="Arial" w:hAnsi="Arial" w:cs="Arial"/>
              </w:rPr>
            </w:pPr>
            <w:proofErr w:type="spellStart"/>
            <w:r w:rsidRPr="0020690C">
              <w:rPr>
                <w:rFonts w:ascii="Arial" w:hAnsi="Arial" w:cs="Arial"/>
              </w:rPr>
              <w:lastRenderedPageBreak/>
              <w:t>decide</w:t>
            </w:r>
            <w:proofErr w:type="spellEnd"/>
            <w:r w:rsidRPr="0020690C">
              <w:rPr>
                <w:rFonts w:ascii="Arial" w:hAnsi="Arial" w:cs="Arial"/>
              </w:rPr>
              <w:t xml:space="preserve"> </w:t>
            </w:r>
            <w:proofErr w:type="spellStart"/>
            <w:r w:rsidRPr="0020690C">
              <w:rPr>
                <w:rFonts w:ascii="Arial" w:hAnsi="Arial" w:cs="Arial"/>
              </w:rPr>
              <w:t>wheter</w:t>
            </w:r>
            <w:proofErr w:type="spellEnd"/>
            <w:r w:rsidRPr="0020690C">
              <w:rPr>
                <w:rFonts w:ascii="Arial" w:hAnsi="Arial" w:cs="Arial"/>
              </w:rPr>
              <w:t xml:space="preserve"> </w:t>
            </w:r>
            <w:proofErr w:type="spellStart"/>
            <w:r w:rsidRPr="0020690C">
              <w:rPr>
                <w:rFonts w:ascii="Arial" w:hAnsi="Arial" w:cs="Arial"/>
              </w:rPr>
              <w:t>any</w:t>
            </w:r>
            <w:proofErr w:type="spellEnd"/>
            <w:r w:rsidRPr="0020690C">
              <w:rPr>
                <w:rFonts w:ascii="Arial" w:hAnsi="Arial" w:cs="Arial"/>
              </w:rPr>
              <w:t xml:space="preserve"> </w:t>
            </w:r>
            <w:proofErr w:type="spellStart"/>
            <w:r w:rsidRPr="0020690C">
              <w:rPr>
                <w:rFonts w:ascii="Arial" w:hAnsi="Arial" w:cs="Arial"/>
              </w:rPr>
              <w:t>such</w:t>
            </w:r>
            <w:proofErr w:type="spellEnd"/>
            <w:r w:rsidRPr="0020690C">
              <w:rPr>
                <w:rFonts w:ascii="Arial" w:hAnsi="Arial" w:cs="Arial"/>
              </w:rPr>
              <w:t xml:space="preserve"> action </w:t>
            </w:r>
            <w:proofErr w:type="spellStart"/>
            <w:r w:rsidRPr="0020690C">
              <w:rPr>
                <w:rFonts w:ascii="Arial" w:hAnsi="Arial" w:cs="Arial"/>
              </w:rPr>
              <w:t>should</w:t>
            </w:r>
            <w:proofErr w:type="spellEnd"/>
            <w:r w:rsidRPr="0020690C">
              <w:rPr>
                <w:rFonts w:ascii="Arial" w:hAnsi="Arial" w:cs="Arial"/>
              </w:rPr>
              <w:t xml:space="preserve"> be </w:t>
            </w:r>
            <w:proofErr w:type="spellStart"/>
            <w:r w:rsidRPr="0020690C">
              <w:rPr>
                <w:rFonts w:ascii="Arial" w:hAnsi="Arial" w:cs="Arial"/>
              </w:rPr>
              <w:t>taken</w:t>
            </w:r>
            <w:proofErr w:type="spellEnd"/>
            <w:r w:rsidRPr="0020690C">
              <w:rPr>
                <w:rFonts w:ascii="Arial" w:hAnsi="Arial" w:cs="Arial"/>
              </w:rPr>
              <w:t>.’</w:t>
            </w:r>
          </w:p>
          <w:p w14:paraId="5ECA4D1C" w14:textId="77777777" w:rsidR="00885DCE" w:rsidRDefault="00885DCE" w:rsidP="00885DCE">
            <w:pPr>
              <w:rPr>
                <w:sz w:val="24"/>
                <w:szCs w:val="24"/>
              </w:rPr>
            </w:pPr>
            <w:r>
              <w:rPr>
                <w:sz w:val="24"/>
                <w:szCs w:val="24"/>
              </w:rPr>
              <w:t xml:space="preserve">Although not relevant in the case of Mrs 4, it is worth noting that should there have been concerns about Mrs 4 being and ‘adult at risk’ and not being able to gain access to see her, section 127 of SSBW 2014 and the use of and adult protection and support order is a provision in the Act to allow authorised officers to speak to and ‘adult at risk’.  Section 128 of SSWBA 2014 places a duty on relevant partners of the local authority to inform them if they have reasonable cause to suspect that an adult is at risk.  Relevant partners are those noted in section 162 of SSWBA 2014 and include the Police, the Local Health Board.  </w:t>
            </w:r>
          </w:p>
          <w:p w14:paraId="11FD0564" w14:textId="77777777" w:rsidR="00885DCE" w:rsidRPr="00F00A31" w:rsidRDefault="00885DCE" w:rsidP="00885DCE">
            <w:pPr>
              <w:rPr>
                <w:sz w:val="24"/>
                <w:szCs w:val="24"/>
              </w:rPr>
            </w:pPr>
            <w:r>
              <w:rPr>
                <w:sz w:val="24"/>
                <w:szCs w:val="24"/>
              </w:rPr>
              <w:t xml:space="preserve"> </w:t>
            </w:r>
          </w:p>
          <w:p w14:paraId="32C4751E" w14:textId="77777777" w:rsidR="00885DCE" w:rsidRDefault="00885DCE" w:rsidP="00885DCE">
            <w:pPr>
              <w:rPr>
                <w:sz w:val="24"/>
                <w:szCs w:val="24"/>
              </w:rPr>
            </w:pPr>
            <w:r w:rsidRPr="003377BB">
              <w:rPr>
                <w:sz w:val="24"/>
                <w:szCs w:val="24"/>
              </w:rPr>
              <w:t xml:space="preserve">There are different types of </w:t>
            </w:r>
            <w:proofErr w:type="gramStart"/>
            <w:r w:rsidRPr="003377BB">
              <w:rPr>
                <w:sz w:val="24"/>
                <w:szCs w:val="24"/>
              </w:rPr>
              <w:t>abuse</w:t>
            </w:r>
            <w:proofErr w:type="gramEnd"/>
            <w:r w:rsidRPr="003377BB">
              <w:rPr>
                <w:sz w:val="24"/>
                <w:szCs w:val="24"/>
              </w:rPr>
              <w:t xml:space="preserve"> and they are noted under section 197 of SSWBA 2014 as ‘abuse’ meaning physical, sexual, psychological, emotional or financial abuse, and includes abuse taking place in any setting.  ‘Neglect’ is defined under section 197 of SSWBA 2014 as ‘a failure to meet a person’s basic physical, emotional, social or psychological needs, which is likely to result in an impairment of the person’s well-being’</w:t>
            </w:r>
            <w:r>
              <w:rPr>
                <w:sz w:val="24"/>
                <w:szCs w:val="24"/>
              </w:rPr>
              <w:t>.</w:t>
            </w:r>
          </w:p>
          <w:p w14:paraId="35CDC4AF" w14:textId="77777777" w:rsidR="00885DCE" w:rsidRDefault="00885DCE" w:rsidP="00885DCE">
            <w:pPr>
              <w:rPr>
                <w:sz w:val="24"/>
                <w:szCs w:val="24"/>
              </w:rPr>
            </w:pPr>
          </w:p>
          <w:p w14:paraId="31FF3DAC" w14:textId="77777777" w:rsidR="00885DCE" w:rsidRPr="003377BB" w:rsidRDefault="00885DCE" w:rsidP="00885DCE">
            <w:pPr>
              <w:rPr>
                <w:sz w:val="24"/>
                <w:szCs w:val="24"/>
              </w:rPr>
            </w:pPr>
            <w:r>
              <w:rPr>
                <w:sz w:val="24"/>
                <w:szCs w:val="24"/>
              </w:rPr>
              <w:t xml:space="preserve">Other legislation that is relevant to safeguarding adults are the Equality Act 2010, the Mental Capacity Act 2005.  The protected characteristic relevant to Mrs 4 meaning she could not be discriminated against under the Equality Act 2010 are her age and disability.  The Equality Act 2010 supports me to practice in a way that is anti-discriminatory and anti-oppressive.  In relation to the Mental Capacity Act 2005, Mrs 4 did have mental capacity to understand the circumstances of the concern and to consent to the safeguarding referral and for the information to be shared with the Safeguarding Officer and for further enquiries to be completed.  </w:t>
            </w:r>
          </w:p>
          <w:p w14:paraId="27EDCFFE" w14:textId="77777777" w:rsidR="00885DCE" w:rsidRDefault="00885DCE" w:rsidP="00885DCE">
            <w:pPr>
              <w:rPr>
                <w:sz w:val="24"/>
                <w:szCs w:val="24"/>
              </w:rPr>
            </w:pPr>
          </w:p>
          <w:p w14:paraId="69511B50" w14:textId="77777777" w:rsidR="00885DCE" w:rsidRDefault="00885DCE" w:rsidP="00885DCE">
            <w:pPr>
              <w:rPr>
                <w:sz w:val="24"/>
                <w:szCs w:val="24"/>
              </w:rPr>
            </w:pPr>
            <w:r>
              <w:rPr>
                <w:sz w:val="24"/>
                <w:szCs w:val="24"/>
              </w:rPr>
              <w:t xml:space="preserve">Provisions of the European Convention on Human Rights 1950 (ECHR) are incorporated into UK law through The Human Rights Act 1998 (HRA 1998).  The HRA 1998 is of great importance in social work as it </w:t>
            </w:r>
            <w:proofErr w:type="gramStart"/>
            <w:r>
              <w:rPr>
                <w:sz w:val="24"/>
                <w:szCs w:val="24"/>
              </w:rPr>
              <w:t>give</w:t>
            </w:r>
            <w:proofErr w:type="gramEnd"/>
            <w:r>
              <w:rPr>
                <w:sz w:val="24"/>
                <w:szCs w:val="24"/>
              </w:rPr>
              <w:t xml:space="preserve"> people specific rights that can be enforced by the law.  The ECHR states that there are three types of rights: absolute, qualified, and limited.  Absolute rights such as Article 2; the right to life must always be recognised.  The HRA 1998 is important in promoting rights of service users and their </w:t>
            </w:r>
            <w:proofErr w:type="spellStart"/>
            <w:r>
              <w:rPr>
                <w:sz w:val="24"/>
                <w:szCs w:val="24"/>
              </w:rPr>
              <w:t>carers</w:t>
            </w:r>
            <w:proofErr w:type="spellEnd"/>
            <w:r>
              <w:rPr>
                <w:sz w:val="24"/>
                <w:szCs w:val="24"/>
              </w:rPr>
              <w:t xml:space="preserve"> as it outs expectations on local authorities, which improves accountability. </w:t>
            </w:r>
          </w:p>
          <w:p w14:paraId="6791B64F" w14:textId="77777777" w:rsidR="00885DCE" w:rsidRDefault="00885DCE" w:rsidP="00885DCE">
            <w:pPr>
              <w:rPr>
                <w:sz w:val="24"/>
                <w:szCs w:val="24"/>
              </w:rPr>
            </w:pPr>
          </w:p>
          <w:p w14:paraId="5C0BE444" w14:textId="77777777" w:rsidR="00885DCE" w:rsidRDefault="00885DCE" w:rsidP="00885DCE">
            <w:pPr>
              <w:rPr>
                <w:rFonts w:eastAsia="Arial"/>
                <w:color w:val="000000" w:themeColor="text1"/>
                <w:sz w:val="24"/>
                <w:szCs w:val="24"/>
              </w:rPr>
            </w:pPr>
            <w:r>
              <w:rPr>
                <w:sz w:val="24"/>
                <w:szCs w:val="24"/>
              </w:rPr>
              <w:t xml:space="preserve">Outside of Wales, the UK and the European Union the United Nations has relevant provisions. The United Nations Principles for Older People 1991, adopted by the UN General Assembly reflects international human rights standards and there are principles under the five themes of independence, participation, care, self-fulfilment, and dignity (United Nations, 1991).  These principles guide countries to integrate the rights of older people into their national policies.  The United Nations Convention on the Rights of Persons with Disabilities 2006 is relevant and useful for social workers as it sets out what ‘human rights’ mean in relation to disability.  There is an interface between </w:t>
            </w:r>
            <w:r w:rsidRPr="00706BB5">
              <w:rPr>
                <w:rFonts w:eastAsia="Arial"/>
                <w:color w:val="000000" w:themeColor="text1"/>
                <w:sz w:val="24"/>
                <w:szCs w:val="24"/>
              </w:rPr>
              <w:t xml:space="preserve">social services provision in Wales with the United Kingdom, the European Union and outside the </w:t>
            </w:r>
            <w:r>
              <w:rPr>
                <w:rFonts w:eastAsia="Arial"/>
                <w:color w:val="000000" w:themeColor="text1"/>
                <w:sz w:val="24"/>
                <w:szCs w:val="24"/>
              </w:rPr>
              <w:t xml:space="preserve">European Union with many being embedded </w:t>
            </w:r>
            <w:proofErr w:type="gramStart"/>
            <w:r>
              <w:rPr>
                <w:rFonts w:eastAsia="Arial"/>
                <w:color w:val="000000" w:themeColor="text1"/>
                <w:sz w:val="24"/>
                <w:szCs w:val="24"/>
              </w:rPr>
              <w:t>in to</w:t>
            </w:r>
            <w:proofErr w:type="gramEnd"/>
            <w:r>
              <w:rPr>
                <w:rFonts w:eastAsia="Arial"/>
                <w:color w:val="000000" w:themeColor="text1"/>
                <w:sz w:val="24"/>
                <w:szCs w:val="24"/>
              </w:rPr>
              <w:t xml:space="preserve"> each other, and with the conventions being incorporated </w:t>
            </w:r>
            <w:proofErr w:type="gramStart"/>
            <w:r>
              <w:rPr>
                <w:rFonts w:eastAsia="Arial"/>
                <w:color w:val="000000" w:themeColor="text1"/>
                <w:sz w:val="24"/>
                <w:szCs w:val="24"/>
              </w:rPr>
              <w:t>in to</w:t>
            </w:r>
            <w:proofErr w:type="gramEnd"/>
            <w:r>
              <w:rPr>
                <w:rFonts w:eastAsia="Arial"/>
                <w:color w:val="000000" w:themeColor="text1"/>
                <w:sz w:val="24"/>
                <w:szCs w:val="24"/>
              </w:rPr>
              <w:t xml:space="preserve"> law.  Part 7 of SSWBA 2014 engages the rights of Articles 2,3,5,</w:t>
            </w:r>
            <w:proofErr w:type="gramStart"/>
            <w:r>
              <w:rPr>
                <w:rFonts w:eastAsia="Arial"/>
                <w:color w:val="000000" w:themeColor="text1"/>
                <w:sz w:val="24"/>
                <w:szCs w:val="24"/>
              </w:rPr>
              <w:t>6,and</w:t>
            </w:r>
            <w:proofErr w:type="gramEnd"/>
            <w:r>
              <w:rPr>
                <w:rFonts w:eastAsia="Arial"/>
                <w:color w:val="000000" w:themeColor="text1"/>
                <w:sz w:val="24"/>
                <w:szCs w:val="24"/>
              </w:rPr>
              <w:t xml:space="preserve"> 8 of the Human Rights Act which uses provisions of the European Convention on Human Rights 1950.  The law provides a framework to guide and support social worker in making decisions also provides a framework for the rights of service users.  There are contested and conflicting </w:t>
            </w:r>
            <w:r>
              <w:rPr>
                <w:rFonts w:eastAsia="Arial"/>
                <w:color w:val="000000" w:themeColor="text1"/>
                <w:sz w:val="24"/>
                <w:szCs w:val="24"/>
              </w:rPr>
              <w:lastRenderedPageBreak/>
              <w:t>rights that need to be balanced, with a need to promote legal rights according to law, and moral rights according to ethical values.</w:t>
            </w:r>
          </w:p>
          <w:p w14:paraId="4F40F04D" w14:textId="77777777" w:rsidR="00885DCE" w:rsidRDefault="00885DCE" w:rsidP="00885DCE">
            <w:pPr>
              <w:rPr>
                <w:rFonts w:eastAsia="Arial"/>
                <w:color w:val="000000" w:themeColor="text1"/>
                <w:sz w:val="24"/>
                <w:szCs w:val="24"/>
              </w:rPr>
            </w:pPr>
          </w:p>
          <w:p w14:paraId="094F8D85" w14:textId="77777777" w:rsidR="00885DCE" w:rsidRDefault="00885DCE" w:rsidP="00885DCE">
            <w:pPr>
              <w:rPr>
                <w:sz w:val="24"/>
                <w:szCs w:val="24"/>
              </w:rPr>
            </w:pPr>
            <w:r>
              <w:rPr>
                <w:rFonts w:eastAsia="Arial"/>
                <w:color w:val="000000" w:themeColor="text1"/>
                <w:sz w:val="24"/>
                <w:szCs w:val="24"/>
              </w:rPr>
              <w:t xml:space="preserve">The Wales Safeguarding Procedures 2019 are in place to support practitioners to apply legislation and statutory guidance for SSWBA 2014 (Social Care Wales, 2026a).  It states that there is a need when gathering information to be proportionate, and to evidence concern on harm, and to include the views of the adult at risk and their </w:t>
            </w:r>
            <w:proofErr w:type="spellStart"/>
            <w:r>
              <w:rPr>
                <w:rFonts w:eastAsia="Arial"/>
                <w:color w:val="000000" w:themeColor="text1"/>
                <w:sz w:val="24"/>
                <w:szCs w:val="24"/>
              </w:rPr>
              <w:t>carers</w:t>
            </w:r>
            <w:proofErr w:type="spellEnd"/>
            <w:r>
              <w:rPr>
                <w:rFonts w:eastAsia="Arial"/>
                <w:color w:val="000000" w:themeColor="text1"/>
                <w:sz w:val="24"/>
                <w:szCs w:val="24"/>
              </w:rPr>
              <w:t xml:space="preserve">, and for professional opinion and judgement to be included.   Having done this, </w:t>
            </w:r>
            <w:r>
              <w:rPr>
                <w:sz w:val="24"/>
                <w:szCs w:val="24"/>
              </w:rPr>
              <w:t>I completed the safeguarding referral form and shared it with our Adults Safeguarding Officer, in line with our local authority’s safeguarding policy.  This information showed that it met the threshold and there was a need to complete further enquiries. This was done by the Adult Safeguarding Officer contacting the Residential Care Home Manager and the District Nursing Team Manager to request further information and documentation, with collaborative working and discussions to gain further information.  On analysing the information provided and discussions had it was concluded that the oxygen machine had been checked and there were no concerns about it not working, and the daily records provided by the care home showed that they had noticed changes in Mrs 4’s health and noticed the swelling, and Mrs 4 had been seen by both the GP and district nurses who said this was linked to a progression in her health condition and due to that had referred Mrs 4 for the input of the palliative care team.  It had been noted that due to Mrs 4’s age and illness she did become unwell very quickly.  It was concluded that no neglect had taken place.</w:t>
            </w:r>
          </w:p>
          <w:p w14:paraId="4BF4EF19" w14:textId="77777777" w:rsidR="00885DCE" w:rsidRDefault="00885DCE" w:rsidP="00885DCE">
            <w:pPr>
              <w:rPr>
                <w:sz w:val="24"/>
                <w:szCs w:val="24"/>
              </w:rPr>
            </w:pPr>
          </w:p>
          <w:p w14:paraId="0E856C60" w14:textId="77777777" w:rsidR="00885DCE" w:rsidRDefault="00885DCE" w:rsidP="00885DCE">
            <w:pPr>
              <w:rPr>
                <w:sz w:val="24"/>
                <w:szCs w:val="24"/>
              </w:rPr>
            </w:pPr>
            <w:r>
              <w:rPr>
                <w:sz w:val="24"/>
                <w:szCs w:val="24"/>
              </w:rPr>
              <w:t xml:space="preserve">There is a safeguarding board in Wales called National Independent Safeguarding Board Wales.  It was set up under the SSWBA 2014 with its duties being ‘1. To provide support and advice to Safeguarding Boards with </w:t>
            </w:r>
            <w:proofErr w:type="gramStart"/>
            <w:r>
              <w:rPr>
                <w:sz w:val="24"/>
                <w:szCs w:val="24"/>
              </w:rPr>
              <w:t>a  view</w:t>
            </w:r>
            <w:proofErr w:type="gramEnd"/>
            <w:r>
              <w:rPr>
                <w:sz w:val="24"/>
                <w:szCs w:val="24"/>
              </w:rPr>
              <w:t xml:space="preserve"> to ensuring they are effective, 2. To report on the adequacy and effectiveness of arrangements to safeguard children and adults in Wales, 3. To make recommendations to the Welsh Minister as to how those arrangements could be improved.’ (National Independent Safeguarding Wales Board, </w:t>
            </w:r>
            <w:proofErr w:type="spellStart"/>
            <w:r>
              <w:rPr>
                <w:sz w:val="24"/>
                <w:szCs w:val="24"/>
              </w:rPr>
              <w:t>n.d</w:t>
            </w:r>
            <w:proofErr w:type="spellEnd"/>
            <w:r>
              <w:rPr>
                <w:sz w:val="24"/>
                <w:szCs w:val="24"/>
              </w:rPr>
              <w:t xml:space="preserve">). There are regional Safeguarding Boards with 6 in Wales altogether.  By having more regional Safeguarding Board it promotes closer working between partners and </w:t>
            </w:r>
            <w:proofErr w:type="gramStart"/>
            <w:r>
              <w:rPr>
                <w:sz w:val="24"/>
                <w:szCs w:val="24"/>
              </w:rPr>
              <w:t>agencies, and</w:t>
            </w:r>
            <w:proofErr w:type="gramEnd"/>
            <w:r>
              <w:rPr>
                <w:sz w:val="24"/>
                <w:szCs w:val="24"/>
              </w:rPr>
              <w:t xml:space="preserve"> promotes collaborative working.  The aim of regional Safeguarding Boards includes to contribute to ensuring that national policies and procedures are monitored and developed in order to prevent abuse neglect and harm to adults and children within the </w:t>
            </w:r>
            <w:proofErr w:type="spellStart"/>
            <w:r>
              <w:rPr>
                <w:sz w:val="24"/>
                <w:szCs w:val="24"/>
              </w:rPr>
              <w:t>are</w:t>
            </w:r>
            <w:proofErr w:type="spellEnd"/>
            <w:r>
              <w:rPr>
                <w:sz w:val="24"/>
                <w:szCs w:val="24"/>
              </w:rPr>
              <w:t xml:space="preserve"> of that Board, to raise awareness, to review the efficacy of the measures they have taken, to undertake Single Unified Safeguarding reviews, undertake audits, share information on best practice (National Independent Safeguarding Wales Board, </w:t>
            </w:r>
            <w:proofErr w:type="spellStart"/>
            <w:r>
              <w:rPr>
                <w:sz w:val="24"/>
                <w:szCs w:val="24"/>
              </w:rPr>
              <w:t>n.d</w:t>
            </w:r>
            <w:proofErr w:type="spellEnd"/>
            <w:r>
              <w:rPr>
                <w:sz w:val="24"/>
                <w:szCs w:val="24"/>
              </w:rPr>
              <w:t xml:space="preserve">). </w:t>
            </w:r>
          </w:p>
          <w:p w14:paraId="2F9B4DA2" w14:textId="77777777" w:rsidR="00885DCE" w:rsidRDefault="00885DCE" w:rsidP="00885DCE">
            <w:pPr>
              <w:rPr>
                <w:sz w:val="24"/>
                <w:szCs w:val="24"/>
              </w:rPr>
            </w:pPr>
          </w:p>
          <w:p w14:paraId="73FE0083" w14:textId="77777777" w:rsidR="00885DCE" w:rsidRDefault="00885DCE" w:rsidP="00885DCE">
            <w:pPr>
              <w:rPr>
                <w:sz w:val="24"/>
                <w:szCs w:val="24"/>
              </w:rPr>
            </w:pPr>
            <w:r>
              <w:rPr>
                <w:sz w:val="24"/>
                <w:szCs w:val="24"/>
              </w:rPr>
              <w:t xml:space="preserve">In Wales, there is a legal duty under section 6 (2) (c) of SSWBA 2014 to have a regard to a person’s language, which links with the ‘active offer’ which derived from the ‘More than just words’ policy guidance (Welsh Government, 2015), meaning that local authorities must be able to offer a service in Welsh in Wales.  This is consistent with the well-being duty under section 5 of SSWBA 2014 and is reflective of social work values of promoting rights, respecting diversity and responding appropriately to difference.  This also mirrors the Code of Professional Practice which notes the need for social worker to respect the views and wishes, promote rights and interests, and promote the voice and wellbeing of individuals and their carers (Social Care Wales, 2026b).  Paragraph 52 of the Part 3 Code of Practice </w:t>
            </w:r>
            <w:r>
              <w:rPr>
                <w:sz w:val="24"/>
                <w:szCs w:val="24"/>
              </w:rPr>
              <w:lastRenderedPageBreak/>
              <w:t xml:space="preserve">(Assessing the Needs of Individuals) for SSWBA 2014 states that there should be no delay to the process </w:t>
            </w:r>
            <w:proofErr w:type="gramStart"/>
            <w:r>
              <w:rPr>
                <w:sz w:val="24"/>
                <w:szCs w:val="24"/>
              </w:rPr>
              <w:t>if  an</w:t>
            </w:r>
            <w:proofErr w:type="gramEnd"/>
            <w:r>
              <w:rPr>
                <w:sz w:val="24"/>
                <w:szCs w:val="24"/>
              </w:rPr>
              <w:t xml:space="preserve"> assessment is requested in the medium of Welsh (Welsh Government, 2015a), and the ‘active offer’ should be given at the earliest possible stages of intervention.  In practice, a Welsh speaker may not always be available, which demonstrates the barriers and tensions in practice and how supporting the rights of service users isn’t always possible.  As a Welsh speaker I was able to provide the ‘active offer’ myself and able to offer the choice of both the Welsh and English language.  As well as being able to provide the ‘active offer’ in accordance with SSWBA 2014, I was also adhering to the Welsh language policy of the local authority I work for.  It is particularly important to be able to converse in a person’s language of choice when it comes to safeguarding, as speaking in one’s own language feels more natural and more comfortable, therefore individuals will feel more ready and able to disclose abuse in their own language.  </w:t>
            </w:r>
          </w:p>
          <w:p w14:paraId="7266986C" w14:textId="77777777" w:rsidR="00885DCE" w:rsidRDefault="00885DCE" w:rsidP="00885DCE">
            <w:pPr>
              <w:rPr>
                <w:sz w:val="24"/>
                <w:szCs w:val="24"/>
              </w:rPr>
            </w:pPr>
          </w:p>
          <w:p w14:paraId="64F26ABB" w14:textId="77777777" w:rsidR="00885DCE" w:rsidRDefault="00885DCE" w:rsidP="00885DCE">
            <w:pPr>
              <w:rPr>
                <w:sz w:val="24"/>
                <w:szCs w:val="24"/>
              </w:rPr>
            </w:pPr>
            <w:r>
              <w:rPr>
                <w:sz w:val="24"/>
                <w:szCs w:val="24"/>
              </w:rPr>
              <w:t>In Mrs 4’s case in relation to the Welsh context and ‘More than just words’, there was more than the Welsh language at play.  Mrs 4 lived in a rural, close-knit Welsh speaking area where people know each other, with especially Welsh speakers knowing each other.  Both Mrs 4 and her daughter mentioned some reluctance to disclose and report possible abuse due to having a family member working at the care home and knowing other residents within the home.  However, they felt that they wanted answers to establish what had happened and had concerns that care staff at the home had been neglectful, and they were keen to have processes in place to safeguard and ensure Mrs 4’s safety and wellbeing on her return to the residential care home.  They asked that the oxygen machine was checked daily and that Mrs 4’s oxygen levels were checked twice a day.</w:t>
            </w:r>
          </w:p>
          <w:p w14:paraId="42F57FBE" w14:textId="77777777" w:rsidR="00885DCE" w:rsidRDefault="00885DCE" w:rsidP="00885DCE">
            <w:pPr>
              <w:rPr>
                <w:sz w:val="24"/>
                <w:szCs w:val="24"/>
              </w:rPr>
            </w:pPr>
          </w:p>
          <w:p w14:paraId="5F3286DF" w14:textId="77777777" w:rsidR="00885DCE" w:rsidRDefault="00885DCE" w:rsidP="00885DCE">
            <w:pPr>
              <w:rPr>
                <w:sz w:val="24"/>
                <w:szCs w:val="24"/>
              </w:rPr>
            </w:pPr>
            <w:r>
              <w:rPr>
                <w:sz w:val="24"/>
                <w:szCs w:val="24"/>
              </w:rPr>
              <w:t xml:space="preserve">As a social worker I must adhere to Social Care </w:t>
            </w:r>
            <w:proofErr w:type="spellStart"/>
            <w:r>
              <w:rPr>
                <w:sz w:val="24"/>
                <w:szCs w:val="24"/>
              </w:rPr>
              <w:t>Wales’</w:t>
            </w:r>
            <w:proofErr w:type="spellEnd"/>
            <w:r>
              <w:rPr>
                <w:sz w:val="24"/>
                <w:szCs w:val="24"/>
              </w:rPr>
              <w:t xml:space="preserve"> Code of Professional Practice for Social Care Workers. (Social Care Wales, 2026b).  In relation to safeguarding, sections 3, and 4 are particularly relevant and were relevant in the case of Mrs 4.  Section 3 relates to promoting the well-being, voice and control of individuals, whilst supporting them to stay safe </w:t>
            </w:r>
            <w:proofErr w:type="gramStart"/>
            <w:r>
              <w:rPr>
                <w:sz w:val="24"/>
                <w:szCs w:val="24"/>
              </w:rPr>
              <w:t>and also</w:t>
            </w:r>
            <w:proofErr w:type="gramEnd"/>
            <w:r>
              <w:rPr>
                <w:sz w:val="24"/>
                <w:szCs w:val="24"/>
              </w:rPr>
              <w:t xml:space="preserve"> involves supporting individuals and carers to raise concern while following relevant policies and procedures (Social Care Wales, 2026b).  In the case of Mrs 4 I supported Mrs 4 and her daughter to raise their concerns whilst following the relevant policies and procedures of section 126 of SSWBA 2014 and the guidance set out in Part 7 Working Together to Safeguard People, as well as my local authority’s own policy on safeguarding.  Section 4 of the Code of Professional Practice for Social Care Workers concerns respecting individual’s rights to take risks, while working with them to help manage and understand the risks of behaviours that could cause harm to themselves or others.  It also involves working with individuals to balance risks with their rights and personal </w:t>
            </w:r>
            <w:proofErr w:type="gramStart"/>
            <w:r>
              <w:rPr>
                <w:sz w:val="24"/>
                <w:szCs w:val="24"/>
              </w:rPr>
              <w:t>choice, and</w:t>
            </w:r>
            <w:proofErr w:type="gramEnd"/>
            <w:r>
              <w:rPr>
                <w:sz w:val="24"/>
                <w:szCs w:val="24"/>
              </w:rPr>
              <w:t xml:space="preserve"> following relevant safeguarding policies and procedures when working with individuals (Social Care Wales, 2026b).  </w:t>
            </w:r>
          </w:p>
          <w:p w14:paraId="306CF39A" w14:textId="77777777" w:rsidR="00885DCE" w:rsidRDefault="00885DCE" w:rsidP="00885DCE">
            <w:pPr>
              <w:rPr>
                <w:sz w:val="24"/>
                <w:szCs w:val="24"/>
              </w:rPr>
            </w:pPr>
          </w:p>
          <w:p w14:paraId="5ECA2593" w14:textId="77777777" w:rsidR="00885DCE" w:rsidRDefault="00885DCE" w:rsidP="00885DCE">
            <w:pPr>
              <w:rPr>
                <w:sz w:val="24"/>
                <w:szCs w:val="24"/>
              </w:rPr>
            </w:pPr>
            <w:r>
              <w:rPr>
                <w:sz w:val="24"/>
                <w:szCs w:val="24"/>
              </w:rPr>
              <w:t xml:space="preserve">Provision of care and support can be an effective way of safeguarding adults at risk of abuse and neglect.  Had the safeguarding enquiries concluded that neglect had occurred, a care and support plan would be completed with the aim of having care and support in place to safeguard her.  The way to safeguard her would be documented in the care and support plan.  Despite the safeguarding enquiries concluding that neglect had not taken place, I had a duty to re-assess Mrs 4’s care and support needs and due to the recent deterioration in </w:t>
            </w:r>
            <w:r>
              <w:rPr>
                <w:sz w:val="24"/>
                <w:szCs w:val="24"/>
              </w:rPr>
              <w:lastRenderedPageBreak/>
              <w:t xml:space="preserve">her health and subsequent further hospital admission where a nurse completed a nursing needs assessment which showed that Mrs 4 when she was medically fit by then had nursing care needs.  I worked collaboratively with Mrs 4, her daughter and nursing staff on the ward to re-assess her care and support needs.  It was concluded following my assessment and completion of the Continuing NHS Healthcare Checklist that Mrs 4 would require a nursing care home rather than a residential care home.  This meant that Mrs 4 would have closer monitoring of her health and that she would have her oxygen levels monitored as she and her daughter </w:t>
            </w:r>
            <w:proofErr w:type="gramStart"/>
            <w:r>
              <w:rPr>
                <w:sz w:val="24"/>
                <w:szCs w:val="24"/>
              </w:rPr>
              <w:t>wished, and</w:t>
            </w:r>
            <w:proofErr w:type="gramEnd"/>
            <w:r>
              <w:rPr>
                <w:sz w:val="24"/>
                <w:szCs w:val="24"/>
              </w:rPr>
              <w:t xml:space="preserve"> could safeguard her in the future and preventative as her health could be more closely monitored.  However, Mrs 4’s wish had been to return to the residential care home as she was happy there, and there was a close-knit, rural, with predominantly Welsh speaking residents and staff, reflective of how she had </w:t>
            </w:r>
            <w:proofErr w:type="gramStart"/>
            <w:r>
              <w:rPr>
                <w:sz w:val="24"/>
                <w:szCs w:val="24"/>
              </w:rPr>
              <w:t>live</w:t>
            </w:r>
            <w:proofErr w:type="gramEnd"/>
            <w:r>
              <w:rPr>
                <w:sz w:val="24"/>
                <w:szCs w:val="24"/>
              </w:rPr>
              <w:t xml:space="preserve"> her life in her own community at home.  I was conflicted as SSWBA 2014 and the Social Care Wales Codes of Professional Practice for Care Workers state that I should respect the voice and wishes of the individual, promote choice and work in a person-centred way and Mrs 4’s wishes were to return to the residential care home.  I was also aware that moving to a nursing care home would mean moving away from a rural Welsh area close to her original community with many Welsh speakers, which was important to her, as there aren’t as many nursing care homes as residential care home in the area and would mean moving further away, and I was also aware that the nursing care home in the area tended not to have as many Welsh speaking staff as the residential care home.  However, as is often the case in social work we had to balance rights and risks, and risks also need to be considered in relation to wellbeing.  Consideration </w:t>
            </w:r>
            <w:proofErr w:type="gramStart"/>
            <w:r>
              <w:rPr>
                <w:sz w:val="24"/>
                <w:szCs w:val="24"/>
              </w:rPr>
              <w:t>has to</w:t>
            </w:r>
            <w:proofErr w:type="gramEnd"/>
            <w:r>
              <w:rPr>
                <w:sz w:val="24"/>
                <w:szCs w:val="24"/>
              </w:rPr>
              <w:t xml:space="preserve"> be given to how any risks identified could impact on a person’s health, wellbeing, and how it impacts their ability to achieve their personal outcomes.  Some of Mrs 4’s wishes and desired personal outcome was to feel safe and to have the more nursing support to monitor </w:t>
            </w:r>
            <w:proofErr w:type="gramStart"/>
            <w:r>
              <w:rPr>
                <w:sz w:val="24"/>
                <w:szCs w:val="24"/>
              </w:rPr>
              <w:t>her, but</w:t>
            </w:r>
            <w:proofErr w:type="gramEnd"/>
            <w:r>
              <w:rPr>
                <w:sz w:val="24"/>
                <w:szCs w:val="24"/>
              </w:rPr>
              <w:t xml:space="preserve"> wanted this in the residential home.  The risk of inability to achieve her outcomes would significantly impact her wellbeing, and this was my professional judgement.  Due to Mrs 4’s health having deteriorated she now required a nursing care home.  Her health and well-being were paramount and Article 2 of the Human Rights Act – the right to have life protected trumped Article 8 – the right to respect for private and family life and home.   </w:t>
            </w:r>
          </w:p>
          <w:p w14:paraId="0C104EF3" w14:textId="77777777" w:rsidR="00885DCE" w:rsidRDefault="00885DCE" w:rsidP="00885DCE">
            <w:pPr>
              <w:rPr>
                <w:sz w:val="24"/>
                <w:szCs w:val="24"/>
              </w:rPr>
            </w:pPr>
          </w:p>
          <w:p w14:paraId="68B16BE2" w14:textId="77777777" w:rsidR="00885DCE" w:rsidRDefault="00885DCE" w:rsidP="00885DCE">
            <w:pPr>
              <w:rPr>
                <w:sz w:val="24"/>
                <w:szCs w:val="24"/>
              </w:rPr>
            </w:pPr>
            <w:r>
              <w:rPr>
                <w:sz w:val="24"/>
                <w:szCs w:val="24"/>
              </w:rPr>
              <w:t xml:space="preserve">One of the core principles of wellbeing is the need to safeguard adults and children.  The Well-being of  Future Generations Act 2015 is a legislation that aims to improve well-being of the people of Wales in the future, with the need for public bodies listed in the Act to work better and in  joined-up approach to prevent problems and improve well-being, so will hopefully in turn help safeguard more people in the future (National Independent Safeguarding Board Wales, </w:t>
            </w:r>
            <w:proofErr w:type="spellStart"/>
            <w:r>
              <w:rPr>
                <w:sz w:val="24"/>
                <w:szCs w:val="24"/>
              </w:rPr>
              <w:t>n.d</w:t>
            </w:r>
            <w:proofErr w:type="spellEnd"/>
            <w:r>
              <w:rPr>
                <w:sz w:val="24"/>
                <w:szCs w:val="24"/>
              </w:rPr>
              <w:t xml:space="preserve">)  The Violence against Women, Domestic Abuse and Sexual Violence (Wales) Act 2015 is another piece of legislation in place to help prevent and protect victims form gender-based violence, domestic abuse and sexual violence (National Independent Safeguarding Board Wales, </w:t>
            </w:r>
            <w:proofErr w:type="spellStart"/>
            <w:r>
              <w:rPr>
                <w:sz w:val="24"/>
                <w:szCs w:val="24"/>
              </w:rPr>
              <w:t>n.d</w:t>
            </w:r>
            <w:proofErr w:type="spellEnd"/>
            <w:r>
              <w:rPr>
                <w:sz w:val="24"/>
                <w:szCs w:val="24"/>
              </w:rPr>
              <w:t>)     Although not relevant in the case of Mrs 4 it is worth noting that this is an important legislation to be aware of in my social work practice.</w:t>
            </w:r>
          </w:p>
          <w:p w14:paraId="7984B25C" w14:textId="77777777" w:rsidR="00885DCE" w:rsidRDefault="00885DCE" w:rsidP="00885DCE">
            <w:pPr>
              <w:rPr>
                <w:sz w:val="24"/>
                <w:szCs w:val="24"/>
              </w:rPr>
            </w:pPr>
          </w:p>
          <w:p w14:paraId="72BB7DE3" w14:textId="77777777" w:rsidR="00885DCE" w:rsidRDefault="00885DCE" w:rsidP="00885DCE">
            <w:pPr>
              <w:rPr>
                <w:sz w:val="24"/>
                <w:szCs w:val="24"/>
              </w:rPr>
            </w:pPr>
            <w:r>
              <w:rPr>
                <w:sz w:val="24"/>
                <w:szCs w:val="24"/>
              </w:rPr>
              <w:t xml:space="preserve">The social theories that I could apply to my practice with supporting Mrs 4 and with the safeguarding process were System’s theory, Maslow’s Hierarchy of Needs, and person-centred practice.  The Systems theory </w:t>
            </w:r>
            <w:r w:rsidRPr="000B6AD4">
              <w:rPr>
                <w:sz w:val="24"/>
                <w:szCs w:val="24"/>
              </w:rPr>
              <w:t>(Pincus &amp; Minahan 1973</w:t>
            </w:r>
            <w:proofErr w:type="gramStart"/>
            <w:r w:rsidRPr="000B6AD4">
              <w:rPr>
                <w:sz w:val="24"/>
                <w:szCs w:val="24"/>
              </w:rPr>
              <w:t>)</w:t>
            </w:r>
            <w:r>
              <w:t xml:space="preserve"> </w:t>
            </w:r>
            <w:r>
              <w:rPr>
                <w:sz w:val="24"/>
                <w:szCs w:val="24"/>
              </w:rPr>
              <w:t xml:space="preserve"> was</w:t>
            </w:r>
            <w:proofErr w:type="gramEnd"/>
            <w:r>
              <w:rPr>
                <w:sz w:val="24"/>
                <w:szCs w:val="24"/>
              </w:rPr>
              <w:t xml:space="preserve"> useful as it helped me to get an understanding of the systems in place in Mrs 4’s life.  My input, enquiries, and </w:t>
            </w:r>
            <w:r>
              <w:rPr>
                <w:sz w:val="24"/>
                <w:szCs w:val="24"/>
              </w:rPr>
              <w:lastRenderedPageBreak/>
              <w:t xml:space="preserve">assessment required me to look at her life and systems in place around her.  I looked at her accommodation, occupation, social, cultural, and medical systems.  This deepened my understanding of her life and what support and systems she had in place and what was important to her and how they connected and interacted.  The Systems theory helped me to recognise that the systems Mrs 4 had in place were not sufficient to support her care and support needs and to promote her wellbeing and safeguard her for the future.  It helped me to see how my role within a ‘formal’ system can act as an agent for change.  It made me look at the systems she would need in place and the need to move from a residential care home to a nursing care home to ensure her health and wellbeing and to be able to achieve her personal outcomes.  It also made me look at what additional systems she would need in place, for example she was also moving </w:t>
            </w:r>
            <w:proofErr w:type="gramStart"/>
            <w:r>
              <w:rPr>
                <w:sz w:val="24"/>
                <w:szCs w:val="24"/>
              </w:rPr>
              <w:t>area</w:t>
            </w:r>
            <w:proofErr w:type="gramEnd"/>
            <w:r>
              <w:rPr>
                <w:sz w:val="24"/>
                <w:szCs w:val="24"/>
              </w:rPr>
              <w:t xml:space="preserve"> and I needed to consider what local systems were in place to support her cultural needs as well medical needs.</w:t>
            </w:r>
          </w:p>
          <w:p w14:paraId="1DD96115" w14:textId="77777777" w:rsidR="00885DCE" w:rsidRDefault="00885DCE" w:rsidP="00885DCE">
            <w:pPr>
              <w:rPr>
                <w:sz w:val="24"/>
                <w:szCs w:val="24"/>
              </w:rPr>
            </w:pPr>
          </w:p>
          <w:p w14:paraId="376E2098" w14:textId="77777777" w:rsidR="00885DCE" w:rsidRDefault="00885DCE" w:rsidP="00885DCE">
            <w:pPr>
              <w:rPr>
                <w:sz w:val="24"/>
                <w:szCs w:val="24"/>
              </w:rPr>
            </w:pPr>
            <w:r>
              <w:rPr>
                <w:sz w:val="24"/>
                <w:szCs w:val="24"/>
              </w:rPr>
              <w:t xml:space="preserve">Maslow’s Hierarchy of Needs (Maslow, 1943) states the there is a hierarchy to human needs, with physiological needs (such as air, water, food) being at the bottom and being the most basic needs needing to be met first before being able to move on to other needs.  The next needs are safety needs (such as personal security, health, employment), then love and belonging (such as friendship, family, sense of connection), then esteem (such as respect, self-esteem, freedom),  followed by self-actualization (desire to become the most that one can be) (Maslow, 1943).  Maslow states that the needs at the bottom must be met first before being able to move on to further needs. In Mrs 4’s case she had a desire to move back to the residential care home as she was happy there, had friend there, was able to speak to most of the residents and staff in Welsh which was very important to her. However, due to recent changes in her health she now required more nursing support.  In line with her wishes, we did discuss collaboratively with the nursing staff whether there was a possibility for her to have the nursing input she would require through district nurses seeing her at the residential care home, however they would not be able to provide the level of nursing support she would require.  This provided and ethical dilemma and conflict for me in my </w:t>
            </w:r>
            <w:proofErr w:type="gramStart"/>
            <w:r>
              <w:rPr>
                <w:sz w:val="24"/>
                <w:szCs w:val="24"/>
              </w:rPr>
              <w:t>practice, and</w:t>
            </w:r>
            <w:proofErr w:type="gramEnd"/>
            <w:r>
              <w:rPr>
                <w:sz w:val="24"/>
                <w:szCs w:val="24"/>
              </w:rPr>
              <w:t xml:space="preserve"> also created tensions and impacted decision-making.  I had to balance Mrs 4’s right and wishes with the risks posed to her health.  Using Maslow’s hierarchy of needs theory, it helped me to make my professional judgement that despite Mrs 4 wanting to return to the residential care home due to her having friends and a sense of connection there (love and belonging in Maslow’s hierarchy), without her more basic needs of health being met (safety needs in Maslow’s hierarchy) she would be able to achieve those needs without her having her health needs met first.  </w:t>
            </w:r>
            <w:proofErr w:type="gramStart"/>
            <w:r>
              <w:rPr>
                <w:sz w:val="24"/>
                <w:szCs w:val="24"/>
              </w:rPr>
              <w:t>Therefore</w:t>
            </w:r>
            <w:proofErr w:type="gramEnd"/>
            <w:r>
              <w:rPr>
                <w:sz w:val="24"/>
                <w:szCs w:val="24"/>
              </w:rPr>
              <w:t xml:space="preserve"> she would require a nursing care home, which would also help safeguard her.   Once her more basic safety need of health had </w:t>
            </w:r>
            <w:proofErr w:type="spellStart"/>
            <w:r>
              <w:rPr>
                <w:sz w:val="24"/>
                <w:szCs w:val="24"/>
              </w:rPr>
              <w:t>ben</w:t>
            </w:r>
            <w:proofErr w:type="spellEnd"/>
            <w:r>
              <w:rPr>
                <w:sz w:val="24"/>
                <w:szCs w:val="24"/>
              </w:rPr>
              <w:t xml:space="preserve"> met, she could then build again on moving on to having love and belonging, and I was mindful that this is something I could support her to achieve once she had moved to a nursing care home. </w:t>
            </w:r>
          </w:p>
          <w:p w14:paraId="16E54961" w14:textId="77777777" w:rsidR="00885DCE" w:rsidRDefault="00885DCE" w:rsidP="00885DCE">
            <w:pPr>
              <w:rPr>
                <w:sz w:val="24"/>
                <w:szCs w:val="24"/>
              </w:rPr>
            </w:pPr>
          </w:p>
          <w:p w14:paraId="753CBFC3" w14:textId="77777777" w:rsidR="00885DCE" w:rsidRDefault="00885DCE" w:rsidP="00885DCE">
            <w:pPr>
              <w:rPr>
                <w:sz w:val="24"/>
                <w:szCs w:val="24"/>
              </w:rPr>
            </w:pPr>
            <w:r>
              <w:rPr>
                <w:sz w:val="24"/>
                <w:szCs w:val="24"/>
              </w:rPr>
              <w:t>I feel I have demonstrated person-centred practice with Mrs 4 as I listened to her wishes and feeling, promoted her choice and control, and worked collaboratively with her.  Despite her not being able to achieve her wish to return to the residential care home, I still feel I practiced in a person-centred way as it was ultimately her wellbeing that was being protected, which reflects that she was central to my professional judgement.</w:t>
            </w:r>
          </w:p>
          <w:p w14:paraId="36959E84" w14:textId="77777777" w:rsidR="00885DCE" w:rsidRDefault="00885DCE" w:rsidP="00885DCE">
            <w:pPr>
              <w:rPr>
                <w:sz w:val="24"/>
                <w:szCs w:val="24"/>
              </w:rPr>
            </w:pPr>
          </w:p>
          <w:p w14:paraId="24EEFF67" w14:textId="77777777" w:rsidR="00885DCE" w:rsidRDefault="00885DCE" w:rsidP="00885DCE">
            <w:pPr>
              <w:rPr>
                <w:sz w:val="24"/>
                <w:szCs w:val="24"/>
              </w:rPr>
            </w:pPr>
            <w:r>
              <w:rPr>
                <w:sz w:val="24"/>
                <w:szCs w:val="24"/>
              </w:rPr>
              <w:lastRenderedPageBreak/>
              <w:t xml:space="preserve">To conclude, I will use Gibb’s reflective cycle (Gibbs, 1988) to reflect on my experience with safeguarding and in the case of Mrs 4.  I would describe safeguarding as still being relatively new to me as a social worker in my second year of </w:t>
            </w:r>
            <w:proofErr w:type="gramStart"/>
            <w:r>
              <w:rPr>
                <w:sz w:val="24"/>
                <w:szCs w:val="24"/>
              </w:rPr>
              <w:t>practice</w:t>
            </w:r>
            <w:proofErr w:type="gramEnd"/>
            <w:r>
              <w:rPr>
                <w:sz w:val="24"/>
                <w:szCs w:val="24"/>
              </w:rPr>
              <w:t xml:space="preserve"> so I did discuss the process with my mentor and supervisor throughout.  I would describe my feelings as still feeling unsure and nervous when it comes to safeguarding.  In relation to Mrs 4 I felt sad for her that she was unable to return to the residential care home.  My evaluation is that despite feeling nervous and sad for Mrs 4, I had a responsibility to remain professional.  My analysis is that I feel I have demonstrated analysis in assessment, worked collaboratively with others, and used professional judgement in a complex situation.  The conclusion I have come to is that the use of legislation and policies, and theories used have helped guide my practice and safeguard Mrs 4 for the future.  My action plan is to continue to learn and develop and become a more confident practitioner around safeguarding.</w:t>
            </w:r>
          </w:p>
          <w:p w14:paraId="7FC8D6E6" w14:textId="77777777" w:rsidR="00885DCE" w:rsidRDefault="00885DCE" w:rsidP="00885DCE">
            <w:pPr>
              <w:rPr>
                <w:sz w:val="24"/>
                <w:szCs w:val="24"/>
              </w:rPr>
            </w:pPr>
          </w:p>
          <w:p w14:paraId="56E93681" w14:textId="3BE3A725" w:rsidR="00885DCE" w:rsidRDefault="00885DCE" w:rsidP="00885DCE">
            <w:pPr>
              <w:rPr>
                <w:sz w:val="24"/>
                <w:szCs w:val="24"/>
              </w:rPr>
            </w:pPr>
            <w:r>
              <w:rPr>
                <w:sz w:val="24"/>
                <w:szCs w:val="24"/>
              </w:rPr>
              <w:t>(Word count: 4205)</w:t>
            </w:r>
          </w:p>
          <w:p w14:paraId="4204EA25" w14:textId="77777777" w:rsidR="00885DCE" w:rsidRPr="00885DCE" w:rsidRDefault="00885DCE" w:rsidP="00FF7EBB">
            <w:pPr>
              <w:jc w:val="both"/>
              <w:rPr>
                <w:iCs/>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47A34" w14:textId="77777777" w:rsidR="00906878" w:rsidRDefault="00906878">
      <w:r>
        <w:separator/>
      </w:r>
    </w:p>
  </w:endnote>
  <w:endnote w:type="continuationSeparator" w:id="0">
    <w:p w14:paraId="62D692C6" w14:textId="77777777" w:rsidR="00906878" w:rsidRDefault="00906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F2624" w14:textId="77777777" w:rsidR="00906878" w:rsidRDefault="00906878">
      <w:r>
        <w:separator/>
      </w:r>
    </w:p>
  </w:footnote>
  <w:footnote w:type="continuationSeparator" w:id="0">
    <w:p w14:paraId="70B4F2E5" w14:textId="77777777" w:rsidR="00906878" w:rsidRDefault="00906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86196E"/>
    <w:multiLevelType w:val="hybridMultilevel"/>
    <w:tmpl w:val="ACEECF2C"/>
    <w:lvl w:ilvl="0" w:tplc="B4FA5A54">
      <w:start w:val="1"/>
      <w:numFmt w:val="lowerLetter"/>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222420E"/>
    <w:multiLevelType w:val="hybridMultilevel"/>
    <w:tmpl w:val="13FE77FC"/>
    <w:lvl w:ilvl="0" w:tplc="D4CABF78">
      <w:start w:val="1"/>
      <w:numFmt w:val="lowerLetter"/>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7"/>
  </w:num>
  <w:num w:numId="4" w16cid:durableId="1850633156">
    <w:abstractNumId w:val="49"/>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0"/>
  </w:num>
  <w:num w:numId="10" w16cid:durableId="693307142">
    <w:abstractNumId w:val="35"/>
  </w:num>
  <w:num w:numId="11" w16cid:durableId="141846751">
    <w:abstractNumId w:val="17"/>
  </w:num>
  <w:num w:numId="12" w16cid:durableId="1310867263">
    <w:abstractNumId w:val="16"/>
  </w:num>
  <w:num w:numId="13" w16cid:durableId="65736213">
    <w:abstractNumId w:val="29"/>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8"/>
  </w:num>
  <w:num w:numId="21" w16cid:durableId="798959287">
    <w:abstractNumId w:val="14"/>
  </w:num>
  <w:num w:numId="22" w16cid:durableId="352731724">
    <w:abstractNumId w:val="11"/>
  </w:num>
  <w:num w:numId="23" w16cid:durableId="456266206">
    <w:abstractNumId w:val="30"/>
  </w:num>
  <w:num w:numId="24" w16cid:durableId="317615789">
    <w:abstractNumId w:val="19"/>
  </w:num>
  <w:num w:numId="25" w16cid:durableId="856430468">
    <w:abstractNumId w:val="43"/>
  </w:num>
  <w:num w:numId="26" w16cid:durableId="1104690971">
    <w:abstractNumId w:val="37"/>
  </w:num>
  <w:num w:numId="27" w16cid:durableId="1201670287">
    <w:abstractNumId w:val="42"/>
  </w:num>
  <w:num w:numId="28" w16cid:durableId="598562144">
    <w:abstractNumId w:val="20"/>
  </w:num>
  <w:num w:numId="29" w16cid:durableId="871068292">
    <w:abstractNumId w:val="45"/>
  </w:num>
  <w:num w:numId="30" w16cid:durableId="482159744">
    <w:abstractNumId w:val="33"/>
  </w:num>
  <w:num w:numId="31" w16cid:durableId="1565527110">
    <w:abstractNumId w:val="12"/>
  </w:num>
  <w:num w:numId="32" w16cid:durableId="1175995731">
    <w:abstractNumId w:val="46"/>
  </w:num>
  <w:num w:numId="33" w16cid:durableId="694232600">
    <w:abstractNumId w:val="41"/>
  </w:num>
  <w:num w:numId="34" w16cid:durableId="1062095063">
    <w:abstractNumId w:val="5"/>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40"/>
  </w:num>
  <w:num w:numId="45" w16cid:durableId="891695978">
    <w:abstractNumId w:val="0"/>
  </w:num>
  <w:num w:numId="46" w16cid:durableId="827289017">
    <w:abstractNumId w:val="14"/>
  </w:num>
  <w:num w:numId="47" w16cid:durableId="167212813">
    <w:abstractNumId w:val="50"/>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30"/>
  </w:num>
  <w:num w:numId="51" w16cid:durableId="536360681">
    <w:abstractNumId w:val="25"/>
  </w:num>
  <w:num w:numId="52" w16cid:durableId="1666274935">
    <w:abstractNumId w:val="22"/>
  </w:num>
  <w:num w:numId="53" w16cid:durableId="435172075">
    <w:abstractNumId w:val="2"/>
  </w:num>
  <w:num w:numId="54" w16cid:durableId="1622806924">
    <w:abstractNumId w:val="21"/>
  </w:num>
  <w:num w:numId="55" w16cid:durableId="1307395128">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4C49"/>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1FA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5DCE"/>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6878"/>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18E4"/>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3804"/>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paragraph" w:styleId="ParagraffRhestr">
    <w:name w:val="List Paragraph"/>
    <w:basedOn w:val="Normal"/>
    <w:uiPriority w:val="34"/>
    <w:qFormat/>
    <w:rsid w:val="00885DCE"/>
    <w:pPr>
      <w:overflowPunct/>
      <w:autoSpaceDE/>
      <w:autoSpaceDN/>
      <w:adjustRightInd/>
      <w:spacing w:after="160" w:line="278" w:lineRule="auto"/>
      <w:ind w:left="720"/>
      <w:contextualSpacing/>
      <w:textAlignment w:val="auto"/>
    </w:pPr>
    <w:rPr>
      <w:rFonts w:asciiTheme="minorHAnsi" w:eastAsiaTheme="minorHAnsi" w:hAnsiTheme="minorHAnsi" w:cstheme="minorBidi"/>
      <w:color w:val="auto"/>
      <w:kern w:val="2"/>
      <w:sz w:val="24"/>
      <w:szCs w:val="24"/>
      <w:lang w:val="cy-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521745@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3912</Words>
  <Characters>22304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Bethan Ffion Jones (OEDOLION)</cp:lastModifiedBy>
  <cp:revision>3</cp:revision>
  <cp:lastPrinted>2020-02-11T19:20:00Z</cp:lastPrinted>
  <dcterms:created xsi:type="dcterms:W3CDTF">2026-10-06T22:31:00Z</dcterms:created>
  <dcterms:modified xsi:type="dcterms:W3CDTF">2026-10-07T10:06:00Z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