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A07F6" w14:textId="77777777" w:rsidR="00F4003A" w:rsidRPr="00745B3D" w:rsidRDefault="00F4003A" w:rsidP="00F4003A">
      <w:pPr>
        <w:spacing w:before="120" w:after="120" w:line="240" w:lineRule="auto"/>
        <w:jc w:val="center"/>
        <w:rPr>
          <w:rFonts w:eastAsia="Times New Roman" w:cs="Arial"/>
          <w:b/>
          <w:color w:val="auto"/>
          <w:sz w:val="40"/>
          <w:szCs w:val="40"/>
          <w:lang w:eastAsia="en-GB"/>
        </w:rPr>
      </w:pPr>
      <w:r w:rsidRPr="00745B3D">
        <w:rPr>
          <w:rFonts w:eastAsia="Times New Roman" w:cs="Arial"/>
          <w:b/>
          <w:sz w:val="40"/>
          <w:szCs w:val="40"/>
          <w:lang w:eastAsia="en-GB"/>
        </w:rPr>
        <w:t xml:space="preserve">BA (Hons) Leadership and Management Skills for the Workplace </w:t>
      </w:r>
    </w:p>
    <w:p w14:paraId="07BE3A4E" w14:textId="77777777" w:rsidR="00F4003A" w:rsidRPr="00745B3D" w:rsidRDefault="00F4003A" w:rsidP="00E71F58">
      <w:pPr>
        <w:pStyle w:val="Title"/>
        <w:rPr>
          <w:rFonts w:ascii="Arial" w:hAnsi="Arial" w:cs="Arial"/>
          <w:b/>
          <w:sz w:val="40"/>
          <w:szCs w:val="40"/>
        </w:rPr>
      </w:pPr>
    </w:p>
    <w:p w14:paraId="77CB7573" w14:textId="669BF2CB" w:rsidR="00E71F58" w:rsidRPr="00745B3D" w:rsidRDefault="00075F7D" w:rsidP="00E71F58">
      <w:pPr>
        <w:pStyle w:val="Title"/>
        <w:rPr>
          <w:rFonts w:ascii="Arial" w:hAnsi="Arial" w:cs="Arial"/>
          <w:b/>
          <w:sz w:val="40"/>
          <w:szCs w:val="40"/>
        </w:rPr>
      </w:pPr>
      <w:r w:rsidRPr="00745B3D">
        <w:rPr>
          <w:rFonts w:ascii="Arial" w:hAnsi="Arial" w:cs="Arial"/>
          <w:b/>
          <w:sz w:val="40"/>
          <w:szCs w:val="40"/>
        </w:rPr>
        <w:t xml:space="preserve"> Developing and Managing Individuals and Teams</w:t>
      </w:r>
    </w:p>
    <w:p w14:paraId="11CCFA5A" w14:textId="4BB29296" w:rsidR="00E71F58" w:rsidRPr="00745B3D" w:rsidRDefault="00075F7D" w:rsidP="00E71F58">
      <w:pPr>
        <w:pStyle w:val="Title"/>
        <w:rPr>
          <w:rFonts w:ascii="Arial" w:hAnsi="Arial" w:cs="Arial"/>
          <w:b/>
          <w:sz w:val="40"/>
          <w:szCs w:val="40"/>
        </w:rPr>
      </w:pPr>
      <w:r w:rsidRPr="00745B3D">
        <w:rPr>
          <w:rFonts w:ascii="Arial" w:hAnsi="Arial" w:cs="Arial"/>
          <w:b/>
          <w:sz w:val="40"/>
          <w:szCs w:val="40"/>
        </w:rPr>
        <w:t>LCLM5002</w:t>
      </w:r>
    </w:p>
    <w:p w14:paraId="35ACC648" w14:textId="77777777" w:rsidR="00F4003A" w:rsidRPr="00745B3D" w:rsidRDefault="00F4003A" w:rsidP="00F4003A">
      <w:pPr>
        <w:rPr>
          <w:sz w:val="40"/>
          <w:szCs w:val="40"/>
        </w:rPr>
      </w:pPr>
    </w:p>
    <w:p w14:paraId="7C05F010" w14:textId="26A00A5F" w:rsidR="00E71F58" w:rsidRPr="00745B3D" w:rsidRDefault="005D7AE5" w:rsidP="00E71F58">
      <w:pPr>
        <w:pStyle w:val="Title"/>
        <w:rPr>
          <w:b/>
          <w:sz w:val="40"/>
          <w:szCs w:val="40"/>
        </w:rPr>
      </w:pPr>
      <w:r w:rsidRPr="00745B3D">
        <w:rPr>
          <w:rFonts w:ascii="Arial" w:hAnsi="Arial" w:cs="Arial"/>
          <w:b/>
          <w:sz w:val="40"/>
          <w:szCs w:val="40"/>
        </w:rPr>
        <w:t>Individual Report</w:t>
      </w:r>
    </w:p>
    <w:p w14:paraId="260DD0B7" w14:textId="77777777" w:rsidR="002C2D84" w:rsidRPr="004A621E" w:rsidRDefault="002C2D84">
      <w:pPr>
        <w:rPr>
          <w:rFonts w:cs="Times New Roman"/>
          <w:szCs w:val="24"/>
        </w:rPr>
      </w:pPr>
    </w:p>
    <w:p w14:paraId="32D52403" w14:textId="77777777" w:rsidR="002C2D84" w:rsidRPr="004A621E" w:rsidRDefault="002C2D84">
      <w:pPr>
        <w:rPr>
          <w:rFonts w:cs="Times New Roman"/>
          <w:szCs w:val="24"/>
        </w:rPr>
      </w:pPr>
    </w:p>
    <w:p w14:paraId="0563485E" w14:textId="77777777" w:rsidR="002C2D84" w:rsidRPr="004A621E" w:rsidRDefault="002C2D84">
      <w:pPr>
        <w:rPr>
          <w:rFonts w:cs="Times New Roman"/>
          <w:szCs w:val="24"/>
        </w:rPr>
      </w:pPr>
    </w:p>
    <w:p w14:paraId="2B3EEAE7" w14:textId="77777777" w:rsidR="002C2D84" w:rsidRPr="004A621E" w:rsidRDefault="002C2D84">
      <w:pPr>
        <w:rPr>
          <w:rFonts w:cs="Times New Roman"/>
          <w:szCs w:val="24"/>
        </w:rPr>
      </w:pPr>
    </w:p>
    <w:p w14:paraId="04621758" w14:textId="77777777" w:rsidR="002C2D84" w:rsidRPr="004A621E" w:rsidRDefault="002C2D84">
      <w:pPr>
        <w:rPr>
          <w:rFonts w:cs="Times New Roman"/>
          <w:szCs w:val="24"/>
        </w:rPr>
      </w:pPr>
    </w:p>
    <w:p w14:paraId="4D3F8F3A" w14:textId="77777777" w:rsidR="002C2D84" w:rsidRPr="004A621E" w:rsidRDefault="002C2D84">
      <w:pPr>
        <w:rPr>
          <w:rFonts w:cs="Times New Roman"/>
          <w:szCs w:val="24"/>
        </w:rPr>
      </w:pPr>
    </w:p>
    <w:p w14:paraId="6AF8CE4B" w14:textId="77777777" w:rsidR="002C2D84" w:rsidRPr="004A621E" w:rsidRDefault="002C2D84">
      <w:pPr>
        <w:rPr>
          <w:rFonts w:cs="Times New Roman"/>
          <w:sz w:val="36"/>
          <w:szCs w:val="40"/>
        </w:rPr>
      </w:pPr>
    </w:p>
    <w:p w14:paraId="3A0401C8" w14:textId="182FC242" w:rsidR="002C2D84" w:rsidRPr="004A621E" w:rsidRDefault="002C2D84">
      <w:pPr>
        <w:rPr>
          <w:rFonts w:cs="Times New Roman"/>
          <w:b/>
          <w:bCs/>
          <w:sz w:val="36"/>
          <w:szCs w:val="40"/>
        </w:rPr>
      </w:pPr>
      <w:r w:rsidRPr="004A621E">
        <w:rPr>
          <w:rFonts w:cs="Times New Roman"/>
          <w:b/>
          <w:bCs/>
          <w:sz w:val="36"/>
          <w:szCs w:val="40"/>
        </w:rPr>
        <w:t>Student Name:</w:t>
      </w:r>
      <w:r w:rsidR="00AE2960" w:rsidRPr="004A621E">
        <w:rPr>
          <w:rFonts w:cs="Times New Roman"/>
          <w:b/>
          <w:bCs/>
          <w:sz w:val="36"/>
          <w:szCs w:val="40"/>
        </w:rPr>
        <w:t xml:space="preserve"> Flavius Baboi</w:t>
      </w:r>
    </w:p>
    <w:p w14:paraId="712EC398" w14:textId="05EFE241" w:rsidR="00466B5E" w:rsidRPr="004A621E" w:rsidRDefault="002C2D84">
      <w:pPr>
        <w:rPr>
          <w:rFonts w:cs="Times New Roman"/>
          <w:b/>
          <w:bCs/>
          <w:sz w:val="36"/>
          <w:szCs w:val="40"/>
        </w:rPr>
      </w:pPr>
      <w:r w:rsidRPr="004A621E">
        <w:rPr>
          <w:rFonts w:cs="Times New Roman"/>
          <w:b/>
          <w:bCs/>
          <w:sz w:val="36"/>
          <w:szCs w:val="40"/>
        </w:rPr>
        <w:t>Student ID:</w:t>
      </w:r>
      <w:r w:rsidR="00AE2960" w:rsidRPr="004A621E">
        <w:rPr>
          <w:rFonts w:cs="Arial"/>
          <w:b/>
          <w:bCs/>
          <w:color w:val="242130"/>
          <w:shd w:val="clear" w:color="auto" w:fill="FFFFFF"/>
        </w:rPr>
        <w:t xml:space="preserve"> </w:t>
      </w:r>
      <w:r w:rsidR="00AE2960" w:rsidRPr="004A621E">
        <w:rPr>
          <w:rFonts w:cs="Times New Roman"/>
          <w:b/>
          <w:bCs/>
          <w:sz w:val="36"/>
          <w:szCs w:val="40"/>
        </w:rPr>
        <w:t>2425413</w:t>
      </w:r>
    </w:p>
    <w:p w14:paraId="20629B16" w14:textId="7B3C19B1" w:rsidR="00994F2D" w:rsidRPr="004A621E" w:rsidRDefault="00466B5E" w:rsidP="00994F2D">
      <w:pPr>
        <w:rPr>
          <w:rFonts w:cs="Times New Roman"/>
          <w:b/>
          <w:bCs/>
          <w:sz w:val="36"/>
          <w:szCs w:val="40"/>
        </w:rPr>
      </w:pPr>
      <w:r w:rsidRPr="004A621E">
        <w:rPr>
          <w:rFonts w:cs="Times New Roman"/>
          <w:b/>
          <w:bCs/>
          <w:sz w:val="36"/>
          <w:szCs w:val="40"/>
        </w:rPr>
        <w:t>Lecturer</w:t>
      </w:r>
      <w:r w:rsidR="00994F2D" w:rsidRPr="004A621E">
        <w:rPr>
          <w:rFonts w:cs="Times New Roman"/>
          <w:b/>
          <w:bCs/>
          <w:sz w:val="36"/>
          <w:szCs w:val="40"/>
        </w:rPr>
        <w:t xml:space="preserve">: Doreen </w:t>
      </w:r>
      <w:proofErr w:type="spellStart"/>
      <w:r w:rsidR="00994F2D" w:rsidRPr="004A621E">
        <w:rPr>
          <w:rFonts w:cs="Times New Roman"/>
          <w:b/>
          <w:bCs/>
          <w:sz w:val="36"/>
          <w:szCs w:val="40"/>
        </w:rPr>
        <w:t>Amundam</w:t>
      </w:r>
      <w:proofErr w:type="spellEnd"/>
    </w:p>
    <w:p w14:paraId="3AC6AE11" w14:textId="01E46939" w:rsidR="00E71F58" w:rsidRPr="004A621E" w:rsidRDefault="00E71F58">
      <w:pPr>
        <w:rPr>
          <w:rFonts w:cs="Times New Roman"/>
          <w:szCs w:val="24"/>
        </w:rPr>
      </w:pPr>
      <w:r w:rsidRPr="004A621E">
        <w:rPr>
          <w:rFonts w:cs="Times New Roman"/>
          <w:szCs w:val="24"/>
        </w:rPr>
        <w:br w:type="page"/>
      </w:r>
    </w:p>
    <w:sdt>
      <w:sdtPr>
        <w:rPr>
          <w:rFonts w:ascii="Times New Roman" w:eastAsiaTheme="minorHAnsi" w:hAnsi="Times New Roman" w:cstheme="minorBidi"/>
          <w:color w:val="000000" w:themeColor="text1"/>
          <w:kern w:val="2"/>
          <w:sz w:val="24"/>
          <w:szCs w:val="22"/>
          <w:lang w:val="en-GB"/>
          <w14:ligatures w14:val="standardContextual"/>
        </w:rPr>
        <w:id w:val="-675040921"/>
        <w:docPartObj>
          <w:docPartGallery w:val="Table of Contents"/>
          <w:docPartUnique/>
        </w:docPartObj>
      </w:sdtPr>
      <w:sdtEndPr>
        <w:rPr>
          <w:rFonts w:ascii="Arial" w:hAnsi="Arial"/>
          <w:b/>
          <w:bCs/>
          <w:sz w:val="22"/>
        </w:rPr>
      </w:sdtEndPr>
      <w:sdtContent>
        <w:p w14:paraId="3019ECCA" w14:textId="274A63C3" w:rsidR="00971609" w:rsidRPr="004A621E" w:rsidRDefault="00971609" w:rsidP="0095576F">
          <w:pPr>
            <w:pStyle w:val="TOCHeading"/>
            <w:jc w:val="center"/>
            <w:rPr>
              <w:rFonts w:ascii="Arial" w:hAnsi="Arial" w:cs="Arial"/>
              <w:b/>
              <w:bCs/>
              <w:color w:val="auto"/>
              <w:lang w:val="en-GB"/>
            </w:rPr>
          </w:pPr>
          <w:r w:rsidRPr="004A621E">
            <w:rPr>
              <w:rFonts w:ascii="Arial" w:hAnsi="Arial" w:cs="Arial"/>
              <w:b/>
              <w:bCs/>
              <w:color w:val="auto"/>
              <w:lang w:val="en-GB"/>
            </w:rPr>
            <w:t>Table of Contents</w:t>
          </w:r>
        </w:p>
        <w:p w14:paraId="36D952EA" w14:textId="77777777" w:rsidR="0095576F" w:rsidRPr="004A621E" w:rsidRDefault="0095576F" w:rsidP="0095576F"/>
        <w:p w14:paraId="31A1B4DB" w14:textId="03CE8950" w:rsidR="00447F20" w:rsidRPr="004A621E" w:rsidRDefault="00971609">
          <w:pPr>
            <w:pStyle w:val="TOC1"/>
            <w:tabs>
              <w:tab w:val="right" w:leader="dot" w:pos="9016"/>
            </w:tabs>
            <w:rPr>
              <w:rFonts w:asciiTheme="minorHAnsi" w:eastAsiaTheme="minorEastAsia" w:hAnsiTheme="minorHAnsi"/>
              <w:color w:val="auto"/>
              <w:sz w:val="24"/>
              <w:szCs w:val="24"/>
            </w:rPr>
          </w:pPr>
          <w:r w:rsidRPr="004A621E">
            <w:fldChar w:fldCharType="begin"/>
          </w:r>
          <w:r w:rsidRPr="004A621E">
            <w:instrText xml:space="preserve"> TOC \o "1-3" \h \z \u </w:instrText>
          </w:r>
          <w:r w:rsidRPr="004A621E">
            <w:fldChar w:fldCharType="separate"/>
          </w:r>
          <w:hyperlink w:anchor="_Toc221663238" w:history="1">
            <w:r w:rsidR="00447F20" w:rsidRPr="004A621E">
              <w:rPr>
                <w:rStyle w:val="Hyperlink"/>
              </w:rPr>
              <w:t>1. Introduction</w:t>
            </w:r>
            <w:r w:rsidR="00447F20" w:rsidRPr="004A621E">
              <w:rPr>
                <w:webHidden/>
              </w:rPr>
              <w:tab/>
            </w:r>
            <w:r w:rsidR="00447F20" w:rsidRPr="004A621E">
              <w:rPr>
                <w:webHidden/>
              </w:rPr>
              <w:fldChar w:fldCharType="begin"/>
            </w:r>
            <w:r w:rsidR="00447F20" w:rsidRPr="004A621E">
              <w:rPr>
                <w:webHidden/>
              </w:rPr>
              <w:instrText xml:space="preserve"> PAGEREF _Toc221663238 \h </w:instrText>
            </w:r>
            <w:r w:rsidR="00447F20" w:rsidRPr="004A621E">
              <w:rPr>
                <w:webHidden/>
              </w:rPr>
            </w:r>
            <w:r w:rsidR="00447F20" w:rsidRPr="004A621E">
              <w:rPr>
                <w:webHidden/>
              </w:rPr>
              <w:fldChar w:fldCharType="separate"/>
            </w:r>
            <w:r w:rsidR="00447F20" w:rsidRPr="004A621E">
              <w:rPr>
                <w:webHidden/>
              </w:rPr>
              <w:t>1</w:t>
            </w:r>
            <w:r w:rsidR="00447F20" w:rsidRPr="004A621E">
              <w:rPr>
                <w:webHidden/>
              </w:rPr>
              <w:fldChar w:fldCharType="end"/>
            </w:r>
          </w:hyperlink>
        </w:p>
        <w:p w14:paraId="23A413E5" w14:textId="147D1B33" w:rsidR="00447F20" w:rsidRPr="004A621E" w:rsidRDefault="00447F20">
          <w:pPr>
            <w:pStyle w:val="TOC1"/>
            <w:tabs>
              <w:tab w:val="right" w:leader="dot" w:pos="9016"/>
            </w:tabs>
            <w:rPr>
              <w:rFonts w:asciiTheme="minorHAnsi" w:eastAsiaTheme="minorEastAsia" w:hAnsiTheme="minorHAnsi"/>
              <w:color w:val="auto"/>
              <w:sz w:val="24"/>
              <w:szCs w:val="24"/>
            </w:rPr>
          </w:pPr>
          <w:hyperlink w:anchor="_Toc221663239" w:history="1">
            <w:r w:rsidRPr="004A621E">
              <w:rPr>
                <w:rStyle w:val="Hyperlink"/>
              </w:rPr>
              <w:t>2. Key HR challenges at Tesco</w:t>
            </w:r>
            <w:r w:rsidRPr="004A621E">
              <w:rPr>
                <w:webHidden/>
              </w:rPr>
              <w:tab/>
            </w:r>
            <w:r w:rsidRPr="004A621E">
              <w:rPr>
                <w:webHidden/>
              </w:rPr>
              <w:fldChar w:fldCharType="begin"/>
            </w:r>
            <w:r w:rsidRPr="004A621E">
              <w:rPr>
                <w:webHidden/>
              </w:rPr>
              <w:instrText xml:space="preserve"> PAGEREF _Toc221663239 \h </w:instrText>
            </w:r>
            <w:r w:rsidRPr="004A621E">
              <w:rPr>
                <w:webHidden/>
              </w:rPr>
            </w:r>
            <w:r w:rsidRPr="004A621E">
              <w:rPr>
                <w:webHidden/>
              </w:rPr>
              <w:fldChar w:fldCharType="separate"/>
            </w:r>
            <w:r w:rsidRPr="004A621E">
              <w:rPr>
                <w:webHidden/>
              </w:rPr>
              <w:t>2</w:t>
            </w:r>
            <w:r w:rsidRPr="004A621E">
              <w:rPr>
                <w:webHidden/>
              </w:rPr>
              <w:fldChar w:fldCharType="end"/>
            </w:r>
          </w:hyperlink>
        </w:p>
        <w:p w14:paraId="689C05F7" w14:textId="7786AA8D"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0" w:history="1">
            <w:r w:rsidRPr="004A621E">
              <w:rPr>
                <w:rStyle w:val="Hyperlink"/>
              </w:rPr>
              <w:t>2.1 Technological advancement and conflicting perspectives</w:t>
            </w:r>
            <w:r w:rsidRPr="004A621E">
              <w:rPr>
                <w:webHidden/>
              </w:rPr>
              <w:tab/>
            </w:r>
            <w:r w:rsidRPr="004A621E">
              <w:rPr>
                <w:webHidden/>
              </w:rPr>
              <w:fldChar w:fldCharType="begin"/>
            </w:r>
            <w:r w:rsidRPr="004A621E">
              <w:rPr>
                <w:webHidden/>
              </w:rPr>
              <w:instrText xml:space="preserve"> PAGEREF _Toc221663240 \h </w:instrText>
            </w:r>
            <w:r w:rsidRPr="004A621E">
              <w:rPr>
                <w:webHidden/>
              </w:rPr>
            </w:r>
            <w:r w:rsidRPr="004A621E">
              <w:rPr>
                <w:webHidden/>
              </w:rPr>
              <w:fldChar w:fldCharType="separate"/>
            </w:r>
            <w:r w:rsidRPr="004A621E">
              <w:rPr>
                <w:webHidden/>
              </w:rPr>
              <w:t>2</w:t>
            </w:r>
            <w:r w:rsidRPr="004A621E">
              <w:rPr>
                <w:webHidden/>
              </w:rPr>
              <w:fldChar w:fldCharType="end"/>
            </w:r>
          </w:hyperlink>
        </w:p>
        <w:p w14:paraId="449DC366" w14:textId="214AB96A"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1" w:history="1">
            <w:r w:rsidRPr="004A621E">
              <w:rPr>
                <w:rStyle w:val="Hyperlink"/>
              </w:rPr>
              <w:t>2.2 Talent acquisition, retention, and employee value proposition</w:t>
            </w:r>
            <w:r w:rsidRPr="004A621E">
              <w:rPr>
                <w:webHidden/>
              </w:rPr>
              <w:tab/>
            </w:r>
            <w:r w:rsidRPr="004A621E">
              <w:rPr>
                <w:webHidden/>
              </w:rPr>
              <w:fldChar w:fldCharType="begin"/>
            </w:r>
            <w:r w:rsidRPr="004A621E">
              <w:rPr>
                <w:webHidden/>
              </w:rPr>
              <w:instrText xml:space="preserve"> PAGEREF _Toc221663241 \h </w:instrText>
            </w:r>
            <w:r w:rsidRPr="004A621E">
              <w:rPr>
                <w:webHidden/>
              </w:rPr>
            </w:r>
            <w:r w:rsidRPr="004A621E">
              <w:rPr>
                <w:webHidden/>
              </w:rPr>
              <w:fldChar w:fldCharType="separate"/>
            </w:r>
            <w:r w:rsidRPr="004A621E">
              <w:rPr>
                <w:webHidden/>
              </w:rPr>
              <w:t>2</w:t>
            </w:r>
            <w:r w:rsidRPr="004A621E">
              <w:rPr>
                <w:webHidden/>
              </w:rPr>
              <w:fldChar w:fldCharType="end"/>
            </w:r>
          </w:hyperlink>
        </w:p>
        <w:p w14:paraId="735E04C1" w14:textId="0909CAAE"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2" w:history="1">
            <w:r w:rsidRPr="004A621E">
              <w:rPr>
                <w:rStyle w:val="Hyperlink"/>
              </w:rPr>
              <w:t>2.3 DEI, performativity, and real inclusion</w:t>
            </w:r>
            <w:r w:rsidRPr="004A621E">
              <w:rPr>
                <w:webHidden/>
              </w:rPr>
              <w:tab/>
            </w:r>
            <w:r w:rsidRPr="004A621E">
              <w:rPr>
                <w:webHidden/>
              </w:rPr>
              <w:fldChar w:fldCharType="begin"/>
            </w:r>
            <w:r w:rsidRPr="004A621E">
              <w:rPr>
                <w:webHidden/>
              </w:rPr>
              <w:instrText xml:space="preserve"> PAGEREF _Toc221663242 \h </w:instrText>
            </w:r>
            <w:r w:rsidRPr="004A621E">
              <w:rPr>
                <w:webHidden/>
              </w:rPr>
            </w:r>
            <w:r w:rsidRPr="004A621E">
              <w:rPr>
                <w:webHidden/>
              </w:rPr>
              <w:fldChar w:fldCharType="separate"/>
            </w:r>
            <w:r w:rsidRPr="004A621E">
              <w:rPr>
                <w:webHidden/>
              </w:rPr>
              <w:t>2</w:t>
            </w:r>
            <w:r w:rsidRPr="004A621E">
              <w:rPr>
                <w:webHidden/>
              </w:rPr>
              <w:fldChar w:fldCharType="end"/>
            </w:r>
          </w:hyperlink>
        </w:p>
        <w:p w14:paraId="78E9651C" w14:textId="23137D57" w:rsidR="00447F20" w:rsidRPr="004A621E" w:rsidRDefault="00447F20">
          <w:pPr>
            <w:pStyle w:val="TOC1"/>
            <w:tabs>
              <w:tab w:val="right" w:leader="dot" w:pos="9016"/>
            </w:tabs>
            <w:rPr>
              <w:rFonts w:asciiTheme="minorHAnsi" w:eastAsiaTheme="minorEastAsia" w:hAnsiTheme="minorHAnsi"/>
              <w:color w:val="auto"/>
              <w:sz w:val="24"/>
              <w:szCs w:val="24"/>
            </w:rPr>
          </w:pPr>
          <w:hyperlink w:anchor="_Toc221663243" w:history="1">
            <w:r w:rsidRPr="004A621E">
              <w:rPr>
                <w:rStyle w:val="Hyperlink"/>
              </w:rPr>
              <w:t>3. Contemporary HR practices and critical discussion</w:t>
            </w:r>
            <w:r w:rsidRPr="004A621E">
              <w:rPr>
                <w:webHidden/>
              </w:rPr>
              <w:tab/>
            </w:r>
            <w:r w:rsidRPr="004A621E">
              <w:rPr>
                <w:webHidden/>
              </w:rPr>
              <w:fldChar w:fldCharType="begin"/>
            </w:r>
            <w:r w:rsidRPr="004A621E">
              <w:rPr>
                <w:webHidden/>
              </w:rPr>
              <w:instrText xml:space="preserve"> PAGEREF _Toc221663243 \h </w:instrText>
            </w:r>
            <w:r w:rsidRPr="004A621E">
              <w:rPr>
                <w:webHidden/>
              </w:rPr>
            </w:r>
            <w:r w:rsidRPr="004A621E">
              <w:rPr>
                <w:webHidden/>
              </w:rPr>
              <w:fldChar w:fldCharType="separate"/>
            </w:r>
            <w:r w:rsidRPr="004A621E">
              <w:rPr>
                <w:webHidden/>
              </w:rPr>
              <w:t>4</w:t>
            </w:r>
            <w:r w:rsidRPr="004A621E">
              <w:rPr>
                <w:webHidden/>
              </w:rPr>
              <w:fldChar w:fldCharType="end"/>
            </w:r>
          </w:hyperlink>
        </w:p>
        <w:p w14:paraId="2CD8CCE6" w14:textId="649B4A39"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4" w:history="1">
            <w:r w:rsidRPr="004A621E">
              <w:rPr>
                <w:rStyle w:val="Hyperlink"/>
              </w:rPr>
              <w:t>3.1 Managing technological change in HR</w:t>
            </w:r>
            <w:r w:rsidRPr="004A621E">
              <w:rPr>
                <w:webHidden/>
              </w:rPr>
              <w:tab/>
            </w:r>
            <w:r w:rsidRPr="004A621E">
              <w:rPr>
                <w:webHidden/>
              </w:rPr>
              <w:fldChar w:fldCharType="begin"/>
            </w:r>
            <w:r w:rsidRPr="004A621E">
              <w:rPr>
                <w:webHidden/>
              </w:rPr>
              <w:instrText xml:space="preserve"> PAGEREF _Toc221663244 \h </w:instrText>
            </w:r>
            <w:r w:rsidRPr="004A621E">
              <w:rPr>
                <w:webHidden/>
              </w:rPr>
            </w:r>
            <w:r w:rsidRPr="004A621E">
              <w:rPr>
                <w:webHidden/>
              </w:rPr>
              <w:fldChar w:fldCharType="separate"/>
            </w:r>
            <w:r w:rsidRPr="004A621E">
              <w:rPr>
                <w:webHidden/>
              </w:rPr>
              <w:t>4</w:t>
            </w:r>
            <w:r w:rsidRPr="004A621E">
              <w:rPr>
                <w:webHidden/>
              </w:rPr>
              <w:fldChar w:fldCharType="end"/>
            </w:r>
          </w:hyperlink>
        </w:p>
        <w:p w14:paraId="1439526C" w14:textId="7D981D9E"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5" w:history="1">
            <w:r w:rsidRPr="004A621E">
              <w:rPr>
                <w:rStyle w:val="Hyperlink"/>
              </w:rPr>
              <w:t>3.2 Talent practices and contested HR approaches</w:t>
            </w:r>
            <w:r w:rsidRPr="004A621E">
              <w:rPr>
                <w:webHidden/>
              </w:rPr>
              <w:tab/>
            </w:r>
            <w:r w:rsidRPr="004A621E">
              <w:rPr>
                <w:webHidden/>
              </w:rPr>
              <w:fldChar w:fldCharType="begin"/>
            </w:r>
            <w:r w:rsidRPr="004A621E">
              <w:rPr>
                <w:webHidden/>
              </w:rPr>
              <w:instrText xml:space="preserve"> PAGEREF _Toc221663245 \h </w:instrText>
            </w:r>
            <w:r w:rsidRPr="004A621E">
              <w:rPr>
                <w:webHidden/>
              </w:rPr>
            </w:r>
            <w:r w:rsidRPr="004A621E">
              <w:rPr>
                <w:webHidden/>
              </w:rPr>
              <w:fldChar w:fldCharType="separate"/>
            </w:r>
            <w:r w:rsidRPr="004A621E">
              <w:rPr>
                <w:webHidden/>
              </w:rPr>
              <w:t>4</w:t>
            </w:r>
            <w:r w:rsidRPr="004A621E">
              <w:rPr>
                <w:webHidden/>
              </w:rPr>
              <w:fldChar w:fldCharType="end"/>
            </w:r>
          </w:hyperlink>
        </w:p>
        <w:p w14:paraId="761BBBEB" w14:textId="727E8BD6"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6" w:history="1">
            <w:r w:rsidRPr="004A621E">
              <w:rPr>
                <w:rStyle w:val="Hyperlink"/>
              </w:rPr>
              <w:t>3.3 DEI practices and critical evaluation</w:t>
            </w:r>
            <w:r w:rsidRPr="004A621E">
              <w:rPr>
                <w:webHidden/>
              </w:rPr>
              <w:tab/>
            </w:r>
            <w:r w:rsidRPr="004A621E">
              <w:rPr>
                <w:webHidden/>
              </w:rPr>
              <w:fldChar w:fldCharType="begin"/>
            </w:r>
            <w:r w:rsidRPr="004A621E">
              <w:rPr>
                <w:webHidden/>
              </w:rPr>
              <w:instrText xml:space="preserve"> PAGEREF _Toc221663246 \h </w:instrText>
            </w:r>
            <w:r w:rsidRPr="004A621E">
              <w:rPr>
                <w:webHidden/>
              </w:rPr>
            </w:r>
            <w:r w:rsidRPr="004A621E">
              <w:rPr>
                <w:webHidden/>
              </w:rPr>
              <w:fldChar w:fldCharType="separate"/>
            </w:r>
            <w:r w:rsidRPr="004A621E">
              <w:rPr>
                <w:webHidden/>
              </w:rPr>
              <w:t>4</w:t>
            </w:r>
            <w:r w:rsidRPr="004A621E">
              <w:rPr>
                <w:webHidden/>
              </w:rPr>
              <w:fldChar w:fldCharType="end"/>
            </w:r>
          </w:hyperlink>
        </w:p>
        <w:p w14:paraId="2105198A" w14:textId="3DBC264E" w:rsidR="00447F20" w:rsidRPr="004A621E" w:rsidRDefault="00447F20">
          <w:pPr>
            <w:pStyle w:val="TOC1"/>
            <w:tabs>
              <w:tab w:val="right" w:leader="dot" w:pos="9016"/>
            </w:tabs>
            <w:rPr>
              <w:rFonts w:asciiTheme="minorHAnsi" w:eastAsiaTheme="minorEastAsia" w:hAnsiTheme="minorHAnsi"/>
              <w:color w:val="auto"/>
              <w:sz w:val="24"/>
              <w:szCs w:val="24"/>
            </w:rPr>
          </w:pPr>
          <w:hyperlink w:anchor="_Toc221663247" w:history="1">
            <w:r w:rsidRPr="004A621E">
              <w:rPr>
                <w:rStyle w:val="Hyperlink"/>
              </w:rPr>
              <w:t>4. Managerial implementation and urgency</w:t>
            </w:r>
            <w:r w:rsidRPr="004A621E">
              <w:rPr>
                <w:webHidden/>
              </w:rPr>
              <w:tab/>
            </w:r>
            <w:r w:rsidRPr="004A621E">
              <w:rPr>
                <w:webHidden/>
              </w:rPr>
              <w:fldChar w:fldCharType="begin"/>
            </w:r>
            <w:r w:rsidRPr="004A621E">
              <w:rPr>
                <w:webHidden/>
              </w:rPr>
              <w:instrText xml:space="preserve"> PAGEREF _Toc221663247 \h </w:instrText>
            </w:r>
            <w:r w:rsidRPr="004A621E">
              <w:rPr>
                <w:webHidden/>
              </w:rPr>
            </w:r>
            <w:r w:rsidRPr="004A621E">
              <w:rPr>
                <w:webHidden/>
              </w:rPr>
              <w:fldChar w:fldCharType="separate"/>
            </w:r>
            <w:r w:rsidRPr="004A621E">
              <w:rPr>
                <w:webHidden/>
              </w:rPr>
              <w:t>6</w:t>
            </w:r>
            <w:r w:rsidRPr="004A621E">
              <w:rPr>
                <w:webHidden/>
              </w:rPr>
              <w:fldChar w:fldCharType="end"/>
            </w:r>
          </w:hyperlink>
        </w:p>
        <w:p w14:paraId="5BB17DA7" w14:textId="5B390553"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8" w:history="1">
            <w:r w:rsidRPr="004A621E">
              <w:rPr>
                <w:rStyle w:val="Hyperlink"/>
              </w:rPr>
              <w:t>4.1 Line managers, perceptions, and gaps</w:t>
            </w:r>
            <w:r w:rsidRPr="004A621E">
              <w:rPr>
                <w:webHidden/>
              </w:rPr>
              <w:tab/>
            </w:r>
            <w:r w:rsidRPr="004A621E">
              <w:rPr>
                <w:webHidden/>
              </w:rPr>
              <w:fldChar w:fldCharType="begin"/>
            </w:r>
            <w:r w:rsidRPr="004A621E">
              <w:rPr>
                <w:webHidden/>
              </w:rPr>
              <w:instrText xml:space="preserve"> PAGEREF _Toc221663248 \h </w:instrText>
            </w:r>
            <w:r w:rsidRPr="004A621E">
              <w:rPr>
                <w:webHidden/>
              </w:rPr>
            </w:r>
            <w:r w:rsidRPr="004A621E">
              <w:rPr>
                <w:webHidden/>
              </w:rPr>
              <w:fldChar w:fldCharType="separate"/>
            </w:r>
            <w:r w:rsidRPr="004A621E">
              <w:rPr>
                <w:webHidden/>
              </w:rPr>
              <w:t>6</w:t>
            </w:r>
            <w:r w:rsidRPr="004A621E">
              <w:rPr>
                <w:webHidden/>
              </w:rPr>
              <w:fldChar w:fldCharType="end"/>
            </w:r>
          </w:hyperlink>
        </w:p>
        <w:p w14:paraId="432E4430" w14:textId="272A19E5"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49" w:history="1">
            <w:r w:rsidRPr="004A621E">
              <w:rPr>
                <w:rStyle w:val="Hyperlink"/>
              </w:rPr>
              <w:t>4.2 Implementation and change frameworks</w:t>
            </w:r>
            <w:r w:rsidRPr="004A621E">
              <w:rPr>
                <w:webHidden/>
              </w:rPr>
              <w:tab/>
            </w:r>
            <w:r w:rsidRPr="004A621E">
              <w:rPr>
                <w:webHidden/>
              </w:rPr>
              <w:fldChar w:fldCharType="begin"/>
            </w:r>
            <w:r w:rsidRPr="004A621E">
              <w:rPr>
                <w:webHidden/>
              </w:rPr>
              <w:instrText xml:space="preserve"> PAGEREF _Toc221663249 \h </w:instrText>
            </w:r>
            <w:r w:rsidRPr="004A621E">
              <w:rPr>
                <w:webHidden/>
              </w:rPr>
            </w:r>
            <w:r w:rsidRPr="004A621E">
              <w:rPr>
                <w:webHidden/>
              </w:rPr>
              <w:fldChar w:fldCharType="separate"/>
            </w:r>
            <w:r w:rsidRPr="004A621E">
              <w:rPr>
                <w:webHidden/>
              </w:rPr>
              <w:t>6</w:t>
            </w:r>
            <w:r w:rsidRPr="004A621E">
              <w:rPr>
                <w:webHidden/>
              </w:rPr>
              <w:fldChar w:fldCharType="end"/>
            </w:r>
          </w:hyperlink>
        </w:p>
        <w:p w14:paraId="60FABB14" w14:textId="76ADC93B" w:rsidR="00447F20" w:rsidRPr="004A621E" w:rsidRDefault="00447F20">
          <w:pPr>
            <w:pStyle w:val="TOC2"/>
            <w:tabs>
              <w:tab w:val="right" w:leader="dot" w:pos="9016"/>
            </w:tabs>
            <w:rPr>
              <w:rFonts w:asciiTheme="minorHAnsi" w:eastAsiaTheme="minorEastAsia" w:hAnsiTheme="minorHAnsi"/>
              <w:color w:val="auto"/>
              <w:sz w:val="24"/>
              <w:szCs w:val="24"/>
            </w:rPr>
          </w:pPr>
          <w:hyperlink w:anchor="_Toc221663250" w:history="1">
            <w:r w:rsidRPr="004A621E">
              <w:rPr>
                <w:rStyle w:val="Hyperlink"/>
              </w:rPr>
              <w:t>4.3 Evidence-based criticism of Tesco and a pilot proposal</w:t>
            </w:r>
            <w:r w:rsidRPr="004A621E">
              <w:rPr>
                <w:webHidden/>
              </w:rPr>
              <w:tab/>
            </w:r>
            <w:r w:rsidRPr="004A621E">
              <w:rPr>
                <w:webHidden/>
              </w:rPr>
              <w:fldChar w:fldCharType="begin"/>
            </w:r>
            <w:r w:rsidRPr="004A621E">
              <w:rPr>
                <w:webHidden/>
              </w:rPr>
              <w:instrText xml:space="preserve"> PAGEREF _Toc221663250 \h </w:instrText>
            </w:r>
            <w:r w:rsidRPr="004A621E">
              <w:rPr>
                <w:webHidden/>
              </w:rPr>
            </w:r>
            <w:r w:rsidRPr="004A621E">
              <w:rPr>
                <w:webHidden/>
              </w:rPr>
              <w:fldChar w:fldCharType="separate"/>
            </w:r>
            <w:r w:rsidRPr="004A621E">
              <w:rPr>
                <w:webHidden/>
              </w:rPr>
              <w:t>7</w:t>
            </w:r>
            <w:r w:rsidRPr="004A621E">
              <w:rPr>
                <w:webHidden/>
              </w:rPr>
              <w:fldChar w:fldCharType="end"/>
            </w:r>
          </w:hyperlink>
        </w:p>
        <w:p w14:paraId="0DE7DFB6" w14:textId="761664E9" w:rsidR="00447F20" w:rsidRPr="004A621E" w:rsidRDefault="00447F20">
          <w:pPr>
            <w:pStyle w:val="TOC1"/>
            <w:tabs>
              <w:tab w:val="right" w:leader="dot" w:pos="9016"/>
            </w:tabs>
            <w:rPr>
              <w:rFonts w:asciiTheme="minorHAnsi" w:eastAsiaTheme="minorEastAsia" w:hAnsiTheme="minorHAnsi"/>
              <w:color w:val="auto"/>
              <w:sz w:val="24"/>
              <w:szCs w:val="24"/>
            </w:rPr>
          </w:pPr>
          <w:hyperlink w:anchor="_Toc221663251" w:history="1">
            <w:r w:rsidRPr="004A621E">
              <w:rPr>
                <w:rStyle w:val="Hyperlink"/>
              </w:rPr>
              <w:t>5. Conclusion</w:t>
            </w:r>
            <w:r w:rsidRPr="004A621E">
              <w:rPr>
                <w:webHidden/>
              </w:rPr>
              <w:tab/>
            </w:r>
            <w:r w:rsidRPr="004A621E">
              <w:rPr>
                <w:webHidden/>
              </w:rPr>
              <w:fldChar w:fldCharType="begin"/>
            </w:r>
            <w:r w:rsidRPr="004A621E">
              <w:rPr>
                <w:webHidden/>
              </w:rPr>
              <w:instrText xml:space="preserve"> PAGEREF _Toc221663251 \h </w:instrText>
            </w:r>
            <w:r w:rsidRPr="004A621E">
              <w:rPr>
                <w:webHidden/>
              </w:rPr>
            </w:r>
            <w:r w:rsidRPr="004A621E">
              <w:rPr>
                <w:webHidden/>
              </w:rPr>
              <w:fldChar w:fldCharType="separate"/>
            </w:r>
            <w:r w:rsidRPr="004A621E">
              <w:rPr>
                <w:webHidden/>
              </w:rPr>
              <w:t>8</w:t>
            </w:r>
            <w:r w:rsidRPr="004A621E">
              <w:rPr>
                <w:webHidden/>
              </w:rPr>
              <w:fldChar w:fldCharType="end"/>
            </w:r>
          </w:hyperlink>
        </w:p>
        <w:p w14:paraId="137DFCBF" w14:textId="542A3208" w:rsidR="00447F20" w:rsidRPr="004A621E" w:rsidRDefault="00447F20">
          <w:pPr>
            <w:pStyle w:val="TOC1"/>
            <w:tabs>
              <w:tab w:val="right" w:leader="dot" w:pos="9016"/>
            </w:tabs>
            <w:rPr>
              <w:rFonts w:asciiTheme="minorHAnsi" w:eastAsiaTheme="minorEastAsia" w:hAnsiTheme="minorHAnsi"/>
              <w:color w:val="auto"/>
              <w:sz w:val="24"/>
              <w:szCs w:val="24"/>
            </w:rPr>
          </w:pPr>
          <w:hyperlink w:anchor="_Toc221663252" w:history="1">
            <w:r w:rsidRPr="004A621E">
              <w:rPr>
                <w:rStyle w:val="Hyperlink"/>
              </w:rPr>
              <w:t>6. Recommendations</w:t>
            </w:r>
            <w:r w:rsidRPr="004A621E">
              <w:rPr>
                <w:webHidden/>
              </w:rPr>
              <w:tab/>
            </w:r>
            <w:r w:rsidRPr="004A621E">
              <w:rPr>
                <w:webHidden/>
              </w:rPr>
              <w:fldChar w:fldCharType="begin"/>
            </w:r>
            <w:r w:rsidRPr="004A621E">
              <w:rPr>
                <w:webHidden/>
              </w:rPr>
              <w:instrText xml:space="preserve"> PAGEREF _Toc221663252 \h </w:instrText>
            </w:r>
            <w:r w:rsidRPr="004A621E">
              <w:rPr>
                <w:webHidden/>
              </w:rPr>
            </w:r>
            <w:r w:rsidRPr="004A621E">
              <w:rPr>
                <w:webHidden/>
              </w:rPr>
              <w:fldChar w:fldCharType="separate"/>
            </w:r>
            <w:r w:rsidRPr="004A621E">
              <w:rPr>
                <w:webHidden/>
              </w:rPr>
              <w:t>9</w:t>
            </w:r>
            <w:r w:rsidRPr="004A621E">
              <w:rPr>
                <w:webHidden/>
              </w:rPr>
              <w:fldChar w:fldCharType="end"/>
            </w:r>
          </w:hyperlink>
        </w:p>
        <w:p w14:paraId="6355E4A1" w14:textId="71CE529E" w:rsidR="00447F20" w:rsidRPr="004A621E" w:rsidRDefault="00447F20">
          <w:pPr>
            <w:pStyle w:val="TOC1"/>
            <w:tabs>
              <w:tab w:val="right" w:leader="dot" w:pos="9016"/>
            </w:tabs>
            <w:rPr>
              <w:rFonts w:asciiTheme="minorHAnsi" w:eastAsiaTheme="minorEastAsia" w:hAnsiTheme="minorHAnsi"/>
              <w:color w:val="auto"/>
              <w:sz w:val="24"/>
              <w:szCs w:val="24"/>
            </w:rPr>
          </w:pPr>
          <w:hyperlink w:anchor="_Toc221663253" w:history="1">
            <w:r w:rsidRPr="004A621E">
              <w:rPr>
                <w:rStyle w:val="Hyperlink"/>
              </w:rPr>
              <w:t>7. Reference list</w:t>
            </w:r>
            <w:r w:rsidRPr="004A621E">
              <w:rPr>
                <w:webHidden/>
              </w:rPr>
              <w:tab/>
            </w:r>
            <w:r w:rsidRPr="004A621E">
              <w:rPr>
                <w:webHidden/>
              </w:rPr>
              <w:fldChar w:fldCharType="begin"/>
            </w:r>
            <w:r w:rsidRPr="004A621E">
              <w:rPr>
                <w:webHidden/>
              </w:rPr>
              <w:instrText xml:space="preserve"> PAGEREF _Toc221663253 \h </w:instrText>
            </w:r>
            <w:r w:rsidRPr="004A621E">
              <w:rPr>
                <w:webHidden/>
              </w:rPr>
            </w:r>
            <w:r w:rsidRPr="004A621E">
              <w:rPr>
                <w:webHidden/>
              </w:rPr>
              <w:fldChar w:fldCharType="separate"/>
            </w:r>
            <w:r w:rsidRPr="004A621E">
              <w:rPr>
                <w:webHidden/>
              </w:rPr>
              <w:t>10</w:t>
            </w:r>
            <w:r w:rsidRPr="004A621E">
              <w:rPr>
                <w:webHidden/>
              </w:rPr>
              <w:fldChar w:fldCharType="end"/>
            </w:r>
          </w:hyperlink>
        </w:p>
        <w:p w14:paraId="6D9DDE84" w14:textId="7130EBFF" w:rsidR="00971609" w:rsidRPr="004A621E" w:rsidRDefault="00971609">
          <w:r w:rsidRPr="004A621E">
            <w:rPr>
              <w:b/>
              <w:bCs/>
            </w:rPr>
            <w:fldChar w:fldCharType="end"/>
          </w:r>
        </w:p>
      </w:sdtContent>
    </w:sdt>
    <w:p w14:paraId="5D1ECF91" w14:textId="34D45699" w:rsidR="00E71F58" w:rsidRPr="004A621E" w:rsidRDefault="00E71F58">
      <w:pPr>
        <w:rPr>
          <w:rFonts w:cs="Times New Roman"/>
          <w:szCs w:val="24"/>
        </w:rPr>
      </w:pPr>
      <w:r w:rsidRPr="004A621E">
        <w:rPr>
          <w:rFonts w:cs="Times New Roman"/>
          <w:szCs w:val="24"/>
        </w:rPr>
        <w:br w:type="page"/>
      </w:r>
    </w:p>
    <w:p w14:paraId="0F6157F1" w14:textId="77777777" w:rsidR="00E71F58" w:rsidRPr="004A621E" w:rsidRDefault="00E71F58" w:rsidP="00E71F58">
      <w:pPr>
        <w:pStyle w:val="Heading1"/>
        <w:sectPr w:rsidR="00E71F58" w:rsidRPr="004A621E" w:rsidSect="00971609">
          <w:footerReference w:type="default" r:id="rId7"/>
          <w:pgSz w:w="11906" w:h="16838" w:code="9"/>
          <w:pgMar w:top="1440" w:right="1440" w:bottom="1440" w:left="1440" w:header="708" w:footer="708" w:gutter="0"/>
          <w:pgNumType w:fmt="lowerRoman"/>
          <w:cols w:space="708"/>
          <w:docGrid w:linePitch="360"/>
        </w:sectPr>
      </w:pPr>
    </w:p>
    <w:p w14:paraId="4ACFF262" w14:textId="65D48905" w:rsidR="00524AB2" w:rsidRPr="004A621E" w:rsidRDefault="00524AB2" w:rsidP="00717551">
      <w:pPr>
        <w:pStyle w:val="Heading1"/>
        <w:jc w:val="center"/>
        <w:rPr>
          <w:rFonts w:ascii="Arial" w:hAnsi="Arial" w:cs="Arial"/>
        </w:rPr>
      </w:pPr>
      <w:bookmarkStart w:id="0" w:name="_Toc221663238"/>
      <w:r w:rsidRPr="004A621E">
        <w:rPr>
          <w:rFonts w:ascii="Arial" w:hAnsi="Arial" w:cs="Arial"/>
        </w:rPr>
        <w:lastRenderedPageBreak/>
        <w:t>1.Introduction</w:t>
      </w:r>
      <w:bookmarkEnd w:id="0"/>
    </w:p>
    <w:p w14:paraId="26926787" w14:textId="621B60C6" w:rsidR="00524AB2" w:rsidRPr="004A621E" w:rsidRDefault="00524AB2" w:rsidP="004A621E">
      <w:pPr>
        <w:rPr>
          <w:rFonts w:cs="Times New Roman"/>
          <w:szCs w:val="24"/>
        </w:rPr>
      </w:pPr>
      <w:r w:rsidRPr="004A621E">
        <w:rPr>
          <w:rFonts w:cs="Times New Roman"/>
          <w:szCs w:val="24"/>
        </w:rPr>
        <w:t>Tesco PLC is the United Kingdom's biggest retailer of foodstuffs, that has an extensive network of stores and a vast, diverse workforce</w:t>
      </w:r>
      <w:r w:rsidR="00A07014" w:rsidRPr="004A621E">
        <w:t xml:space="preserve"> </w:t>
      </w:r>
      <w:r w:rsidR="00A07014" w:rsidRPr="004A621E">
        <w:rPr>
          <w:rFonts w:cs="Times New Roman"/>
          <w:szCs w:val="24"/>
        </w:rPr>
        <w:t>(Tesco PLC, 2025)</w:t>
      </w:r>
      <w:r w:rsidRPr="004A621E">
        <w:rPr>
          <w:rFonts w:cs="Times New Roman"/>
          <w:szCs w:val="24"/>
        </w:rPr>
        <w:t>. Its capacity to provide consistent service will depend on the manner in which it handles people within the landscape of the fast technological environment, labour market stress, and increasing demands regarding fairness. The three related human resource issues at Tesco are the focal point of this report. They are technological development, recruitment and retention, and diversity, equity, and inclusion. It explores opposing points of view in the literature, analy</w:t>
      </w:r>
      <w:r w:rsidR="00613AE5" w:rsidRPr="004A621E">
        <w:rPr>
          <w:rFonts w:cs="Times New Roman"/>
          <w:szCs w:val="24"/>
        </w:rPr>
        <w:t>s</w:t>
      </w:r>
      <w:r w:rsidRPr="004A621E">
        <w:rPr>
          <w:rFonts w:cs="Times New Roman"/>
          <w:szCs w:val="24"/>
        </w:rPr>
        <w:t>es the existing strategies at Tesco, and thinks about how the departmental managers could apply better practices in a more urgent and realistic way.</w:t>
      </w:r>
    </w:p>
    <w:p w14:paraId="67EF995A" w14:textId="48F1592A" w:rsidR="00AA4D25" w:rsidRPr="004A621E" w:rsidRDefault="00AA4D25" w:rsidP="00524AB2">
      <w:pPr>
        <w:rPr>
          <w:rFonts w:cs="Times New Roman"/>
          <w:szCs w:val="24"/>
        </w:rPr>
      </w:pPr>
      <w:r w:rsidRPr="004A621E">
        <w:rPr>
          <w:noProof/>
        </w:rPr>
        <w:drawing>
          <wp:anchor distT="0" distB="0" distL="114300" distR="114300" simplePos="0" relativeHeight="251658240" behindDoc="0" locked="0" layoutInCell="1" allowOverlap="1" wp14:anchorId="137F0C93" wp14:editId="1C4C03B5">
            <wp:simplePos x="0" y="0"/>
            <wp:positionH relativeFrom="margin">
              <wp:align>left</wp:align>
            </wp:positionH>
            <wp:positionV relativeFrom="page">
              <wp:posOffset>4000500</wp:posOffset>
            </wp:positionV>
            <wp:extent cx="5731510" cy="3825875"/>
            <wp:effectExtent l="0" t="0" r="2540" b="3175"/>
            <wp:wrapTopAndBottom/>
            <wp:docPr id="836557245" name="Picture 1" descr="Tesco PLC - EVE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PLC - EVE Li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anchor>
        </w:drawing>
      </w:r>
    </w:p>
    <w:p w14:paraId="599A7C49" w14:textId="6DF68974" w:rsidR="00524AB2" w:rsidRPr="004A621E" w:rsidRDefault="00AA4D25" w:rsidP="00524AB2">
      <w:pPr>
        <w:rPr>
          <w:rFonts w:cs="Times New Roman"/>
          <w:szCs w:val="24"/>
        </w:rPr>
      </w:pPr>
      <w:r w:rsidRPr="004A621E">
        <w:rPr>
          <w:noProof/>
        </w:rPr>
        <mc:AlternateContent>
          <mc:Choice Requires="wps">
            <w:drawing>
              <wp:anchor distT="0" distB="0" distL="114300" distR="114300" simplePos="0" relativeHeight="251660288" behindDoc="0" locked="0" layoutInCell="1" allowOverlap="1" wp14:anchorId="035E1351" wp14:editId="2604283E">
                <wp:simplePos x="0" y="0"/>
                <wp:positionH relativeFrom="margin">
                  <wp:align>right</wp:align>
                </wp:positionH>
                <wp:positionV relativeFrom="paragraph">
                  <wp:posOffset>3916680</wp:posOffset>
                </wp:positionV>
                <wp:extent cx="5731510" cy="635"/>
                <wp:effectExtent l="0" t="0" r="2540" b="0"/>
                <wp:wrapTopAndBottom/>
                <wp:docPr id="1914880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EFEF78A" w14:textId="00CBD647" w:rsidR="00AA4D25" w:rsidRPr="00745B3D" w:rsidRDefault="00AA4D25" w:rsidP="00AA4D25">
                            <w:pPr>
                              <w:pStyle w:val="Caption"/>
                              <w:jc w:val="center"/>
                              <w:rPr>
                                <w:b/>
                                <w:bCs/>
                                <w:i w:val="0"/>
                                <w:iCs w:val="0"/>
                                <w:color w:val="000000" w:themeColor="text1"/>
                                <w:sz w:val="28"/>
                                <w:szCs w:val="28"/>
                                <w:lang w:val="it-IT"/>
                              </w:rPr>
                            </w:pPr>
                            <w:r w:rsidRPr="00745B3D">
                              <w:rPr>
                                <w:b/>
                                <w:bCs/>
                                <w:i w:val="0"/>
                                <w:iCs w:val="0"/>
                                <w:sz w:val="22"/>
                                <w:szCs w:val="22"/>
                                <w:lang w:val="it-IT"/>
                              </w:rPr>
                              <w:t xml:space="preserve">Figure </w:t>
                            </w:r>
                            <w:r w:rsidRPr="004A621E">
                              <w:rPr>
                                <w:b/>
                                <w:bCs/>
                                <w:i w:val="0"/>
                                <w:iCs w:val="0"/>
                                <w:sz w:val="22"/>
                                <w:szCs w:val="22"/>
                              </w:rPr>
                              <w:fldChar w:fldCharType="begin"/>
                            </w:r>
                            <w:r w:rsidRPr="00745B3D">
                              <w:rPr>
                                <w:b/>
                                <w:bCs/>
                                <w:i w:val="0"/>
                                <w:iCs w:val="0"/>
                                <w:sz w:val="22"/>
                                <w:szCs w:val="22"/>
                                <w:lang w:val="it-IT"/>
                              </w:rPr>
                              <w:instrText xml:space="preserve"> SEQ Figure \* ARABIC </w:instrText>
                            </w:r>
                            <w:r w:rsidRPr="004A621E">
                              <w:rPr>
                                <w:b/>
                                <w:bCs/>
                                <w:i w:val="0"/>
                                <w:iCs w:val="0"/>
                                <w:sz w:val="22"/>
                                <w:szCs w:val="22"/>
                              </w:rPr>
                              <w:fldChar w:fldCharType="separate"/>
                            </w:r>
                            <w:r w:rsidR="00F64BEE" w:rsidRPr="00745B3D">
                              <w:rPr>
                                <w:b/>
                                <w:bCs/>
                                <w:i w:val="0"/>
                                <w:iCs w:val="0"/>
                                <w:sz w:val="22"/>
                                <w:szCs w:val="22"/>
                                <w:lang w:val="it-IT"/>
                              </w:rPr>
                              <w:t>1</w:t>
                            </w:r>
                            <w:r w:rsidRPr="004A621E">
                              <w:rPr>
                                <w:b/>
                                <w:bCs/>
                                <w:i w:val="0"/>
                                <w:iCs w:val="0"/>
                                <w:sz w:val="22"/>
                                <w:szCs w:val="22"/>
                              </w:rPr>
                              <w:fldChar w:fldCharType="end"/>
                            </w:r>
                            <w:r w:rsidRPr="00745B3D">
                              <w:rPr>
                                <w:b/>
                                <w:bCs/>
                                <w:i w:val="0"/>
                                <w:iCs w:val="0"/>
                                <w:sz w:val="22"/>
                                <w:szCs w:val="22"/>
                                <w:lang w:val="it-IT"/>
                              </w:rPr>
                              <w:t>:Tesco PLC (EVE LIST,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5E1351" id="_x0000_t202" coordsize="21600,21600" o:spt="202" path="m,l,21600r21600,l21600,xe">
                <v:stroke joinstyle="miter"/>
                <v:path gradientshapeok="t" o:connecttype="rect"/>
              </v:shapetype>
              <v:shape id="Text Box 1" o:spid="_x0000_s1026" type="#_x0000_t202" style="position:absolute;left:0;text-align:left;margin-left:400.1pt;margin-top:308.4pt;width:451.3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" stroked="f">
                <v:textbox style="mso-fit-shape-to-text:t" inset="0,0,0,0">
                  <w:txbxContent>
                    <w:p w14:paraId="4EFEF78A" w14:textId="00CBD647" w:rsidR="00AA4D25" w:rsidRPr="00745B3D" w:rsidRDefault="00AA4D25" w:rsidP="00AA4D25">
                      <w:pPr>
                        <w:pStyle w:val="Caption"/>
                        <w:jc w:val="center"/>
                        <w:rPr>
                          <w:b/>
                          <w:bCs/>
                          <w:i w:val="0"/>
                          <w:iCs w:val="0"/>
                          <w:color w:val="000000" w:themeColor="text1"/>
                          <w:sz w:val="28"/>
                          <w:szCs w:val="28"/>
                          <w:lang w:val="it-IT"/>
                        </w:rPr>
                      </w:pPr>
                      <w:r w:rsidRPr="00745B3D">
                        <w:rPr>
                          <w:b/>
                          <w:bCs/>
                          <w:i w:val="0"/>
                          <w:iCs w:val="0"/>
                          <w:sz w:val="22"/>
                          <w:szCs w:val="22"/>
                          <w:lang w:val="it-IT"/>
                        </w:rPr>
                        <w:t xml:space="preserve">Figure </w:t>
                      </w:r>
                      <w:r w:rsidRPr="004A621E">
                        <w:rPr>
                          <w:b/>
                          <w:bCs/>
                          <w:i w:val="0"/>
                          <w:iCs w:val="0"/>
                          <w:sz w:val="22"/>
                          <w:szCs w:val="22"/>
                        </w:rPr>
                        <w:fldChar w:fldCharType="begin"/>
                      </w:r>
                      <w:r w:rsidRPr="00745B3D">
                        <w:rPr>
                          <w:b/>
                          <w:bCs/>
                          <w:i w:val="0"/>
                          <w:iCs w:val="0"/>
                          <w:sz w:val="22"/>
                          <w:szCs w:val="22"/>
                          <w:lang w:val="it-IT"/>
                        </w:rPr>
                        <w:instrText xml:space="preserve"> SEQ Figure \* ARABIC </w:instrText>
                      </w:r>
                      <w:r w:rsidRPr="004A621E">
                        <w:rPr>
                          <w:b/>
                          <w:bCs/>
                          <w:i w:val="0"/>
                          <w:iCs w:val="0"/>
                          <w:sz w:val="22"/>
                          <w:szCs w:val="22"/>
                        </w:rPr>
                        <w:fldChar w:fldCharType="separate"/>
                      </w:r>
                      <w:r w:rsidR="00F64BEE" w:rsidRPr="00745B3D">
                        <w:rPr>
                          <w:b/>
                          <w:bCs/>
                          <w:i w:val="0"/>
                          <w:iCs w:val="0"/>
                          <w:sz w:val="22"/>
                          <w:szCs w:val="22"/>
                          <w:lang w:val="it-IT"/>
                        </w:rPr>
                        <w:t>1</w:t>
                      </w:r>
                      <w:r w:rsidRPr="004A621E">
                        <w:rPr>
                          <w:b/>
                          <w:bCs/>
                          <w:i w:val="0"/>
                          <w:iCs w:val="0"/>
                          <w:sz w:val="22"/>
                          <w:szCs w:val="22"/>
                        </w:rPr>
                        <w:fldChar w:fldCharType="end"/>
                      </w:r>
                      <w:r w:rsidRPr="00745B3D">
                        <w:rPr>
                          <w:b/>
                          <w:bCs/>
                          <w:i w:val="0"/>
                          <w:iCs w:val="0"/>
                          <w:sz w:val="22"/>
                          <w:szCs w:val="22"/>
                          <w:lang w:val="it-IT"/>
                        </w:rPr>
                        <w:t>:Tesco PLC (EVE LIST, 2020)</w:t>
                      </w:r>
                    </w:p>
                  </w:txbxContent>
                </v:textbox>
                <w10:wrap type="topAndBottom" anchorx="margin"/>
              </v:shape>
            </w:pict>
          </mc:Fallback>
        </mc:AlternateContent>
      </w:r>
    </w:p>
    <w:p w14:paraId="4FEEEC2A" w14:textId="77777777" w:rsidR="00AB660A" w:rsidRPr="004A621E" w:rsidRDefault="00AB660A">
      <w:pPr>
        <w:spacing w:line="259" w:lineRule="auto"/>
        <w:jc w:val="left"/>
        <w:rPr>
          <w:b/>
          <w:bCs/>
        </w:rPr>
      </w:pPr>
      <w:r w:rsidRPr="004A621E">
        <w:rPr>
          <w:b/>
          <w:bCs/>
        </w:rPr>
        <w:br w:type="page"/>
      </w:r>
    </w:p>
    <w:p w14:paraId="30EDEB41" w14:textId="6795A5E0" w:rsidR="00AB660A" w:rsidRPr="004A621E" w:rsidRDefault="00AB660A" w:rsidP="004A621E">
      <w:pPr>
        <w:pStyle w:val="Heading1"/>
        <w:jc w:val="center"/>
        <w:rPr>
          <w:rFonts w:ascii="Arial" w:hAnsi="Arial" w:cs="Arial"/>
        </w:rPr>
      </w:pPr>
      <w:bookmarkStart w:id="1" w:name="_Toc221663239"/>
      <w:r w:rsidRPr="004A621E">
        <w:rPr>
          <w:rFonts w:ascii="Arial" w:hAnsi="Arial" w:cs="Arial"/>
        </w:rPr>
        <w:lastRenderedPageBreak/>
        <w:t>2. Key HR challenges at Tesco</w:t>
      </w:r>
      <w:bookmarkEnd w:id="1"/>
    </w:p>
    <w:p w14:paraId="3266E179" w14:textId="77777777" w:rsidR="00AB660A" w:rsidRPr="004A621E" w:rsidRDefault="00AB660A" w:rsidP="00AB660A">
      <w:pPr>
        <w:pStyle w:val="Heading2"/>
        <w:rPr>
          <w:rFonts w:ascii="Arial" w:hAnsi="Arial" w:cs="Arial"/>
        </w:rPr>
      </w:pPr>
      <w:bookmarkStart w:id="2" w:name="_Toc221663240"/>
      <w:r w:rsidRPr="004A621E">
        <w:rPr>
          <w:rFonts w:ascii="Arial" w:hAnsi="Arial" w:cs="Arial"/>
        </w:rPr>
        <w:t>2.1 Technological advancement and conflicting perspectives</w:t>
      </w:r>
      <w:bookmarkEnd w:id="2"/>
    </w:p>
    <w:p w14:paraId="2B114148" w14:textId="47BAEF91" w:rsidR="00524AB2" w:rsidRPr="004A621E" w:rsidRDefault="00524AB2" w:rsidP="00524AB2">
      <w:pPr>
        <w:rPr>
          <w:rFonts w:cs="Times New Roman"/>
          <w:szCs w:val="24"/>
        </w:rPr>
      </w:pPr>
      <w:r w:rsidRPr="004A621E">
        <w:rPr>
          <w:rFonts w:cs="Times New Roman"/>
          <w:szCs w:val="24"/>
        </w:rPr>
        <w:t>Technology has transformed the HR functional operations, including data-based recruitment to e</w:t>
      </w:r>
      <w:r w:rsidR="00A07014" w:rsidRPr="004A621E">
        <w:rPr>
          <w:rFonts w:cs="Times New Roman"/>
          <w:szCs w:val="24"/>
        </w:rPr>
        <w:t>-</w:t>
      </w:r>
      <w:r w:rsidRPr="004A621E">
        <w:rPr>
          <w:rFonts w:cs="Times New Roman"/>
          <w:szCs w:val="24"/>
        </w:rPr>
        <w:t>learning and internet-based performance management</w:t>
      </w:r>
      <w:r w:rsidR="00A07014" w:rsidRPr="004A621E">
        <w:t xml:space="preserve"> </w:t>
      </w:r>
      <w:r w:rsidR="00A07014" w:rsidRPr="004A621E">
        <w:rPr>
          <w:rFonts w:cs="Times New Roman"/>
          <w:szCs w:val="24"/>
        </w:rPr>
        <w:t xml:space="preserve">(Charlwood and </w:t>
      </w:r>
      <w:proofErr w:type="spellStart"/>
      <w:r w:rsidR="00A07014" w:rsidRPr="004A621E">
        <w:rPr>
          <w:rFonts w:cs="Times New Roman"/>
          <w:szCs w:val="24"/>
        </w:rPr>
        <w:t>Guenole</w:t>
      </w:r>
      <w:proofErr w:type="spellEnd"/>
      <w:r w:rsidR="00A07014" w:rsidRPr="004A621E">
        <w:rPr>
          <w:rFonts w:cs="Times New Roman"/>
          <w:szCs w:val="24"/>
        </w:rPr>
        <w:t>, 2022)</w:t>
      </w:r>
      <w:r w:rsidRPr="004A621E">
        <w:rPr>
          <w:rFonts w:cs="Times New Roman"/>
          <w:szCs w:val="24"/>
        </w:rPr>
        <w:t>. Tesco has introduced self-service, Scan and Go checkouts, online grocery stores, and centralised scheduling, which have necessitated staff to learn new systems of working. The literature on the digital transformation emphasizes increased efficiency, but also notes that such change may create job insecurity and skill gaps, especially in the lower-paid positions</w:t>
      </w:r>
      <w:r w:rsidR="00F371A1" w:rsidRPr="004A621E">
        <w:t xml:space="preserve"> </w:t>
      </w:r>
      <w:r w:rsidR="00F371A1" w:rsidRPr="004A621E">
        <w:rPr>
          <w:rFonts w:cs="Times New Roman"/>
          <w:szCs w:val="24"/>
        </w:rPr>
        <w:t>(Bhasin , 2019)</w:t>
      </w:r>
      <w:r w:rsidRPr="004A621E">
        <w:rPr>
          <w:rFonts w:cs="Times New Roman"/>
          <w:szCs w:val="24"/>
        </w:rPr>
        <w:t>. Other writers suggest that high-tech technologies are more friendly to the strategic HR development, as they allow specific training and analytics. Others are cautious that technology can primarily be used to reduce costs, where there is little investment in actual upskilling and employee voice. This stress is observable at Tesco, where automation can minimize repetitive duties, yet will also reduce roles or enhance surveillance. HR has to manage both technical and emotional effects of change thus hard to manage in a big retail operation.</w:t>
      </w:r>
    </w:p>
    <w:p w14:paraId="5002427E" w14:textId="6AAA2097" w:rsidR="00524AB2" w:rsidRPr="004A621E" w:rsidRDefault="00524AB2" w:rsidP="00AB660A">
      <w:pPr>
        <w:pStyle w:val="Heading2"/>
        <w:rPr>
          <w:rFonts w:ascii="Arial" w:hAnsi="Arial" w:cs="Arial"/>
        </w:rPr>
      </w:pPr>
      <w:bookmarkStart w:id="3" w:name="_Toc221663241"/>
      <w:r w:rsidRPr="004A621E">
        <w:rPr>
          <w:rFonts w:ascii="Arial" w:hAnsi="Arial" w:cs="Arial"/>
        </w:rPr>
        <w:t>2.2 Talent acquisition, retention, and employee value proposition</w:t>
      </w:r>
      <w:bookmarkEnd w:id="3"/>
    </w:p>
    <w:p w14:paraId="01BDC5BA" w14:textId="4C0120EC" w:rsidR="00524AB2" w:rsidRPr="004A621E" w:rsidRDefault="00524AB2" w:rsidP="00524AB2">
      <w:pPr>
        <w:rPr>
          <w:rFonts w:cs="Times New Roman"/>
          <w:szCs w:val="24"/>
        </w:rPr>
      </w:pPr>
      <w:r w:rsidRPr="004A621E">
        <w:rPr>
          <w:rFonts w:cs="Times New Roman"/>
          <w:szCs w:val="24"/>
        </w:rPr>
        <w:t>Retaining and attracting workers in retail is challenging because of antisocial hours, physically strenuous work, and comparatively low wages</w:t>
      </w:r>
      <w:r w:rsidR="00A07014" w:rsidRPr="004A621E">
        <w:t xml:space="preserve"> </w:t>
      </w:r>
      <w:r w:rsidR="00A07014" w:rsidRPr="004A621E">
        <w:rPr>
          <w:rFonts w:cs="Times New Roman"/>
          <w:szCs w:val="24"/>
        </w:rPr>
        <w:t>(Hassan, 2022)</w:t>
      </w:r>
      <w:r w:rsidRPr="004A621E">
        <w:rPr>
          <w:rFonts w:cs="Times New Roman"/>
          <w:szCs w:val="24"/>
        </w:rPr>
        <w:t>. Studies have indicated that fair pay, development prospects, and supportive supervision are some of the HR practices that can enhance retention under such conditions. But the employee value proposition is a concept under debate. It is regarded by some authors as a true effort to describe a mutual transaction, and it is viewed by others as more of a tool of branding that is not necessarily realistic. Tesco fosters career, benefits, and alternatives, but external surveys continue to indicate worries about workload and stress in supermarkets. This implies a disjunction between a promise and an experience. The problem with HR is not to develop appealing policies, but to ensure that line managers exercise them throughout, particularly in high-pressure store settings where short-term performance goals may carry the day</w:t>
      </w:r>
      <w:r w:rsidR="00A07014" w:rsidRPr="004A621E">
        <w:t xml:space="preserve"> </w:t>
      </w:r>
      <w:r w:rsidR="00A07014" w:rsidRPr="004A621E">
        <w:rPr>
          <w:rFonts w:cs="Times New Roman"/>
          <w:szCs w:val="24"/>
        </w:rPr>
        <w:t>(Marchington et al., 2020)</w:t>
      </w:r>
      <w:r w:rsidRPr="004A621E">
        <w:rPr>
          <w:rFonts w:cs="Times New Roman"/>
          <w:szCs w:val="24"/>
        </w:rPr>
        <w:t>.</w:t>
      </w:r>
    </w:p>
    <w:p w14:paraId="407174B1" w14:textId="34CAC7D9" w:rsidR="00AB660A" w:rsidRPr="009E6EB5" w:rsidRDefault="00AB660A" w:rsidP="00AB660A">
      <w:pPr>
        <w:pStyle w:val="Heading2"/>
        <w:rPr>
          <w:rFonts w:ascii="Arial" w:hAnsi="Arial" w:cs="Arial"/>
        </w:rPr>
      </w:pPr>
      <w:bookmarkStart w:id="4" w:name="_Toc221663242"/>
      <w:r w:rsidRPr="009E6EB5">
        <w:rPr>
          <w:rFonts w:ascii="Arial" w:hAnsi="Arial" w:cs="Arial"/>
        </w:rPr>
        <w:t>2.3 DEI, performativity, and real inclusion</w:t>
      </w:r>
      <w:bookmarkEnd w:id="4"/>
    </w:p>
    <w:p w14:paraId="7122FCA3" w14:textId="5E662DAA" w:rsidR="00524AB2" w:rsidRPr="004A621E" w:rsidRDefault="00524AB2" w:rsidP="00524AB2">
      <w:pPr>
        <w:rPr>
          <w:rFonts w:cs="Times New Roman"/>
          <w:szCs w:val="24"/>
        </w:rPr>
      </w:pPr>
      <w:r w:rsidRPr="004A621E">
        <w:rPr>
          <w:rFonts w:cs="Times New Roman"/>
          <w:szCs w:val="24"/>
        </w:rPr>
        <w:t>Diversity, equity, and inclusion have become the centre of HR discussions, yet the literature is split on the effect</w:t>
      </w:r>
      <w:r w:rsidR="00A07014" w:rsidRPr="004A621E">
        <w:t xml:space="preserve"> </w:t>
      </w:r>
      <w:r w:rsidR="00A07014" w:rsidRPr="004A621E">
        <w:rPr>
          <w:rFonts w:cs="Times New Roman"/>
          <w:szCs w:val="24"/>
        </w:rPr>
        <w:t>(Minkin, 2023)</w:t>
      </w:r>
      <w:r w:rsidRPr="004A621E">
        <w:rPr>
          <w:rFonts w:cs="Times New Roman"/>
          <w:szCs w:val="24"/>
        </w:rPr>
        <w:t xml:space="preserve">. Other researchers claim that properly formulated DEI programs can enhance innovation, the quality, and equity of decisions. According to others, DEI may turn into an act, with smooth words and education that alter rhetoric more than practice. Tesco establishes social promises of inclusion and posts information about the </w:t>
      </w:r>
      <w:r w:rsidRPr="004A621E">
        <w:rPr>
          <w:rFonts w:cs="Times New Roman"/>
          <w:szCs w:val="24"/>
        </w:rPr>
        <w:lastRenderedPageBreak/>
        <w:t>representation and pay differences. It also emphasizes colleague networks and flexible working policies. Nonetheless, research on organisational diversity has underscored that workers appraise inclusion based on daily experiences of respect, opportunity, and voice but not necessarily formalities</w:t>
      </w:r>
      <w:r w:rsidR="00F371A1" w:rsidRPr="004A621E">
        <w:t xml:space="preserve"> </w:t>
      </w:r>
      <w:r w:rsidR="00F371A1" w:rsidRPr="004A621E">
        <w:rPr>
          <w:rFonts w:cs="Times New Roman"/>
          <w:szCs w:val="24"/>
        </w:rPr>
        <w:t>(IMPM, 2024)</w:t>
      </w:r>
      <w:r w:rsidRPr="004A621E">
        <w:rPr>
          <w:rFonts w:cs="Times New Roman"/>
          <w:szCs w:val="24"/>
        </w:rPr>
        <w:t>. There is a threat that part of the staff might perceive that DEI communication is more developed than the local store culture. The HR should thus take into consideration the influence of power, bias, and workload on who is actually benefiting in development and promotion</w:t>
      </w:r>
      <w:r w:rsidR="00A07014" w:rsidRPr="004A621E">
        <w:t xml:space="preserve"> </w:t>
      </w:r>
      <w:r w:rsidR="00A07014" w:rsidRPr="004A621E">
        <w:rPr>
          <w:rFonts w:cs="Times New Roman"/>
          <w:szCs w:val="24"/>
        </w:rPr>
        <w:t>(Tesco Careers, 2024)</w:t>
      </w:r>
      <w:r w:rsidRPr="004A621E">
        <w:rPr>
          <w:rFonts w:cs="Times New Roman"/>
          <w:szCs w:val="24"/>
        </w:rPr>
        <w:t>. This forms a multifaceted, disputed space in which intentions, perceptions, and outcomes might not coincide entirely.</w:t>
      </w:r>
    </w:p>
    <w:p w14:paraId="44E91870" w14:textId="2A001DE1" w:rsidR="00E54790" w:rsidRPr="004A621E" w:rsidRDefault="00A07014" w:rsidP="00524AB2">
      <w:pPr>
        <w:rPr>
          <w:rFonts w:cs="Times New Roman"/>
          <w:szCs w:val="24"/>
        </w:rPr>
      </w:pPr>
      <w:r w:rsidRPr="004A621E">
        <w:rPr>
          <w:noProof/>
        </w:rPr>
        <mc:AlternateContent>
          <mc:Choice Requires="wps">
            <w:drawing>
              <wp:anchor distT="0" distB="0" distL="114300" distR="114300" simplePos="0" relativeHeight="251663360" behindDoc="0" locked="0" layoutInCell="1" allowOverlap="1" wp14:anchorId="6F8FEA13" wp14:editId="45DC3D73">
                <wp:simplePos x="0" y="0"/>
                <wp:positionH relativeFrom="column">
                  <wp:posOffset>396240</wp:posOffset>
                </wp:positionH>
                <wp:positionV relativeFrom="page">
                  <wp:posOffset>6728460</wp:posOffset>
                </wp:positionV>
                <wp:extent cx="4983480" cy="287655"/>
                <wp:effectExtent l="0" t="0" r="7620" b="0"/>
                <wp:wrapTopAndBottom/>
                <wp:docPr id="1288293263" name="Text Box 1"/>
                <wp:cNvGraphicFramePr/>
                <a:graphic xmlns:a="http://schemas.openxmlformats.org/drawingml/2006/main">
                  <a:graphicData uri="http://schemas.microsoft.com/office/word/2010/wordprocessingShape">
                    <wps:wsp>
                      <wps:cNvSpPr txBox="1"/>
                      <wps:spPr>
                        <a:xfrm>
                          <a:off x="0" y="0"/>
                          <a:ext cx="4983480" cy="287655"/>
                        </a:xfrm>
                        <a:prstGeom prst="rect">
                          <a:avLst/>
                        </a:prstGeom>
                        <a:solidFill>
                          <a:prstClr val="white"/>
                        </a:solidFill>
                        <a:ln>
                          <a:noFill/>
                        </a:ln>
                      </wps:spPr>
                      <wps:txbx>
                        <w:txbxContent>
                          <w:p w14:paraId="330888A1" w14:textId="45368AF2" w:rsidR="00645ABA" w:rsidRPr="004A621E" w:rsidRDefault="00645ABA" w:rsidP="00645ABA">
                            <w:pPr>
                              <w:pStyle w:val="Caption"/>
                              <w:jc w:val="center"/>
                              <w:rPr>
                                <w:rFonts w:cs="Times New Roman"/>
                                <w:b/>
                                <w:bCs/>
                                <w:i w:val="0"/>
                                <w:iCs w:val="0"/>
                                <w:color w:val="000000" w:themeColor="text1"/>
                                <w:sz w:val="28"/>
                                <w:szCs w:val="22"/>
                              </w:rPr>
                            </w:pPr>
                            <w:r w:rsidRPr="004A621E">
                              <w:rPr>
                                <w:b/>
                                <w:bCs/>
                                <w:i w:val="0"/>
                                <w:iCs w:val="0"/>
                                <w:sz w:val="22"/>
                                <w:szCs w:val="22"/>
                              </w:rPr>
                              <w:t xml:space="preserve">Figure </w:t>
                            </w:r>
                            <w:r w:rsidRPr="004A621E">
                              <w:rPr>
                                <w:b/>
                                <w:bCs/>
                                <w:i w:val="0"/>
                                <w:iCs w:val="0"/>
                                <w:sz w:val="22"/>
                                <w:szCs w:val="22"/>
                              </w:rPr>
                              <w:fldChar w:fldCharType="begin"/>
                            </w:r>
                            <w:r w:rsidRPr="004A621E">
                              <w:rPr>
                                <w:b/>
                                <w:bCs/>
                                <w:i w:val="0"/>
                                <w:iCs w:val="0"/>
                                <w:sz w:val="22"/>
                                <w:szCs w:val="22"/>
                              </w:rPr>
                              <w:instrText xml:space="preserve"> SEQ Figure \* ARABIC </w:instrText>
                            </w:r>
                            <w:r w:rsidRPr="004A621E">
                              <w:rPr>
                                <w:b/>
                                <w:bCs/>
                                <w:i w:val="0"/>
                                <w:iCs w:val="0"/>
                                <w:sz w:val="22"/>
                                <w:szCs w:val="22"/>
                              </w:rPr>
                              <w:fldChar w:fldCharType="separate"/>
                            </w:r>
                            <w:r w:rsidR="00F64BEE" w:rsidRPr="004A621E">
                              <w:rPr>
                                <w:b/>
                                <w:bCs/>
                                <w:i w:val="0"/>
                                <w:iCs w:val="0"/>
                                <w:sz w:val="22"/>
                                <w:szCs w:val="22"/>
                              </w:rPr>
                              <w:t>2</w:t>
                            </w:r>
                            <w:r w:rsidRPr="004A621E">
                              <w:rPr>
                                <w:b/>
                                <w:bCs/>
                                <w:i w:val="0"/>
                                <w:iCs w:val="0"/>
                                <w:sz w:val="22"/>
                                <w:szCs w:val="22"/>
                              </w:rPr>
                              <w:fldChar w:fldCharType="end"/>
                            </w:r>
                            <w:r w:rsidRPr="004A621E">
                              <w:rPr>
                                <w:b/>
                                <w:bCs/>
                                <w:i w:val="0"/>
                                <w:iCs w:val="0"/>
                                <w:sz w:val="22"/>
                                <w:szCs w:val="22"/>
                              </w:rPr>
                              <w:t>: Diversity, Equity, and Inclusion (DEI) (IMPM,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8FEA13" id="_x0000_s1027" type="#_x0000_t202" style="position:absolute;left:0;text-align:left;margin-left:31.2pt;margin-top:529.8pt;width:392.4pt;height:22.65pt;z-index:2516633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" stroked="f">
                <v:textbox style="mso-fit-shape-to-text:t" inset="0,0,0,0">
                  <w:txbxContent>
                    <w:p w14:paraId="330888A1" w14:textId="45368AF2" w:rsidR="00645ABA" w:rsidRPr="004A621E" w:rsidRDefault="00645ABA" w:rsidP="00645ABA">
                      <w:pPr>
                        <w:pStyle w:val="Caption"/>
                        <w:jc w:val="center"/>
                        <w:rPr>
                          <w:rFonts w:cs="Times New Roman"/>
                          <w:b/>
                          <w:bCs/>
                          <w:i w:val="0"/>
                          <w:iCs w:val="0"/>
                          <w:color w:val="000000" w:themeColor="text1"/>
                          <w:sz w:val="28"/>
                          <w:szCs w:val="22"/>
                        </w:rPr>
                      </w:pPr>
                      <w:r w:rsidRPr="004A621E">
                        <w:rPr>
                          <w:b/>
                          <w:bCs/>
                          <w:i w:val="0"/>
                          <w:iCs w:val="0"/>
                          <w:sz w:val="22"/>
                          <w:szCs w:val="22"/>
                        </w:rPr>
                        <w:t xml:space="preserve">Figure </w:t>
                      </w:r>
                      <w:r w:rsidRPr="004A621E">
                        <w:rPr>
                          <w:b/>
                          <w:bCs/>
                          <w:i w:val="0"/>
                          <w:iCs w:val="0"/>
                          <w:sz w:val="22"/>
                          <w:szCs w:val="22"/>
                        </w:rPr>
                        <w:fldChar w:fldCharType="begin"/>
                      </w:r>
                      <w:r w:rsidRPr="004A621E">
                        <w:rPr>
                          <w:b/>
                          <w:bCs/>
                          <w:i w:val="0"/>
                          <w:iCs w:val="0"/>
                          <w:sz w:val="22"/>
                          <w:szCs w:val="22"/>
                        </w:rPr>
                        <w:instrText xml:space="preserve"> SEQ Figure \* ARABIC </w:instrText>
                      </w:r>
                      <w:r w:rsidRPr="004A621E">
                        <w:rPr>
                          <w:b/>
                          <w:bCs/>
                          <w:i w:val="0"/>
                          <w:iCs w:val="0"/>
                          <w:sz w:val="22"/>
                          <w:szCs w:val="22"/>
                        </w:rPr>
                        <w:fldChar w:fldCharType="separate"/>
                      </w:r>
                      <w:r w:rsidR="00F64BEE" w:rsidRPr="004A621E">
                        <w:rPr>
                          <w:b/>
                          <w:bCs/>
                          <w:i w:val="0"/>
                          <w:iCs w:val="0"/>
                          <w:sz w:val="22"/>
                          <w:szCs w:val="22"/>
                        </w:rPr>
                        <w:t>2</w:t>
                      </w:r>
                      <w:r w:rsidRPr="004A621E">
                        <w:rPr>
                          <w:b/>
                          <w:bCs/>
                          <w:i w:val="0"/>
                          <w:iCs w:val="0"/>
                          <w:sz w:val="22"/>
                          <w:szCs w:val="22"/>
                        </w:rPr>
                        <w:fldChar w:fldCharType="end"/>
                      </w:r>
                      <w:r w:rsidRPr="004A621E">
                        <w:rPr>
                          <w:b/>
                          <w:bCs/>
                          <w:i w:val="0"/>
                          <w:iCs w:val="0"/>
                          <w:sz w:val="22"/>
                          <w:szCs w:val="22"/>
                        </w:rPr>
                        <w:t>: Diversity, Equity, and Inclusion (DEI) (IMPM, 2024)</w:t>
                      </w:r>
                    </w:p>
                  </w:txbxContent>
                </v:textbox>
                <w10:wrap type="topAndBottom" anchory="page"/>
              </v:shape>
            </w:pict>
          </mc:Fallback>
        </mc:AlternateContent>
      </w:r>
      <w:r w:rsidRPr="004A621E">
        <w:rPr>
          <w:noProof/>
        </w:rPr>
        <w:drawing>
          <wp:anchor distT="0" distB="0" distL="114300" distR="114300" simplePos="0" relativeHeight="251661312" behindDoc="0" locked="0" layoutInCell="1" allowOverlap="1" wp14:anchorId="10C7D180" wp14:editId="231F70F1">
            <wp:simplePos x="0" y="0"/>
            <wp:positionH relativeFrom="margin">
              <wp:align>center</wp:align>
            </wp:positionH>
            <wp:positionV relativeFrom="page">
              <wp:posOffset>3048000</wp:posOffset>
            </wp:positionV>
            <wp:extent cx="4983480" cy="3839845"/>
            <wp:effectExtent l="0" t="0" r="7620" b="8255"/>
            <wp:wrapTopAndBottom/>
            <wp:docPr id="111804208" name="Picture 3" descr="Diversity, Equity, and Inclusion (DEI) as a Competitive Advantage? -  International Masters Program for Mana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versity, Equity, and Inclusion (DEI) as a Competitive Advantage? -  International Masters Program for Manag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3480" cy="3839845"/>
                    </a:xfrm>
                    <a:prstGeom prst="rect">
                      <a:avLst/>
                    </a:prstGeom>
                    <a:noFill/>
                    <a:ln>
                      <a:noFill/>
                    </a:ln>
                  </pic:spPr>
                </pic:pic>
              </a:graphicData>
            </a:graphic>
          </wp:anchor>
        </w:drawing>
      </w:r>
    </w:p>
    <w:p w14:paraId="6642E243" w14:textId="77777777" w:rsidR="00524AB2" w:rsidRPr="004A621E" w:rsidRDefault="00524AB2" w:rsidP="00524AB2">
      <w:pPr>
        <w:rPr>
          <w:rFonts w:cs="Times New Roman"/>
          <w:szCs w:val="24"/>
        </w:rPr>
      </w:pPr>
    </w:p>
    <w:p w14:paraId="01B2A0A4" w14:textId="77777777" w:rsidR="00AB660A" w:rsidRPr="004A621E" w:rsidRDefault="00AB660A">
      <w:pPr>
        <w:spacing w:line="259" w:lineRule="auto"/>
        <w:jc w:val="left"/>
        <w:rPr>
          <w:b/>
          <w:bCs/>
        </w:rPr>
      </w:pPr>
      <w:r w:rsidRPr="004A621E">
        <w:rPr>
          <w:b/>
          <w:bCs/>
        </w:rPr>
        <w:br w:type="page"/>
      </w:r>
    </w:p>
    <w:p w14:paraId="1110E64E" w14:textId="6A885642" w:rsidR="00AB660A" w:rsidRPr="00192CE8" w:rsidRDefault="00AB660A" w:rsidP="00192CE8">
      <w:pPr>
        <w:pStyle w:val="Heading1"/>
        <w:jc w:val="center"/>
        <w:rPr>
          <w:rFonts w:ascii="Arial" w:hAnsi="Arial" w:cs="Arial"/>
        </w:rPr>
      </w:pPr>
      <w:bookmarkStart w:id="5" w:name="_Toc221663243"/>
      <w:r w:rsidRPr="00192CE8">
        <w:rPr>
          <w:rFonts w:ascii="Arial" w:hAnsi="Arial" w:cs="Arial"/>
        </w:rPr>
        <w:lastRenderedPageBreak/>
        <w:t>3. Contemporary HR practices and critical discussion</w:t>
      </w:r>
      <w:bookmarkEnd w:id="5"/>
    </w:p>
    <w:p w14:paraId="5060079D" w14:textId="77777777" w:rsidR="00AB660A" w:rsidRPr="00192CE8" w:rsidRDefault="00AB660A" w:rsidP="00AB660A">
      <w:pPr>
        <w:pStyle w:val="Heading2"/>
        <w:rPr>
          <w:rFonts w:ascii="Arial" w:hAnsi="Arial" w:cs="Arial"/>
        </w:rPr>
      </w:pPr>
      <w:bookmarkStart w:id="6" w:name="_Toc221663244"/>
      <w:r w:rsidRPr="00192CE8">
        <w:rPr>
          <w:rFonts w:ascii="Arial" w:hAnsi="Arial" w:cs="Arial"/>
        </w:rPr>
        <w:t>3.1 Managing technological change in HR</w:t>
      </w:r>
      <w:bookmarkEnd w:id="6"/>
    </w:p>
    <w:p w14:paraId="20F8B7D2" w14:textId="1AF7571E" w:rsidR="00524AB2" w:rsidRPr="004A621E" w:rsidRDefault="00524AB2" w:rsidP="00524AB2">
      <w:pPr>
        <w:rPr>
          <w:rFonts w:cs="Times New Roman"/>
          <w:szCs w:val="24"/>
        </w:rPr>
      </w:pPr>
      <w:r w:rsidRPr="004A621E">
        <w:rPr>
          <w:rFonts w:cs="Times New Roman"/>
          <w:szCs w:val="24"/>
        </w:rPr>
        <w:t>According to classical HR advice, technology must be introduced as an element of a planned HR practice, such as workforce planning, training, and consultation</w:t>
      </w:r>
      <w:r w:rsidR="00A07014" w:rsidRPr="004A621E">
        <w:t xml:space="preserve"> </w:t>
      </w:r>
      <w:r w:rsidR="00A07014" w:rsidRPr="004A621E">
        <w:rPr>
          <w:rFonts w:cs="Times New Roman"/>
          <w:szCs w:val="24"/>
        </w:rPr>
        <w:t>(Armstrong and Taylor, 2023)</w:t>
      </w:r>
      <w:r w:rsidRPr="004A621E">
        <w:rPr>
          <w:rFonts w:cs="Times New Roman"/>
          <w:szCs w:val="24"/>
        </w:rPr>
        <w:t>. In the case of Tesco, this could be through mapping out the roles that are influenced by new systems and then developing custom learning paths. Strategic views about HR also highlight that human capital, HR systems, and technology should be aligned to facilitate performance. In recent writings on generative AI, it is proposed that AI is to supplement human judgment, but not eliminate it, and that HR should be part of defining ethical limits. AI screening tools can save time to hire and run large pools of applicants in a recruitment effort. Nonetheless, opponents point to the dangers of replicating historical bias in case the data used in training and the algorithms are not monitored. Periodic audits in algorithms, mixed design teams, and openness to candidates are some possible solutions. In the case of Tesco, the solution would be to integrate AI in screening the first stages with a human check and transparent checks, especially when considering jobs with local context considerations</w:t>
      </w:r>
      <w:r w:rsidR="00A07014" w:rsidRPr="004A621E">
        <w:t xml:space="preserve"> </w:t>
      </w:r>
      <w:r w:rsidR="00A07014" w:rsidRPr="004A621E">
        <w:rPr>
          <w:rFonts w:cs="Times New Roman"/>
          <w:szCs w:val="24"/>
        </w:rPr>
        <w:t xml:space="preserve">(Chowdhury, </w:t>
      </w:r>
      <w:proofErr w:type="spellStart"/>
      <w:r w:rsidR="00A07014" w:rsidRPr="004A621E">
        <w:rPr>
          <w:rFonts w:cs="Times New Roman"/>
          <w:szCs w:val="24"/>
        </w:rPr>
        <w:t>Budhwar</w:t>
      </w:r>
      <w:proofErr w:type="spellEnd"/>
      <w:r w:rsidR="00A07014" w:rsidRPr="004A621E">
        <w:rPr>
          <w:rFonts w:cs="Times New Roman"/>
          <w:szCs w:val="24"/>
        </w:rPr>
        <w:t xml:space="preserve"> and Wood, 2024)</w:t>
      </w:r>
      <w:r w:rsidRPr="004A621E">
        <w:rPr>
          <w:rFonts w:cs="Times New Roman"/>
          <w:szCs w:val="24"/>
        </w:rPr>
        <w:t>.</w:t>
      </w:r>
    </w:p>
    <w:p w14:paraId="40788C7C" w14:textId="77777777" w:rsidR="00AB660A" w:rsidRPr="00192CE8" w:rsidRDefault="00AB660A" w:rsidP="00AB660A">
      <w:pPr>
        <w:pStyle w:val="Heading2"/>
        <w:rPr>
          <w:rFonts w:ascii="Arial" w:hAnsi="Arial" w:cs="Arial"/>
        </w:rPr>
      </w:pPr>
      <w:bookmarkStart w:id="7" w:name="_Toc221663245"/>
      <w:r w:rsidRPr="00192CE8">
        <w:rPr>
          <w:rFonts w:ascii="Arial" w:hAnsi="Arial" w:cs="Arial"/>
        </w:rPr>
        <w:t>3.2 Talent practices and contested HR approaches</w:t>
      </w:r>
      <w:bookmarkEnd w:id="7"/>
    </w:p>
    <w:p w14:paraId="3AA2D843" w14:textId="7F2471ED" w:rsidR="00E71F58" w:rsidRPr="004A621E" w:rsidRDefault="00524AB2" w:rsidP="00524AB2">
      <w:pPr>
        <w:rPr>
          <w:rFonts w:cs="Times New Roman"/>
          <w:szCs w:val="24"/>
        </w:rPr>
      </w:pPr>
      <w:r w:rsidRPr="004A621E">
        <w:rPr>
          <w:rFonts w:cs="Times New Roman"/>
          <w:szCs w:val="24"/>
        </w:rPr>
        <w:t xml:space="preserve">The high-performance work systems imply that harmonious packages of practices involving selection, training, and involvement can develop competencies and </w:t>
      </w:r>
      <w:r w:rsidR="00A07014" w:rsidRPr="004A621E">
        <w:rPr>
          <w:rFonts w:cs="Times New Roman"/>
          <w:szCs w:val="24"/>
        </w:rPr>
        <w:t>improve</w:t>
      </w:r>
      <w:r w:rsidRPr="004A621E">
        <w:rPr>
          <w:rFonts w:cs="Times New Roman"/>
          <w:szCs w:val="24"/>
        </w:rPr>
        <w:t xml:space="preserve"> the outcomes</w:t>
      </w:r>
      <w:r w:rsidR="00A07014" w:rsidRPr="004A621E">
        <w:t xml:space="preserve"> </w:t>
      </w:r>
      <w:r w:rsidR="00A07014" w:rsidRPr="004A621E">
        <w:rPr>
          <w:rFonts w:cs="Times New Roman"/>
          <w:szCs w:val="24"/>
        </w:rPr>
        <w:t>(Otoo, 2025)</w:t>
      </w:r>
      <w:r w:rsidRPr="004A621E">
        <w:rPr>
          <w:rFonts w:cs="Times New Roman"/>
          <w:szCs w:val="24"/>
        </w:rPr>
        <w:t>. There is evidence that HR practices do affect performance by affecting employee skills and motivation in part. However, a few scholars believe that these models might not be a true representation of the front-line service jobs, where discretion is low, and work is heavy. In the case of Tesco, realistic job previews, structured interviews, and specifications should be part of talent practices, as the candidates can be aware of conditions and requirements. The question regarding the use of AI screening in comparison to more human-centred approaches, like blind recruitment or structured shortlisting, is debated. Efficiency can be facilitated by AI tools, whereas blind strategies can be more effective in dealing with bias by eliminating names and other personal information. The balanced approach would be to test the two methods simultaneously, perhaps via a pilot, and to compare the results on diversity, quality of hire, and time to fill. This would enable evidence-based decisions and not the use of one approach.</w:t>
      </w:r>
    </w:p>
    <w:p w14:paraId="52FDA953" w14:textId="77777777" w:rsidR="00524AB2" w:rsidRPr="00192CE8" w:rsidRDefault="00524AB2" w:rsidP="00AB660A">
      <w:pPr>
        <w:pStyle w:val="Heading2"/>
        <w:rPr>
          <w:rFonts w:ascii="Arial" w:hAnsi="Arial" w:cs="Arial"/>
        </w:rPr>
      </w:pPr>
      <w:bookmarkStart w:id="8" w:name="_Toc221663246"/>
      <w:r w:rsidRPr="00192CE8">
        <w:rPr>
          <w:rFonts w:ascii="Arial" w:hAnsi="Arial" w:cs="Arial"/>
        </w:rPr>
        <w:t>3.3 DEI practices and critical evaluation</w:t>
      </w:r>
      <w:bookmarkEnd w:id="8"/>
    </w:p>
    <w:p w14:paraId="09466E51" w14:textId="3A1184EE" w:rsidR="00524AB2" w:rsidRPr="004A621E" w:rsidRDefault="00524AB2" w:rsidP="00524AB2">
      <w:pPr>
        <w:rPr>
          <w:rFonts w:cs="Times New Roman"/>
          <w:szCs w:val="24"/>
        </w:rPr>
      </w:pPr>
      <w:r w:rsidRPr="004A621E">
        <w:rPr>
          <w:rFonts w:cs="Times New Roman"/>
          <w:szCs w:val="24"/>
        </w:rPr>
        <w:t>The studies on diversity and inclusion emphasise that systemic approaches that reach recruitment, development, performance management, and culture are required</w:t>
      </w:r>
      <w:r w:rsidR="00A07014" w:rsidRPr="004A621E">
        <w:t xml:space="preserve"> </w:t>
      </w:r>
      <w:r w:rsidR="00A07014" w:rsidRPr="004A621E">
        <w:rPr>
          <w:rFonts w:cs="Times New Roman"/>
          <w:szCs w:val="24"/>
        </w:rPr>
        <w:t xml:space="preserve">(Stone, </w:t>
      </w:r>
      <w:r w:rsidR="00A07014" w:rsidRPr="004A621E">
        <w:rPr>
          <w:rFonts w:cs="Times New Roman"/>
          <w:szCs w:val="24"/>
        </w:rPr>
        <w:lastRenderedPageBreak/>
        <w:t>Dulebohn and Lukaszewski, 2020)</w:t>
      </w:r>
      <w:r w:rsidRPr="004A621E">
        <w:rPr>
          <w:rFonts w:cs="Times New Roman"/>
          <w:szCs w:val="24"/>
        </w:rPr>
        <w:t>. One-off training has been criticised for having little long-term effect. Tesco DEI messaging emphasizes networks, policies, and inclusive language, whereas external reports also demonstrate that employees in various sectors are not always convinced that DEI interventions can alter their everyday experience. One of the concepts encouraged is inclusive leadership, which is based on listening, fair treatment, and support of voice. However, according to some authors, it may turn into another term in case managers lack time, training, and incentives to modify behaviour. The DEI practice of Tesco should consist of organized interviews, mixed panels, clear promotion criteria, and the frequent review of the results, including the patterns of promotions and grievances. HR may also sponsor store-level inclusion champions, who gather feedback and discuss local problems with managers</w:t>
      </w:r>
      <w:r w:rsidR="00A07014" w:rsidRPr="004A621E">
        <w:t xml:space="preserve"> </w:t>
      </w:r>
      <w:r w:rsidR="00A07014" w:rsidRPr="004A621E">
        <w:rPr>
          <w:rFonts w:cs="Times New Roman"/>
          <w:szCs w:val="24"/>
        </w:rPr>
        <w:t>(Mohamed et al., 2024)</w:t>
      </w:r>
      <w:r w:rsidRPr="004A621E">
        <w:rPr>
          <w:rFonts w:cs="Times New Roman"/>
          <w:szCs w:val="24"/>
        </w:rPr>
        <w:t>. This would transform DEI from a central message to a process that is practical and monitored.</w:t>
      </w:r>
    </w:p>
    <w:p w14:paraId="6E02CA47" w14:textId="77777777" w:rsidR="00524AB2" w:rsidRPr="004A621E" w:rsidRDefault="00524AB2" w:rsidP="00524AB2">
      <w:pPr>
        <w:rPr>
          <w:rFonts w:cs="Times New Roman"/>
          <w:szCs w:val="24"/>
        </w:rPr>
      </w:pPr>
    </w:p>
    <w:p w14:paraId="13A06B7D" w14:textId="77777777" w:rsidR="00AB660A" w:rsidRPr="004A621E" w:rsidRDefault="00AB660A">
      <w:pPr>
        <w:spacing w:line="259" w:lineRule="auto"/>
        <w:jc w:val="left"/>
        <w:rPr>
          <w:b/>
          <w:bCs/>
        </w:rPr>
      </w:pPr>
      <w:r w:rsidRPr="004A621E">
        <w:rPr>
          <w:b/>
          <w:bCs/>
        </w:rPr>
        <w:br w:type="page"/>
      </w:r>
    </w:p>
    <w:p w14:paraId="083557D2" w14:textId="2476E862" w:rsidR="00AB660A" w:rsidRPr="00391FA0" w:rsidRDefault="00AB660A" w:rsidP="00391FA0">
      <w:pPr>
        <w:pStyle w:val="Heading1"/>
        <w:jc w:val="center"/>
        <w:rPr>
          <w:rFonts w:ascii="Arial" w:hAnsi="Arial" w:cs="Arial"/>
        </w:rPr>
      </w:pPr>
      <w:bookmarkStart w:id="9" w:name="_Toc221663247"/>
      <w:r w:rsidRPr="00391FA0">
        <w:rPr>
          <w:rFonts w:ascii="Arial" w:hAnsi="Arial" w:cs="Arial"/>
        </w:rPr>
        <w:lastRenderedPageBreak/>
        <w:t>4.Managerial implementation and urgency</w:t>
      </w:r>
      <w:bookmarkEnd w:id="9"/>
    </w:p>
    <w:p w14:paraId="0176C7D1" w14:textId="2D2EDA6C" w:rsidR="00AB660A" w:rsidRPr="00F44E44" w:rsidRDefault="00AB660A" w:rsidP="00AB660A">
      <w:pPr>
        <w:pStyle w:val="Heading2"/>
        <w:rPr>
          <w:rFonts w:ascii="Arial" w:hAnsi="Arial" w:cs="Arial"/>
        </w:rPr>
      </w:pPr>
      <w:bookmarkStart w:id="10" w:name="_Toc221663248"/>
      <w:r w:rsidRPr="00F44E44">
        <w:rPr>
          <w:rFonts w:ascii="Arial" w:hAnsi="Arial" w:cs="Arial"/>
        </w:rPr>
        <w:t>4.1 Line managers, perceptions, and gaps</w:t>
      </w:r>
      <w:bookmarkEnd w:id="10"/>
    </w:p>
    <w:p w14:paraId="6F489CF5" w14:textId="1D6C0CB5" w:rsidR="00524AB2" w:rsidRPr="004A621E" w:rsidRDefault="00524AB2" w:rsidP="00524AB2">
      <w:pPr>
        <w:rPr>
          <w:rFonts w:cs="Times New Roman"/>
          <w:szCs w:val="24"/>
        </w:rPr>
      </w:pPr>
      <w:r w:rsidRPr="004A621E">
        <w:rPr>
          <w:rFonts w:cs="Times New Roman"/>
          <w:szCs w:val="24"/>
        </w:rPr>
        <w:t>The primary translators of HR policies to the experience of the employees are the line managers</w:t>
      </w:r>
      <w:r w:rsidR="00A07014" w:rsidRPr="004A621E">
        <w:t xml:space="preserve"> </w:t>
      </w:r>
      <w:r w:rsidR="00A07014" w:rsidRPr="004A621E">
        <w:rPr>
          <w:rFonts w:cs="Times New Roman"/>
          <w:szCs w:val="24"/>
        </w:rPr>
        <w:t>(Wang et al., 2021)</w:t>
      </w:r>
      <w:r w:rsidRPr="004A621E">
        <w:rPr>
          <w:rFonts w:cs="Times New Roman"/>
          <w:szCs w:val="24"/>
        </w:rPr>
        <w:t xml:space="preserve">. </w:t>
      </w:r>
      <w:r w:rsidR="00A07014" w:rsidRPr="004A621E">
        <w:rPr>
          <w:rFonts w:cs="Times New Roman"/>
          <w:szCs w:val="24"/>
        </w:rPr>
        <w:t>Engagement</w:t>
      </w:r>
      <w:r w:rsidRPr="004A621E">
        <w:rPr>
          <w:rFonts w:cs="Times New Roman"/>
          <w:szCs w:val="24"/>
        </w:rPr>
        <w:t xml:space="preserve"> and performance will be enhanced when managers and employees have similar views about HR practices. In case of the presence of a great distance between formal HR messages and local practice, then employees tend to perceive HR systems as unfair or symbolic. Managers in Tesco stores determine the availability of training, shift assignments, and corrective action </w:t>
      </w:r>
      <w:r w:rsidR="00A07014" w:rsidRPr="004A621E">
        <w:rPr>
          <w:rFonts w:cs="Times New Roman"/>
          <w:szCs w:val="24"/>
        </w:rPr>
        <w:t>for</w:t>
      </w:r>
      <w:r w:rsidRPr="004A621E">
        <w:rPr>
          <w:rFonts w:cs="Times New Roman"/>
          <w:szCs w:val="24"/>
        </w:rPr>
        <w:t xml:space="preserve"> performance problems. When a manager fails to facilitate working flexibly, say, then formal flexibility policies can imply little to employees in that unit. This implies that the HR should put efforts into ensuring that managers comprehend the purpose of policies, and provide them with practical instruments that they can use when they are under pressure. It is also a question of how HR is checking practice and not just following high-level metrics.</w:t>
      </w:r>
    </w:p>
    <w:p w14:paraId="28E777E2" w14:textId="74DB5580" w:rsidR="00F64BEE" w:rsidRPr="004A621E" w:rsidRDefault="00F64BEE" w:rsidP="00524AB2">
      <w:pPr>
        <w:rPr>
          <w:rFonts w:cs="Times New Roman"/>
          <w:szCs w:val="24"/>
        </w:rPr>
      </w:pPr>
      <w:r w:rsidRPr="004A621E">
        <w:rPr>
          <w:noProof/>
        </w:rPr>
        <mc:AlternateContent>
          <mc:Choice Requires="wps">
            <w:drawing>
              <wp:anchor distT="0" distB="0" distL="114300" distR="114300" simplePos="0" relativeHeight="251666432" behindDoc="0" locked="0" layoutInCell="1" allowOverlap="1" wp14:anchorId="3C508DCB" wp14:editId="66F2A54B">
                <wp:simplePos x="0" y="0"/>
                <wp:positionH relativeFrom="margin">
                  <wp:align>left</wp:align>
                </wp:positionH>
                <wp:positionV relativeFrom="page">
                  <wp:posOffset>7063740</wp:posOffset>
                </wp:positionV>
                <wp:extent cx="5731510" cy="258445"/>
                <wp:effectExtent l="0" t="0" r="2540" b="0"/>
                <wp:wrapTopAndBottom/>
                <wp:docPr id="929848519" name="Text Box 1"/>
                <wp:cNvGraphicFramePr/>
                <a:graphic xmlns:a="http://schemas.openxmlformats.org/drawingml/2006/main">
                  <a:graphicData uri="http://schemas.microsoft.com/office/word/2010/wordprocessingShape">
                    <wps:wsp>
                      <wps:cNvSpPr txBox="1"/>
                      <wps:spPr>
                        <a:xfrm>
                          <a:off x="0" y="0"/>
                          <a:ext cx="5731510" cy="258445"/>
                        </a:xfrm>
                        <a:prstGeom prst="rect">
                          <a:avLst/>
                        </a:prstGeom>
                        <a:solidFill>
                          <a:prstClr val="white"/>
                        </a:solidFill>
                        <a:ln>
                          <a:noFill/>
                        </a:ln>
                      </wps:spPr>
                      <wps:txbx>
                        <w:txbxContent>
                          <w:p w14:paraId="635DF0E3" w14:textId="5A485FE1" w:rsidR="00F64BEE" w:rsidRPr="004A621E" w:rsidRDefault="00F64BEE" w:rsidP="00F64BEE">
                            <w:pPr>
                              <w:pStyle w:val="Caption"/>
                              <w:jc w:val="center"/>
                              <w:rPr>
                                <w:b/>
                                <w:bCs/>
                                <w:i w:val="0"/>
                                <w:iCs w:val="0"/>
                                <w:color w:val="000000" w:themeColor="text1"/>
                                <w:sz w:val="28"/>
                                <w:szCs w:val="28"/>
                              </w:rPr>
                            </w:pPr>
                            <w:r w:rsidRPr="004A621E">
                              <w:rPr>
                                <w:b/>
                                <w:bCs/>
                                <w:i w:val="0"/>
                                <w:iCs w:val="0"/>
                                <w:sz w:val="22"/>
                                <w:szCs w:val="22"/>
                              </w:rPr>
                              <w:t xml:space="preserve">Figure </w:t>
                            </w:r>
                            <w:r w:rsidRPr="004A621E">
                              <w:rPr>
                                <w:b/>
                                <w:bCs/>
                                <w:i w:val="0"/>
                                <w:iCs w:val="0"/>
                                <w:sz w:val="22"/>
                                <w:szCs w:val="22"/>
                              </w:rPr>
                              <w:fldChar w:fldCharType="begin"/>
                            </w:r>
                            <w:r w:rsidRPr="004A621E">
                              <w:rPr>
                                <w:b/>
                                <w:bCs/>
                                <w:i w:val="0"/>
                                <w:iCs w:val="0"/>
                                <w:sz w:val="22"/>
                                <w:szCs w:val="22"/>
                              </w:rPr>
                              <w:instrText xml:space="preserve"> SEQ Figure \* ARABIC </w:instrText>
                            </w:r>
                            <w:r w:rsidRPr="004A621E">
                              <w:rPr>
                                <w:b/>
                                <w:bCs/>
                                <w:i w:val="0"/>
                                <w:iCs w:val="0"/>
                                <w:sz w:val="22"/>
                                <w:szCs w:val="22"/>
                              </w:rPr>
                              <w:fldChar w:fldCharType="separate"/>
                            </w:r>
                            <w:r w:rsidRPr="004A621E">
                              <w:rPr>
                                <w:b/>
                                <w:bCs/>
                                <w:i w:val="0"/>
                                <w:iCs w:val="0"/>
                                <w:sz w:val="22"/>
                                <w:szCs w:val="22"/>
                              </w:rPr>
                              <w:t>3</w:t>
                            </w:r>
                            <w:r w:rsidRPr="004A621E">
                              <w:rPr>
                                <w:b/>
                                <w:bCs/>
                                <w:i w:val="0"/>
                                <w:iCs w:val="0"/>
                                <w:sz w:val="22"/>
                                <w:szCs w:val="22"/>
                              </w:rPr>
                              <w:fldChar w:fldCharType="end"/>
                            </w:r>
                            <w:r w:rsidRPr="004A621E">
                              <w:rPr>
                                <w:b/>
                                <w:bCs/>
                                <w:i w:val="0"/>
                                <w:iCs w:val="0"/>
                                <w:sz w:val="22"/>
                                <w:szCs w:val="22"/>
                              </w:rPr>
                              <w:t>: Line managers (Bhasin,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508DCB" id="_x0000_s1028" type="#_x0000_t202" style="position:absolute;left:0;text-align:left;margin-left:0;margin-top:556.2pt;width:451.3pt;height:20.35pt;z-index:251666432;visibility:visible;mso-wrap-style:square;mso-wrap-distance-left:9pt;mso-wrap-distance-top:0;mso-wrap-distance-right:9pt;mso-wrap-distance-bottom:0;mso-position-horizontal:lef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" stroked="f">
                <v:textbox style="mso-fit-shape-to-text:t" inset="0,0,0,0">
                  <w:txbxContent>
                    <w:p w14:paraId="635DF0E3" w14:textId="5A485FE1" w:rsidR="00F64BEE" w:rsidRPr="004A621E" w:rsidRDefault="00F64BEE" w:rsidP="00F64BEE">
                      <w:pPr>
                        <w:pStyle w:val="Caption"/>
                        <w:jc w:val="center"/>
                        <w:rPr>
                          <w:b/>
                          <w:bCs/>
                          <w:i w:val="0"/>
                          <w:iCs w:val="0"/>
                          <w:color w:val="000000" w:themeColor="text1"/>
                          <w:sz w:val="28"/>
                          <w:szCs w:val="28"/>
                        </w:rPr>
                      </w:pPr>
                      <w:r w:rsidRPr="004A621E">
                        <w:rPr>
                          <w:b/>
                          <w:bCs/>
                          <w:i w:val="0"/>
                          <w:iCs w:val="0"/>
                          <w:sz w:val="22"/>
                          <w:szCs w:val="22"/>
                        </w:rPr>
                        <w:t xml:space="preserve">Figure </w:t>
                      </w:r>
                      <w:r w:rsidRPr="004A621E">
                        <w:rPr>
                          <w:b/>
                          <w:bCs/>
                          <w:i w:val="0"/>
                          <w:iCs w:val="0"/>
                          <w:sz w:val="22"/>
                          <w:szCs w:val="22"/>
                        </w:rPr>
                        <w:fldChar w:fldCharType="begin"/>
                      </w:r>
                      <w:r w:rsidRPr="004A621E">
                        <w:rPr>
                          <w:b/>
                          <w:bCs/>
                          <w:i w:val="0"/>
                          <w:iCs w:val="0"/>
                          <w:sz w:val="22"/>
                          <w:szCs w:val="22"/>
                        </w:rPr>
                        <w:instrText xml:space="preserve"> SEQ Figure \* ARABIC </w:instrText>
                      </w:r>
                      <w:r w:rsidRPr="004A621E">
                        <w:rPr>
                          <w:b/>
                          <w:bCs/>
                          <w:i w:val="0"/>
                          <w:iCs w:val="0"/>
                          <w:sz w:val="22"/>
                          <w:szCs w:val="22"/>
                        </w:rPr>
                        <w:fldChar w:fldCharType="separate"/>
                      </w:r>
                      <w:r w:rsidRPr="004A621E">
                        <w:rPr>
                          <w:b/>
                          <w:bCs/>
                          <w:i w:val="0"/>
                          <w:iCs w:val="0"/>
                          <w:sz w:val="22"/>
                          <w:szCs w:val="22"/>
                        </w:rPr>
                        <w:t>3</w:t>
                      </w:r>
                      <w:r w:rsidRPr="004A621E">
                        <w:rPr>
                          <w:b/>
                          <w:bCs/>
                          <w:i w:val="0"/>
                          <w:iCs w:val="0"/>
                          <w:sz w:val="22"/>
                          <w:szCs w:val="22"/>
                        </w:rPr>
                        <w:fldChar w:fldCharType="end"/>
                      </w:r>
                      <w:r w:rsidRPr="004A621E">
                        <w:rPr>
                          <w:b/>
                          <w:bCs/>
                          <w:i w:val="0"/>
                          <w:iCs w:val="0"/>
                          <w:sz w:val="22"/>
                          <w:szCs w:val="22"/>
                        </w:rPr>
                        <w:t>: Line managers (Bhasin, 2019)</w:t>
                      </w:r>
                    </w:p>
                  </w:txbxContent>
                </v:textbox>
                <w10:wrap type="topAndBottom" anchorx="margin" anchory="page"/>
              </v:shape>
            </w:pict>
          </mc:Fallback>
        </mc:AlternateContent>
      </w:r>
      <w:r w:rsidRPr="004A621E">
        <w:rPr>
          <w:noProof/>
        </w:rPr>
        <w:drawing>
          <wp:anchor distT="0" distB="0" distL="114300" distR="114300" simplePos="0" relativeHeight="251664384" behindDoc="0" locked="0" layoutInCell="1" allowOverlap="1" wp14:anchorId="580B1379" wp14:editId="5B523F9E">
            <wp:simplePos x="0" y="0"/>
            <wp:positionH relativeFrom="column">
              <wp:posOffset>0</wp:posOffset>
            </wp:positionH>
            <wp:positionV relativeFrom="page">
              <wp:posOffset>4450080</wp:posOffset>
            </wp:positionV>
            <wp:extent cx="5731510" cy="2415540"/>
            <wp:effectExtent l="0" t="0" r="2540" b="3810"/>
            <wp:wrapTopAndBottom/>
            <wp:docPr id="73864556" name="Picture 5" descr="Who is Line Manager - Meaning, Responsibilities, Skills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o is Line Manager - Meaning, Responsibilities, Skills And Importance"/>
                    <pic:cNvPicPr>
                      <a:picLocks noChangeAspect="1" noChangeArrowheads="1"/>
                    </pic:cNvPicPr>
                  </pic:nvPicPr>
                  <pic:blipFill rotWithShape="1">
                    <a:blip r:embed="rId10">
                      <a:extLst>
                        <a:ext uri="{28A0092B-C50C-407E-A947-70E740481C1C}">
                          <a14:useLocalDpi xmlns:a14="http://schemas.microsoft.com/office/drawing/2010/main" val="0"/>
                        </a:ext>
                      </a:extLst>
                    </a:blip>
                    <a:srcRect t="17484" b="7620"/>
                    <a:stretch>
                      <a:fillRect/>
                    </a:stretch>
                  </pic:blipFill>
                  <pic:spPr bwMode="auto">
                    <a:xfrm>
                      <a:off x="0" y="0"/>
                      <a:ext cx="5731510" cy="2415540"/>
                    </a:xfrm>
                    <a:prstGeom prst="rect">
                      <a:avLst/>
                    </a:prstGeom>
                    <a:noFill/>
                    <a:ln>
                      <a:noFill/>
                    </a:ln>
                    <a:extLst>
                      <a:ext uri="{53640926-AAD7-44D8-BBD7-CCE9431645EC}">
                        <a14:shadowObscured xmlns:a14="http://schemas.microsoft.com/office/drawing/2010/main"/>
                      </a:ext>
                    </a:extLst>
                  </pic:spPr>
                </pic:pic>
              </a:graphicData>
            </a:graphic>
          </wp:anchor>
        </w:drawing>
      </w:r>
    </w:p>
    <w:p w14:paraId="5E437B33" w14:textId="77777777" w:rsidR="00A05A00" w:rsidRDefault="00A05A00" w:rsidP="00AB660A">
      <w:pPr>
        <w:pStyle w:val="Heading2"/>
        <w:rPr>
          <w:rFonts w:ascii="Arial" w:hAnsi="Arial" w:cs="Arial"/>
        </w:rPr>
      </w:pPr>
      <w:bookmarkStart w:id="11" w:name="_Toc221663249"/>
    </w:p>
    <w:p w14:paraId="4FBA6022" w14:textId="3BA90577" w:rsidR="00524AB2" w:rsidRPr="00A05A00" w:rsidRDefault="00524AB2" w:rsidP="00AB660A">
      <w:pPr>
        <w:pStyle w:val="Heading2"/>
        <w:rPr>
          <w:rFonts w:ascii="Arial" w:hAnsi="Arial" w:cs="Arial"/>
        </w:rPr>
      </w:pPr>
      <w:r w:rsidRPr="00A05A00">
        <w:rPr>
          <w:rFonts w:ascii="Arial" w:hAnsi="Arial" w:cs="Arial"/>
        </w:rPr>
        <w:t>4.2 Implementation and change frameworks</w:t>
      </w:r>
      <w:bookmarkEnd w:id="11"/>
    </w:p>
    <w:p w14:paraId="3C06DF61" w14:textId="3BADED1D" w:rsidR="00524AB2" w:rsidRPr="004A621E" w:rsidRDefault="00524AB2" w:rsidP="00524AB2">
      <w:pPr>
        <w:rPr>
          <w:rFonts w:cs="Times New Roman"/>
          <w:szCs w:val="24"/>
        </w:rPr>
      </w:pPr>
      <w:r w:rsidRPr="004A621E">
        <w:rPr>
          <w:rFonts w:cs="Times New Roman"/>
          <w:szCs w:val="24"/>
        </w:rPr>
        <w:t>The implementation of new HR practices can be organised through change models, which include the unfreeze, change, and refreeze stages used by Lewin or the urgency and coalition-building stages used by Kotter. In the case of technological change, the unfreeze stage may include the sharing of data on customer expectations and operational issues, thus ensuring that the personnel know the reasons why systems need to change</w:t>
      </w:r>
      <w:r w:rsidR="00A07014" w:rsidRPr="004A621E">
        <w:t xml:space="preserve"> </w:t>
      </w:r>
      <w:r w:rsidR="00A07014" w:rsidRPr="004A621E">
        <w:rPr>
          <w:rFonts w:cs="Times New Roman"/>
          <w:szCs w:val="24"/>
        </w:rPr>
        <w:t>(Armstrong and Taylor, 2023)</w:t>
      </w:r>
      <w:r w:rsidRPr="004A621E">
        <w:rPr>
          <w:rFonts w:cs="Times New Roman"/>
          <w:szCs w:val="24"/>
        </w:rPr>
        <w:t xml:space="preserve">. The change stage would involve participation in procedure and training design, and refreezing would involve a new job description and performance measures that reinforce new </w:t>
      </w:r>
      <w:r w:rsidRPr="004A621E">
        <w:rPr>
          <w:rFonts w:cs="Times New Roman"/>
          <w:szCs w:val="24"/>
        </w:rPr>
        <w:lastRenderedPageBreak/>
        <w:t>behaviours. Urgency can be generated in DEI through the transparency of data on representation and pay gaps, and the establishment of clear goals of improvement. According to critics, such models can simplify change, which is not necessarily linear. Nevertheless, they are also a useful language for managers. The HR must offer managers templates, examples of good practice, and coaching, instead of asking them to interpret the models independently. It must also change expectations in cases where constraints or conflicting targets on resources render immediate change unrealistic.</w:t>
      </w:r>
    </w:p>
    <w:p w14:paraId="6EB45CB5" w14:textId="1628267D" w:rsidR="00524AB2" w:rsidRPr="00752BEC" w:rsidRDefault="00524AB2" w:rsidP="00AB660A">
      <w:pPr>
        <w:pStyle w:val="Heading2"/>
        <w:rPr>
          <w:rFonts w:ascii="Arial" w:hAnsi="Arial" w:cs="Arial"/>
        </w:rPr>
      </w:pPr>
      <w:bookmarkStart w:id="12" w:name="_Toc221663250"/>
      <w:r w:rsidRPr="00752BEC">
        <w:rPr>
          <w:rFonts w:ascii="Arial" w:hAnsi="Arial" w:cs="Arial"/>
        </w:rPr>
        <w:t>4.3 Evidence-based criticism of Tesco and a pilot proposal</w:t>
      </w:r>
      <w:bookmarkEnd w:id="12"/>
    </w:p>
    <w:p w14:paraId="18558F1B" w14:textId="14394D07" w:rsidR="00524AB2" w:rsidRPr="004A621E" w:rsidRDefault="00524AB2" w:rsidP="00524AB2">
      <w:pPr>
        <w:rPr>
          <w:rFonts w:cs="Times New Roman"/>
          <w:szCs w:val="24"/>
        </w:rPr>
      </w:pPr>
      <w:r w:rsidRPr="004A621E">
        <w:rPr>
          <w:rFonts w:cs="Times New Roman"/>
          <w:szCs w:val="24"/>
        </w:rPr>
        <w:t>The reports published by Tesco give a strengthened narrative on technology, people, and DEI, but external surveys and media reports tend to show that there are still concerns regarding workload and inclusion. This implies that the quality of implementation is different in locations. The evidence-based critique would suggest that Tesco should have better internal feedback loops, such as anonymous surveys that would associate results with particular stores or regions. It would use a more transparent appraisal of HR initiatives. An AI ethics review panel can be recruited as one of the practical pilots, which can include HR, legal, store managers, and representatives of colleagues</w:t>
      </w:r>
      <w:r w:rsidR="00A07014" w:rsidRPr="004A621E">
        <w:t xml:space="preserve"> </w:t>
      </w:r>
      <w:r w:rsidR="00A07014" w:rsidRPr="004A621E">
        <w:rPr>
          <w:rFonts w:cs="Times New Roman"/>
          <w:szCs w:val="24"/>
        </w:rPr>
        <w:t>(Banton, 2019)</w:t>
      </w:r>
      <w:r w:rsidRPr="004A621E">
        <w:rPr>
          <w:rFonts w:cs="Times New Roman"/>
          <w:szCs w:val="24"/>
        </w:rPr>
        <w:t>. This team would evaluate algorithm design, test the negative impact, and publish a summary outcome. This is another pilot that could establish store-level inclusion ambassadors and has secured time to get feedback and endorse local activity. Both programs entail expenditures, although possible advantages are fewer complaints, improved choices in staffing, and enhanced trustworthiness, which can be applied to the long-term performance</w:t>
      </w:r>
      <w:r w:rsidR="00F371A1" w:rsidRPr="004A621E">
        <w:t xml:space="preserve"> </w:t>
      </w:r>
      <w:r w:rsidR="00F371A1" w:rsidRPr="004A621E">
        <w:rPr>
          <w:rFonts w:cs="Times New Roman"/>
          <w:szCs w:val="24"/>
        </w:rPr>
        <w:t>(BBC, 2021)</w:t>
      </w:r>
      <w:r w:rsidRPr="004A621E">
        <w:rPr>
          <w:rFonts w:cs="Times New Roman"/>
          <w:szCs w:val="24"/>
        </w:rPr>
        <w:t>.</w:t>
      </w:r>
    </w:p>
    <w:p w14:paraId="255FC252" w14:textId="77777777" w:rsidR="00524AB2" w:rsidRPr="004A621E" w:rsidRDefault="00524AB2" w:rsidP="00524AB2">
      <w:pPr>
        <w:rPr>
          <w:rFonts w:cs="Times New Roman"/>
          <w:szCs w:val="24"/>
        </w:rPr>
      </w:pPr>
    </w:p>
    <w:p w14:paraId="5087051B" w14:textId="77777777" w:rsidR="00AB660A" w:rsidRPr="004A621E" w:rsidRDefault="00AB660A">
      <w:pPr>
        <w:spacing w:line="259" w:lineRule="auto"/>
        <w:jc w:val="left"/>
        <w:rPr>
          <w:rFonts w:cs="Times New Roman"/>
          <w:szCs w:val="24"/>
        </w:rPr>
      </w:pPr>
      <w:r w:rsidRPr="004A621E">
        <w:rPr>
          <w:rFonts w:cs="Times New Roman"/>
          <w:szCs w:val="24"/>
        </w:rPr>
        <w:br w:type="page"/>
      </w:r>
    </w:p>
    <w:p w14:paraId="65AE9083" w14:textId="579816FF" w:rsidR="00524AB2" w:rsidRDefault="00524AB2" w:rsidP="00752BEC">
      <w:pPr>
        <w:pStyle w:val="Heading1"/>
        <w:jc w:val="center"/>
        <w:rPr>
          <w:rFonts w:ascii="Arial" w:hAnsi="Arial" w:cs="Arial"/>
        </w:rPr>
      </w:pPr>
      <w:bookmarkStart w:id="13" w:name="_Toc221663251"/>
      <w:r w:rsidRPr="00752BEC">
        <w:rPr>
          <w:rFonts w:ascii="Arial" w:hAnsi="Arial" w:cs="Arial"/>
        </w:rPr>
        <w:lastRenderedPageBreak/>
        <w:t>5</w:t>
      </w:r>
      <w:r w:rsidR="00752BEC">
        <w:rPr>
          <w:rFonts w:ascii="Arial" w:hAnsi="Arial" w:cs="Arial"/>
        </w:rPr>
        <w:t xml:space="preserve">. </w:t>
      </w:r>
      <w:r w:rsidRPr="00752BEC">
        <w:rPr>
          <w:rFonts w:ascii="Arial" w:hAnsi="Arial" w:cs="Arial"/>
        </w:rPr>
        <w:t>Conclusion</w:t>
      </w:r>
      <w:bookmarkEnd w:id="13"/>
    </w:p>
    <w:p w14:paraId="0B653C78" w14:textId="77777777" w:rsidR="00752BEC" w:rsidRPr="00752BEC" w:rsidRDefault="00752BEC" w:rsidP="00752BEC"/>
    <w:p w14:paraId="13D5073D" w14:textId="74EAF1CA" w:rsidR="00524AB2" w:rsidRPr="004A621E" w:rsidRDefault="00524AB2" w:rsidP="00524AB2">
      <w:pPr>
        <w:rPr>
          <w:rFonts w:cs="Times New Roman"/>
          <w:szCs w:val="24"/>
        </w:rPr>
      </w:pPr>
      <w:r w:rsidRPr="004A621E">
        <w:rPr>
          <w:rFonts w:cs="Times New Roman"/>
          <w:szCs w:val="24"/>
        </w:rPr>
        <w:t>At Tesco, the administrative issues that are linked together are technological change, talent, and DEI. The literature demonstrates the potential and risks of AI, high-performance HR systems, and inclusion, and emphasizes the tension between efficiency, fairness, and authenticity. Tesco has ensured these areas are visible, but evidence shows that practice is spotty and occasionally challenged. Implementation is primarily facilitated by the departmental managers, but the departmental managers require better support, responsibility, and participation in the design. Tesco can enhance employee experience and sustainable business performance by experimenting and optimizing certain initiatives, as well as by increasing the alignment of technology, talent, and DEI initiatives.</w:t>
      </w:r>
    </w:p>
    <w:p w14:paraId="166AEAF0" w14:textId="77777777" w:rsidR="00AB660A" w:rsidRPr="004A621E" w:rsidRDefault="00AB660A">
      <w:pPr>
        <w:spacing w:line="259" w:lineRule="auto"/>
        <w:jc w:val="left"/>
        <w:rPr>
          <w:rFonts w:cs="Times New Roman"/>
          <w:b/>
          <w:bCs/>
          <w:szCs w:val="24"/>
        </w:rPr>
      </w:pPr>
      <w:r w:rsidRPr="004A621E">
        <w:rPr>
          <w:rFonts w:cs="Times New Roman"/>
          <w:b/>
          <w:bCs/>
          <w:szCs w:val="24"/>
        </w:rPr>
        <w:br w:type="page"/>
      </w:r>
    </w:p>
    <w:p w14:paraId="2B41F945" w14:textId="75D184D9" w:rsidR="00373621" w:rsidRDefault="00373621" w:rsidP="00752BEC">
      <w:pPr>
        <w:pStyle w:val="Heading1"/>
        <w:jc w:val="center"/>
        <w:rPr>
          <w:rFonts w:ascii="Arial" w:hAnsi="Arial" w:cs="Arial"/>
        </w:rPr>
      </w:pPr>
      <w:bookmarkStart w:id="14" w:name="_Toc221663252"/>
      <w:r w:rsidRPr="00752BEC">
        <w:rPr>
          <w:rFonts w:ascii="Arial" w:hAnsi="Arial" w:cs="Arial"/>
        </w:rPr>
        <w:lastRenderedPageBreak/>
        <w:t>6.Recommendations</w:t>
      </w:r>
      <w:bookmarkEnd w:id="14"/>
    </w:p>
    <w:p w14:paraId="686C9E76" w14:textId="77777777" w:rsidR="00752BEC" w:rsidRPr="00752BEC" w:rsidRDefault="00752BEC" w:rsidP="00752BEC"/>
    <w:p w14:paraId="07451593" w14:textId="5C8D0499" w:rsidR="00373621" w:rsidRPr="004A621E" w:rsidRDefault="00373621" w:rsidP="00373621">
      <w:pPr>
        <w:rPr>
          <w:rFonts w:cs="Times New Roman"/>
          <w:szCs w:val="24"/>
        </w:rPr>
      </w:pPr>
      <w:r w:rsidRPr="004A621E">
        <w:rPr>
          <w:rFonts w:cs="Times New Roman"/>
          <w:szCs w:val="24"/>
        </w:rPr>
        <w:t>Tesco needs to make technological change more appropriate to people's development. There should be a clear introduction of new systems, which include AI tools, practical training, and an honest conversation about the possibility of role transformation. Managers require a basic direction on how to engage peers, receive feedback, and address concerns related to workload or observance.</w:t>
      </w:r>
    </w:p>
    <w:p w14:paraId="01629EAE" w14:textId="28F64709" w:rsidR="00373621" w:rsidRPr="004A621E" w:rsidRDefault="00373621" w:rsidP="00373621">
      <w:pPr>
        <w:rPr>
          <w:rFonts w:cs="Times New Roman"/>
          <w:szCs w:val="24"/>
        </w:rPr>
      </w:pPr>
      <w:r w:rsidRPr="004A621E">
        <w:rPr>
          <w:rFonts w:cs="Times New Roman"/>
          <w:szCs w:val="24"/>
        </w:rPr>
        <w:t>The policy design should not be the only way to test talent acquisition and retention practices. Tesco might work on realistic job previews, make flexible working and career opportunities actually work in high-foot-traffic stores, and integrate AI-aided screening with systematic human shortlisting. The analysis of turnover and internal movement statistics would reveal the areas where the employee value proposition was not met.</w:t>
      </w:r>
    </w:p>
    <w:p w14:paraId="649EFED6" w14:textId="210EDF0A" w:rsidR="00F371A1" w:rsidRPr="004A621E" w:rsidRDefault="00373621" w:rsidP="00373621">
      <w:pPr>
        <w:rPr>
          <w:rFonts w:cs="Times New Roman"/>
          <w:szCs w:val="24"/>
        </w:rPr>
      </w:pPr>
      <w:r w:rsidRPr="004A621E">
        <w:rPr>
          <w:rFonts w:cs="Times New Roman"/>
          <w:szCs w:val="24"/>
        </w:rPr>
        <w:t>DEI action must shift to the core messages of responsible local action. Store-level inclusion would be beneficial; managers should have clear expectations about fair scheduling and development, and frequent discussion of DEI data with teams. Simultaneously, the development of manager objectives and assistance around the use of technologies should be established by HR so that they are perceived not as additional elements of performance but as the essential elements.</w:t>
      </w:r>
    </w:p>
    <w:p w14:paraId="528F3D87" w14:textId="77777777" w:rsidR="00F371A1" w:rsidRPr="004A621E" w:rsidRDefault="00F371A1">
      <w:pPr>
        <w:spacing w:line="259" w:lineRule="auto"/>
        <w:jc w:val="left"/>
        <w:rPr>
          <w:rFonts w:cs="Times New Roman"/>
          <w:szCs w:val="24"/>
        </w:rPr>
      </w:pPr>
      <w:r w:rsidRPr="004A621E">
        <w:rPr>
          <w:rFonts w:cs="Times New Roman"/>
          <w:szCs w:val="24"/>
        </w:rPr>
        <w:br w:type="page"/>
      </w:r>
    </w:p>
    <w:p w14:paraId="1688EE29" w14:textId="6F4B3323" w:rsidR="00F371A1" w:rsidRPr="00752BEC" w:rsidRDefault="00F371A1" w:rsidP="00752BEC">
      <w:pPr>
        <w:pStyle w:val="Heading1"/>
        <w:jc w:val="center"/>
        <w:rPr>
          <w:rFonts w:ascii="Arial" w:hAnsi="Arial" w:cs="Arial"/>
        </w:rPr>
      </w:pPr>
      <w:bookmarkStart w:id="15" w:name="_Toc221663253"/>
      <w:r w:rsidRPr="00752BEC">
        <w:rPr>
          <w:rFonts w:ascii="Arial" w:hAnsi="Arial" w:cs="Arial"/>
        </w:rPr>
        <w:lastRenderedPageBreak/>
        <w:t>7.Reference list</w:t>
      </w:r>
      <w:bookmarkEnd w:id="15"/>
    </w:p>
    <w:p w14:paraId="1E255677" w14:textId="77777777" w:rsidR="00F371A1" w:rsidRPr="004A621E" w:rsidRDefault="00F371A1" w:rsidP="00F371A1">
      <w:pPr>
        <w:rPr>
          <w:rFonts w:cs="Times New Roman"/>
          <w:szCs w:val="24"/>
        </w:rPr>
      </w:pPr>
      <w:r w:rsidRPr="004A621E">
        <w:rPr>
          <w:rFonts w:cs="Times New Roman"/>
          <w:szCs w:val="24"/>
        </w:rPr>
        <w:t xml:space="preserve">Armstrong, M. and Taylor, S. (2023). </w:t>
      </w:r>
      <w:r w:rsidRPr="004A621E">
        <w:rPr>
          <w:rFonts w:cs="Times New Roman"/>
          <w:i/>
          <w:iCs/>
          <w:szCs w:val="24"/>
        </w:rPr>
        <w:t>Armstrong’s Handbook of Human Resource Management Practice</w:t>
      </w:r>
      <w:r w:rsidRPr="004A621E">
        <w:rPr>
          <w:rFonts w:cs="Times New Roman"/>
          <w:szCs w:val="24"/>
        </w:rPr>
        <w:t>. 16th ed. London: Kogan Page.</w:t>
      </w:r>
    </w:p>
    <w:p w14:paraId="1972D638" w14:textId="77777777" w:rsidR="00F371A1" w:rsidRPr="004A621E" w:rsidRDefault="00F371A1" w:rsidP="00F371A1">
      <w:pPr>
        <w:rPr>
          <w:rFonts w:cs="Times New Roman"/>
          <w:szCs w:val="24"/>
        </w:rPr>
      </w:pPr>
      <w:r w:rsidRPr="004A621E">
        <w:rPr>
          <w:rFonts w:cs="Times New Roman"/>
          <w:szCs w:val="24"/>
        </w:rPr>
        <w:t xml:space="preserve">Banton, C.L. (2019). Advancing Technologies in Human Resource Development (HRD). </w:t>
      </w:r>
      <w:r w:rsidRPr="004A621E">
        <w:rPr>
          <w:rFonts w:cs="Times New Roman"/>
          <w:i/>
          <w:iCs/>
          <w:szCs w:val="24"/>
        </w:rPr>
        <w:t>Advances in the Technology of Managing People: Contemporary Issues in Business</w:t>
      </w:r>
      <w:r w:rsidRPr="004A621E">
        <w:rPr>
          <w:rFonts w:cs="Times New Roman"/>
          <w:szCs w:val="24"/>
        </w:rPr>
        <w:t xml:space="preserve">, pp.25–36. </w:t>
      </w:r>
      <w:proofErr w:type="spellStart"/>
      <w:r w:rsidRPr="004A621E">
        <w:rPr>
          <w:rFonts w:cs="Times New Roman"/>
          <w:szCs w:val="24"/>
        </w:rPr>
        <w:t>doi:https</w:t>
      </w:r>
      <w:proofErr w:type="spellEnd"/>
      <w:r w:rsidRPr="004A621E">
        <w:rPr>
          <w:rFonts w:cs="Times New Roman"/>
          <w:szCs w:val="24"/>
        </w:rPr>
        <w:t>://doi.org/10.1108/978-1-78973-073-920191003.</w:t>
      </w:r>
    </w:p>
    <w:p w14:paraId="6590E4A7" w14:textId="77777777" w:rsidR="00F371A1" w:rsidRPr="004A621E" w:rsidRDefault="00F371A1" w:rsidP="00F371A1">
      <w:pPr>
        <w:rPr>
          <w:rFonts w:cs="Times New Roman"/>
          <w:szCs w:val="24"/>
        </w:rPr>
      </w:pPr>
      <w:r w:rsidRPr="004A621E">
        <w:rPr>
          <w:rFonts w:cs="Times New Roman"/>
          <w:szCs w:val="24"/>
        </w:rPr>
        <w:t xml:space="preserve">BBC (2021). Tesco staff win legal argument in equal pay fight. </w:t>
      </w:r>
      <w:r w:rsidRPr="004A621E">
        <w:rPr>
          <w:rFonts w:cs="Times New Roman"/>
          <w:i/>
          <w:iCs/>
          <w:szCs w:val="24"/>
        </w:rPr>
        <w:t>BBC News</w:t>
      </w:r>
      <w:r w:rsidRPr="004A621E">
        <w:rPr>
          <w:rFonts w:cs="Times New Roman"/>
          <w:szCs w:val="24"/>
        </w:rPr>
        <w:t>. [online] Available at: https://www.bbc.com/news/business-57343892.</w:t>
      </w:r>
    </w:p>
    <w:p w14:paraId="02A0D15C" w14:textId="77777777" w:rsidR="00F371A1" w:rsidRPr="004A621E" w:rsidRDefault="00F371A1" w:rsidP="00F371A1">
      <w:pPr>
        <w:rPr>
          <w:rFonts w:cs="Times New Roman"/>
          <w:szCs w:val="24"/>
        </w:rPr>
      </w:pPr>
      <w:r w:rsidRPr="004A621E">
        <w:rPr>
          <w:rFonts w:cs="Times New Roman"/>
          <w:szCs w:val="24"/>
        </w:rPr>
        <w:t xml:space="preserve">Bhasin , H. (2019). </w:t>
      </w:r>
      <w:r w:rsidRPr="004A621E">
        <w:rPr>
          <w:rFonts w:cs="Times New Roman"/>
          <w:i/>
          <w:iCs/>
          <w:szCs w:val="24"/>
        </w:rPr>
        <w:t>Who is Line Manager - Meaning, Responsibilities, Skills And Importance</w:t>
      </w:r>
      <w:r w:rsidRPr="004A621E">
        <w:rPr>
          <w:rFonts w:cs="Times New Roman"/>
          <w:szCs w:val="24"/>
        </w:rPr>
        <w:t>. [online] Marketing91. Available at: https://www.marketing91.com/line-manager-responsibilities-skills/.</w:t>
      </w:r>
    </w:p>
    <w:p w14:paraId="6E8C5F1B" w14:textId="77777777" w:rsidR="00F371A1" w:rsidRPr="004A621E" w:rsidRDefault="00F371A1" w:rsidP="00F371A1">
      <w:pPr>
        <w:rPr>
          <w:rFonts w:cs="Times New Roman"/>
          <w:szCs w:val="24"/>
        </w:rPr>
      </w:pPr>
      <w:r w:rsidRPr="004A621E">
        <w:rPr>
          <w:rFonts w:cs="Times New Roman"/>
          <w:szCs w:val="24"/>
        </w:rPr>
        <w:t xml:space="preserve">Charlwood, A. and </w:t>
      </w:r>
      <w:proofErr w:type="spellStart"/>
      <w:r w:rsidRPr="004A621E">
        <w:rPr>
          <w:rFonts w:cs="Times New Roman"/>
          <w:szCs w:val="24"/>
        </w:rPr>
        <w:t>Guenole</w:t>
      </w:r>
      <w:proofErr w:type="spellEnd"/>
      <w:r w:rsidRPr="004A621E">
        <w:rPr>
          <w:rFonts w:cs="Times New Roman"/>
          <w:szCs w:val="24"/>
        </w:rPr>
        <w:t xml:space="preserve">, N. (2022). Can HR adapt to the paradoxes of artificial intelligence? </w:t>
      </w:r>
      <w:r w:rsidRPr="004A621E">
        <w:rPr>
          <w:rFonts w:cs="Times New Roman"/>
          <w:i/>
          <w:iCs/>
          <w:szCs w:val="24"/>
        </w:rPr>
        <w:t>Human Resource Management Journal</w:t>
      </w:r>
      <w:r w:rsidRPr="004A621E">
        <w:rPr>
          <w:rFonts w:cs="Times New Roman"/>
          <w:szCs w:val="24"/>
        </w:rPr>
        <w:t xml:space="preserve">, [online] 32(4), pp.729–742. </w:t>
      </w:r>
      <w:proofErr w:type="spellStart"/>
      <w:r w:rsidRPr="004A621E">
        <w:rPr>
          <w:rFonts w:cs="Times New Roman"/>
          <w:szCs w:val="24"/>
        </w:rPr>
        <w:t>doi:https</w:t>
      </w:r>
      <w:proofErr w:type="spellEnd"/>
      <w:r w:rsidRPr="004A621E">
        <w:rPr>
          <w:rFonts w:cs="Times New Roman"/>
          <w:szCs w:val="24"/>
        </w:rPr>
        <w:t>://doi.org/10.1111/1748-8583.12433.</w:t>
      </w:r>
    </w:p>
    <w:p w14:paraId="1A2980DB" w14:textId="77777777" w:rsidR="00F371A1" w:rsidRPr="004A621E" w:rsidRDefault="00F371A1" w:rsidP="00F371A1">
      <w:pPr>
        <w:rPr>
          <w:rFonts w:cs="Times New Roman"/>
          <w:szCs w:val="24"/>
        </w:rPr>
      </w:pPr>
      <w:r w:rsidRPr="004A621E">
        <w:rPr>
          <w:rFonts w:cs="Times New Roman"/>
          <w:szCs w:val="24"/>
        </w:rPr>
        <w:t xml:space="preserve">Chowdhury, S., </w:t>
      </w:r>
      <w:proofErr w:type="spellStart"/>
      <w:r w:rsidRPr="004A621E">
        <w:rPr>
          <w:rFonts w:cs="Times New Roman"/>
          <w:szCs w:val="24"/>
        </w:rPr>
        <w:t>Budhwar</w:t>
      </w:r>
      <w:proofErr w:type="spellEnd"/>
      <w:r w:rsidRPr="004A621E">
        <w:rPr>
          <w:rFonts w:cs="Times New Roman"/>
          <w:szCs w:val="24"/>
        </w:rPr>
        <w:t xml:space="preserve">, P. and Wood, G. (2024). Generative Artificial Intelligence in Business: Towards a Strategic Human Resource Management Framework. </w:t>
      </w:r>
      <w:r w:rsidRPr="004A621E">
        <w:rPr>
          <w:rFonts w:cs="Times New Roman"/>
          <w:i/>
          <w:iCs/>
          <w:szCs w:val="24"/>
        </w:rPr>
        <w:t>British journal of management</w:t>
      </w:r>
      <w:r w:rsidRPr="004A621E">
        <w:rPr>
          <w:rFonts w:cs="Times New Roman"/>
          <w:szCs w:val="24"/>
        </w:rPr>
        <w:t xml:space="preserve">, 35(4). </w:t>
      </w:r>
      <w:proofErr w:type="spellStart"/>
      <w:r w:rsidRPr="004A621E">
        <w:rPr>
          <w:rFonts w:cs="Times New Roman"/>
          <w:szCs w:val="24"/>
        </w:rPr>
        <w:t>doi:https</w:t>
      </w:r>
      <w:proofErr w:type="spellEnd"/>
      <w:r w:rsidRPr="004A621E">
        <w:rPr>
          <w:rFonts w:cs="Times New Roman"/>
          <w:szCs w:val="24"/>
        </w:rPr>
        <w:t>://doi.org/10.1111/1467-8551.12824.</w:t>
      </w:r>
    </w:p>
    <w:p w14:paraId="45410748" w14:textId="77777777" w:rsidR="00F371A1" w:rsidRPr="004A621E" w:rsidRDefault="00F371A1" w:rsidP="00F371A1">
      <w:pPr>
        <w:rPr>
          <w:rFonts w:cs="Times New Roman"/>
          <w:szCs w:val="24"/>
        </w:rPr>
      </w:pPr>
      <w:r w:rsidRPr="004A621E">
        <w:rPr>
          <w:rFonts w:cs="Times New Roman"/>
          <w:szCs w:val="24"/>
        </w:rPr>
        <w:t xml:space="preserve">EVE LIST. (2020). </w:t>
      </w:r>
      <w:r w:rsidRPr="004A621E">
        <w:rPr>
          <w:rFonts w:cs="Times New Roman"/>
          <w:i/>
          <w:iCs/>
          <w:szCs w:val="24"/>
        </w:rPr>
        <w:t>Tesco PLC</w:t>
      </w:r>
      <w:r w:rsidRPr="004A621E">
        <w:rPr>
          <w:rFonts w:cs="Times New Roman"/>
          <w:szCs w:val="24"/>
        </w:rPr>
        <w:t>. [online] Available at: https://evelist.org/listing/tesco-plc/.</w:t>
      </w:r>
    </w:p>
    <w:p w14:paraId="6AC1380F" w14:textId="77777777" w:rsidR="00F371A1" w:rsidRPr="004A621E" w:rsidRDefault="00F371A1" w:rsidP="00F371A1">
      <w:pPr>
        <w:rPr>
          <w:rFonts w:cs="Times New Roman"/>
          <w:szCs w:val="24"/>
        </w:rPr>
      </w:pPr>
      <w:r w:rsidRPr="004A621E">
        <w:rPr>
          <w:rFonts w:cs="Times New Roman"/>
          <w:szCs w:val="24"/>
        </w:rPr>
        <w:t xml:space="preserve">Hassan, Z. (2022). Employee retention through effective human resource management practices in Maldives: Mediation effects of compensation and rewards system. </w:t>
      </w:r>
      <w:r w:rsidRPr="004A621E">
        <w:rPr>
          <w:rFonts w:cs="Times New Roman"/>
          <w:i/>
          <w:iCs/>
          <w:szCs w:val="24"/>
        </w:rPr>
        <w:t>Journal of Entrepreneurship, Management and Innovation</w:t>
      </w:r>
      <w:r w:rsidRPr="004A621E">
        <w:rPr>
          <w:rFonts w:cs="Times New Roman"/>
          <w:szCs w:val="24"/>
        </w:rPr>
        <w:t xml:space="preserve">, [online] 18(2), pp.137–173. </w:t>
      </w:r>
      <w:proofErr w:type="spellStart"/>
      <w:r w:rsidRPr="004A621E">
        <w:rPr>
          <w:rFonts w:cs="Times New Roman"/>
          <w:szCs w:val="24"/>
        </w:rPr>
        <w:t>doi:https</w:t>
      </w:r>
      <w:proofErr w:type="spellEnd"/>
      <w:r w:rsidRPr="004A621E">
        <w:rPr>
          <w:rFonts w:cs="Times New Roman"/>
          <w:szCs w:val="24"/>
        </w:rPr>
        <w:t>://doi.org/10.7341/20221825.</w:t>
      </w:r>
    </w:p>
    <w:p w14:paraId="11908EAA" w14:textId="77777777" w:rsidR="00F371A1" w:rsidRPr="004A621E" w:rsidRDefault="00F371A1" w:rsidP="00F371A1">
      <w:pPr>
        <w:rPr>
          <w:rFonts w:cs="Times New Roman"/>
          <w:szCs w:val="24"/>
        </w:rPr>
      </w:pPr>
      <w:r w:rsidRPr="004A621E">
        <w:rPr>
          <w:rFonts w:cs="Times New Roman"/>
          <w:szCs w:val="24"/>
        </w:rPr>
        <w:t xml:space="preserve">IMPM (2024). </w:t>
      </w:r>
      <w:r w:rsidRPr="004A621E">
        <w:rPr>
          <w:rFonts w:cs="Times New Roman"/>
          <w:i/>
          <w:iCs/>
          <w:szCs w:val="24"/>
        </w:rPr>
        <w:t xml:space="preserve">Diversity, Equity, and Inclusion (DEI) as a Competitive Advantage? - International </w:t>
      </w:r>
      <w:r w:rsidRPr="004A621E">
        <w:rPr>
          <w:rFonts w:ascii="MS Gothic" w:eastAsia="MS Gothic" w:hAnsi="MS Gothic" w:cs="MS Gothic" w:hint="eastAsia"/>
          <w:i/>
          <w:iCs/>
          <w:szCs w:val="24"/>
        </w:rPr>
        <w:t> </w:t>
      </w:r>
      <w:proofErr w:type="spellStart"/>
      <w:r w:rsidRPr="004A621E">
        <w:rPr>
          <w:rFonts w:cs="Times New Roman"/>
          <w:i/>
          <w:iCs/>
          <w:szCs w:val="24"/>
        </w:rPr>
        <w:t>Masters</w:t>
      </w:r>
      <w:proofErr w:type="spellEnd"/>
      <w:r w:rsidRPr="004A621E">
        <w:rPr>
          <w:rFonts w:cs="Times New Roman"/>
          <w:i/>
          <w:iCs/>
          <w:szCs w:val="24"/>
        </w:rPr>
        <w:t xml:space="preserve"> Program for Managers</w:t>
      </w:r>
      <w:r w:rsidRPr="004A621E">
        <w:rPr>
          <w:rFonts w:cs="Times New Roman"/>
          <w:szCs w:val="24"/>
        </w:rPr>
        <w:t xml:space="preserve">. [online] International </w:t>
      </w:r>
      <w:r w:rsidRPr="004A621E">
        <w:rPr>
          <w:rFonts w:ascii="MS Gothic" w:eastAsia="MS Gothic" w:hAnsi="MS Gothic" w:cs="MS Gothic" w:hint="eastAsia"/>
          <w:szCs w:val="24"/>
        </w:rPr>
        <w:t> </w:t>
      </w:r>
      <w:proofErr w:type="spellStart"/>
      <w:r w:rsidRPr="004A621E">
        <w:rPr>
          <w:rFonts w:cs="Times New Roman"/>
          <w:szCs w:val="24"/>
        </w:rPr>
        <w:t>Masters</w:t>
      </w:r>
      <w:proofErr w:type="spellEnd"/>
      <w:r w:rsidRPr="004A621E">
        <w:rPr>
          <w:rFonts w:cs="Times New Roman"/>
          <w:szCs w:val="24"/>
        </w:rPr>
        <w:t xml:space="preserve"> Program for Managers. Available at: https://impm.org/previous-events/diversity-equity-and-inclusion-dei-as-a-competitive-advantage.</w:t>
      </w:r>
    </w:p>
    <w:p w14:paraId="71BDC2DB" w14:textId="77777777" w:rsidR="00F371A1" w:rsidRPr="004A621E" w:rsidRDefault="00F371A1" w:rsidP="00F371A1">
      <w:pPr>
        <w:rPr>
          <w:rFonts w:cs="Times New Roman"/>
          <w:szCs w:val="24"/>
        </w:rPr>
      </w:pPr>
      <w:r w:rsidRPr="004A621E">
        <w:rPr>
          <w:rFonts w:cs="Times New Roman"/>
          <w:szCs w:val="24"/>
        </w:rPr>
        <w:t xml:space="preserve">Marchington, M., Wilkinson, A., Donnelly, R. and </w:t>
      </w:r>
      <w:proofErr w:type="spellStart"/>
      <w:r w:rsidRPr="004A621E">
        <w:rPr>
          <w:rFonts w:cs="Times New Roman"/>
          <w:szCs w:val="24"/>
        </w:rPr>
        <w:t>Kynighou</w:t>
      </w:r>
      <w:proofErr w:type="spellEnd"/>
      <w:r w:rsidRPr="004A621E">
        <w:rPr>
          <w:rFonts w:cs="Times New Roman"/>
          <w:szCs w:val="24"/>
        </w:rPr>
        <w:t xml:space="preserve">, A. (2020). </w:t>
      </w:r>
      <w:r w:rsidRPr="004A621E">
        <w:rPr>
          <w:rFonts w:cs="Times New Roman"/>
          <w:i/>
          <w:iCs/>
          <w:szCs w:val="24"/>
        </w:rPr>
        <w:t>Human Resource Management at work.</w:t>
      </w:r>
      <w:r w:rsidRPr="004A621E">
        <w:rPr>
          <w:rFonts w:cs="Times New Roman"/>
          <w:szCs w:val="24"/>
        </w:rPr>
        <w:t xml:space="preserve"> London: Chartered Institute Of Personnel And Development.</w:t>
      </w:r>
    </w:p>
    <w:p w14:paraId="17E9471E" w14:textId="77777777" w:rsidR="00F371A1" w:rsidRPr="004A621E" w:rsidRDefault="00F371A1" w:rsidP="00F371A1">
      <w:pPr>
        <w:rPr>
          <w:rFonts w:cs="Times New Roman"/>
          <w:szCs w:val="24"/>
        </w:rPr>
      </w:pPr>
      <w:r w:rsidRPr="004A621E">
        <w:rPr>
          <w:rFonts w:cs="Times New Roman"/>
          <w:szCs w:val="24"/>
        </w:rPr>
        <w:t xml:space="preserve">Minkin, R. (2023). </w:t>
      </w:r>
      <w:r w:rsidRPr="004A621E">
        <w:rPr>
          <w:rFonts w:cs="Times New Roman"/>
          <w:i/>
          <w:iCs/>
          <w:szCs w:val="24"/>
        </w:rPr>
        <w:t>Diversity, Equity and Inclusion in the Workplace</w:t>
      </w:r>
      <w:r w:rsidRPr="004A621E">
        <w:rPr>
          <w:rFonts w:cs="Times New Roman"/>
          <w:szCs w:val="24"/>
        </w:rPr>
        <w:t xml:space="preserve">. [online] Pew Research </w:t>
      </w:r>
      <w:proofErr w:type="spellStart"/>
      <w:r w:rsidRPr="004A621E">
        <w:rPr>
          <w:rFonts w:cs="Times New Roman"/>
          <w:szCs w:val="24"/>
        </w:rPr>
        <w:t>Center</w:t>
      </w:r>
      <w:proofErr w:type="spellEnd"/>
      <w:r w:rsidRPr="004A621E">
        <w:rPr>
          <w:rFonts w:cs="Times New Roman"/>
          <w:szCs w:val="24"/>
        </w:rPr>
        <w:t>. Available at: https://www.pewresearch.org/social-trends/2023/05/17/diversity-equity-and-inclusion-in-the-workplace/.</w:t>
      </w:r>
    </w:p>
    <w:p w14:paraId="6B5A119A" w14:textId="77777777" w:rsidR="00F371A1" w:rsidRPr="004A621E" w:rsidRDefault="00F371A1" w:rsidP="00F371A1">
      <w:pPr>
        <w:rPr>
          <w:rFonts w:cs="Times New Roman"/>
          <w:szCs w:val="24"/>
        </w:rPr>
      </w:pPr>
      <w:r w:rsidRPr="004A621E">
        <w:rPr>
          <w:rFonts w:cs="Times New Roman"/>
          <w:szCs w:val="24"/>
        </w:rPr>
        <w:lastRenderedPageBreak/>
        <w:t xml:space="preserve">Mohamed, M.A., Mohamud, I.H., Sahal, A.M. and Farah, M.A. (2024). A bibliometric analysis of academic trends in human resource management practice from 2000 to 2023. </w:t>
      </w:r>
      <w:r w:rsidRPr="004A621E">
        <w:rPr>
          <w:rFonts w:cs="Times New Roman"/>
          <w:i/>
          <w:iCs/>
          <w:szCs w:val="24"/>
        </w:rPr>
        <w:t>Cogent Business &amp; Management</w:t>
      </w:r>
      <w:r w:rsidRPr="004A621E">
        <w:rPr>
          <w:rFonts w:cs="Times New Roman"/>
          <w:szCs w:val="24"/>
        </w:rPr>
        <w:t xml:space="preserve">, 11(1). </w:t>
      </w:r>
      <w:proofErr w:type="spellStart"/>
      <w:r w:rsidRPr="004A621E">
        <w:rPr>
          <w:rFonts w:cs="Times New Roman"/>
          <w:szCs w:val="24"/>
        </w:rPr>
        <w:t>doi:https</w:t>
      </w:r>
      <w:proofErr w:type="spellEnd"/>
      <w:r w:rsidRPr="004A621E">
        <w:rPr>
          <w:rFonts w:cs="Times New Roman"/>
          <w:szCs w:val="24"/>
        </w:rPr>
        <w:t>://doi.org/10.1080/23311975.2024.2427217.</w:t>
      </w:r>
    </w:p>
    <w:p w14:paraId="79623AA0" w14:textId="77777777" w:rsidR="00F371A1" w:rsidRPr="004A621E" w:rsidRDefault="00F371A1" w:rsidP="00F371A1">
      <w:pPr>
        <w:rPr>
          <w:rFonts w:cs="Times New Roman"/>
          <w:szCs w:val="24"/>
        </w:rPr>
      </w:pPr>
      <w:r w:rsidRPr="004A621E">
        <w:rPr>
          <w:rFonts w:cs="Times New Roman"/>
          <w:szCs w:val="24"/>
        </w:rPr>
        <w:t xml:space="preserve">Otoo, F.N.K. (2025). </w:t>
      </w:r>
      <w:r w:rsidRPr="004A621E">
        <w:rPr>
          <w:rFonts w:cs="Times New Roman"/>
          <w:i/>
          <w:iCs/>
          <w:szCs w:val="24"/>
        </w:rPr>
        <w:t>Human resource management (HRM) practices and organizational performance: The mediating role of employee competencies</w:t>
      </w:r>
      <w:r w:rsidRPr="004A621E">
        <w:rPr>
          <w:rFonts w:cs="Times New Roman"/>
          <w:szCs w:val="24"/>
        </w:rPr>
        <w:t>. [online] Emerald.com. Available at: https://www.emerald.com/er/article-abstract/41/5/949/38761/Human-resource-management-HRM-practices-and?redirectedFrom=fulltext.</w:t>
      </w:r>
    </w:p>
    <w:p w14:paraId="48700BBA" w14:textId="77777777" w:rsidR="00F371A1" w:rsidRPr="004A621E" w:rsidRDefault="00F371A1" w:rsidP="00F371A1">
      <w:pPr>
        <w:rPr>
          <w:rFonts w:cs="Times New Roman"/>
          <w:szCs w:val="24"/>
        </w:rPr>
      </w:pPr>
      <w:r w:rsidRPr="004A621E">
        <w:rPr>
          <w:rFonts w:cs="Times New Roman"/>
          <w:szCs w:val="24"/>
        </w:rPr>
        <w:t xml:space="preserve">Stone, D.L., Dulebohn, J. and Lukaszewski, K.M. (2020). </w:t>
      </w:r>
      <w:r w:rsidRPr="004A621E">
        <w:rPr>
          <w:rFonts w:cs="Times New Roman"/>
          <w:i/>
          <w:iCs/>
          <w:szCs w:val="24"/>
        </w:rPr>
        <w:t>Diversity and Inclusion in Organizations</w:t>
      </w:r>
      <w:r w:rsidRPr="004A621E">
        <w:rPr>
          <w:rFonts w:cs="Times New Roman"/>
          <w:szCs w:val="24"/>
        </w:rPr>
        <w:t>. [online] Available at: https://www.researchgate.net/publication/335001179_Diversity_and_Inclusion_in_Organizations.</w:t>
      </w:r>
    </w:p>
    <w:p w14:paraId="0D7EC54D" w14:textId="77777777" w:rsidR="00F371A1" w:rsidRPr="004A621E" w:rsidRDefault="00F371A1" w:rsidP="00F371A1">
      <w:pPr>
        <w:rPr>
          <w:rFonts w:cs="Times New Roman"/>
          <w:szCs w:val="24"/>
        </w:rPr>
      </w:pPr>
      <w:r w:rsidRPr="004A621E">
        <w:rPr>
          <w:rFonts w:cs="Times New Roman"/>
          <w:szCs w:val="24"/>
        </w:rPr>
        <w:t xml:space="preserve">Tesco Careers. (2024). </w:t>
      </w:r>
      <w:r w:rsidRPr="004A621E">
        <w:rPr>
          <w:rFonts w:cs="Times New Roman"/>
          <w:i/>
          <w:iCs/>
          <w:szCs w:val="24"/>
        </w:rPr>
        <w:t>Diversity, Equity and Inclusion at Tesco</w:t>
      </w:r>
      <w:r w:rsidRPr="004A621E">
        <w:rPr>
          <w:rFonts w:cs="Times New Roman"/>
          <w:szCs w:val="24"/>
        </w:rPr>
        <w:t>. [online] Available at: https://www.tesco.com/careers/en-IN/everyones-welcome/diversity-equity-and-inclusion?srsltid=AfmBOooSA5dJ5zKekTsiWLtAMHZ-tXDi0qZCv1J4ALHBzRcYoMCuyQBB [Accessed 10 Feb. 2026].</w:t>
      </w:r>
    </w:p>
    <w:p w14:paraId="5363CF92" w14:textId="77777777" w:rsidR="00F371A1" w:rsidRPr="004A621E" w:rsidRDefault="00F371A1" w:rsidP="00F371A1">
      <w:pPr>
        <w:rPr>
          <w:rFonts w:cs="Times New Roman"/>
          <w:szCs w:val="24"/>
        </w:rPr>
      </w:pPr>
      <w:r w:rsidRPr="004A621E">
        <w:rPr>
          <w:rFonts w:cs="Times New Roman"/>
          <w:szCs w:val="24"/>
        </w:rPr>
        <w:t xml:space="preserve">Tesco PLC (2025). </w:t>
      </w:r>
      <w:r w:rsidRPr="004A621E">
        <w:rPr>
          <w:rFonts w:cs="Times New Roman"/>
          <w:i/>
          <w:iCs/>
          <w:szCs w:val="24"/>
        </w:rPr>
        <w:t>Serving our customers, communities and planet a little better every day.</w:t>
      </w:r>
      <w:r w:rsidRPr="004A621E">
        <w:rPr>
          <w:rFonts w:cs="Times New Roman"/>
          <w:szCs w:val="24"/>
        </w:rPr>
        <w:t xml:space="preserve"> [online] Tesco Plc. Available at: https://www.tescoplc.com/.</w:t>
      </w:r>
    </w:p>
    <w:p w14:paraId="371F0183" w14:textId="77777777" w:rsidR="00F371A1" w:rsidRPr="004A621E" w:rsidRDefault="00F371A1" w:rsidP="00F371A1">
      <w:pPr>
        <w:rPr>
          <w:rFonts w:cs="Times New Roman"/>
          <w:szCs w:val="24"/>
        </w:rPr>
      </w:pPr>
      <w:r w:rsidRPr="004A621E">
        <w:rPr>
          <w:rFonts w:cs="Times New Roman"/>
          <w:szCs w:val="24"/>
        </w:rPr>
        <w:t xml:space="preserve">Wang, Y., Rafferty, A., Sanders, K. and Kim, S. (2021). Birds of a feather flock together: the relationship between managers’ and employees’ perceptions of HR practices. </w:t>
      </w:r>
      <w:r w:rsidRPr="004A621E">
        <w:rPr>
          <w:rFonts w:cs="Times New Roman"/>
          <w:i/>
          <w:iCs/>
          <w:szCs w:val="24"/>
        </w:rPr>
        <w:t>The International Journal of Human Resource Management</w:t>
      </w:r>
      <w:r w:rsidRPr="004A621E">
        <w:rPr>
          <w:rFonts w:cs="Times New Roman"/>
          <w:szCs w:val="24"/>
        </w:rPr>
        <w:t xml:space="preserve">, pp.1–32. </w:t>
      </w:r>
      <w:proofErr w:type="spellStart"/>
      <w:r w:rsidRPr="004A621E">
        <w:rPr>
          <w:rFonts w:cs="Times New Roman"/>
          <w:szCs w:val="24"/>
        </w:rPr>
        <w:t>doi:https</w:t>
      </w:r>
      <w:proofErr w:type="spellEnd"/>
      <w:r w:rsidRPr="004A621E">
        <w:rPr>
          <w:rFonts w:cs="Times New Roman"/>
          <w:szCs w:val="24"/>
        </w:rPr>
        <w:t>://doi.org/10.1080/09585192.2020.1871397.</w:t>
      </w:r>
    </w:p>
    <w:p w14:paraId="5770E505" w14:textId="77777777" w:rsidR="00373621" w:rsidRPr="00E71F58" w:rsidRDefault="00373621" w:rsidP="00373621">
      <w:pPr>
        <w:rPr>
          <w:rFonts w:cs="Times New Roman"/>
          <w:szCs w:val="24"/>
          <w:lang w:val="en-SG"/>
        </w:rPr>
      </w:pPr>
    </w:p>
    <w:sectPr w:rsidR="00373621" w:rsidRPr="00E71F58" w:rsidSect="0097160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66645" w14:textId="77777777" w:rsidR="00A14292" w:rsidRPr="004A621E" w:rsidRDefault="00A14292" w:rsidP="00E71F58">
      <w:pPr>
        <w:spacing w:after="0" w:line="240" w:lineRule="auto"/>
      </w:pPr>
      <w:r w:rsidRPr="004A621E">
        <w:separator/>
      </w:r>
    </w:p>
  </w:endnote>
  <w:endnote w:type="continuationSeparator" w:id="0">
    <w:p w14:paraId="6B43C2EB" w14:textId="77777777" w:rsidR="00A14292" w:rsidRPr="004A621E" w:rsidRDefault="00A14292" w:rsidP="00E71F58">
      <w:pPr>
        <w:spacing w:after="0" w:line="240" w:lineRule="auto"/>
      </w:pPr>
      <w:r w:rsidRPr="004A621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37664"/>
      <w:docPartObj>
        <w:docPartGallery w:val="Page Numbers (Bottom of Page)"/>
        <w:docPartUnique/>
      </w:docPartObj>
    </w:sdtPr>
    <w:sdtEndPr/>
    <w:sdtContent>
      <w:p w14:paraId="57D80DA7" w14:textId="44AB7E68" w:rsidR="00971609" w:rsidRPr="004A621E" w:rsidRDefault="00971609">
        <w:pPr>
          <w:pStyle w:val="Footer"/>
          <w:jc w:val="right"/>
        </w:pPr>
        <w:r w:rsidRPr="004A621E">
          <w:fldChar w:fldCharType="begin"/>
        </w:r>
        <w:r w:rsidRPr="004A621E">
          <w:instrText xml:space="preserve"> PAGE   \* MERGEFORMAT </w:instrText>
        </w:r>
        <w:r w:rsidRPr="004A621E">
          <w:fldChar w:fldCharType="separate"/>
        </w:r>
        <w:r w:rsidRPr="004A621E">
          <w:t>2</w:t>
        </w:r>
        <w:r w:rsidRPr="004A621E">
          <w:fldChar w:fldCharType="end"/>
        </w:r>
      </w:p>
    </w:sdtContent>
  </w:sdt>
  <w:p w14:paraId="7E63CE4C" w14:textId="77777777" w:rsidR="00E71F58" w:rsidRPr="004A621E"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EC337" w14:textId="77777777" w:rsidR="00A14292" w:rsidRPr="004A621E" w:rsidRDefault="00A14292" w:rsidP="00E71F58">
      <w:pPr>
        <w:spacing w:after="0" w:line="240" w:lineRule="auto"/>
      </w:pPr>
      <w:r w:rsidRPr="004A621E">
        <w:separator/>
      </w:r>
    </w:p>
  </w:footnote>
  <w:footnote w:type="continuationSeparator" w:id="0">
    <w:p w14:paraId="1B403402" w14:textId="77777777" w:rsidR="00A14292" w:rsidRPr="004A621E" w:rsidRDefault="00A14292" w:rsidP="00E71F58">
      <w:pPr>
        <w:spacing w:after="0" w:line="240" w:lineRule="auto"/>
      </w:pPr>
      <w:r w:rsidRPr="004A621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19"/>
    <w:rsid w:val="00075F7D"/>
    <w:rsid w:val="00115419"/>
    <w:rsid w:val="00151E98"/>
    <w:rsid w:val="00192CE8"/>
    <w:rsid w:val="002A4984"/>
    <w:rsid w:val="002C0886"/>
    <w:rsid w:val="002C2D84"/>
    <w:rsid w:val="002C4D4B"/>
    <w:rsid w:val="002E5CAB"/>
    <w:rsid w:val="00373621"/>
    <w:rsid w:val="003800FF"/>
    <w:rsid w:val="00391FA0"/>
    <w:rsid w:val="00422675"/>
    <w:rsid w:val="00447F20"/>
    <w:rsid w:val="00466B5E"/>
    <w:rsid w:val="0047153E"/>
    <w:rsid w:val="004A621E"/>
    <w:rsid w:val="004E052C"/>
    <w:rsid w:val="004E0A8A"/>
    <w:rsid w:val="004E4A2B"/>
    <w:rsid w:val="00524AB2"/>
    <w:rsid w:val="0054430E"/>
    <w:rsid w:val="005D7AE5"/>
    <w:rsid w:val="00613AE5"/>
    <w:rsid w:val="00645ABA"/>
    <w:rsid w:val="00654231"/>
    <w:rsid w:val="006B7D6E"/>
    <w:rsid w:val="00717551"/>
    <w:rsid w:val="00736B86"/>
    <w:rsid w:val="00745B3D"/>
    <w:rsid w:val="00752BEC"/>
    <w:rsid w:val="008D2EE8"/>
    <w:rsid w:val="0095576F"/>
    <w:rsid w:val="00971609"/>
    <w:rsid w:val="00982660"/>
    <w:rsid w:val="00994F2D"/>
    <w:rsid w:val="009A3AD4"/>
    <w:rsid w:val="009A718B"/>
    <w:rsid w:val="009B7C24"/>
    <w:rsid w:val="009E6EB5"/>
    <w:rsid w:val="00A04171"/>
    <w:rsid w:val="00A05A00"/>
    <w:rsid w:val="00A07014"/>
    <w:rsid w:val="00A14292"/>
    <w:rsid w:val="00A73EE1"/>
    <w:rsid w:val="00A74532"/>
    <w:rsid w:val="00A83F6F"/>
    <w:rsid w:val="00AA01C2"/>
    <w:rsid w:val="00AA4D25"/>
    <w:rsid w:val="00AB660A"/>
    <w:rsid w:val="00AC4567"/>
    <w:rsid w:val="00AC5A73"/>
    <w:rsid w:val="00AE2960"/>
    <w:rsid w:val="00B62FD6"/>
    <w:rsid w:val="00BE47C3"/>
    <w:rsid w:val="00CD5867"/>
    <w:rsid w:val="00D65F00"/>
    <w:rsid w:val="00D92B77"/>
    <w:rsid w:val="00D960BC"/>
    <w:rsid w:val="00E51254"/>
    <w:rsid w:val="00E54790"/>
    <w:rsid w:val="00E71F58"/>
    <w:rsid w:val="00E86501"/>
    <w:rsid w:val="00E92F29"/>
    <w:rsid w:val="00EA367C"/>
    <w:rsid w:val="00F371A1"/>
    <w:rsid w:val="00F4003A"/>
    <w:rsid w:val="00F44E44"/>
    <w:rsid w:val="00F561D3"/>
    <w:rsid w:val="00F64BEE"/>
    <w:rsid w:val="00FC6867"/>
    <w:rsid w:val="00FF6E2A"/>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58C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AB2"/>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E71F58"/>
    <w:pPr>
      <w:keepNext/>
      <w:keepLines/>
      <w:spacing w:before="360" w:after="80"/>
      <w:outlineLvl w:val="0"/>
    </w:pPr>
    <w:rPr>
      <w:rFonts w:ascii="Calibri Light" w:eastAsiaTheme="majorEastAsia" w:hAnsi="Calibri Light" w:cstheme="majorBidi"/>
      <w:b/>
      <w:sz w:val="28"/>
      <w:szCs w:val="40"/>
    </w:rPr>
  </w:style>
  <w:style w:type="paragraph" w:styleId="Heading2">
    <w:name w:val="heading 2"/>
    <w:basedOn w:val="Normal"/>
    <w:next w:val="Normal"/>
    <w:link w:val="Heading2Char"/>
    <w:uiPriority w:val="9"/>
    <w:unhideWhenUsed/>
    <w:qFormat/>
    <w:rsid w:val="00E71F58"/>
    <w:pPr>
      <w:keepNext/>
      <w:keepLines/>
      <w:spacing w:before="160" w:after="80"/>
      <w:outlineLvl w:val="1"/>
    </w:pPr>
    <w:rPr>
      <w:rFonts w:ascii="Calibri Light" w:eastAsiaTheme="majorEastAsia" w:hAnsi="Calibri Light" w:cstheme="majorBidi"/>
      <w:b/>
      <w:sz w:val="26"/>
      <w:szCs w:val="32"/>
    </w:rPr>
  </w:style>
  <w:style w:type="paragraph" w:styleId="Heading3">
    <w:name w:val="heading 3"/>
    <w:basedOn w:val="Normal"/>
    <w:next w:val="Normal"/>
    <w:link w:val="Heading3Char"/>
    <w:uiPriority w:val="9"/>
    <w:semiHidden/>
    <w:unhideWhenUsed/>
    <w:qFormat/>
    <w:rsid w:val="001154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58"/>
    <w:rPr>
      <w:rFonts w:ascii="Calibri Light" w:eastAsiaTheme="majorEastAsia" w:hAnsi="Calibri Light" w:cstheme="majorBidi"/>
      <w:b/>
      <w:color w:val="000000" w:themeColor="text1"/>
      <w:sz w:val="28"/>
      <w:szCs w:val="40"/>
    </w:rPr>
  </w:style>
  <w:style w:type="character" w:customStyle="1" w:styleId="Heading2Char">
    <w:name w:val="Heading 2 Char"/>
    <w:basedOn w:val="DefaultParagraphFont"/>
    <w:link w:val="Heading2"/>
    <w:uiPriority w:val="9"/>
    <w:rsid w:val="00E71F58"/>
    <w:rPr>
      <w:rFonts w:ascii="Calibri Light" w:eastAsiaTheme="majorEastAsia" w:hAnsi="Calibri Light" w:cstheme="majorBidi"/>
      <w:b/>
      <w:color w:val="000000" w:themeColor="text1"/>
      <w:sz w:val="26"/>
      <w:szCs w:val="32"/>
    </w:rPr>
  </w:style>
  <w:style w:type="character" w:customStyle="1" w:styleId="Heading3Char">
    <w:name w:val="Heading 3 Char"/>
    <w:basedOn w:val="DefaultParagraphFont"/>
    <w:link w:val="Heading3"/>
    <w:uiPriority w:val="9"/>
    <w:semiHidden/>
    <w:rsid w:val="001154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paragraph" w:styleId="TOC2">
    <w:name w:val="toc 2"/>
    <w:basedOn w:val="Normal"/>
    <w:next w:val="Normal"/>
    <w:autoRedefine/>
    <w:uiPriority w:val="39"/>
    <w:unhideWhenUsed/>
    <w:rsid w:val="00AB660A"/>
    <w:pPr>
      <w:spacing w:after="100"/>
      <w:ind w:left="220"/>
    </w:pPr>
  </w:style>
  <w:style w:type="paragraph" w:styleId="Caption">
    <w:name w:val="caption"/>
    <w:basedOn w:val="Normal"/>
    <w:next w:val="Normal"/>
    <w:uiPriority w:val="35"/>
    <w:unhideWhenUsed/>
    <w:qFormat/>
    <w:rsid w:val="00AA4D2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2535</Words>
  <Characters>15721</Characters>
  <Application>Microsoft Office Word</Application>
  <DocSecurity>0</DocSecurity>
  <Lines>274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2025-11-19T17:33:00Z</dcterms:created>
  <dcterms:modified xsi:type="dcterms:W3CDTF">2026-03-10T16:43:00Z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48763041-ee74-4097-88ae-81931f458e52</vt:lpwstr>
  </property>
</Properties>
</file>