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bookmarkStart w:id="0" w:name="_7d2xrstzneq4" w:colFirst="0" w:colLast="0"/>
    <w:bookmarkEnd w:id="0"/>
    <w:p w14:paraId="24E04763" w14:textId="77777777" w:rsidR="00175A12" w:rsidRDefault="00175A12">
      <w:pPr>
        <w:pStyle w:val="Title"/>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1FC811B3" wp14:editId="595BB081">
            <wp:extent cx="4459266" cy="1481648"/>
            <wp:effectExtent l="0" t="0" r="0" b="4445"/>
            <wp:docPr id="1188627049" name="Picture 118862704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10723120" w14:textId="77777777" w:rsidR="00175A12" w:rsidRDefault="00175A12">
      <w:pPr>
        <w:pStyle w:val="Title"/>
      </w:pPr>
    </w:p>
    <w:p w14:paraId="6E3505B2" w14:textId="77777777" w:rsidR="00175A12" w:rsidRDefault="00175A12" w:rsidP="00175A12">
      <w:pPr>
        <w:pStyle w:val="Title"/>
        <w:rPr>
          <w:sz w:val="40"/>
          <w:szCs w:val="40"/>
        </w:rPr>
      </w:pPr>
    </w:p>
    <w:p w14:paraId="4312A397" w14:textId="77777777" w:rsidR="00175A12" w:rsidRDefault="00175A12" w:rsidP="00175A12">
      <w:pPr>
        <w:pStyle w:val="Title"/>
        <w:rPr>
          <w:sz w:val="40"/>
          <w:szCs w:val="40"/>
        </w:rPr>
      </w:pPr>
    </w:p>
    <w:p w14:paraId="07D350FA" w14:textId="3D1A9FCA" w:rsidR="00175A12" w:rsidRPr="00CA1530" w:rsidRDefault="00175A12" w:rsidP="00175A12">
      <w:pPr>
        <w:pStyle w:val="Title"/>
        <w:rPr>
          <w:sz w:val="40"/>
          <w:szCs w:val="40"/>
        </w:rPr>
      </w:pPr>
      <w:r w:rsidRPr="00CA1530">
        <w:rPr>
          <w:sz w:val="40"/>
          <w:szCs w:val="40"/>
        </w:rPr>
        <w:t>International Business Communications</w:t>
      </w:r>
    </w:p>
    <w:p w14:paraId="50D62AB6" w14:textId="77777777" w:rsidR="00175A12" w:rsidRPr="00CA1530" w:rsidRDefault="00175A12" w:rsidP="00175A12">
      <w:pPr>
        <w:pStyle w:val="Title"/>
        <w:rPr>
          <w:sz w:val="36"/>
          <w:szCs w:val="36"/>
        </w:rPr>
      </w:pPr>
    </w:p>
    <w:p w14:paraId="5A6DE00C" w14:textId="77777777" w:rsidR="00175A12" w:rsidRDefault="00175A12" w:rsidP="00175A12">
      <w:pPr>
        <w:pStyle w:val="Title"/>
        <w:rPr>
          <w:sz w:val="36"/>
          <w:szCs w:val="36"/>
        </w:rPr>
      </w:pPr>
    </w:p>
    <w:p w14:paraId="4331622E" w14:textId="227E1810" w:rsidR="00175A12" w:rsidRDefault="00175A12" w:rsidP="00175A12">
      <w:pPr>
        <w:pStyle w:val="Title"/>
        <w:rPr>
          <w:sz w:val="36"/>
          <w:szCs w:val="36"/>
        </w:rPr>
      </w:pPr>
      <w:r w:rsidRPr="00CA1530">
        <w:rPr>
          <w:sz w:val="36"/>
          <w:szCs w:val="36"/>
        </w:rPr>
        <w:t>Individual Essay</w:t>
      </w:r>
    </w:p>
    <w:p w14:paraId="58906549" w14:textId="77777777" w:rsidR="00175A12" w:rsidRDefault="00175A12" w:rsidP="00175A12">
      <w:pPr>
        <w:pStyle w:val="Title"/>
        <w:rPr>
          <w:sz w:val="36"/>
          <w:szCs w:val="36"/>
        </w:rPr>
      </w:pPr>
    </w:p>
    <w:p w14:paraId="368A94E9" w14:textId="77777777" w:rsidR="00175A12" w:rsidRDefault="00175A12" w:rsidP="00175A12">
      <w:pPr>
        <w:pStyle w:val="Title"/>
        <w:rPr>
          <w:sz w:val="36"/>
          <w:szCs w:val="36"/>
        </w:rPr>
      </w:pPr>
    </w:p>
    <w:p w14:paraId="7D7F7DFD" w14:textId="77777777" w:rsidR="00175A12" w:rsidRDefault="00175A12" w:rsidP="00175A12">
      <w:pPr>
        <w:pStyle w:val="Title"/>
        <w:rPr>
          <w:sz w:val="36"/>
          <w:szCs w:val="36"/>
        </w:rPr>
      </w:pPr>
    </w:p>
    <w:p w14:paraId="1F1160D4" w14:textId="77777777" w:rsidR="00175A12" w:rsidRDefault="00175A12" w:rsidP="00175A12">
      <w:pPr>
        <w:pStyle w:val="Title"/>
        <w:rPr>
          <w:sz w:val="36"/>
          <w:szCs w:val="36"/>
        </w:rPr>
      </w:pPr>
    </w:p>
    <w:p w14:paraId="78BC598A" w14:textId="77777777" w:rsidR="00175A12" w:rsidRPr="0039525F" w:rsidRDefault="00175A12" w:rsidP="00175A12">
      <w:pPr>
        <w:jc w:val="center"/>
        <w:rPr>
          <w:sz w:val="32"/>
          <w:szCs w:val="32"/>
        </w:rPr>
      </w:pPr>
      <w:r w:rsidRPr="0039525F">
        <w:rPr>
          <w:sz w:val="32"/>
          <w:szCs w:val="32"/>
        </w:rPr>
        <w:t>Student ID: 2215818</w:t>
      </w:r>
    </w:p>
    <w:p w14:paraId="6CC3E9A2" w14:textId="77777777" w:rsidR="00175A12" w:rsidRPr="0039525F" w:rsidRDefault="00175A12" w:rsidP="00175A12">
      <w:pPr>
        <w:jc w:val="center"/>
        <w:rPr>
          <w:sz w:val="32"/>
          <w:szCs w:val="32"/>
        </w:rPr>
      </w:pPr>
      <w:r w:rsidRPr="0039525F">
        <w:rPr>
          <w:sz w:val="32"/>
          <w:szCs w:val="32"/>
        </w:rPr>
        <w:t>Student Name: Vasile Rosca</w:t>
      </w:r>
    </w:p>
    <w:p w14:paraId="32E6D846" w14:textId="77777777" w:rsidR="00175A12" w:rsidRDefault="00175A12" w:rsidP="00175A12">
      <w:pPr>
        <w:jc w:val="center"/>
        <w:rPr>
          <w:sz w:val="32"/>
          <w:szCs w:val="32"/>
        </w:rPr>
      </w:pPr>
      <w:r w:rsidRPr="0039525F">
        <w:rPr>
          <w:sz w:val="32"/>
          <w:szCs w:val="32"/>
        </w:rPr>
        <w:t>Module Code: LCBB</w:t>
      </w:r>
      <w:r>
        <w:rPr>
          <w:sz w:val="32"/>
          <w:szCs w:val="32"/>
        </w:rPr>
        <w:t>6001</w:t>
      </w:r>
    </w:p>
    <w:p w14:paraId="5D03C8F9" w14:textId="77777777" w:rsidR="00175A12" w:rsidRPr="0039525F" w:rsidRDefault="00175A12" w:rsidP="00175A12">
      <w:pPr>
        <w:jc w:val="center"/>
        <w:rPr>
          <w:sz w:val="32"/>
          <w:szCs w:val="32"/>
        </w:rPr>
      </w:pPr>
      <w:r w:rsidRPr="0039525F">
        <w:rPr>
          <w:sz w:val="32"/>
          <w:szCs w:val="32"/>
        </w:rPr>
        <w:t>Lecturer name:</w:t>
      </w:r>
      <w:r>
        <w:rPr>
          <w:sz w:val="32"/>
          <w:szCs w:val="32"/>
        </w:rPr>
        <w:t xml:space="preserve"> Dr. Rexon Nting</w:t>
      </w:r>
    </w:p>
    <w:p w14:paraId="00000001" w14:textId="4B1F7256" w:rsidR="00465399" w:rsidRDefault="00000000">
      <w:pPr>
        <w:pStyle w:val="Title"/>
      </w:pPr>
      <w:r>
        <w:br w:type="page"/>
      </w:r>
    </w:p>
    <w:p w14:paraId="00000002" w14:textId="77777777" w:rsidR="00465399" w:rsidRDefault="00000000">
      <w:pPr>
        <w:jc w:val="center"/>
        <w:rPr>
          <w:b/>
        </w:rPr>
      </w:pPr>
      <w:r>
        <w:rPr>
          <w:b/>
        </w:rPr>
        <w:lastRenderedPageBreak/>
        <w:t>Table of Content</w:t>
      </w:r>
    </w:p>
    <w:sdt>
      <w:sdtPr>
        <w:id w:val="-1193532940"/>
        <w:docPartObj>
          <w:docPartGallery w:val="Table of Contents"/>
          <w:docPartUnique/>
        </w:docPartObj>
      </w:sdtPr>
      <w:sdtContent>
        <w:p w14:paraId="00000003" w14:textId="77777777" w:rsidR="00465399" w:rsidRDefault="00000000">
          <w:pPr>
            <w:widowControl w:val="0"/>
            <w:tabs>
              <w:tab w:val="right" w:pos="9025"/>
            </w:tabs>
            <w:spacing w:before="60"/>
            <w:rPr>
              <w:color w:val="000000"/>
            </w:rPr>
          </w:pPr>
          <w:r>
            <w:fldChar w:fldCharType="begin"/>
          </w:r>
          <w:r>
            <w:instrText xml:space="preserve"> TOC \h \u \z \t "Heading 1,1,Heading 2,2,Heading 3,3,Heading 4,4,Heading 5,5,Heading 6,6,"</w:instrText>
          </w:r>
          <w:r>
            <w:fldChar w:fldCharType="separate"/>
          </w:r>
          <w:hyperlink w:anchor="_heading=h.eop6gli9cmpm">
            <w:r>
              <w:rPr>
                <w:color w:val="000000"/>
              </w:rPr>
              <w:t>Introduction</w:t>
            </w:r>
            <w:r>
              <w:rPr>
                <w:color w:val="000000"/>
              </w:rPr>
              <w:tab/>
            </w:r>
          </w:hyperlink>
          <w:r>
            <w:fldChar w:fldCharType="begin"/>
          </w:r>
          <w:r>
            <w:instrText xml:space="preserve"> PAGEREF _heading=h.eop6gli9cmpm \h </w:instrText>
          </w:r>
          <w:r>
            <w:fldChar w:fldCharType="separate"/>
          </w:r>
          <w:r>
            <w:t>3</w:t>
          </w:r>
          <w:r>
            <w:fldChar w:fldCharType="end"/>
          </w:r>
        </w:p>
        <w:p w14:paraId="00000004" w14:textId="77777777" w:rsidR="00465399" w:rsidRDefault="00000000">
          <w:pPr>
            <w:widowControl w:val="0"/>
            <w:tabs>
              <w:tab w:val="right" w:pos="9025"/>
            </w:tabs>
            <w:spacing w:before="60"/>
            <w:rPr>
              <w:color w:val="000000"/>
            </w:rPr>
          </w:pPr>
          <w:hyperlink w:anchor="_heading=h.6k2vp1chjt2c">
            <w:r>
              <w:rPr>
                <w:color w:val="000000"/>
              </w:rPr>
              <w:t>Main Body</w:t>
            </w:r>
            <w:r>
              <w:rPr>
                <w:color w:val="000000"/>
              </w:rPr>
              <w:tab/>
            </w:r>
          </w:hyperlink>
          <w:r>
            <w:fldChar w:fldCharType="begin"/>
          </w:r>
          <w:r>
            <w:instrText xml:space="preserve"> PAGEREF _heading=h.6k2vp1chjt2c \h </w:instrText>
          </w:r>
          <w:r>
            <w:fldChar w:fldCharType="separate"/>
          </w:r>
          <w:r>
            <w:t>4</w:t>
          </w:r>
          <w:r>
            <w:fldChar w:fldCharType="end"/>
          </w:r>
        </w:p>
        <w:p w14:paraId="00000005" w14:textId="77777777" w:rsidR="00465399" w:rsidRDefault="00000000">
          <w:pPr>
            <w:widowControl w:val="0"/>
            <w:tabs>
              <w:tab w:val="right" w:pos="9025"/>
            </w:tabs>
            <w:spacing w:before="60"/>
            <w:rPr>
              <w:color w:val="000000"/>
            </w:rPr>
          </w:pPr>
          <w:hyperlink w:anchor="_heading=h.hk6wac2h4sav">
            <w:r>
              <w:rPr>
                <w:color w:val="000000"/>
              </w:rPr>
              <w:t>Conclusion</w:t>
            </w:r>
            <w:r>
              <w:rPr>
                <w:color w:val="000000"/>
              </w:rPr>
              <w:tab/>
            </w:r>
          </w:hyperlink>
          <w:r>
            <w:fldChar w:fldCharType="begin"/>
          </w:r>
          <w:r>
            <w:instrText xml:space="preserve"> PAGEREF _heading=h.hk6wac2h4sav \h </w:instrText>
          </w:r>
          <w:r>
            <w:fldChar w:fldCharType="separate"/>
          </w:r>
          <w:r>
            <w:t>9</w:t>
          </w:r>
          <w:r>
            <w:fldChar w:fldCharType="end"/>
          </w:r>
        </w:p>
        <w:p w14:paraId="00000006" w14:textId="77777777" w:rsidR="00465399" w:rsidRDefault="00000000">
          <w:pPr>
            <w:widowControl w:val="0"/>
            <w:tabs>
              <w:tab w:val="right" w:pos="9025"/>
            </w:tabs>
            <w:spacing w:before="60"/>
            <w:rPr>
              <w:color w:val="000000"/>
            </w:rPr>
          </w:pPr>
          <w:hyperlink w:anchor="_heading=h.1d45ujnq3sbl">
            <w:r>
              <w:rPr>
                <w:color w:val="000000"/>
              </w:rPr>
              <w:t>Reference</w:t>
            </w:r>
            <w:r>
              <w:rPr>
                <w:color w:val="000000"/>
              </w:rPr>
              <w:tab/>
            </w:r>
          </w:hyperlink>
          <w:r>
            <w:fldChar w:fldCharType="begin"/>
          </w:r>
          <w:r>
            <w:instrText xml:space="preserve"> PAGEREF _heading=h.1d45ujnq3sbl \h </w:instrText>
          </w:r>
          <w:r>
            <w:fldChar w:fldCharType="separate"/>
          </w:r>
          <w:r>
            <w:t>10</w:t>
          </w:r>
          <w:r>
            <w:fldChar w:fldCharType="end"/>
          </w:r>
          <w:r>
            <w:fldChar w:fldCharType="end"/>
          </w:r>
        </w:p>
      </w:sdtContent>
    </w:sdt>
    <w:p w14:paraId="00000007" w14:textId="77777777" w:rsidR="00465399" w:rsidRDefault="00000000">
      <w:pPr>
        <w:jc w:val="center"/>
      </w:pPr>
      <w:r>
        <w:br w:type="page"/>
      </w:r>
    </w:p>
    <w:p w14:paraId="00000008" w14:textId="77777777" w:rsidR="00465399" w:rsidRDefault="00000000">
      <w:pPr>
        <w:pStyle w:val="Heading1"/>
        <w:keepNext w:val="0"/>
        <w:keepLines w:val="0"/>
        <w:spacing w:before="240" w:after="40"/>
      </w:pPr>
      <w:bookmarkStart w:id="1" w:name="_heading=h.eop6gli9cmpm" w:colFirst="0" w:colLast="0"/>
      <w:bookmarkEnd w:id="1"/>
      <w:r>
        <w:lastRenderedPageBreak/>
        <w:t>Introduction</w:t>
      </w:r>
    </w:p>
    <w:p w14:paraId="00000009" w14:textId="77777777" w:rsidR="00465399" w:rsidRDefault="00000000">
      <w:r>
        <w:t>However, when it comes to international business communication is key to helping people understand each other; however, this can create misunderstandings due to different cultures. The cultural norms, and the historical context, differ between the UK and Japan, and this leads to differences in the communication styles of these countries. Moreover, the communication style in the UK is low context and is characterized by direct, explicit messaging while Japan, on the other hand, follows a high context approach characterized by implicit cues, indirect speech, and group harmony (Hall, 1976). The differences explained by these are further explained by Hofstede’s cultural dimensions theory. Individualism is what the UK stands high in, independent decision-making while Japan takes collectivism as they value consensus and hierarchy (Hofstede, 1980). Also, Japan's high uncertainty avoidance is followed by detailed planning, compared to the UK’s flexible, risk-tolerant way of doing things. Examples of real-world cases of these differences in business interaction include the Nissan-Renault partnership. UK-Japan cooperation for improving cross-cultural communication can be achieved by combining cultural awareness, training and adapted strategies, so as to create more effective partnerships in a globalised economy.</w:t>
      </w:r>
    </w:p>
    <w:p w14:paraId="0000000A" w14:textId="77777777" w:rsidR="00465399" w:rsidRDefault="00000000">
      <w:pPr>
        <w:spacing w:before="240" w:after="40"/>
      </w:pPr>
      <w:r>
        <w:br w:type="page"/>
      </w:r>
    </w:p>
    <w:p w14:paraId="0000000B" w14:textId="77777777" w:rsidR="00465399" w:rsidRDefault="00000000">
      <w:pPr>
        <w:pStyle w:val="Heading1"/>
        <w:spacing w:before="240" w:after="40"/>
      </w:pPr>
      <w:bookmarkStart w:id="2" w:name="_heading=h.6k2vp1chjt2c" w:colFirst="0" w:colLast="0"/>
      <w:bookmarkEnd w:id="2"/>
      <w:r>
        <w:lastRenderedPageBreak/>
        <w:t>Main Body</w:t>
      </w:r>
    </w:p>
    <w:p w14:paraId="0000000C" w14:textId="77777777" w:rsidR="00465399" w:rsidRDefault="00000000">
      <w:r>
        <w:t xml:space="preserve">According to </w:t>
      </w:r>
      <w:r>
        <w:rPr>
          <w:b/>
          <w:i/>
        </w:rPr>
        <w:t>Edward Hall’s theories about high-context and low-context communication</w:t>
      </w:r>
      <w:r>
        <w:t xml:space="preserve">, cultures are characterized by implicit or explicit communication. But of course, the UK is a low-context culture and its communication style is direct and explicit where clarity and transparency are valued imperatively. British professionals are very professional, so they are very direct in every opinion, and they are very structured by meetings and written agreements. In business, UK teams prefer simple conversation, where messages are clear and instructions are clear and efficient and there is little risk of confusion. In contrast, Japan, a high-context culture, places great emphasis on indirect and implicit communication. Nonverbal cues, silence and sharing a culture can often transmit meaning more than explicit words can. Japanese professionals tend to talk in ways that are meant to maintain harmony (wa) and avoid confrontation. Responses are usually diplomatic to avoid harming relations, and disagreement is rare, outright. However, as it is often a communication style, it can appear somewhat vague or ambiguous to those from the UK, being a low context culture, and directness is expected. Regarding business negotiations, one can see a clear example of these same differences. In a counter offer and as it is a British manager, they will propose directly to the counteroffer and expect an immediate, explicit response. A Japanese counterpart may, however, respond with </w:t>
      </w:r>
      <w:r>
        <w:rPr>
          <w:b/>
          <w:i/>
        </w:rPr>
        <w:t>'We will consider it’</w:t>
      </w:r>
      <w:r>
        <w:t xml:space="preserve">, which generally translates to </w:t>
      </w:r>
      <w:r>
        <w:rPr>
          <w:b/>
          <w:i/>
        </w:rPr>
        <w:t>'No, but we don’t want to say it outright.'</w:t>
      </w:r>
      <w:r>
        <w:t xml:space="preserve"> This indirect communication also risks misinterpretation as genuine consideration when incorrectly construed as a polite rejection by UK teams. This makes it imperative that any intercultural collaboration is aware of these differences. To strengthen international partnerships between UK and Japanese teams, businesses can increase collaboration, and enhance minimized miscommunication by understanding and adapting to these communication styles (Tamaki, 2022).</w:t>
      </w:r>
    </w:p>
    <w:p w14:paraId="0000000D" w14:textId="77777777" w:rsidR="00465399" w:rsidRDefault="00000000">
      <w:r>
        <w:t xml:space="preserve">Besides negotiations, in decision-making and interaction in the workplace, cultural differences between the UK and Japan also influence the way teams work, express opinions, and implement strategies. In the UK a business environment, employees are allowed to speak up in meetings, stand up to ideas, and get involved in open discussions. Constructive criticism is also accepted, and often expected, as a necessary part of the business of refining ideas and achieving better business results. This flat hierarchy allows employees to voice their opinions even if opposed to their senior colleagues. The process involves highlighting individual inputs and direct feedback, which is what makes it more efficient and innovative. In contrast to the US, Japan’s corporate culture places a high importance on group consensus, hierarchy, and indirect </w:t>
      </w:r>
      <w:r>
        <w:lastRenderedPageBreak/>
        <w:t>communication in the workplace. They may hesitate to express their opinions when they are contradictory to senior colleagues, especially immediately, because such steps may be considered disrespectful or disruptive to the team harmony. The Japanese teams tend to Nemawashi (informal discussion first, actually before going to the formal meetings). That means that when the platform comes to present a decision it is consensus, and there is no public disagreement about it. This approach eases unity and prevents conflict but UK teams may find it to be slow or inefficient because decisions can sometimes become sluggish. However, while it would certainly be the opposite of the culture returning to the UK, the directness for which British teams are known might be too aggressive or confrontational for Japanese teams, creating discomfort and possibly disengagement (Jackson, 2024).</w:t>
      </w:r>
    </w:p>
    <w:p w14:paraId="0000000E" w14:textId="77777777" w:rsidR="00465399" w:rsidRDefault="00000000">
      <w:r>
        <w:t>This means that businesses have to put their money into intercultural training to enable them to understand and adapt to the differences between these contrasting communication styles to strengthen international partnerships between UK and Japanese teams. Hiring bilingual mediators or cultural consultants is one effective strategy to bridge the gap between both teams, so messages will be accurately conveyed and interpreted. The UK professionals should also be taught to foster patience in negotiations to understand that the indirect response by Japanese counterparts does not mean that the latter simply are disinterested, and hence further discussion needs to ensue. What might be another way is through the encouraging hybrid communication methods which blend aspects of both cultures. In this case, Japanese teams might adopt more explicit and clearer communication styles under some conditions and UK teams consider including more pre-meeting discussions to set up expectations ahead of formal negotiations. Virtual collaboration tools, structured agendas, and clear documentation can help to make sure it is transparent and lets everyone on the team understand what is happening. But by acclimatizing to such cultural differences, UK and Japanese businesses can help get rid of miscommunication, and generate trust and teamwork. These programs will develop stronger, more effective partnerships with one another in the global market, which will ultimately lay the foundation for long-term success and innovation among both cultures (Jackson, 2024).</w:t>
      </w:r>
    </w:p>
    <w:p w14:paraId="0000000F" w14:textId="77777777" w:rsidR="00465399" w:rsidRDefault="00000000">
      <w:r>
        <w:rPr>
          <w:b/>
          <w:i/>
        </w:rPr>
        <w:t>Geert Hofstede’s cultural dimensions theory</w:t>
      </w:r>
      <w:r>
        <w:t xml:space="preserve"> offers a framework that helps understand the approaches of UK and Japanese teams on communicating, making decisions and on hierarchy. If not properly managed, these differences can cause misunderstandings that are detrimental when working with an international business official. Individualism vs. Collectivism is one of the major dimensions. The UK, with a high individualism score of 89, places great emphasis on personal achievement, self-expression, and independent decision-making. The company enables employees to be heard, speak their minds and take the lead. Japan, with an </w:t>
      </w:r>
      <w:r>
        <w:lastRenderedPageBreak/>
        <w:t xml:space="preserve">individualism score of 46 compared to 91 in the United States, is a collectivist society — group harmony, loyalty and consensus-building take precedence. Through the informal discussion process known as Nemawashi before formal meetings, stakeholders inevitably decide collectively. However, cultural differences work so strongly in the workplace. For instance, in a UK-based meeting, a manager may want to get instant feedback about an idea a manager provides in the meeting. Japanese employees are however likely to hesitate to reply immediately because they have to speak to their colleagues first. It can also be misinterpreted by UK professionals as refusal or disengagement when in fact it just shows how Japan’s culture prioritizes group decision-making over a person’s inclination to assert oneself. Power Distance is another very important cultural dimension in terms of how much hierarchy and authority a society accepts. In the measurements of Power Distance, the low value of the UK power distance score of 35 indicates that there was little preference for flat, organized structure and limited superiors' hold to be challenged, opinions can be freely expressed, and decision-making is contributed. The managers in British workplaces are also often in the habit of talking to their teams in an open manner, where they build healthy relationships (where there is constructive criticism and employee participation) with them. However, compared to Japan, the power distance score in Japan is higher at 54, which means that hierarchy and status take </w:t>
      </w:r>
      <w:proofErr w:type="spellStart"/>
      <w:r>
        <w:t>centre</w:t>
      </w:r>
      <w:proofErr w:type="spellEnd"/>
      <w:r>
        <w:t xml:space="preserve"> stage in work relations (The Culture Factor Group, 2025).</w:t>
      </w:r>
    </w:p>
    <w:p w14:paraId="00000010" w14:textId="77777777" w:rsidR="00465399" w:rsidRDefault="00000000">
      <w:r>
        <w:t xml:space="preserve">There is an expected display of deference to authority and decisions are made downward from senior management. The difference may present problems in a UK-Japan joint venture. For example, a British employee might feel comfortable openly challenging a Japanese supervisor’s proposal as no one considers it to be unacceptable behaviour. However, this may be perceived as disrespectful or insubordinate by Japanese colleagues, which is regarded as an unwritten rule and discouraged in traditional Japanese business culture. To make effective collaboration work, we have to recognize and respect differences, avoid unintentional conflict and develop mutual understanding. The last is the role of Uncertainty Avoidance in decision-making as well as risk tolerance. The UK has a very low uncertainty avoidance score of 35 which means the UK is very flexible in how it makes decisions, comfortable with being changed and being comfortable with ambiguity. British teams are bad for treating things as experiments, and take on a trial-and-error approach, leaving strategies to change. On the other hand, Japan’s uncertainty avoidance score of 92 shows that the country is very high and prefers stability, predictability, and detailed planning. Japanese businesses tend to prefer reduced risks and skillfully carrying out research and foresight in it. This difference can manifest as friction in collaborative projects (McIvor, 2022). For example, the UK team suggests the rapid </w:t>
      </w:r>
      <w:r>
        <w:lastRenderedPageBreak/>
        <w:t>prototyping or an iteration approach to product development, guessing that by testing the product in the real world it’ll improve it. Japanese counterparts, though, will want you to engage in extensive market research, long-range strategic planning, and risk dimension strategies before any actions are taken. This approach can lead to delays in projects if all of the sides do not team up to bring their expectations closer to each other. In general, individualism, power distance and uncertainty avoidance mean different things to UK and Japanese teams and lead to variations in communication and decision-making between the two. By understanding these cultural dimensions, businesses can come up with an effective communication strategy, modify leadership style, and close the cultural gap so that international collaborations can be presented with the highest level of productivity and harmony (Rizvi, 2024).</w:t>
      </w:r>
    </w:p>
    <w:p w14:paraId="00000011" w14:textId="77777777" w:rsidR="00465399" w:rsidRDefault="00000000">
      <w:r>
        <w:t xml:space="preserve">The Nissan-Renault alliance provides a real-world example of the problems they encounter when the Japanese way of doing business is forced into a low context, Western business environment. Since Renault is a French company, it is not based in the UK, but it has many common features with British corporate culture, for example, its direct communication style, transparency, as well as fast decision-making process. However, in stark contrast, indirect communication, hierarchical decision-making, and consensus are valued in the Japanese environment of Nissan’s business culture. Misunderstandings and inefficiencies were created at the beginning of the alliance as a result of these differences. Speed of decision-making was one of the major challenges. The type of quick, decisive actions that Renault’s leadership wanted and the traditional Japanese Nemawashi approach that the Nissan executives wrote to. This had the effect of creating a source of frustration for both of them. Nissan did away with the slow and inefficient ways of its partner and Renault did the exact opposite, plunging straight forward with top-down decision-making without any regard for collective input. Communication style also posed difficulties. In particular, the explicit straight conversations with immediate responses and commitments were favoured by Renault's leadership. On the other hand, Renault’s team did not comprehend the indirect language or non-verbal cues that Nissan executives tended to use. For instance, Nissan executives said, "We'll take a look at it," which indicates a reluctance or disagreement without actually being turned down—Renault’s team mistook this for an agreed to go ahead.  It also made intercultural training programs to help employees understand their communication styles. Bilingual liaisons were also hired to make communication between teams smoother. Ultimately, both sides developed the ability to adapt and incorporate key items of each other’s approach, increasing collaboration as well as the outcome of decisions in the alliance. The fact that this type of case is about cultural </w:t>
      </w:r>
      <w:r>
        <w:lastRenderedPageBreak/>
        <w:t>awareness, adaptability, and structured communication strategies and rules in international business partnership sports is important (Open Learning, 2020).</w:t>
      </w:r>
    </w:p>
    <w:p w14:paraId="00000012" w14:textId="77777777" w:rsidR="00465399" w:rsidRDefault="00000000">
      <w:r>
        <w:t>For the smooth collaboration between the UK and the Japanese employees by the companies it needs to implement some strategic measures to bridge the communication gaps and mutual understanding. Cross-cultural training is a great way whereby employees are trained on cross-cultural differences in the areas of communication styles, expectations and business etiquette. Moreover, this allows both teams to appreciate each other’s perspectives, and that would help minimize any sense of misunderstandings. With this, the collaborative approach may be a hybrid communication approach that incorporates elements of both direct and indirect communication. An example is pre-discussion periods where the Japanese employee can begin consensus building and ensure that all voices are heard through structured meetings. The second important strategy is to hire liaison officers—bilingual, culturally deep professionals to act as intermediaries between UK and Japanese teams. These people can clarify messages, resolve misinterpretations, and provide a smoother treatment for negotiations. Finally, adapted meeting formats can get around differences in speeds at making decisions. As far as UK teams are concerned, they should take more time for Japanese employees to discuss, and consult internally, before responding. It prevents people from miscommunication and means that Japanese employees will not feel pressured to participate in discussions. The combination of these strategies helps companies create stronger UK-Japan business ties based on respect, understanding and high-quality communications (McIvor, 2020).</w:t>
      </w:r>
      <w:r>
        <w:br w:type="page"/>
      </w:r>
    </w:p>
    <w:p w14:paraId="00000013" w14:textId="77777777" w:rsidR="00465399" w:rsidRDefault="00000000">
      <w:pPr>
        <w:pStyle w:val="Heading1"/>
        <w:keepNext w:val="0"/>
        <w:keepLines w:val="0"/>
      </w:pPr>
      <w:bookmarkStart w:id="3" w:name="_heading=h.hk6wac2h4sav" w:colFirst="0" w:colLast="0"/>
      <w:bookmarkEnd w:id="3"/>
      <w:r>
        <w:lastRenderedPageBreak/>
        <w:t>Conclusion</w:t>
      </w:r>
    </w:p>
    <w:p w14:paraId="00000014" w14:textId="77777777" w:rsidR="00465399" w:rsidRDefault="00000000">
      <w:r>
        <w:t xml:space="preserve">Difficulties in communication between UK and Japanese teams are influenced by the dimensions of the cultural gap, especially the factors related to context, hierarchy, and risk tolerance, which result in misunderstandings and inefficiency of business interactions. The UK is a low-context culture and therefore places high value on explicit and direct communication, as it is a highly clear and transparent culture. British professionals are open to expressing opinions, use structured meetings, and like to have clear written agreements. On the other hand, Japan is high high-context culture and they heavily rely on indirect and implicit communication, and play a significant role in nonverbal cues, shared cultural understanding and maintaining harmony (wa). The contrast between this produces confusion, especially when UK terms except immediate and explicit answers to questions and expect explicit rejection when opportunities arise, while the Japanese counterparts tend to use diplomatic phrases to not directly deny the ideas suggested.  </w:t>
      </w:r>
    </w:p>
    <w:p w14:paraId="00000015" w14:textId="77777777" w:rsidR="00465399" w:rsidRDefault="00000000">
      <w:r>
        <w:t xml:space="preserve"> Business communication also has a role in hierarchies. Employers in the UK tend to have a much more flat hierarchy and with that, it allows its employees to give direct feedback and challenge superiors. However, Japan has a high regard for hierarchical decision-making —something where respect for seniority is championed and consensus (Nemawashi) is people sorted before any formal discussion. However, this difference can cause UK teams to be frustrated when they should expect speedy decisions and Japanese employees may feel British directness is too confrontational. The risk tolerance is also different, with UK businesses more willing to take the trial and error approach, while Japanese companies do not like taking care, and long-term planning to avoid uncertainty. The Nissan-Renault alliance is an example of how businesses can overcome these communication gaps in the real world. Consensus-based discussions were a kind of taboo at Nissan until then, but when Renault’s leadership initially championed fast and transparent decision-making, it caused tension. Both companies started to practice intercultural training, employed bilingual mediators, and started using hybrid approaches to communication to promote smooth collaboration. Ultimately, any established barrier to the flow of ideas and communication in international business can be overcome by cultural awareness. Realising and adapting to such differences in UK-Japan collabs can allow businesses to develop stronger partnerships, work closer together and further achieve regional success.</w:t>
      </w:r>
      <w:r>
        <w:br w:type="page"/>
      </w:r>
    </w:p>
    <w:p w14:paraId="00000016" w14:textId="77777777" w:rsidR="00465399" w:rsidRDefault="00000000">
      <w:pPr>
        <w:pStyle w:val="Heading1"/>
      </w:pPr>
      <w:bookmarkStart w:id="4" w:name="_heading=h.1d45ujnq3sbl" w:colFirst="0" w:colLast="0"/>
      <w:bookmarkEnd w:id="4"/>
      <w:r>
        <w:lastRenderedPageBreak/>
        <w:t>Reference</w:t>
      </w:r>
    </w:p>
    <w:p w14:paraId="00000017" w14:textId="77777777" w:rsidR="00465399" w:rsidRDefault="00000000">
      <w:r>
        <w:t xml:space="preserve">Jackson, K. (2024). </w:t>
      </w:r>
      <w:r>
        <w:rPr>
          <w:i/>
        </w:rPr>
        <w:t>Hofstede’s Cultural Dimensions</w:t>
      </w:r>
      <w:r>
        <w:t>. [online] Mind Tools. Available at: https://www.mindtools.com/a1ecvyx/hofstedes-cultural-dimensions.</w:t>
      </w:r>
    </w:p>
    <w:p w14:paraId="00000018" w14:textId="77777777" w:rsidR="00465399" w:rsidRDefault="00000000">
      <w:r>
        <w:t xml:space="preserve">McIvor, M. (2020). </w:t>
      </w:r>
      <w:r>
        <w:rPr>
          <w:i/>
        </w:rPr>
        <w:t>How to Give Negative Feedback in High-Context Cultures (Like Japan) - GLOBIS Insights</w:t>
      </w:r>
      <w:r>
        <w:t>. [online] Available at: https://globisinsights.com/career-skills/communication/how-to-give-negative-feedback/.</w:t>
      </w:r>
    </w:p>
    <w:p w14:paraId="00000019" w14:textId="77777777" w:rsidR="00465399" w:rsidRDefault="00000000">
      <w:r>
        <w:t xml:space="preserve">McIvor, M. (2022). </w:t>
      </w:r>
      <w:r>
        <w:rPr>
          <w:i/>
        </w:rPr>
        <w:t>High- Vs. Low-Context Communication Survival Guide - GLOBIS Insights</w:t>
      </w:r>
      <w:r>
        <w:t>. [online] Globis Insights. Available at: https://globisinsights.com/career-skills/communication/high-low-context-communication-survival/.</w:t>
      </w:r>
    </w:p>
    <w:p w14:paraId="0000001A" w14:textId="77777777" w:rsidR="00465399" w:rsidRDefault="00000000">
      <w:r>
        <w:t xml:space="preserve">Open Learning. (2020). </w:t>
      </w:r>
      <w:r>
        <w:rPr>
          <w:i/>
        </w:rPr>
        <w:t>Working in diverse teams</w:t>
      </w:r>
      <w:r>
        <w:t>. [online] Available at: https://www.open.edu/openlearn/mod/oucontent/view.php?id=68113§ion=6.</w:t>
      </w:r>
    </w:p>
    <w:p w14:paraId="0000001B" w14:textId="77777777" w:rsidR="00465399" w:rsidRDefault="00000000">
      <w:r>
        <w:t xml:space="preserve">Rizvi, H. (2024). </w:t>
      </w:r>
      <w:r>
        <w:rPr>
          <w:i/>
        </w:rPr>
        <w:t>Cultural Differences in Business between UK and Japan - Hidayat Rizvi</w:t>
      </w:r>
      <w:r>
        <w:t>. [online] Hidayat Rizvi. Available at: https://hidayatrizvi.com/cultural-differences-in-business-between-uk-and-japan/.</w:t>
      </w:r>
    </w:p>
    <w:p w14:paraId="0000001C" w14:textId="77777777" w:rsidR="00465399" w:rsidRDefault="00000000">
      <w:r>
        <w:t xml:space="preserve">Tamaki, S. (2022). </w:t>
      </w:r>
      <w:r>
        <w:rPr>
          <w:i/>
        </w:rPr>
        <w:t>High Context vs. Low Context Communication in the Japan workplace</w:t>
      </w:r>
      <w:r>
        <w:t>. [online] www.inventurejapan.com. Available at: https://www.inventurejapan.com/culture/high-vs-low-context-communication.</w:t>
      </w:r>
    </w:p>
    <w:p w14:paraId="0000001D" w14:textId="77777777" w:rsidR="00465399" w:rsidRDefault="00000000">
      <w:r>
        <w:t xml:space="preserve">The Culture Factor Group (2025). </w:t>
      </w:r>
      <w:r>
        <w:rPr>
          <w:i/>
        </w:rPr>
        <w:t>Country comparison tool</w:t>
      </w:r>
      <w:r>
        <w:t>. [online] Theculturefactor.com. Available at: https://www.theculturefactor.com/country-comparison-tool?countries=japan%2Cunited+kingdom.</w:t>
      </w:r>
    </w:p>
    <w:p w14:paraId="0000001E" w14:textId="77777777" w:rsidR="00465399" w:rsidRDefault="00465399"/>
    <w:sectPr w:rsidR="0046539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9DED3" w14:textId="77777777" w:rsidR="00B52502" w:rsidRDefault="00B52502">
      <w:pPr>
        <w:spacing w:line="240" w:lineRule="auto"/>
      </w:pPr>
      <w:r>
        <w:separator/>
      </w:r>
    </w:p>
  </w:endnote>
  <w:endnote w:type="continuationSeparator" w:id="0">
    <w:p w14:paraId="4520C918" w14:textId="77777777" w:rsidR="00B52502" w:rsidRDefault="00B525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247FB5" w14:textId="77777777" w:rsidR="00175A12" w:rsidRDefault="00175A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1F" w14:textId="79C4DE82" w:rsidR="00465399" w:rsidRDefault="00000000">
    <w:pPr>
      <w:jc w:val="right"/>
    </w:pPr>
    <w:r>
      <w:fldChar w:fldCharType="begin"/>
    </w:r>
    <w:r>
      <w:instrText>PAGE</w:instrText>
    </w:r>
    <w:r>
      <w:fldChar w:fldCharType="separate"/>
    </w:r>
    <w:r w:rsidR="00175A12">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9ED68" w14:textId="77777777" w:rsidR="00175A12" w:rsidRDefault="00175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9B2045" w14:textId="77777777" w:rsidR="00B52502" w:rsidRDefault="00B52502">
      <w:pPr>
        <w:spacing w:line="240" w:lineRule="auto"/>
      </w:pPr>
      <w:r>
        <w:separator/>
      </w:r>
    </w:p>
  </w:footnote>
  <w:footnote w:type="continuationSeparator" w:id="0">
    <w:p w14:paraId="03668990" w14:textId="77777777" w:rsidR="00B52502" w:rsidRDefault="00B525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431C8B" w14:textId="77777777" w:rsidR="00175A12" w:rsidRDefault="00175A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1DE7C9" w14:textId="77777777" w:rsidR="00175A12" w:rsidRDefault="00175A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A5ABF2" w14:textId="77777777" w:rsidR="00175A12" w:rsidRDefault="00175A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2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399"/>
    <w:rsid w:val="00175A12"/>
    <w:rsid w:val="00465399"/>
    <w:rsid w:val="00B52502"/>
    <w:rsid w:val="00FE1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36E36"/>
  <w15:docId w15:val="{71FF600C-59DC-2E44-9360-A70F25652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75A12"/>
    <w:pPr>
      <w:tabs>
        <w:tab w:val="center" w:pos="4513"/>
        <w:tab w:val="right" w:pos="9026"/>
      </w:tabs>
      <w:spacing w:line="240" w:lineRule="auto"/>
    </w:pPr>
  </w:style>
  <w:style w:type="character" w:customStyle="1" w:styleId="HeaderChar">
    <w:name w:val="Header Char"/>
    <w:basedOn w:val="DefaultParagraphFont"/>
    <w:link w:val="Header"/>
    <w:uiPriority w:val="99"/>
    <w:rsid w:val="00175A12"/>
  </w:style>
  <w:style w:type="paragraph" w:styleId="Footer">
    <w:name w:val="footer"/>
    <w:basedOn w:val="Normal"/>
    <w:link w:val="FooterChar"/>
    <w:uiPriority w:val="99"/>
    <w:unhideWhenUsed/>
    <w:rsid w:val="00175A12"/>
    <w:pPr>
      <w:tabs>
        <w:tab w:val="center" w:pos="4513"/>
        <w:tab w:val="right" w:pos="9026"/>
      </w:tabs>
      <w:spacing w:line="240" w:lineRule="auto"/>
    </w:pPr>
  </w:style>
  <w:style w:type="character" w:customStyle="1" w:styleId="FooterChar">
    <w:name w:val="Footer Char"/>
    <w:basedOn w:val="DefaultParagraphFont"/>
    <w:link w:val="Footer"/>
    <w:uiPriority w:val="99"/>
    <w:rsid w:val="00175A12"/>
  </w:style>
  <w:style w:type="character" w:customStyle="1" w:styleId="TitleChar">
    <w:name w:val="Title Char"/>
    <w:basedOn w:val="DefaultParagraphFont"/>
    <w:link w:val="Title"/>
    <w:uiPriority w:val="10"/>
    <w:rsid w:val="00175A12"/>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zaJ3+EPypPxxCtepSyhCRXGFvA==">CgMxLjAyDmguYWwwejY1ODJ1ZG94Mg5oLmVvcDZnbGk5Y21wbTIOaC42azJ2cDFjaGp0MmMyDmguaGs2d2FjMmg0c2F2Mg5oLjFkNDV1am5xM3NibDgAciExQlVhTW5LSnNjbU9MLTdEdllXTlBEZkw0NWItUFhRVWk=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2982</Words>
  <Characters>17002</Characters>
  <Application>Microsoft Office Word</Application>
  <DocSecurity>0</DocSecurity>
  <Lines>141</Lines>
  <Paragraphs>39</Paragraphs>
  <ScaleCrop>false</ScaleCrop>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cp:lastModifiedBy>
  <cp:revision>2</cp:revision>
  <dcterms:created xsi:type="dcterms:W3CDTF">2025-04-23T07:36:00Z</dcterms:created>
  <dcterms:modified xsi:type="dcterms:W3CDTF">2025-04-23T07:39:00Z</dcterms:modified>
</cp:coreProperties>
</file>