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02B96" w:rsidRDefault="00902B96" w:rsidP="00902B96">
      <w:pPr>
        <w:spacing w:line="360" w:lineRule="auto"/>
        <w:jc w:val="both"/>
        <w:rPr>
          <w:rFonts w:ascii="Arial" w:hAnsi="Arial" w:cs="Arial"/>
          <w:b/>
          <w:sz w:val="24"/>
          <w:szCs w:val="24"/>
          <w:u w:val="single"/>
        </w:rPr>
      </w:pPr>
      <w:r>
        <w:rPr>
          <w:rFonts w:ascii="Arial" w:hAnsi="Arial" w:cs="Arial"/>
          <w:b/>
          <w:sz w:val="24"/>
          <w:szCs w:val="24"/>
          <w:u w:val="single"/>
        </w:rPr>
        <w:t>Section 4</w:t>
      </w:r>
      <w:bookmarkStart w:id="0" w:name="_GoBack"/>
      <w:bookmarkEnd w:id="0"/>
    </w:p>
    <w:p w:rsidR="00902B96" w:rsidRDefault="00902B96" w:rsidP="00902B96">
      <w:pPr>
        <w:spacing w:line="360" w:lineRule="auto"/>
        <w:jc w:val="both"/>
        <w:rPr>
          <w:rFonts w:ascii="Arial" w:hAnsi="Arial" w:cs="Arial"/>
          <w:sz w:val="24"/>
          <w:szCs w:val="24"/>
        </w:rPr>
      </w:pPr>
    </w:p>
    <w:p w:rsidR="00902B96" w:rsidRDefault="00902B96" w:rsidP="00902B96">
      <w:pPr>
        <w:spacing w:line="360" w:lineRule="auto"/>
        <w:jc w:val="both"/>
        <w:rPr>
          <w:rFonts w:ascii="Arial" w:hAnsi="Arial" w:cs="Arial"/>
          <w:sz w:val="24"/>
          <w:szCs w:val="24"/>
        </w:rPr>
      </w:pPr>
      <w:r>
        <w:rPr>
          <w:rFonts w:ascii="Arial" w:hAnsi="Arial" w:cs="Arial"/>
          <w:sz w:val="24"/>
          <w:szCs w:val="24"/>
        </w:rPr>
        <w:t xml:space="preserve">Early Childhood Today (2021) state that within Piaget’s Theory of Cognitive Development it is suggested that children have distinct thought processes and logic which differ from that of adults, therefore children construct individual theories of the world. </w:t>
      </w:r>
      <w:proofErr w:type="spellStart"/>
      <w:r>
        <w:rPr>
          <w:rFonts w:ascii="Arial" w:hAnsi="Arial" w:cs="Arial"/>
          <w:sz w:val="24"/>
          <w:szCs w:val="24"/>
        </w:rPr>
        <w:t>Kandola</w:t>
      </w:r>
      <w:proofErr w:type="spellEnd"/>
      <w:r>
        <w:rPr>
          <w:rFonts w:ascii="Arial" w:hAnsi="Arial" w:cs="Arial"/>
          <w:sz w:val="24"/>
          <w:szCs w:val="24"/>
        </w:rPr>
        <w:t xml:space="preserve"> (2019) agrees suggesting that children develop through exploration and interaction with the environment to support the understanding of people, objects and concepts.</w:t>
      </w:r>
      <w:r w:rsidRPr="006B29A6">
        <w:rPr>
          <w:rFonts w:ascii="Arial" w:hAnsi="Arial" w:cs="Arial"/>
          <w:sz w:val="24"/>
          <w:szCs w:val="24"/>
        </w:rPr>
        <w:t xml:space="preserve"> </w:t>
      </w:r>
      <w:proofErr w:type="spellStart"/>
      <w:r>
        <w:rPr>
          <w:rFonts w:ascii="Arial" w:hAnsi="Arial" w:cs="Arial"/>
          <w:sz w:val="24"/>
          <w:szCs w:val="24"/>
        </w:rPr>
        <w:t>Kandola</w:t>
      </w:r>
      <w:proofErr w:type="spellEnd"/>
      <w:r>
        <w:rPr>
          <w:rFonts w:ascii="Arial" w:hAnsi="Arial" w:cs="Arial"/>
          <w:sz w:val="24"/>
          <w:szCs w:val="24"/>
        </w:rPr>
        <w:t xml:space="preserve"> (2019) continues that Piaget viewed this form of exploration as naturally</w:t>
      </w:r>
      <w:r w:rsidRPr="008648EF">
        <w:rPr>
          <w:rFonts w:ascii="Arial" w:hAnsi="Arial" w:cs="Arial"/>
          <w:sz w:val="24"/>
          <w:szCs w:val="24"/>
        </w:rPr>
        <w:t xml:space="preserve"> </w:t>
      </w:r>
      <w:r>
        <w:rPr>
          <w:rFonts w:ascii="Arial" w:hAnsi="Arial" w:cs="Arial"/>
          <w:sz w:val="24"/>
          <w:szCs w:val="24"/>
        </w:rPr>
        <w:t xml:space="preserve">occurring, without the need of adult support. Early Childhood Today (2021) suggests Piaget’s theory views the role of the adult as an observer and guide to support children in building knowledge, therefore the adult should provide an enriched, high affordance environment, as shown in the photograph, for exploration and interaction to take place. NICE (2008) suggests adults enable active play by creating an environment whereby children have freedom and autonomy to explore, suggesting the adults role is to observe and understand interests that in turn lead to creating the correct play environment that is enriched with materials and resources. As suggested by Play Scotland (2021) ‘loose parts’ are open-ended resources that children are able to use creatively in play to enhance imagination, problem-solving skills and communication. Fox and Wirth (2016) agree suggesting using loose parts as a resource for learning through play provides opportunities for children to be inventive and explorative that in turn drives learning. Furthermore, </w:t>
      </w:r>
      <w:proofErr w:type="spellStart"/>
      <w:r>
        <w:rPr>
          <w:rFonts w:ascii="Arial" w:hAnsi="Arial" w:cs="Arial"/>
          <w:sz w:val="24"/>
          <w:szCs w:val="24"/>
        </w:rPr>
        <w:t>Ranheim</w:t>
      </w:r>
      <w:proofErr w:type="spellEnd"/>
      <w:r>
        <w:rPr>
          <w:rFonts w:ascii="Arial" w:hAnsi="Arial" w:cs="Arial"/>
          <w:sz w:val="24"/>
          <w:szCs w:val="24"/>
        </w:rPr>
        <w:t xml:space="preserve"> (2020) suggests that loose parts found in nature such as leaves, twigs, pebbles and pinecones are particularly suited to support the development of mathematical concepts due to the array of open-ended possibilities afforded to children when engaged with such resources. Furthermore, Fox and Wirth (2016) suggest that loose parts such as bark from trees provide mathematical learning opportunities regarding sequences and pattern, that link with Curriculum for Wales (2022) learning descriptors ‘Algebra Uses Symbol Systems to Express the Structure of Mathematical Relationships’, that plastic, manufactured toys would not afford children. Play Scotland (no date) suggest that play environments are richer where loose parts are made accessible to children, therefore it is essential that adults plan for and enhance environments with these resources. Play Scotland (no date) continues that adults also have to sensitively support children in loose parts play, resisting the urge to intervene frequently, allowing children time and space to discover , invent, investigate, explore and direct individual learning.</w:t>
      </w:r>
    </w:p>
    <w:p w:rsidR="00902B96" w:rsidRDefault="00902B96" w:rsidP="00902B96">
      <w:pPr>
        <w:spacing w:line="360" w:lineRule="auto"/>
        <w:jc w:val="both"/>
        <w:rPr>
          <w:rFonts w:ascii="Arial" w:hAnsi="Arial" w:cs="Arial"/>
          <w:sz w:val="24"/>
          <w:szCs w:val="24"/>
        </w:rPr>
      </w:pPr>
    </w:p>
    <w:p w:rsidR="00902B96" w:rsidRDefault="00902B96" w:rsidP="00902B96">
      <w:pPr>
        <w:spacing w:line="360" w:lineRule="auto"/>
        <w:jc w:val="both"/>
        <w:rPr>
          <w:rFonts w:ascii="Arial" w:hAnsi="Arial" w:cs="Arial"/>
          <w:sz w:val="24"/>
          <w:szCs w:val="24"/>
        </w:rPr>
      </w:pPr>
      <w:r>
        <w:rPr>
          <w:rFonts w:ascii="Arial" w:hAnsi="Arial" w:cs="Arial"/>
          <w:sz w:val="24"/>
          <w:szCs w:val="24"/>
        </w:rPr>
        <w:t xml:space="preserve">As suggested by Duncan (2013), nature is a gift to children’s senses and minds affording opportunities and experiences that benefit holistic development. White (no date) shares this view suggesting children thrive in outdoor spaces with the development of the mind and body being enhanced through real experiences and play opportunities. Furthermore, </w:t>
      </w:r>
      <w:proofErr w:type="spellStart"/>
      <w:r>
        <w:rPr>
          <w:rFonts w:ascii="Arial" w:hAnsi="Arial" w:cs="Arial"/>
          <w:sz w:val="24"/>
          <w:szCs w:val="24"/>
        </w:rPr>
        <w:t>Tovey</w:t>
      </w:r>
      <w:proofErr w:type="spellEnd"/>
      <w:r>
        <w:rPr>
          <w:rFonts w:ascii="Arial" w:hAnsi="Arial" w:cs="Arial"/>
          <w:sz w:val="24"/>
          <w:szCs w:val="24"/>
        </w:rPr>
        <w:t xml:space="preserve"> (no date) suggests that the outdoor environment is considered a central and essential factor in the Froebelian approach as Froebel believed children learn best through rich, sensory first-hand experiences. Jensen and Bullard (2012) agree suggesting mud, which is accessible in the outdoor environment in the photograph, is a freely available basic element of nature that is encourages exploration and experimentation due to its intangible nature. Furthermore, Jensen and Bullard (2012) argue that mud play enhances a range of developmental areas including science and mathematical skills as children can explore mud in wet or dry states, investigate differences between solids and liquids, the concept of volume and develop problem-solving skills. However, Aziz and Said (2016) suggest the extent in which children engage in and learn through outdoor play </w:t>
      </w:r>
      <w:proofErr w:type="gramStart"/>
      <w:r>
        <w:rPr>
          <w:rFonts w:ascii="Arial" w:hAnsi="Arial" w:cs="Arial"/>
          <w:sz w:val="24"/>
          <w:szCs w:val="24"/>
        </w:rPr>
        <w:t>is influenced</w:t>
      </w:r>
      <w:proofErr w:type="gramEnd"/>
      <w:r>
        <w:rPr>
          <w:rFonts w:ascii="Arial" w:hAnsi="Arial" w:cs="Arial"/>
          <w:sz w:val="24"/>
          <w:szCs w:val="24"/>
        </w:rPr>
        <w:t xml:space="preserve"> by the design of the outdoor environment. MA Education (2016) states that Gibson’s Theory of Affordance (1966) suggests an affordance is an object in an environment that offers a possibility or function to an individual that influences interaction with the object such as the fallen tree in the photograph. In addition, Play Scotland (no date) suggest affordance is the potential of what an object or environment can do or be to an individual with such affordances being abundant and coming to life in natural outdoor environments. </w:t>
      </w:r>
      <w:proofErr w:type="spellStart"/>
      <w:r>
        <w:rPr>
          <w:rFonts w:ascii="Arial" w:hAnsi="Arial" w:cs="Arial"/>
          <w:sz w:val="24"/>
          <w:szCs w:val="24"/>
        </w:rPr>
        <w:t>Loebach</w:t>
      </w:r>
      <w:proofErr w:type="spellEnd"/>
      <w:r>
        <w:rPr>
          <w:rFonts w:ascii="Arial" w:hAnsi="Arial" w:cs="Arial"/>
          <w:sz w:val="24"/>
          <w:szCs w:val="24"/>
        </w:rPr>
        <w:t xml:space="preserve">, </w:t>
      </w:r>
      <w:r>
        <w:rPr>
          <w:rFonts w:ascii="Arial" w:hAnsi="Arial" w:cs="Arial"/>
          <w:i/>
          <w:sz w:val="24"/>
          <w:szCs w:val="24"/>
        </w:rPr>
        <w:t xml:space="preserve">et al. </w:t>
      </w:r>
      <w:r>
        <w:rPr>
          <w:rFonts w:ascii="Arial" w:hAnsi="Arial" w:cs="Arial"/>
          <w:sz w:val="24"/>
          <w:szCs w:val="24"/>
        </w:rPr>
        <w:t xml:space="preserve">(2021) agrees suggesting the diverse and unstructured opportunities within outdoor environments allow children to develop creativity and problem solving skills as well as enhance learning outcomes across the curriculum. MA Education (2016) continues that when an environment is rich with play affordance, offers of endless possibilities and potential for play, exploration and learning </w:t>
      </w:r>
      <w:proofErr w:type="gramStart"/>
      <w:r>
        <w:rPr>
          <w:rFonts w:ascii="Arial" w:hAnsi="Arial" w:cs="Arial"/>
          <w:sz w:val="24"/>
          <w:szCs w:val="24"/>
        </w:rPr>
        <w:t>are provided</w:t>
      </w:r>
      <w:proofErr w:type="gramEnd"/>
      <w:r>
        <w:rPr>
          <w:rFonts w:ascii="Arial" w:hAnsi="Arial" w:cs="Arial"/>
          <w:sz w:val="24"/>
          <w:szCs w:val="24"/>
        </w:rPr>
        <w:t xml:space="preserve"> for children. Furthermore, </w:t>
      </w:r>
      <w:proofErr w:type="spellStart"/>
      <w:r>
        <w:rPr>
          <w:rFonts w:ascii="Arial" w:hAnsi="Arial" w:cs="Arial"/>
          <w:sz w:val="24"/>
          <w:szCs w:val="24"/>
        </w:rPr>
        <w:t>Sando</w:t>
      </w:r>
      <w:proofErr w:type="spellEnd"/>
      <w:r>
        <w:rPr>
          <w:rFonts w:ascii="Arial" w:hAnsi="Arial" w:cs="Arial"/>
          <w:sz w:val="24"/>
          <w:szCs w:val="24"/>
        </w:rPr>
        <w:t xml:space="preserve">, </w:t>
      </w:r>
      <w:proofErr w:type="spellStart"/>
      <w:r>
        <w:rPr>
          <w:rFonts w:ascii="Arial" w:hAnsi="Arial" w:cs="Arial"/>
          <w:sz w:val="24"/>
          <w:szCs w:val="24"/>
        </w:rPr>
        <w:t>Beate</w:t>
      </w:r>
      <w:proofErr w:type="spellEnd"/>
      <w:r>
        <w:rPr>
          <w:rFonts w:ascii="Arial" w:hAnsi="Arial" w:cs="Arial"/>
          <w:sz w:val="24"/>
          <w:szCs w:val="24"/>
        </w:rPr>
        <w:t xml:space="preserve"> and </w:t>
      </w:r>
      <w:proofErr w:type="spellStart"/>
      <w:r>
        <w:rPr>
          <w:rFonts w:ascii="Arial" w:hAnsi="Arial" w:cs="Arial"/>
          <w:sz w:val="24"/>
          <w:szCs w:val="24"/>
        </w:rPr>
        <w:t>Sandseter</w:t>
      </w:r>
      <w:proofErr w:type="spellEnd"/>
      <w:r>
        <w:rPr>
          <w:rFonts w:ascii="Arial" w:hAnsi="Arial" w:cs="Arial"/>
          <w:sz w:val="24"/>
          <w:szCs w:val="24"/>
        </w:rPr>
        <w:t xml:space="preserve"> (2020) suggest that affordances within outdoor environments support physically active play and well-being simultaneously. However, </w:t>
      </w:r>
      <w:proofErr w:type="spellStart"/>
      <w:r>
        <w:rPr>
          <w:rFonts w:ascii="Arial" w:hAnsi="Arial" w:cs="Arial"/>
          <w:sz w:val="24"/>
          <w:szCs w:val="24"/>
        </w:rPr>
        <w:t>Beate</w:t>
      </w:r>
      <w:proofErr w:type="spellEnd"/>
      <w:r>
        <w:rPr>
          <w:rFonts w:ascii="Arial" w:hAnsi="Arial" w:cs="Arial"/>
          <w:sz w:val="24"/>
          <w:szCs w:val="24"/>
        </w:rPr>
        <w:t xml:space="preserve"> and </w:t>
      </w:r>
      <w:proofErr w:type="spellStart"/>
      <w:r>
        <w:rPr>
          <w:rFonts w:ascii="Arial" w:hAnsi="Arial" w:cs="Arial"/>
          <w:sz w:val="24"/>
          <w:szCs w:val="24"/>
        </w:rPr>
        <w:t>Sandseter</w:t>
      </w:r>
      <w:proofErr w:type="spellEnd"/>
      <w:r>
        <w:rPr>
          <w:rFonts w:ascii="Arial" w:hAnsi="Arial" w:cs="Arial"/>
          <w:sz w:val="24"/>
          <w:szCs w:val="24"/>
        </w:rPr>
        <w:t xml:space="preserve"> (2009) highlight the importance of adults allowing children mobility licence within the environment that work in correlation with play affordances. </w:t>
      </w:r>
      <w:proofErr w:type="spellStart"/>
      <w:r>
        <w:rPr>
          <w:rFonts w:ascii="Arial" w:hAnsi="Arial" w:cs="Arial"/>
          <w:sz w:val="24"/>
          <w:szCs w:val="24"/>
        </w:rPr>
        <w:t>Beate</w:t>
      </w:r>
      <w:proofErr w:type="spellEnd"/>
      <w:r>
        <w:rPr>
          <w:rFonts w:ascii="Arial" w:hAnsi="Arial" w:cs="Arial"/>
          <w:sz w:val="24"/>
          <w:szCs w:val="24"/>
        </w:rPr>
        <w:t xml:space="preserve"> and </w:t>
      </w:r>
      <w:proofErr w:type="spellStart"/>
      <w:r>
        <w:rPr>
          <w:rFonts w:ascii="Arial" w:hAnsi="Arial" w:cs="Arial"/>
          <w:sz w:val="24"/>
          <w:szCs w:val="24"/>
        </w:rPr>
        <w:t>Sandseter</w:t>
      </w:r>
      <w:proofErr w:type="spellEnd"/>
      <w:r>
        <w:rPr>
          <w:rFonts w:ascii="Arial" w:hAnsi="Arial" w:cs="Arial"/>
          <w:sz w:val="24"/>
          <w:szCs w:val="24"/>
        </w:rPr>
        <w:t xml:space="preserve"> (2009) suggest for play affordances to </w:t>
      </w:r>
      <w:proofErr w:type="gramStart"/>
      <w:r>
        <w:rPr>
          <w:rFonts w:ascii="Arial" w:hAnsi="Arial" w:cs="Arial"/>
          <w:sz w:val="24"/>
          <w:szCs w:val="24"/>
        </w:rPr>
        <w:t>be actualised</w:t>
      </w:r>
      <w:proofErr w:type="gramEnd"/>
      <w:r>
        <w:rPr>
          <w:rFonts w:ascii="Arial" w:hAnsi="Arial" w:cs="Arial"/>
          <w:sz w:val="24"/>
          <w:szCs w:val="24"/>
        </w:rPr>
        <w:t xml:space="preserve"> for children, adults must provide time, space and freedom for children to engage in risky play and explore creatively. As suggested by </w:t>
      </w:r>
      <w:proofErr w:type="spellStart"/>
      <w:r>
        <w:rPr>
          <w:rFonts w:ascii="Arial" w:hAnsi="Arial" w:cs="Arial"/>
          <w:sz w:val="24"/>
          <w:szCs w:val="24"/>
        </w:rPr>
        <w:t>Tovey</w:t>
      </w:r>
      <w:proofErr w:type="spellEnd"/>
      <w:r>
        <w:rPr>
          <w:rFonts w:ascii="Arial" w:hAnsi="Arial" w:cs="Arial"/>
          <w:sz w:val="24"/>
          <w:szCs w:val="24"/>
        </w:rPr>
        <w:t xml:space="preserve"> (no date), children </w:t>
      </w:r>
      <w:r>
        <w:rPr>
          <w:rFonts w:ascii="Arial" w:hAnsi="Arial" w:cs="Arial"/>
          <w:sz w:val="24"/>
          <w:szCs w:val="24"/>
        </w:rPr>
        <w:lastRenderedPageBreak/>
        <w:t xml:space="preserve">are able to experience and engage with key concepts such as gravity, speed, forces and life cycles in high affordance outdoor environments. This supports scientific learning in line with Curriculum for Wales (2022) learning descriptors ‘Forces and Energy Provide a Foundation for Understanding Our Universe’, ‘The World </w:t>
      </w:r>
      <w:proofErr w:type="gramStart"/>
      <w:r>
        <w:rPr>
          <w:rFonts w:ascii="Arial" w:hAnsi="Arial" w:cs="Arial"/>
          <w:sz w:val="24"/>
          <w:szCs w:val="24"/>
        </w:rPr>
        <w:t>Around</w:t>
      </w:r>
      <w:proofErr w:type="gramEnd"/>
      <w:r>
        <w:rPr>
          <w:rFonts w:ascii="Arial" w:hAnsi="Arial" w:cs="Arial"/>
          <w:sz w:val="24"/>
          <w:szCs w:val="24"/>
        </w:rPr>
        <w:t xml:space="preserve"> Us is Full of Living Things which Depend Upon Each Other for Survival’ and ‘Being Curious and Searching for Answers is Essential to Understanding and Predicting Phenomena’ (Welsh Government, 2020b). </w:t>
      </w:r>
    </w:p>
    <w:p w:rsidR="00902B96" w:rsidRDefault="00902B96" w:rsidP="00902B96">
      <w:pPr>
        <w:spacing w:line="360" w:lineRule="auto"/>
        <w:jc w:val="both"/>
        <w:rPr>
          <w:rFonts w:ascii="Arial" w:hAnsi="Arial" w:cs="Arial"/>
          <w:sz w:val="24"/>
          <w:szCs w:val="24"/>
        </w:rPr>
      </w:pPr>
    </w:p>
    <w:p w:rsidR="00902B96" w:rsidRPr="009F230D" w:rsidRDefault="00902B96" w:rsidP="00902B96">
      <w:pPr>
        <w:spacing w:line="360" w:lineRule="auto"/>
        <w:jc w:val="both"/>
        <w:rPr>
          <w:rFonts w:ascii="Arial" w:hAnsi="Arial" w:cs="Arial"/>
          <w:sz w:val="24"/>
          <w:szCs w:val="24"/>
        </w:rPr>
      </w:pPr>
      <w:proofErr w:type="spellStart"/>
      <w:r>
        <w:rPr>
          <w:rFonts w:ascii="Arial" w:hAnsi="Arial" w:cs="Arial"/>
          <w:sz w:val="24"/>
          <w:szCs w:val="24"/>
        </w:rPr>
        <w:t>Tovey</w:t>
      </w:r>
      <w:proofErr w:type="spellEnd"/>
      <w:r>
        <w:rPr>
          <w:rFonts w:ascii="Arial" w:hAnsi="Arial" w:cs="Arial"/>
          <w:sz w:val="24"/>
          <w:szCs w:val="24"/>
        </w:rPr>
        <w:t xml:space="preserve"> (no date) suggests that the wonder and mystery in a natural outdoor space such as the one shown in the photograph, not only allows space and freedom for experimentation, exploration and investigation but also risky play, adventure and challenge. Early Years Outdoors Education (no date) defines risky play as play that is challenging, testing boundaries and limitations with the risk of injury present. </w:t>
      </w:r>
      <w:proofErr w:type="spellStart"/>
      <w:r>
        <w:rPr>
          <w:rFonts w:ascii="Arial" w:hAnsi="Arial" w:cs="Arial"/>
          <w:sz w:val="24"/>
          <w:szCs w:val="24"/>
        </w:rPr>
        <w:t>Lavrysen</w:t>
      </w:r>
      <w:proofErr w:type="spellEnd"/>
      <w:r>
        <w:rPr>
          <w:rFonts w:ascii="Arial" w:hAnsi="Arial" w:cs="Arial"/>
          <w:sz w:val="24"/>
          <w:szCs w:val="24"/>
        </w:rPr>
        <w:t xml:space="preserve"> (2017) suggests children seek out risky play naturally, putting emphasis on both the environment and adult in supporting children to develop competence when considering risk. However, Murray and Williams (2019) suggest a challenge to children accessing purposeful risky play is adult attitudes, continuing that adults viewing outdoor play as high risk creates a culture whereby children become more risk averse and less likely to participate in this form of play. In addition, </w:t>
      </w:r>
      <w:proofErr w:type="spellStart"/>
      <w:r>
        <w:rPr>
          <w:rFonts w:ascii="Arial" w:hAnsi="Arial" w:cs="Arial"/>
          <w:sz w:val="24"/>
          <w:szCs w:val="24"/>
        </w:rPr>
        <w:t>Ihmeidah</w:t>
      </w:r>
      <w:proofErr w:type="spellEnd"/>
      <w:r>
        <w:rPr>
          <w:rFonts w:ascii="Arial" w:hAnsi="Arial" w:cs="Arial"/>
          <w:sz w:val="24"/>
          <w:szCs w:val="24"/>
        </w:rPr>
        <w:t xml:space="preserve"> and Al-</w:t>
      </w:r>
      <w:proofErr w:type="spellStart"/>
      <w:r>
        <w:rPr>
          <w:rFonts w:ascii="Arial" w:hAnsi="Arial" w:cs="Arial"/>
          <w:sz w:val="24"/>
          <w:szCs w:val="24"/>
        </w:rPr>
        <w:t>Qaryouti</w:t>
      </w:r>
      <w:proofErr w:type="spellEnd"/>
      <w:r>
        <w:rPr>
          <w:rFonts w:ascii="Arial" w:hAnsi="Arial" w:cs="Arial"/>
          <w:sz w:val="24"/>
          <w:szCs w:val="24"/>
        </w:rPr>
        <w:t xml:space="preserve"> (2016) suggest adults typically engage less in outdoor play interactions due to taking on a more supervisory, behaviour management role of children’s play in what </w:t>
      </w:r>
      <w:proofErr w:type="gramStart"/>
      <w:r>
        <w:rPr>
          <w:rFonts w:ascii="Arial" w:hAnsi="Arial" w:cs="Arial"/>
          <w:sz w:val="24"/>
          <w:szCs w:val="24"/>
        </w:rPr>
        <w:t>are deemed</w:t>
      </w:r>
      <w:proofErr w:type="gramEnd"/>
      <w:r>
        <w:rPr>
          <w:rFonts w:ascii="Arial" w:hAnsi="Arial" w:cs="Arial"/>
          <w:sz w:val="24"/>
          <w:szCs w:val="24"/>
        </w:rPr>
        <w:t xml:space="preserve"> high-risk environments, which in turn extinguishes children’s freedom and creativity. Furthermore, </w:t>
      </w:r>
      <w:proofErr w:type="gramStart"/>
      <w:r>
        <w:rPr>
          <w:rFonts w:ascii="Arial" w:hAnsi="Arial" w:cs="Arial"/>
          <w:sz w:val="24"/>
          <w:szCs w:val="24"/>
        </w:rPr>
        <w:t>Little</w:t>
      </w:r>
      <w:proofErr w:type="gramEnd"/>
      <w:r>
        <w:rPr>
          <w:rFonts w:ascii="Arial" w:hAnsi="Arial" w:cs="Arial"/>
          <w:sz w:val="24"/>
          <w:szCs w:val="24"/>
        </w:rPr>
        <w:t xml:space="preserve"> (2013) agrees suggesting that adults, particularly females, have difficulty finding a balance between the desire to keep children free from harm and providing opportunities for risky play that are beneficial for children. </w:t>
      </w:r>
      <w:proofErr w:type="spellStart"/>
      <w:r>
        <w:rPr>
          <w:rFonts w:ascii="Arial" w:hAnsi="Arial" w:cs="Arial"/>
          <w:sz w:val="24"/>
          <w:szCs w:val="24"/>
        </w:rPr>
        <w:t>Jelleyman</w:t>
      </w:r>
      <w:proofErr w:type="spellEnd"/>
      <w:r>
        <w:rPr>
          <w:rFonts w:ascii="Arial" w:hAnsi="Arial" w:cs="Arial"/>
          <w:sz w:val="24"/>
          <w:szCs w:val="24"/>
        </w:rPr>
        <w:t xml:space="preserve">, </w:t>
      </w:r>
      <w:r>
        <w:rPr>
          <w:rFonts w:ascii="Arial" w:hAnsi="Arial" w:cs="Arial"/>
          <w:i/>
          <w:sz w:val="24"/>
          <w:szCs w:val="24"/>
        </w:rPr>
        <w:t xml:space="preserve">et al. </w:t>
      </w:r>
      <w:r>
        <w:rPr>
          <w:rFonts w:ascii="Arial" w:hAnsi="Arial" w:cs="Arial"/>
          <w:sz w:val="24"/>
          <w:szCs w:val="24"/>
        </w:rPr>
        <w:t xml:space="preserve">(2019) acknowledges the challenges and impact of adult’s attitudes towards risky play, suggesting that a key factor in reducing a number of barriers is upskilling and building confidence within adults to support children to engage in this form of play.  Harper and </w:t>
      </w:r>
      <w:proofErr w:type="spellStart"/>
      <w:r>
        <w:rPr>
          <w:rFonts w:ascii="Arial" w:hAnsi="Arial" w:cs="Arial"/>
          <w:sz w:val="24"/>
          <w:szCs w:val="24"/>
        </w:rPr>
        <w:t>Obee</w:t>
      </w:r>
      <w:proofErr w:type="spellEnd"/>
      <w:r>
        <w:rPr>
          <w:rFonts w:ascii="Arial" w:hAnsi="Arial" w:cs="Arial"/>
          <w:sz w:val="24"/>
          <w:szCs w:val="24"/>
        </w:rPr>
        <w:t xml:space="preserve"> (2021) suggest society views Forest Schools as a more acceptable way to offer children risky outdoor play opportunities. Forest School Training (FSTC) (no date) suggests that forest schools enhance children’s resilience, wellbeing, communication, problem solving skills and learning capacity continuing that much of a child’s learning within a forest school environment is a result of children testing individual abilities in a real life context. Barrett (no date) suggests adults </w:t>
      </w:r>
      <w:r>
        <w:rPr>
          <w:rFonts w:ascii="Arial" w:hAnsi="Arial" w:cs="Arial"/>
          <w:sz w:val="24"/>
          <w:szCs w:val="24"/>
        </w:rPr>
        <w:lastRenderedPageBreak/>
        <w:t xml:space="preserve">trusting children to engage in risky play and </w:t>
      </w:r>
      <w:proofErr w:type="gramStart"/>
      <w:r>
        <w:rPr>
          <w:rFonts w:ascii="Arial" w:hAnsi="Arial" w:cs="Arial"/>
          <w:sz w:val="24"/>
          <w:szCs w:val="24"/>
        </w:rPr>
        <w:t>learn</w:t>
      </w:r>
      <w:proofErr w:type="gramEnd"/>
      <w:r>
        <w:rPr>
          <w:rFonts w:ascii="Arial" w:hAnsi="Arial" w:cs="Arial"/>
          <w:sz w:val="24"/>
          <w:szCs w:val="24"/>
        </w:rPr>
        <w:t xml:space="preserve"> from mistakes enables children to become empowered individuals. Sneck </w:t>
      </w:r>
      <w:r>
        <w:rPr>
          <w:rFonts w:ascii="Arial" w:hAnsi="Arial" w:cs="Arial"/>
          <w:i/>
          <w:sz w:val="24"/>
          <w:szCs w:val="24"/>
        </w:rPr>
        <w:t xml:space="preserve">et al. </w:t>
      </w:r>
      <w:r>
        <w:rPr>
          <w:rFonts w:ascii="Arial" w:hAnsi="Arial" w:cs="Arial"/>
          <w:sz w:val="24"/>
          <w:szCs w:val="24"/>
        </w:rPr>
        <w:t xml:space="preserve">(2019) agree suggesting inactivity in early years </w:t>
      </w:r>
      <w:proofErr w:type="gramStart"/>
      <w:r>
        <w:rPr>
          <w:rFonts w:ascii="Arial" w:hAnsi="Arial" w:cs="Arial"/>
          <w:sz w:val="24"/>
          <w:szCs w:val="24"/>
        </w:rPr>
        <w:t>is linked</w:t>
      </w:r>
      <w:proofErr w:type="gramEnd"/>
      <w:r>
        <w:rPr>
          <w:rFonts w:ascii="Arial" w:hAnsi="Arial" w:cs="Arial"/>
          <w:sz w:val="24"/>
          <w:szCs w:val="24"/>
        </w:rPr>
        <w:t xml:space="preserve"> to reduced cognitive ability in children, continuing that physical activity enhances the development of executive brain functions that are directly correlated with mathematical attainment. Furthermore, Keith (2018) suggests that meaningful engagement in active learning affords children the opportunity to deepen thinking and heighten mathematical motivation.</w:t>
      </w:r>
      <w:r w:rsidRPr="00EA77A0">
        <w:rPr>
          <w:rFonts w:ascii="Arial" w:hAnsi="Arial" w:cs="Arial"/>
          <w:sz w:val="24"/>
          <w:szCs w:val="24"/>
        </w:rPr>
        <w:t xml:space="preserve"> </w:t>
      </w:r>
      <w:r>
        <w:rPr>
          <w:rFonts w:ascii="Arial" w:hAnsi="Arial" w:cs="Arial"/>
          <w:sz w:val="24"/>
          <w:szCs w:val="24"/>
        </w:rPr>
        <w:t xml:space="preserve">In addition, Ouvry and Furtado (2020) suggest that, within outdoor environments, children consolidate learning through the most natural channel of movement allowing children </w:t>
      </w:r>
      <w:proofErr w:type="gramStart"/>
      <w:r>
        <w:rPr>
          <w:rFonts w:ascii="Arial" w:hAnsi="Arial" w:cs="Arial"/>
          <w:sz w:val="24"/>
          <w:szCs w:val="24"/>
        </w:rPr>
        <w:t>to actively experience</w:t>
      </w:r>
      <w:proofErr w:type="gramEnd"/>
      <w:r>
        <w:rPr>
          <w:rFonts w:ascii="Arial" w:hAnsi="Arial" w:cs="Arial"/>
          <w:sz w:val="24"/>
          <w:szCs w:val="24"/>
        </w:rPr>
        <w:t xml:space="preserve"> the world through all senses. White (2016) agrees suggesting physical play and movement supports children to master small and </w:t>
      </w:r>
      <w:proofErr w:type="gramStart"/>
      <w:r>
        <w:rPr>
          <w:rFonts w:ascii="Arial" w:hAnsi="Arial" w:cs="Arial"/>
          <w:sz w:val="24"/>
          <w:szCs w:val="24"/>
        </w:rPr>
        <w:t>large scale</w:t>
      </w:r>
      <w:proofErr w:type="gramEnd"/>
      <w:r>
        <w:rPr>
          <w:rFonts w:ascii="Arial" w:hAnsi="Arial" w:cs="Arial"/>
          <w:sz w:val="24"/>
          <w:szCs w:val="24"/>
        </w:rPr>
        <w:t xml:space="preserve"> movement skills, explore and manipulate materials and to negotiate surroundings comfortably. In addition, White (2016) continues that through physical play children experience and begin to understand the world through the sensory system. As suggested by The Motor Story (no date), physical play provides opportunities for the proprioceptive  and vestibular senses to be ignited and developed through activities such as climbing, spinning, swinging and jumping. The Motor Story (no date) continues that children are more able to engage and attend during activities as well as having a sense of the body in space when these senses are used.  Furthermore, Little and Eager (2010) argue that risky play enables individual discovery of what a child’s body is capable of with holistic development and play quality being enhanced when children are supported by adults to take risks, explore surroundings and experiment</w:t>
      </w:r>
    </w:p>
    <w:p w:rsidR="00902B96" w:rsidRDefault="00902B96" w:rsidP="00902B96">
      <w:pPr>
        <w:spacing w:line="360" w:lineRule="auto"/>
        <w:jc w:val="both"/>
        <w:rPr>
          <w:rFonts w:ascii="Arial" w:hAnsi="Arial" w:cs="Arial"/>
          <w:sz w:val="24"/>
          <w:szCs w:val="24"/>
        </w:rPr>
      </w:pPr>
    </w:p>
    <w:p w:rsidR="00902B96" w:rsidRDefault="00902B96" w:rsidP="00902B96">
      <w:pPr>
        <w:spacing w:line="360" w:lineRule="auto"/>
        <w:jc w:val="both"/>
        <w:rPr>
          <w:rFonts w:ascii="Arial" w:hAnsi="Arial" w:cs="Arial"/>
          <w:sz w:val="24"/>
          <w:szCs w:val="24"/>
        </w:rPr>
      </w:pPr>
      <w:proofErr w:type="spellStart"/>
      <w:r>
        <w:rPr>
          <w:rFonts w:ascii="Arial" w:hAnsi="Arial" w:cs="Arial"/>
          <w:sz w:val="24"/>
          <w:szCs w:val="24"/>
        </w:rPr>
        <w:t>Tovey</w:t>
      </w:r>
      <w:proofErr w:type="spellEnd"/>
      <w:r>
        <w:rPr>
          <w:rFonts w:ascii="Arial" w:hAnsi="Arial" w:cs="Arial"/>
          <w:sz w:val="24"/>
          <w:szCs w:val="24"/>
        </w:rPr>
        <w:t xml:space="preserve"> (2020) considers a Froebelian Approach whereby teacher-led education </w:t>
      </w:r>
      <w:proofErr w:type="gramStart"/>
      <w:r>
        <w:rPr>
          <w:rFonts w:ascii="Arial" w:hAnsi="Arial" w:cs="Arial"/>
          <w:sz w:val="24"/>
          <w:szCs w:val="24"/>
        </w:rPr>
        <w:t>is rejected</w:t>
      </w:r>
      <w:proofErr w:type="gramEnd"/>
      <w:r>
        <w:rPr>
          <w:rFonts w:ascii="Arial" w:hAnsi="Arial" w:cs="Arial"/>
          <w:sz w:val="24"/>
          <w:szCs w:val="24"/>
        </w:rPr>
        <w:t xml:space="preserve"> and children are viewed as curious, active and creative therefore play, similarly to Piaget’s theory, is considered the best form of learning. However, in contrast to Piaget’s theory, </w:t>
      </w:r>
      <w:proofErr w:type="spellStart"/>
      <w:r>
        <w:rPr>
          <w:rFonts w:ascii="Arial" w:hAnsi="Arial" w:cs="Arial"/>
          <w:sz w:val="24"/>
          <w:szCs w:val="24"/>
        </w:rPr>
        <w:t>Tovey</w:t>
      </w:r>
      <w:proofErr w:type="spellEnd"/>
      <w:r>
        <w:rPr>
          <w:rFonts w:ascii="Arial" w:hAnsi="Arial" w:cs="Arial"/>
          <w:sz w:val="24"/>
          <w:szCs w:val="24"/>
        </w:rPr>
        <w:t xml:space="preserve"> (2020) suggests that children need to build emotionally secure attachments with supportive and nurturing adults to thrive, continuing that the adult role is to sensitively support children to problem solve, make choices and pursue individual interests and talents in a mutually respectful and purposeful way, known as freedom with guidance. Bruce (2020) highlights that freedom with guidance is a challenging and delicate balance to strike, suggesting adults must not invade or overwhelm children and the endless possibilities afforded through free flowing play.  </w:t>
      </w:r>
      <w:proofErr w:type="gramStart"/>
      <w:r>
        <w:rPr>
          <w:rFonts w:ascii="Arial" w:hAnsi="Arial" w:cs="Arial"/>
          <w:sz w:val="24"/>
          <w:szCs w:val="24"/>
        </w:rPr>
        <w:t xml:space="preserve">In addition, White (no date) also emphasises the importance </w:t>
      </w:r>
      <w:r>
        <w:rPr>
          <w:rFonts w:ascii="Arial" w:hAnsi="Arial" w:cs="Arial"/>
          <w:sz w:val="24"/>
          <w:szCs w:val="24"/>
        </w:rPr>
        <w:lastRenderedPageBreak/>
        <w:t xml:space="preserve">of the role of the adult within outdoor play, stating that the full potential of the outdoors being available and accessible to children centres on knowledgeable and enthusiastic adults being a resource, as well as </w:t>
      </w:r>
      <w:proofErr w:type="spellStart"/>
      <w:r>
        <w:rPr>
          <w:rFonts w:ascii="Arial" w:hAnsi="Arial" w:cs="Arial"/>
          <w:sz w:val="24"/>
          <w:szCs w:val="24"/>
        </w:rPr>
        <w:t>Tovey</w:t>
      </w:r>
      <w:proofErr w:type="spellEnd"/>
      <w:r>
        <w:rPr>
          <w:rFonts w:ascii="Arial" w:hAnsi="Arial" w:cs="Arial"/>
          <w:sz w:val="24"/>
          <w:szCs w:val="24"/>
        </w:rPr>
        <w:t xml:space="preserve"> (no date) suggesting outdoor play provides meaningful learning opportunities across all areas of the curriculum including mathematics and science.</w:t>
      </w:r>
      <w:proofErr w:type="gramEnd"/>
      <w:r>
        <w:rPr>
          <w:rFonts w:ascii="Arial" w:hAnsi="Arial" w:cs="Arial"/>
          <w:sz w:val="24"/>
          <w:szCs w:val="24"/>
        </w:rPr>
        <w:t xml:space="preserve"> However, Tinney </w:t>
      </w:r>
      <w:r>
        <w:rPr>
          <w:rFonts w:ascii="Arial" w:hAnsi="Arial" w:cs="Arial"/>
          <w:i/>
          <w:sz w:val="24"/>
          <w:szCs w:val="24"/>
        </w:rPr>
        <w:t xml:space="preserve">et al. </w:t>
      </w:r>
      <w:r>
        <w:rPr>
          <w:rFonts w:ascii="Arial" w:hAnsi="Arial" w:cs="Arial"/>
          <w:sz w:val="24"/>
          <w:szCs w:val="24"/>
        </w:rPr>
        <w:t>(2020) argue that accessibility to appropriate training programmes for adults is essential in building confidence to support children’s learning particularly regarding scientific concepts.</w:t>
      </w:r>
    </w:p>
    <w:p w:rsidR="00902B96" w:rsidRDefault="00902B96" w:rsidP="00902B96">
      <w:pPr>
        <w:spacing w:line="360" w:lineRule="auto"/>
        <w:jc w:val="both"/>
        <w:rPr>
          <w:rFonts w:ascii="Arial" w:hAnsi="Arial" w:cs="Arial"/>
          <w:sz w:val="24"/>
          <w:szCs w:val="24"/>
        </w:rPr>
      </w:pPr>
    </w:p>
    <w:p w:rsidR="00902B96" w:rsidRDefault="00902B96" w:rsidP="00902B96">
      <w:pPr>
        <w:spacing w:line="360" w:lineRule="auto"/>
        <w:jc w:val="both"/>
        <w:rPr>
          <w:rFonts w:ascii="Arial" w:hAnsi="Arial" w:cs="Arial"/>
          <w:sz w:val="24"/>
          <w:szCs w:val="24"/>
        </w:rPr>
      </w:pPr>
      <w:r>
        <w:rPr>
          <w:rFonts w:ascii="Arial" w:hAnsi="Arial" w:cs="Arial"/>
          <w:sz w:val="24"/>
          <w:szCs w:val="24"/>
        </w:rPr>
        <w:t xml:space="preserve">Barrett (no date) suggests adults should observe children’s play to understand individual developmental needs, waiting for opportunities and ques to enter into play to appropriately scaffold for children. Bruner’s Theory of Scaffolding (1976) suggests children need active adult support when learning new concepts, with this adult support initially being depended upon until such a time whereby the child has developed knowledge and acquired skills meaning adult support can be reduced (Wheeler, no date). McLeod (2019) agrees suggesting the role of the adult is to facilitate children’s thinking and problem-solving skills that are transferrable across varied situations. Furthermore, </w:t>
      </w:r>
      <w:proofErr w:type="spellStart"/>
      <w:r>
        <w:rPr>
          <w:rFonts w:ascii="Arial" w:hAnsi="Arial" w:cs="Arial"/>
          <w:sz w:val="24"/>
          <w:szCs w:val="24"/>
        </w:rPr>
        <w:t>McLoed</w:t>
      </w:r>
      <w:proofErr w:type="spellEnd"/>
      <w:r>
        <w:rPr>
          <w:rFonts w:ascii="Arial" w:hAnsi="Arial" w:cs="Arial"/>
          <w:sz w:val="24"/>
          <w:szCs w:val="24"/>
        </w:rPr>
        <w:t xml:space="preserve"> (2019) states that, in contrast to Piaget’s Stages of Development, Bruner’s Modes of Representation for learning are integrated as opposed to sequential, therefore children’s learning is not hindered by adults deeming a concept too complex to learn merely based on a child’s age. In high affordance outdoor environments as shown in the photograph in Section </w:t>
      </w:r>
      <w:proofErr w:type="gramStart"/>
      <w:r>
        <w:rPr>
          <w:rFonts w:ascii="Arial" w:hAnsi="Arial" w:cs="Arial"/>
          <w:sz w:val="24"/>
          <w:szCs w:val="24"/>
        </w:rPr>
        <w:t>One</w:t>
      </w:r>
      <w:proofErr w:type="gramEnd"/>
      <w:r>
        <w:rPr>
          <w:rFonts w:ascii="Arial" w:hAnsi="Arial" w:cs="Arial"/>
          <w:sz w:val="24"/>
          <w:szCs w:val="24"/>
        </w:rPr>
        <w:t xml:space="preserve">, adults are able to scaffold children’s learning appropriately to support learning of mathematical and scientific concepts. </w:t>
      </w:r>
      <w:proofErr w:type="spellStart"/>
      <w:r>
        <w:rPr>
          <w:rFonts w:ascii="Arial" w:hAnsi="Arial" w:cs="Arial"/>
          <w:sz w:val="24"/>
          <w:szCs w:val="24"/>
        </w:rPr>
        <w:t>Bottrill</w:t>
      </w:r>
      <w:proofErr w:type="spellEnd"/>
      <w:r>
        <w:rPr>
          <w:rFonts w:ascii="Arial" w:hAnsi="Arial" w:cs="Arial"/>
          <w:sz w:val="24"/>
          <w:szCs w:val="24"/>
        </w:rPr>
        <w:t xml:space="preserve"> (2018) and Tucker (2014) argue that in order to apply mathematical understanding, children need to experience such concepts through the vehicle of play, therefore adults are able to re-visit and build upon children’s learning in a high affordance outdoor environment to best support this skill acquisition known as the Spiral Curriculum. Bruner developed the Spiral Curriculum theory whereby children </w:t>
      </w:r>
      <w:proofErr w:type="gramStart"/>
      <w:r>
        <w:rPr>
          <w:rFonts w:ascii="Arial" w:hAnsi="Arial" w:cs="Arial"/>
          <w:sz w:val="24"/>
          <w:szCs w:val="24"/>
        </w:rPr>
        <w:t>are introduced</w:t>
      </w:r>
      <w:proofErr w:type="gramEnd"/>
      <w:r>
        <w:rPr>
          <w:rFonts w:ascii="Arial" w:hAnsi="Arial" w:cs="Arial"/>
          <w:sz w:val="24"/>
          <w:szCs w:val="24"/>
        </w:rPr>
        <w:t xml:space="preserve"> to concepts that are re-visited throughout a period of learning. The complexity of the concept increases at each re-visit to enable children to relate new and old learning; therefore, new information </w:t>
      </w:r>
      <w:proofErr w:type="gramStart"/>
      <w:r>
        <w:rPr>
          <w:rFonts w:ascii="Arial" w:hAnsi="Arial" w:cs="Arial"/>
          <w:sz w:val="24"/>
          <w:szCs w:val="24"/>
        </w:rPr>
        <w:t>is put</w:t>
      </w:r>
      <w:proofErr w:type="gramEnd"/>
      <w:r>
        <w:rPr>
          <w:rFonts w:ascii="Arial" w:hAnsi="Arial" w:cs="Arial"/>
          <w:sz w:val="24"/>
          <w:szCs w:val="24"/>
        </w:rPr>
        <w:t xml:space="preserve"> into context with ease (Education Partnerships Incorporated (EPI), no date). Ireland and </w:t>
      </w:r>
      <w:proofErr w:type="spellStart"/>
      <w:r>
        <w:rPr>
          <w:rFonts w:ascii="Arial" w:hAnsi="Arial" w:cs="Arial"/>
          <w:sz w:val="24"/>
          <w:szCs w:val="24"/>
        </w:rPr>
        <w:t>Mouthaan</w:t>
      </w:r>
      <w:proofErr w:type="spellEnd"/>
      <w:r>
        <w:rPr>
          <w:rFonts w:ascii="Arial" w:hAnsi="Arial" w:cs="Arial"/>
          <w:sz w:val="24"/>
          <w:szCs w:val="24"/>
        </w:rPr>
        <w:t xml:space="preserve"> (2020) agree suggesting the logical sequencing and reinforcement enables children to retain and use the information more effectively. In addition, as suggested by </w:t>
      </w:r>
      <w:proofErr w:type="spellStart"/>
      <w:r>
        <w:rPr>
          <w:rFonts w:ascii="Arial" w:hAnsi="Arial" w:cs="Arial"/>
          <w:sz w:val="24"/>
          <w:szCs w:val="24"/>
        </w:rPr>
        <w:t>Siraj</w:t>
      </w:r>
      <w:proofErr w:type="spellEnd"/>
      <w:r>
        <w:rPr>
          <w:rFonts w:ascii="Arial" w:hAnsi="Arial" w:cs="Arial"/>
          <w:sz w:val="24"/>
          <w:szCs w:val="24"/>
        </w:rPr>
        <w:t xml:space="preserve">-Blatchford and </w:t>
      </w:r>
      <w:proofErr w:type="spellStart"/>
      <w:r>
        <w:rPr>
          <w:rFonts w:ascii="Arial" w:hAnsi="Arial" w:cs="Arial"/>
          <w:sz w:val="24"/>
          <w:szCs w:val="24"/>
        </w:rPr>
        <w:t>Asani</w:t>
      </w:r>
      <w:proofErr w:type="spellEnd"/>
      <w:r>
        <w:rPr>
          <w:rFonts w:ascii="Arial" w:hAnsi="Arial" w:cs="Arial"/>
          <w:sz w:val="24"/>
          <w:szCs w:val="24"/>
        </w:rPr>
        <w:t xml:space="preserve"> (2015), the environment shown in Section </w:t>
      </w:r>
      <w:proofErr w:type="gramStart"/>
      <w:r>
        <w:rPr>
          <w:rFonts w:ascii="Arial" w:hAnsi="Arial" w:cs="Arial"/>
          <w:sz w:val="24"/>
          <w:szCs w:val="24"/>
        </w:rPr>
        <w:t>One</w:t>
      </w:r>
      <w:proofErr w:type="gramEnd"/>
      <w:r>
        <w:rPr>
          <w:rFonts w:ascii="Arial" w:hAnsi="Arial" w:cs="Arial"/>
          <w:sz w:val="24"/>
          <w:szCs w:val="24"/>
        </w:rPr>
        <w:t xml:space="preserve"> enables adults to begin a </w:t>
      </w:r>
      <w:r>
        <w:rPr>
          <w:rFonts w:ascii="Arial" w:hAnsi="Arial" w:cs="Arial"/>
          <w:sz w:val="24"/>
          <w:szCs w:val="24"/>
        </w:rPr>
        <w:lastRenderedPageBreak/>
        <w:t xml:space="preserve">dialogue to engage children to support mathematical and scientific learning by using metacognitive talk and questioning. Furthermore, </w:t>
      </w:r>
      <w:proofErr w:type="spellStart"/>
      <w:r>
        <w:rPr>
          <w:rFonts w:ascii="Arial" w:hAnsi="Arial" w:cs="Arial"/>
          <w:sz w:val="24"/>
          <w:szCs w:val="24"/>
        </w:rPr>
        <w:t>Siraj-Blathford</w:t>
      </w:r>
      <w:proofErr w:type="spellEnd"/>
      <w:r>
        <w:rPr>
          <w:rFonts w:ascii="Arial" w:hAnsi="Arial" w:cs="Arial"/>
          <w:sz w:val="24"/>
          <w:szCs w:val="24"/>
        </w:rPr>
        <w:t xml:space="preserve"> (2009) argues that the adult role within Sustained Shared Thinking supports learning through meaningful, high quality play interactions with the use of open-ended questioning that invokes curiosity and supports exploration, experimentation and problem-solving skills. </w:t>
      </w:r>
      <w:proofErr w:type="spellStart"/>
      <w:r>
        <w:rPr>
          <w:rFonts w:ascii="Arial" w:hAnsi="Arial" w:cs="Arial"/>
          <w:sz w:val="24"/>
          <w:szCs w:val="24"/>
        </w:rPr>
        <w:t>Siraj</w:t>
      </w:r>
      <w:proofErr w:type="spellEnd"/>
      <w:r>
        <w:rPr>
          <w:rFonts w:ascii="Arial" w:hAnsi="Arial" w:cs="Arial"/>
          <w:sz w:val="24"/>
          <w:szCs w:val="24"/>
        </w:rPr>
        <w:t xml:space="preserve">-Blatchford (2009) continues that this type of interaction between adult and children, engages children in activities for longer periods of time, which in turn enhances the learning experience and provides further tools for children to re-visit and reinforce learning independently. </w:t>
      </w:r>
    </w:p>
    <w:p w:rsidR="00902B96" w:rsidRDefault="00902B96" w:rsidP="00902B96">
      <w:pPr>
        <w:spacing w:line="360" w:lineRule="auto"/>
        <w:jc w:val="both"/>
        <w:rPr>
          <w:rFonts w:ascii="Arial" w:hAnsi="Arial" w:cs="Arial"/>
          <w:sz w:val="24"/>
          <w:szCs w:val="24"/>
        </w:rPr>
      </w:pPr>
    </w:p>
    <w:p w:rsidR="001C2FAC" w:rsidRPr="009E55C1" w:rsidRDefault="00902B96" w:rsidP="00902B96">
      <w:pPr>
        <w:spacing w:line="360" w:lineRule="auto"/>
        <w:jc w:val="both"/>
        <w:rPr>
          <w:rFonts w:ascii="Arial" w:hAnsi="Arial" w:cs="Arial"/>
          <w:sz w:val="24"/>
          <w:szCs w:val="24"/>
        </w:rPr>
      </w:pPr>
      <w:r>
        <w:rPr>
          <w:rFonts w:ascii="Arial" w:hAnsi="Arial" w:cs="Arial"/>
          <w:sz w:val="24"/>
          <w:szCs w:val="24"/>
        </w:rPr>
        <w:t>It is evident, as suggested by White (no date), that the role of the adult in supporting children’s scientific and mathematical learning outdoors is varied as adults need to ensure outdoor provision is stimulating and organised in such a way that children are empowered to explore and learn through play independently.</w:t>
      </w:r>
    </w:p>
    <w:sectPr w:rsidR="001C2FAC" w:rsidRPr="009E55C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02B96"/>
    <w:rsid w:val="001C2FAC"/>
    <w:rsid w:val="0062420C"/>
    <w:rsid w:val="008D102C"/>
    <w:rsid w:val="00902B96"/>
    <w:rsid w:val="009E55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344D4DA-A15F-41EA-8868-252E8673E2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02B9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6</Pages>
  <Words>2186</Words>
  <Characters>12461</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City &amp; County of Swansea</Company>
  <LinksUpToDate>false</LinksUpToDate>
  <CharactersWithSpaces>14618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Tracy Harrison</dc:creator>
  <cp:keywords/>
  <dc:description/>
  <cp:lastModifiedBy>Tracy Harrison</cp:lastModifiedBy>
  <cp:revision>1</cp:revision>
  <dcterms:created xsi:type="dcterms:W3CDTF">2021-09-23T08:43:00Z</dcterms:created>
  <dcterms:modified xsi:type="dcterms:W3CDTF">2021-09-23T08:45:00Z</dcterms:modified>
</cp:coreProperties>
</file>