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CB889" w14:textId="58BD7D16" w:rsidR="002A4DC2" w:rsidRDefault="002A4DC2">
      <w:pPr>
        <w:rPr>
          <w:rFonts w:cstheme="minorHAnsi"/>
        </w:rPr>
      </w:pPr>
      <w:r>
        <w:rPr>
          <w:rFonts w:cstheme="minorHAnsi"/>
        </w:rPr>
        <w:t>What does Heraclitus mean in saying that we never step into the same river twice?</w:t>
      </w:r>
    </w:p>
    <w:p w14:paraId="3685E94E" w14:textId="5596306D" w:rsidR="00BA7EA7" w:rsidRDefault="00827744">
      <w:pPr>
        <w:rPr>
          <w:rFonts w:cstheme="minorHAnsi"/>
        </w:rPr>
      </w:pPr>
      <w:r>
        <w:rPr>
          <w:rFonts w:cstheme="minorHAnsi"/>
        </w:rPr>
        <w:t>Heraclitus was a pre-</w:t>
      </w:r>
      <w:r w:rsidR="00AC70B1">
        <w:rPr>
          <w:rFonts w:cstheme="minorHAnsi"/>
        </w:rPr>
        <w:t xml:space="preserve">Socratic philosopher of 500 BCE </w:t>
      </w:r>
      <w:r w:rsidR="00AC70B1">
        <w:rPr>
          <w:rStyle w:val="FootnoteReference"/>
          <w:rFonts w:cstheme="minorHAnsi"/>
        </w:rPr>
        <w:footnoteReference w:id="1"/>
      </w:r>
      <w:r w:rsidR="00AC70B1">
        <w:rPr>
          <w:rFonts w:cstheme="minorHAnsi"/>
        </w:rPr>
        <w:t xml:space="preserve"> who w</w:t>
      </w:r>
      <w:r w:rsidR="00DF5FD6">
        <w:rPr>
          <w:rFonts w:cstheme="minorHAnsi"/>
        </w:rPr>
        <w:t xml:space="preserve">as concerned with the nature of change and reality, which he expresses in his Doctrine of Flux. </w:t>
      </w:r>
      <w:r w:rsidR="000760EB">
        <w:rPr>
          <w:rFonts w:cstheme="minorHAnsi"/>
        </w:rPr>
        <w:t xml:space="preserve">The question here mentions to stepping into a river, which refers to the “River Fragments” </w:t>
      </w:r>
      <w:r w:rsidR="00DF37F9">
        <w:rPr>
          <w:rFonts w:cstheme="minorHAnsi"/>
        </w:rPr>
        <w:t xml:space="preserve">and it </w:t>
      </w:r>
      <w:r w:rsidR="00DF5FD6">
        <w:rPr>
          <w:rFonts w:cstheme="minorHAnsi"/>
        </w:rPr>
        <w:t xml:space="preserve">is generally regarded that </w:t>
      </w:r>
      <w:r w:rsidR="00EB661F">
        <w:rPr>
          <w:rFonts w:cstheme="minorHAnsi"/>
        </w:rPr>
        <w:t xml:space="preserve">it </w:t>
      </w:r>
      <w:r w:rsidR="000760EB">
        <w:rPr>
          <w:rFonts w:cstheme="minorHAnsi"/>
        </w:rPr>
        <w:t xml:space="preserve">refers to </w:t>
      </w:r>
      <w:r w:rsidR="00DF37F9">
        <w:rPr>
          <w:rFonts w:cstheme="minorHAnsi"/>
        </w:rPr>
        <w:t>the changing nature of the physical world</w:t>
      </w:r>
      <w:r w:rsidR="00BF61C1">
        <w:rPr>
          <w:rFonts w:cstheme="minorHAnsi"/>
        </w:rPr>
        <w:t xml:space="preserve"> among other interpretations that shall be discussed. Part of the reason there is still questions surrounding what Heraclitus meant exactly is </w:t>
      </w:r>
      <w:r w:rsidR="0070196D">
        <w:rPr>
          <w:rFonts w:cstheme="minorHAnsi"/>
        </w:rPr>
        <w:t xml:space="preserve">because </w:t>
      </w:r>
      <w:r w:rsidR="005F2BDA">
        <w:rPr>
          <w:rFonts w:cstheme="minorHAnsi"/>
        </w:rPr>
        <w:t xml:space="preserve">the fragments are just that-fragments- therefore are not the whole text. Furthermore, Heraclitus had an obscure writing style, </w:t>
      </w:r>
      <w:r w:rsidR="00B4025E">
        <w:rPr>
          <w:rFonts w:cstheme="minorHAnsi"/>
        </w:rPr>
        <w:t xml:space="preserve">expressing himself through brief sayings with little connected argument or explanation. </w:t>
      </w:r>
      <w:r w:rsidR="00B4025E">
        <w:rPr>
          <w:rStyle w:val="FootnoteReference"/>
          <w:rFonts w:cstheme="minorHAnsi"/>
        </w:rPr>
        <w:footnoteReference w:id="2"/>
      </w:r>
    </w:p>
    <w:p w14:paraId="1D94E450" w14:textId="60B1BDA3" w:rsidR="00F70291" w:rsidRDefault="00F70291">
      <w:pPr>
        <w:rPr>
          <w:rFonts w:cstheme="minorHAnsi"/>
        </w:rPr>
      </w:pPr>
      <w:r>
        <w:rPr>
          <w:rFonts w:cstheme="minorHAnsi"/>
        </w:rPr>
        <w:t>The fragments in question are</w:t>
      </w:r>
      <w:r w:rsidR="0097313D">
        <w:rPr>
          <w:rFonts w:cstheme="minorHAnsi"/>
        </w:rPr>
        <w:t>:</w:t>
      </w:r>
      <w:r>
        <w:rPr>
          <w:rFonts w:cstheme="minorHAnsi"/>
        </w:rPr>
        <w:t xml:space="preserve"> </w:t>
      </w:r>
      <w:r w:rsidR="00B01270">
        <w:rPr>
          <w:rFonts w:cstheme="minorHAnsi"/>
        </w:rPr>
        <w:t>“</w:t>
      </w:r>
      <w:bookmarkStart w:id="1" w:name="_Hlk506637203"/>
      <w:r w:rsidR="00B01270">
        <w:rPr>
          <w:rFonts w:cstheme="minorHAnsi"/>
        </w:rPr>
        <w:t>For it is not possible to step into the same river, according to Heraclitus</w:t>
      </w:r>
      <w:bookmarkEnd w:id="1"/>
      <w:r w:rsidR="00B01270">
        <w:rPr>
          <w:rFonts w:cstheme="minorHAnsi"/>
        </w:rPr>
        <w:t>, nor twice to touch a mortal being in the same condition…”</w:t>
      </w:r>
      <w:r w:rsidR="0097313D">
        <w:rPr>
          <w:rFonts w:cstheme="minorHAnsi"/>
        </w:rPr>
        <w:t xml:space="preserve"> </w:t>
      </w:r>
      <w:r w:rsidR="00A7534E">
        <w:rPr>
          <w:rFonts w:cstheme="minorHAnsi"/>
        </w:rPr>
        <w:t>(B91) “Onto those who step into the same rivers different and different waters flow; and souls are exhaled from the moistures</w:t>
      </w:r>
      <w:r w:rsidR="004D3AD8">
        <w:rPr>
          <w:rFonts w:cstheme="minorHAnsi"/>
        </w:rPr>
        <w:t>,</w:t>
      </w:r>
      <w:r w:rsidR="00A7534E">
        <w:rPr>
          <w:rFonts w:cstheme="minorHAnsi"/>
        </w:rPr>
        <w:t>” (B12)</w:t>
      </w:r>
      <w:r w:rsidR="004D3AD8">
        <w:rPr>
          <w:rFonts w:cstheme="minorHAnsi"/>
        </w:rPr>
        <w:t xml:space="preserve"> “We step and do not step into the same rivers, we are and we are not,” (B49a).</w:t>
      </w:r>
      <w:r w:rsidR="00C35523">
        <w:rPr>
          <w:rStyle w:val="FootnoteReference"/>
          <w:rFonts w:cstheme="minorHAnsi"/>
        </w:rPr>
        <w:footnoteReference w:id="3"/>
      </w:r>
      <w:r w:rsidR="003A6E43">
        <w:rPr>
          <w:rFonts w:cstheme="minorHAnsi"/>
        </w:rPr>
        <w:t xml:space="preserve"> </w:t>
      </w:r>
      <w:r w:rsidR="004F31C7">
        <w:rPr>
          <w:rFonts w:cstheme="minorHAnsi"/>
        </w:rPr>
        <w:t xml:space="preserve">These fragments refer to the Doctrine of </w:t>
      </w:r>
      <w:r w:rsidR="008C40F4">
        <w:rPr>
          <w:rFonts w:cstheme="minorHAnsi"/>
        </w:rPr>
        <w:t xml:space="preserve"> Universal </w:t>
      </w:r>
      <w:r w:rsidR="004F31C7">
        <w:rPr>
          <w:rFonts w:cstheme="minorHAnsi"/>
        </w:rPr>
        <w:t xml:space="preserve">Flux, the thesis that </w:t>
      </w:r>
      <w:r w:rsidR="008C40F4">
        <w:rPr>
          <w:rFonts w:cstheme="minorHAnsi"/>
        </w:rPr>
        <w:t>everything flows and nothing remains the same. It is not certain that Heraclitus’ own views were this extreme, but the idea that there is a constant flow in associated with him.</w:t>
      </w:r>
      <w:r w:rsidR="008C40F4">
        <w:rPr>
          <w:rStyle w:val="FootnoteReference"/>
          <w:rFonts w:cstheme="minorHAnsi"/>
        </w:rPr>
        <w:footnoteReference w:id="4"/>
      </w:r>
      <w:r w:rsidR="009F6EBF">
        <w:rPr>
          <w:rFonts w:cstheme="minorHAnsi"/>
        </w:rPr>
        <w:t xml:space="preserve"> </w:t>
      </w:r>
    </w:p>
    <w:p w14:paraId="37BBF4FB" w14:textId="2EF045BF" w:rsidR="000406F1" w:rsidRDefault="009F6EBF">
      <w:pPr>
        <w:rPr>
          <w:rFonts w:cstheme="minorHAnsi"/>
        </w:rPr>
      </w:pPr>
      <w:r>
        <w:rPr>
          <w:rFonts w:cstheme="minorHAnsi"/>
        </w:rPr>
        <w:t>From analysis of the fragments, Heraclitus is saying that reality is constantly changing</w:t>
      </w:r>
      <w:r w:rsidR="008F3321">
        <w:rPr>
          <w:rFonts w:cstheme="minorHAnsi"/>
        </w:rPr>
        <w:t>, apart from the logos</w:t>
      </w:r>
      <w:r w:rsidR="00013336">
        <w:rPr>
          <w:rFonts w:cstheme="minorHAnsi"/>
        </w:rPr>
        <w:t xml:space="preserve">, which is constant and preserved. </w:t>
      </w:r>
      <w:r w:rsidR="00013336">
        <w:rPr>
          <w:rStyle w:val="FootnoteReference"/>
          <w:rFonts w:cstheme="minorHAnsi"/>
        </w:rPr>
        <w:footnoteReference w:id="5"/>
      </w:r>
      <w:r w:rsidR="00E01D45">
        <w:rPr>
          <w:rFonts w:cstheme="minorHAnsi"/>
        </w:rPr>
        <w:t xml:space="preserve"> </w:t>
      </w:r>
      <w:r w:rsidR="007C005E">
        <w:rPr>
          <w:rFonts w:cstheme="minorHAnsi"/>
        </w:rPr>
        <w:t>This is especially clear from fragment B49a “</w:t>
      </w:r>
      <w:r w:rsidR="00CB0D9F">
        <w:rPr>
          <w:rFonts w:cstheme="minorHAnsi"/>
        </w:rPr>
        <w:t xml:space="preserve">We step and do not step into the same rivers, we </w:t>
      </w:r>
      <w:proofErr w:type="gramStart"/>
      <w:r w:rsidR="00CB0D9F">
        <w:rPr>
          <w:rFonts w:cstheme="minorHAnsi"/>
        </w:rPr>
        <w:t>are</w:t>
      </w:r>
      <w:proofErr w:type="gramEnd"/>
      <w:r w:rsidR="00CB0D9F">
        <w:rPr>
          <w:rFonts w:cstheme="minorHAnsi"/>
        </w:rPr>
        <w:t xml:space="preserve"> and we are not,” where the seemingly contradicting statements can be taken to </w:t>
      </w:r>
      <w:r w:rsidR="000406F1">
        <w:rPr>
          <w:rFonts w:cstheme="minorHAnsi"/>
        </w:rPr>
        <w:t xml:space="preserve">refer to the changing reality, but with a constant logos. </w:t>
      </w:r>
      <w:r w:rsidR="00E01D45">
        <w:rPr>
          <w:rFonts w:cstheme="minorHAnsi"/>
        </w:rPr>
        <w:t xml:space="preserve">However, he is very vague on exactly what the logos is, presenting it as an objective principle behind the nature of reality and that is necessary to </w:t>
      </w:r>
      <w:r w:rsidR="00FB41C3">
        <w:rPr>
          <w:rFonts w:cstheme="minorHAnsi"/>
        </w:rPr>
        <w:t xml:space="preserve">recognise </w:t>
      </w:r>
      <w:proofErr w:type="gramStart"/>
      <w:r w:rsidR="00FB41C3">
        <w:rPr>
          <w:rFonts w:cstheme="minorHAnsi"/>
        </w:rPr>
        <w:t>in order to</w:t>
      </w:r>
      <w:proofErr w:type="gramEnd"/>
      <w:r w:rsidR="00FB41C3">
        <w:rPr>
          <w:rFonts w:cstheme="minorHAnsi"/>
        </w:rPr>
        <w:t xml:space="preserve"> understand </w:t>
      </w:r>
      <w:r w:rsidR="00FD4988">
        <w:rPr>
          <w:rFonts w:cstheme="minorHAnsi"/>
        </w:rPr>
        <w:t>reality</w:t>
      </w:r>
      <w:r w:rsidR="00FB41C3">
        <w:rPr>
          <w:rFonts w:cstheme="minorHAnsi"/>
        </w:rPr>
        <w:t xml:space="preserve">. </w:t>
      </w:r>
      <w:r w:rsidR="004E1316">
        <w:rPr>
          <w:rFonts w:cstheme="minorHAnsi"/>
        </w:rPr>
        <w:t xml:space="preserve">His concern for the nature of change is significant because his </w:t>
      </w:r>
      <w:r w:rsidR="00AB50C5">
        <w:rPr>
          <w:rFonts w:cstheme="minorHAnsi"/>
        </w:rPr>
        <w:t xml:space="preserve">observation that there is constant change means that our observations of the world don’t help reveal the objective truth. For this reason, Heraclitus is sometimes referred to as The Weeping Philosopher, because he believed this meant we may not </w:t>
      </w:r>
      <w:r w:rsidR="00D7142E">
        <w:rPr>
          <w:rFonts w:cstheme="minorHAnsi"/>
        </w:rPr>
        <w:t>understand the truth of reality</w:t>
      </w:r>
      <w:r w:rsidR="001950C4">
        <w:rPr>
          <w:rFonts w:cstheme="minorHAnsi"/>
        </w:rPr>
        <w:t xml:space="preserve">, the </w:t>
      </w:r>
      <w:r w:rsidR="00FD4988">
        <w:rPr>
          <w:rFonts w:cstheme="minorHAnsi"/>
        </w:rPr>
        <w:t>logos, due</w:t>
      </w:r>
      <w:r w:rsidR="00D7142E">
        <w:rPr>
          <w:rFonts w:cstheme="minorHAnsi"/>
        </w:rPr>
        <w:t xml:space="preserve"> to its constantly changing nature</w:t>
      </w:r>
      <w:r w:rsidR="00FD4988">
        <w:rPr>
          <w:rFonts w:cstheme="minorHAnsi"/>
        </w:rPr>
        <w:t xml:space="preserve"> of the reality it manifests itself within</w:t>
      </w:r>
      <w:r w:rsidR="00D7142E">
        <w:rPr>
          <w:rFonts w:cstheme="minorHAnsi"/>
        </w:rPr>
        <w:t>.</w:t>
      </w:r>
      <w:r w:rsidR="007C005E">
        <w:rPr>
          <w:rFonts w:cstheme="minorHAnsi"/>
        </w:rPr>
        <w:t xml:space="preserve"> </w:t>
      </w:r>
      <w:r w:rsidR="000406F1">
        <w:rPr>
          <w:rFonts w:cstheme="minorHAnsi"/>
        </w:rPr>
        <w:t>Furthermore, fragment B91 “For it is not possible to step into the same river…”</w:t>
      </w:r>
      <w:r w:rsidR="00A700C5">
        <w:rPr>
          <w:rFonts w:cstheme="minorHAnsi"/>
        </w:rPr>
        <w:t xml:space="preserve"> clearly illustrates Heraclitus’ view </w:t>
      </w:r>
      <w:r w:rsidR="00DB3970">
        <w:rPr>
          <w:rFonts w:cstheme="minorHAnsi"/>
        </w:rPr>
        <w:t>that, with objects of this world, things never remain the same, “so th</w:t>
      </w:r>
      <w:r w:rsidR="006D3C72">
        <w:rPr>
          <w:rFonts w:cstheme="minorHAnsi"/>
        </w:rPr>
        <w:t>a</w:t>
      </w:r>
      <w:r w:rsidR="00DB3970">
        <w:rPr>
          <w:rFonts w:cstheme="minorHAnsi"/>
        </w:rPr>
        <w:t>t we can never lay hold of any definite thing because it changes as we touch it.”</w:t>
      </w:r>
      <w:r w:rsidR="006D3C72">
        <w:rPr>
          <w:rFonts w:cstheme="minorHAnsi"/>
        </w:rPr>
        <w:t xml:space="preserve"> </w:t>
      </w:r>
      <w:r w:rsidR="00DB3970">
        <w:rPr>
          <w:rStyle w:val="FootnoteReference"/>
          <w:rFonts w:cstheme="minorHAnsi"/>
        </w:rPr>
        <w:footnoteReference w:id="6"/>
      </w:r>
    </w:p>
    <w:p w14:paraId="55755F74" w14:textId="77777777" w:rsidR="00FF4F7F" w:rsidRDefault="00C3096A">
      <w:pPr>
        <w:rPr>
          <w:rFonts w:cstheme="minorHAnsi"/>
        </w:rPr>
      </w:pPr>
      <w:r>
        <w:rPr>
          <w:rFonts w:cstheme="minorHAnsi"/>
        </w:rPr>
        <w:t xml:space="preserve">Heraclitus’ view of a constantly changing reality does seem to </w:t>
      </w:r>
      <w:r w:rsidR="0062108D">
        <w:rPr>
          <w:rFonts w:cstheme="minorHAnsi"/>
        </w:rPr>
        <w:t xml:space="preserve">be consistent with </w:t>
      </w:r>
      <w:r w:rsidR="004B7D3B">
        <w:rPr>
          <w:rFonts w:cstheme="minorHAnsi"/>
        </w:rPr>
        <w:t>our observations from science. For example, our knowledge of cell regeneration supports Heraclitus’ description that everything changes.</w:t>
      </w:r>
      <w:r w:rsidR="00544F2F">
        <w:rPr>
          <w:rFonts w:cstheme="minorHAnsi"/>
        </w:rPr>
        <w:t xml:space="preserve"> Alt</w:t>
      </w:r>
      <w:r w:rsidR="00A279FA">
        <w:rPr>
          <w:rFonts w:cstheme="minorHAnsi"/>
        </w:rPr>
        <w:t xml:space="preserve">hough from a modern, scientific perspective, our concept of knowledge is compatible with the idea of a constant changing reality, as it includes </w:t>
      </w:r>
      <w:r w:rsidR="00544F2F">
        <w:rPr>
          <w:rFonts w:cstheme="minorHAnsi"/>
        </w:rPr>
        <w:t xml:space="preserve">the knowledge of how the </w:t>
      </w:r>
      <w:r w:rsidR="00544F2F">
        <w:rPr>
          <w:rFonts w:cstheme="minorHAnsi"/>
        </w:rPr>
        <w:lastRenderedPageBreak/>
        <w:t xml:space="preserve">changes occur, the notion that everything is changing </w:t>
      </w:r>
      <w:proofErr w:type="gramStart"/>
      <w:r w:rsidR="00544F2F">
        <w:rPr>
          <w:rFonts w:cstheme="minorHAnsi"/>
        </w:rPr>
        <w:t>was seen as</w:t>
      </w:r>
      <w:proofErr w:type="gramEnd"/>
      <w:r w:rsidR="00544F2F">
        <w:rPr>
          <w:rFonts w:cstheme="minorHAnsi"/>
        </w:rPr>
        <w:t xml:space="preserve"> very problematic to the Ancient Greeks. For example, Plato </w:t>
      </w:r>
      <w:r w:rsidR="009E035D">
        <w:rPr>
          <w:rFonts w:cstheme="minorHAnsi"/>
        </w:rPr>
        <w:t xml:space="preserve">saw Heraclitus’ observations as negative as he believed that a constantly changing reality meant true knowledge could not be found. </w:t>
      </w:r>
      <w:r w:rsidR="00F9401D">
        <w:rPr>
          <w:rFonts w:cstheme="minorHAnsi"/>
        </w:rPr>
        <w:t xml:space="preserve">Despite this, Plato still </w:t>
      </w:r>
      <w:r w:rsidR="00C97475">
        <w:rPr>
          <w:rFonts w:cstheme="minorHAnsi"/>
        </w:rPr>
        <w:t xml:space="preserve">believed true knowledge could be found. </w:t>
      </w:r>
    </w:p>
    <w:p w14:paraId="61355BD8" w14:textId="42C73E76" w:rsidR="0080108C" w:rsidRDefault="00FF4F7F">
      <w:pPr>
        <w:rPr>
          <w:rFonts w:cstheme="minorHAnsi"/>
        </w:rPr>
      </w:pPr>
      <w:r>
        <w:rPr>
          <w:rFonts w:cstheme="minorHAnsi"/>
        </w:rPr>
        <w:t>The reason</w:t>
      </w:r>
      <w:r w:rsidR="003A3C3D">
        <w:rPr>
          <w:rFonts w:cstheme="minorHAnsi"/>
        </w:rPr>
        <w:t xml:space="preserve"> Plato maintained we could know true knowledge was down to his dualist perspective. Plato </w:t>
      </w:r>
      <w:r w:rsidR="004F6944">
        <w:rPr>
          <w:rFonts w:cstheme="minorHAnsi"/>
        </w:rPr>
        <w:t>believed in a dualist reality in which exists the physical, changing world that we live in now</w:t>
      </w:r>
      <w:r w:rsidR="00357ABE">
        <w:rPr>
          <w:rFonts w:cstheme="minorHAnsi"/>
        </w:rPr>
        <w:t>, and an eternal Realm of Forms</w:t>
      </w:r>
      <w:r w:rsidR="009E5751">
        <w:rPr>
          <w:rFonts w:cstheme="minorHAnsi"/>
        </w:rPr>
        <w:t xml:space="preserve"> that transcends the material world</w:t>
      </w:r>
      <w:r w:rsidR="00357ABE">
        <w:rPr>
          <w:rFonts w:cstheme="minorHAnsi"/>
        </w:rPr>
        <w:t>.</w:t>
      </w:r>
      <w:r w:rsidR="003A3CB1">
        <w:rPr>
          <w:rFonts w:cstheme="minorHAnsi"/>
        </w:rPr>
        <w:t xml:space="preserve"> This </w:t>
      </w:r>
      <w:r w:rsidR="0082213A">
        <w:rPr>
          <w:rFonts w:cstheme="minorHAnsi"/>
        </w:rPr>
        <w:t>view expresses that</w:t>
      </w:r>
      <w:r w:rsidR="00026865">
        <w:rPr>
          <w:rFonts w:cstheme="minorHAnsi"/>
        </w:rPr>
        <w:t xml:space="preserve"> the physical world that we experience </w:t>
      </w:r>
      <w:r w:rsidR="00026865">
        <w:rPr>
          <w:rFonts w:cstheme="minorHAnsi"/>
        </w:rPr>
        <w:t xml:space="preserve">is </w:t>
      </w:r>
      <w:r w:rsidR="00026865">
        <w:rPr>
          <w:rFonts w:cstheme="minorHAnsi"/>
        </w:rPr>
        <w:t xml:space="preserve">a mere shadow </w:t>
      </w:r>
      <w:r w:rsidR="00026865">
        <w:rPr>
          <w:rFonts w:cstheme="minorHAnsi"/>
        </w:rPr>
        <w:t>compared to</w:t>
      </w:r>
      <w:r w:rsidR="00026865">
        <w:rPr>
          <w:rFonts w:cstheme="minorHAnsi"/>
        </w:rPr>
        <w:t xml:space="preserve"> the Realm of Forms, so although change occurs in the physical realm, in the true reality (the Realm of Forms) there is not change.</w:t>
      </w:r>
      <w:r w:rsidR="0082213A">
        <w:rPr>
          <w:rFonts w:cstheme="minorHAnsi"/>
        </w:rPr>
        <w:t xml:space="preserve"> </w:t>
      </w:r>
      <w:r w:rsidR="005E7895">
        <w:rPr>
          <w:rFonts w:cstheme="minorHAnsi"/>
        </w:rPr>
        <w:t xml:space="preserve">Furthermore, all things in the physical world are flawed imitations of the eternal </w:t>
      </w:r>
      <w:r w:rsidR="00B62659">
        <w:rPr>
          <w:rFonts w:cstheme="minorHAnsi"/>
        </w:rPr>
        <w:t>Forms, so although Heraclitus is undeniably right in that the physical world is constantly changing, Plato would argue that in the true reality-</w:t>
      </w:r>
      <w:r w:rsidR="00446DE2">
        <w:rPr>
          <w:rFonts w:cstheme="minorHAnsi"/>
        </w:rPr>
        <w:t xml:space="preserve"> </w:t>
      </w:r>
      <w:r w:rsidR="00B62659">
        <w:rPr>
          <w:rFonts w:cstheme="minorHAnsi"/>
        </w:rPr>
        <w:t>where it counts- there is no change</w:t>
      </w:r>
      <w:r w:rsidR="00535DD3">
        <w:rPr>
          <w:rFonts w:cstheme="minorHAnsi"/>
        </w:rPr>
        <w:t>, and the change present in the physical world is an example of the imperfections that exist there</w:t>
      </w:r>
      <w:r w:rsidR="00B62659">
        <w:rPr>
          <w:rFonts w:cstheme="minorHAnsi"/>
        </w:rPr>
        <w:t xml:space="preserve">. </w:t>
      </w:r>
      <w:r w:rsidR="00571591">
        <w:rPr>
          <w:rFonts w:cstheme="minorHAnsi"/>
        </w:rPr>
        <w:t xml:space="preserve">Therefore, things may be constantly changing </w:t>
      </w:r>
      <w:r w:rsidR="00823910">
        <w:rPr>
          <w:rFonts w:cstheme="minorHAnsi"/>
        </w:rPr>
        <w:t xml:space="preserve">in the physical realm, so there we cannot learn true knowledge from observations of this. However, </w:t>
      </w:r>
      <w:r w:rsidR="005E7895">
        <w:rPr>
          <w:rFonts w:cstheme="minorHAnsi"/>
        </w:rPr>
        <w:t xml:space="preserve">because </w:t>
      </w:r>
      <w:r w:rsidR="00823910">
        <w:rPr>
          <w:rFonts w:cstheme="minorHAnsi"/>
        </w:rPr>
        <w:t>Plato believed that the Realm of Forms was eternal, therefore unchanging, so true knowledge could be</w:t>
      </w:r>
      <w:r w:rsidR="0080108C">
        <w:rPr>
          <w:rFonts w:cstheme="minorHAnsi"/>
        </w:rPr>
        <w:t xml:space="preserve"> </w:t>
      </w:r>
      <w:r w:rsidR="00823910">
        <w:rPr>
          <w:rFonts w:cstheme="minorHAnsi"/>
        </w:rPr>
        <w:t>learned from studying the Forms</w:t>
      </w:r>
      <w:r w:rsidR="003C2F5C">
        <w:rPr>
          <w:rFonts w:cstheme="minorHAnsi"/>
        </w:rPr>
        <w:t>, which we recognise as they are innate in us</w:t>
      </w:r>
      <w:r w:rsidR="00823910">
        <w:rPr>
          <w:rFonts w:cstheme="minorHAnsi"/>
        </w:rPr>
        <w:t>.</w:t>
      </w:r>
      <w:r w:rsidR="001D4B0B">
        <w:rPr>
          <w:rFonts w:cstheme="minorHAnsi"/>
        </w:rPr>
        <w:t xml:space="preserve"> </w:t>
      </w:r>
      <w:r w:rsidR="00DD7673">
        <w:rPr>
          <w:rFonts w:cstheme="minorHAnsi"/>
        </w:rPr>
        <w:t xml:space="preserve">This relationship between the physical world and the Realm of Forms </w:t>
      </w:r>
      <w:r w:rsidR="006643B4">
        <w:rPr>
          <w:rFonts w:cstheme="minorHAnsi"/>
        </w:rPr>
        <w:t>is illustrated in Plato’s Allegory of the Cave.</w:t>
      </w:r>
      <w:r w:rsidR="005E7895">
        <w:rPr>
          <w:rStyle w:val="FootnoteReference"/>
          <w:rFonts w:cstheme="minorHAnsi"/>
        </w:rPr>
        <w:footnoteReference w:id="7"/>
      </w:r>
      <w:r w:rsidR="00DC6A3D">
        <w:rPr>
          <w:rFonts w:cstheme="minorHAnsi"/>
        </w:rPr>
        <w:t xml:space="preserve"> </w:t>
      </w:r>
    </w:p>
    <w:p w14:paraId="01546DAB" w14:textId="4864F6B1" w:rsidR="008A1861" w:rsidRDefault="001F7E7D">
      <w:pPr>
        <w:rPr>
          <w:rFonts w:cstheme="minorHAnsi"/>
        </w:rPr>
      </w:pPr>
      <w:r>
        <w:rPr>
          <w:rFonts w:cstheme="minorHAnsi"/>
        </w:rPr>
        <w:t xml:space="preserve">Although Plato’s </w:t>
      </w:r>
      <w:r w:rsidR="00795ECA">
        <w:rPr>
          <w:rFonts w:cstheme="minorHAnsi"/>
        </w:rPr>
        <w:t>Theory of Forms</w:t>
      </w:r>
      <w:r w:rsidR="008F7058">
        <w:rPr>
          <w:rFonts w:cstheme="minorHAnsi"/>
        </w:rPr>
        <w:t xml:space="preserve"> </w:t>
      </w:r>
      <w:r>
        <w:rPr>
          <w:rFonts w:cstheme="minorHAnsi"/>
        </w:rPr>
        <w:t xml:space="preserve">provide an alternative </w:t>
      </w:r>
      <w:r w:rsidR="005310C2">
        <w:rPr>
          <w:rFonts w:cstheme="minorHAnsi"/>
        </w:rPr>
        <w:t xml:space="preserve">to Heraclitus’ view of a constantly </w:t>
      </w:r>
      <w:r w:rsidR="008F7058">
        <w:rPr>
          <w:rFonts w:cstheme="minorHAnsi"/>
        </w:rPr>
        <w:t xml:space="preserve">a </w:t>
      </w:r>
      <w:r w:rsidR="005310C2">
        <w:rPr>
          <w:rFonts w:cstheme="minorHAnsi"/>
        </w:rPr>
        <w:t xml:space="preserve">changing reality, </w:t>
      </w:r>
      <w:r w:rsidR="008F7058">
        <w:rPr>
          <w:rFonts w:cstheme="minorHAnsi"/>
        </w:rPr>
        <w:t xml:space="preserve">there are some criticisms of his theory that should be considered before </w:t>
      </w:r>
      <w:r w:rsidR="007B4107">
        <w:rPr>
          <w:rFonts w:cstheme="minorHAnsi"/>
        </w:rPr>
        <w:t xml:space="preserve">one </w:t>
      </w:r>
      <w:r w:rsidR="009E5751">
        <w:rPr>
          <w:rFonts w:cstheme="minorHAnsi"/>
        </w:rPr>
        <w:t xml:space="preserve">accepts it. For </w:t>
      </w:r>
      <w:r w:rsidR="00007A68">
        <w:rPr>
          <w:rFonts w:cstheme="minorHAnsi"/>
        </w:rPr>
        <w:t xml:space="preserve">example, </w:t>
      </w:r>
      <w:r w:rsidR="008A1861">
        <w:rPr>
          <w:rFonts w:cstheme="minorHAnsi"/>
        </w:rPr>
        <w:t>Plato’s theory is entirely hypothetical as there is no way to prove th</w:t>
      </w:r>
      <w:r w:rsidR="00446DE2">
        <w:rPr>
          <w:rFonts w:cstheme="minorHAnsi"/>
        </w:rPr>
        <w:t>a</w:t>
      </w:r>
      <w:r w:rsidR="008A1861">
        <w:rPr>
          <w:rFonts w:cstheme="minorHAnsi"/>
        </w:rPr>
        <w:t xml:space="preserve">t the Realm of Forms </w:t>
      </w:r>
      <w:proofErr w:type="gramStart"/>
      <w:r w:rsidR="008A1861">
        <w:rPr>
          <w:rFonts w:cstheme="minorHAnsi"/>
        </w:rPr>
        <w:t>actually exists</w:t>
      </w:r>
      <w:proofErr w:type="gramEnd"/>
      <w:r w:rsidR="008A1861">
        <w:rPr>
          <w:rFonts w:cstheme="minorHAnsi"/>
        </w:rPr>
        <w:t>, so to a materialist, Plato’s dualist perspective fails to be a persuasive argument against Heraclitus</w:t>
      </w:r>
      <w:r w:rsidR="003233A0">
        <w:rPr>
          <w:rFonts w:cstheme="minorHAnsi"/>
        </w:rPr>
        <w:t>.</w:t>
      </w:r>
      <w:r w:rsidR="00C5796F">
        <w:rPr>
          <w:rFonts w:cstheme="minorHAnsi"/>
        </w:rPr>
        <w:t xml:space="preserve"> Furthermore, </w:t>
      </w:r>
      <w:r w:rsidR="002A6B38">
        <w:rPr>
          <w:rFonts w:cstheme="minorHAnsi"/>
        </w:rPr>
        <w:t xml:space="preserve">Plato claims we have innate knowledge of the Forms, and it is through this that we gain true knowledge. An objection to this, one which Aristotle has put forward, is that knowledge is not known innately and must be learned from experience and observation, a point which modern science supports. </w:t>
      </w:r>
    </w:p>
    <w:p w14:paraId="324CDFE8" w14:textId="1E1AEC71" w:rsidR="003564E2" w:rsidRDefault="002A6B38">
      <w:pPr>
        <w:rPr>
          <w:rFonts w:cstheme="minorHAnsi"/>
        </w:rPr>
      </w:pPr>
      <w:r>
        <w:rPr>
          <w:rFonts w:cstheme="minorHAnsi"/>
        </w:rPr>
        <w:t xml:space="preserve">To conclude, the river fragments associated with Heraclitus convey his view on the changing nature of reality, and this in turn has strong implications </w:t>
      </w:r>
      <w:proofErr w:type="gramStart"/>
      <w:r>
        <w:rPr>
          <w:rFonts w:cstheme="minorHAnsi"/>
        </w:rPr>
        <w:t>on the subject of true</w:t>
      </w:r>
      <w:proofErr w:type="gramEnd"/>
      <w:r>
        <w:rPr>
          <w:rFonts w:cstheme="minorHAnsi"/>
        </w:rPr>
        <w:t xml:space="preserve"> knowledge, and what it is to know</w:t>
      </w:r>
      <w:r w:rsidR="00EA4A6F">
        <w:rPr>
          <w:rFonts w:cstheme="minorHAnsi"/>
        </w:rPr>
        <w:t>.</w:t>
      </w:r>
      <w:r w:rsidR="00D85E8E">
        <w:rPr>
          <w:rFonts w:cstheme="minorHAnsi"/>
        </w:rPr>
        <w:t xml:space="preserve"> </w:t>
      </w:r>
      <w:r w:rsidR="005F6DAC">
        <w:rPr>
          <w:rFonts w:cstheme="minorHAnsi"/>
        </w:rPr>
        <w:t>Alt</w:t>
      </w:r>
      <w:r w:rsidR="00836D27">
        <w:rPr>
          <w:rFonts w:cstheme="minorHAnsi"/>
        </w:rPr>
        <w:t>hough the fragmented nature of Heraclitus’ teachings mean interpretation is needed to discern their meaning</w:t>
      </w:r>
      <w:r w:rsidR="005F6DAC">
        <w:rPr>
          <w:rFonts w:cstheme="minorHAnsi"/>
        </w:rPr>
        <w:t>, and the fact that</w:t>
      </w:r>
      <w:r w:rsidR="004D6F2F">
        <w:rPr>
          <w:rFonts w:cstheme="minorHAnsi"/>
        </w:rPr>
        <w:t xml:space="preserve"> some of the fragments are second hand from other philosophers</w:t>
      </w:r>
      <w:r w:rsidR="00836D27">
        <w:rPr>
          <w:rFonts w:cstheme="minorHAnsi"/>
        </w:rPr>
        <w:t>, the meaning of the river fragments seems clearer tha</w:t>
      </w:r>
      <w:r w:rsidR="005F6DAC">
        <w:rPr>
          <w:rFonts w:cstheme="minorHAnsi"/>
        </w:rPr>
        <w:t>n</w:t>
      </w:r>
      <w:r w:rsidR="00836D27">
        <w:rPr>
          <w:rFonts w:cstheme="minorHAnsi"/>
        </w:rPr>
        <w:t xml:space="preserve"> many </w:t>
      </w:r>
      <w:r w:rsidR="005F6DAC">
        <w:rPr>
          <w:rFonts w:cstheme="minorHAnsi"/>
        </w:rPr>
        <w:t xml:space="preserve">other, more obscure fragments. This relative clarity allows </w:t>
      </w:r>
      <w:r w:rsidR="003564E2">
        <w:rPr>
          <w:rFonts w:cstheme="minorHAnsi"/>
        </w:rPr>
        <w:t>us to have</w:t>
      </w:r>
      <w:r w:rsidR="004D6F2F">
        <w:rPr>
          <w:rFonts w:cstheme="minorHAnsi"/>
        </w:rPr>
        <w:t xml:space="preserve"> some certainty as to what Heraclitus meant. </w:t>
      </w:r>
      <w:r w:rsidR="00551471">
        <w:rPr>
          <w:rFonts w:cstheme="minorHAnsi"/>
        </w:rPr>
        <w:t xml:space="preserve">Furthermore, </w:t>
      </w:r>
      <w:r w:rsidR="003564E2">
        <w:rPr>
          <w:rFonts w:cstheme="minorHAnsi"/>
        </w:rPr>
        <w:t xml:space="preserve">much of what Heraclitus says has some bearing today in science (though of course not all his teachings are this consistent). Compared to other Ancient Greek Philosophers, such as Plato, </w:t>
      </w:r>
      <w:r w:rsidR="002B3C62">
        <w:rPr>
          <w:rFonts w:cstheme="minorHAnsi"/>
        </w:rPr>
        <w:t xml:space="preserve">Heraclitus’ teaching on change </w:t>
      </w:r>
      <w:r w:rsidR="00BF32DF">
        <w:rPr>
          <w:rFonts w:cstheme="minorHAnsi"/>
        </w:rPr>
        <w:t xml:space="preserve">generally seem more compatible with the knowledge we have of change today, and although this may mean finding true knowledge about the material world is impossible, true knowledge is still possible </w:t>
      </w:r>
      <w:r w:rsidR="00FA57F5">
        <w:rPr>
          <w:rFonts w:cstheme="minorHAnsi"/>
        </w:rPr>
        <w:t>in the knowledge of processes of change within the material world.</w:t>
      </w:r>
    </w:p>
    <w:p w14:paraId="09ED687F" w14:textId="73CE8183" w:rsidR="00D63243" w:rsidRDefault="00D63243">
      <w:pPr>
        <w:rPr>
          <w:rFonts w:cstheme="minorHAnsi"/>
        </w:rPr>
      </w:pPr>
    </w:p>
    <w:p w14:paraId="544B7354" w14:textId="70FE8BE4" w:rsidR="00D63243" w:rsidRPr="00D63243" w:rsidRDefault="00D63243">
      <w:pPr>
        <w:rPr>
          <w:rFonts w:cstheme="minorHAnsi"/>
          <w:b/>
        </w:rPr>
      </w:pPr>
      <w:r w:rsidRPr="00D63243">
        <w:rPr>
          <w:rFonts w:cstheme="minorHAnsi"/>
          <w:b/>
        </w:rPr>
        <w:lastRenderedPageBreak/>
        <w:t>Bibliography</w:t>
      </w:r>
    </w:p>
    <w:p w14:paraId="7049A096" w14:textId="33A1821A" w:rsidR="00D63243" w:rsidRPr="00D63243" w:rsidRDefault="00D63243" w:rsidP="00D63243">
      <w:pPr>
        <w:pStyle w:val="ListParagraph"/>
        <w:numPr>
          <w:ilvl w:val="0"/>
          <w:numId w:val="1"/>
        </w:numPr>
        <w:rPr>
          <w:rFonts w:cstheme="minorHAnsi"/>
        </w:rPr>
      </w:pPr>
      <w:r>
        <w:t xml:space="preserve">Freeman, Kathleen, </w:t>
      </w:r>
      <w:r w:rsidRPr="00D63243">
        <w:rPr>
          <w:i/>
        </w:rPr>
        <w:t xml:space="preserve">Companion to the Pre-Socratic Philosophers </w:t>
      </w:r>
      <w:r>
        <w:t>(Oxford: Blackwell, 1946).</w:t>
      </w:r>
    </w:p>
    <w:p w14:paraId="5608FF94" w14:textId="77777777" w:rsidR="00D63243" w:rsidRPr="00D63243" w:rsidRDefault="00D63243" w:rsidP="00D63243">
      <w:pPr>
        <w:pStyle w:val="ListParagraph"/>
        <w:rPr>
          <w:rFonts w:cstheme="minorHAnsi"/>
        </w:rPr>
      </w:pPr>
    </w:p>
    <w:p w14:paraId="173E12C3" w14:textId="0E958635" w:rsidR="00D63243" w:rsidRDefault="00D63243" w:rsidP="00D63243">
      <w:pPr>
        <w:pStyle w:val="ListParagraph"/>
        <w:numPr>
          <w:ilvl w:val="0"/>
          <w:numId w:val="1"/>
        </w:numPr>
        <w:rPr>
          <w:rFonts w:cstheme="minorHAnsi"/>
        </w:rPr>
      </w:pPr>
      <w:r w:rsidRPr="00D63243">
        <w:rPr>
          <w:rFonts w:cstheme="minorHAnsi"/>
        </w:rPr>
        <w:t xml:space="preserve">Graham, Daniel W. “Heraclitus (fl. c. 500 B.C.E.)” Internet </w:t>
      </w:r>
      <w:proofErr w:type="spellStart"/>
      <w:r w:rsidRPr="00D63243">
        <w:rPr>
          <w:rFonts w:cstheme="minorHAnsi"/>
        </w:rPr>
        <w:t>Encyclopedia</w:t>
      </w:r>
      <w:proofErr w:type="spellEnd"/>
      <w:r w:rsidRPr="00D63243">
        <w:rPr>
          <w:rFonts w:cstheme="minorHAnsi"/>
        </w:rPr>
        <w:t xml:space="preserve"> of Philosophy.</w:t>
      </w:r>
      <w:r w:rsidRPr="00D63243">
        <w:rPr>
          <w:rFonts w:cstheme="minorHAnsi"/>
        </w:rPr>
        <w:tab/>
      </w:r>
      <w:r>
        <w:rPr>
          <w:rFonts w:cstheme="minorHAnsi"/>
        </w:rPr>
        <w:tab/>
      </w:r>
      <w:r w:rsidRPr="00D63243">
        <w:rPr>
          <w:rFonts w:cstheme="minorHAnsi"/>
        </w:rPr>
        <w:t xml:space="preserve"> Brigham Young University. Accessed 18 Feb</w:t>
      </w:r>
      <w:r>
        <w:rPr>
          <w:rFonts w:cstheme="minorHAnsi"/>
        </w:rPr>
        <w:t xml:space="preserve"> </w:t>
      </w:r>
      <w:r w:rsidRPr="00D63243">
        <w:rPr>
          <w:rFonts w:cstheme="minorHAnsi"/>
        </w:rPr>
        <w:t>2018.</w:t>
      </w:r>
      <w:r>
        <w:rPr>
          <w:rFonts w:cstheme="minorHAnsi"/>
        </w:rPr>
        <w:tab/>
        <w:t>&lt;</w:t>
      </w:r>
      <w:r w:rsidRPr="00D63243">
        <w:rPr>
          <w:rFonts w:cstheme="minorHAnsi"/>
        </w:rPr>
        <w:t>https://www.iep.utm.edu/heraclit/#H3</w:t>
      </w:r>
      <w:r>
        <w:rPr>
          <w:rFonts w:cstheme="minorHAnsi"/>
        </w:rPr>
        <w:t>&gt;</w:t>
      </w:r>
    </w:p>
    <w:p w14:paraId="5B4CACBA" w14:textId="77777777" w:rsidR="00D63243" w:rsidRPr="00D63243" w:rsidRDefault="00D63243" w:rsidP="00D63243">
      <w:pPr>
        <w:pStyle w:val="ListParagraph"/>
        <w:rPr>
          <w:rFonts w:cstheme="minorHAnsi"/>
        </w:rPr>
      </w:pPr>
    </w:p>
    <w:p w14:paraId="54E84DCD" w14:textId="05FD790A" w:rsidR="00D63243" w:rsidRPr="00EC682C" w:rsidRDefault="00EC682C" w:rsidP="00D63243">
      <w:pPr>
        <w:pStyle w:val="ListParagraph"/>
        <w:numPr>
          <w:ilvl w:val="0"/>
          <w:numId w:val="1"/>
        </w:numPr>
        <w:rPr>
          <w:rFonts w:cstheme="minorHAnsi"/>
        </w:rPr>
      </w:pPr>
      <w:r>
        <w:t xml:space="preserve">Osbourne, Catherine. “Heraclitus.” in Routledge History of Philosophy Volume 1, </w:t>
      </w:r>
      <w:r>
        <w:tab/>
      </w:r>
      <w:r>
        <w:t>From the Beginning to Plato, ed. C. C. W. Taylor (London: Routledge, 1997).</w:t>
      </w:r>
    </w:p>
    <w:p w14:paraId="269ABD90" w14:textId="77777777" w:rsidR="00EC682C" w:rsidRPr="00EC682C" w:rsidRDefault="00EC682C" w:rsidP="00EC682C">
      <w:pPr>
        <w:pStyle w:val="ListParagraph"/>
        <w:rPr>
          <w:rFonts w:cstheme="minorHAnsi"/>
        </w:rPr>
      </w:pPr>
    </w:p>
    <w:p w14:paraId="68191DD7" w14:textId="49245DC7" w:rsidR="00EC682C" w:rsidRDefault="00077B1D" w:rsidP="00077B1D">
      <w:pPr>
        <w:pStyle w:val="ListParagraph"/>
        <w:numPr>
          <w:ilvl w:val="0"/>
          <w:numId w:val="1"/>
        </w:numPr>
        <w:rPr>
          <w:rFonts w:cstheme="minorHAnsi"/>
        </w:rPr>
      </w:pPr>
      <w:r w:rsidRPr="00077B1D">
        <w:rPr>
          <w:rFonts w:cstheme="minorHAnsi"/>
        </w:rPr>
        <w:t>Plato, “The Republic VII.”</w:t>
      </w:r>
      <w:r>
        <w:rPr>
          <w:rFonts w:cstheme="minorHAnsi"/>
        </w:rPr>
        <w:tab/>
      </w:r>
      <w:r>
        <w:rPr>
          <w:rFonts w:cstheme="minorHAnsi"/>
        </w:rPr>
        <w:tab/>
        <w:t>&lt;</w:t>
      </w:r>
      <w:r w:rsidRPr="00077B1D">
        <w:rPr>
          <w:rFonts w:cstheme="minorHAnsi"/>
        </w:rPr>
        <w:t>http://www.idph.net/conteudos/ebooks/republic.pdf</w:t>
      </w:r>
      <w:r>
        <w:rPr>
          <w:rFonts w:cstheme="minorHAnsi"/>
        </w:rPr>
        <w:t>&gt;</w:t>
      </w:r>
    </w:p>
    <w:p w14:paraId="67DF864C" w14:textId="77777777" w:rsidR="00077B1D" w:rsidRPr="00077B1D" w:rsidRDefault="00077B1D" w:rsidP="00077B1D">
      <w:pPr>
        <w:pStyle w:val="ListParagraph"/>
        <w:rPr>
          <w:rFonts w:cstheme="minorHAnsi"/>
        </w:rPr>
      </w:pPr>
    </w:p>
    <w:p w14:paraId="0E36D4A3" w14:textId="3765575B" w:rsidR="00077B1D" w:rsidRPr="00D63243" w:rsidRDefault="00077B1D" w:rsidP="00077B1D">
      <w:pPr>
        <w:pStyle w:val="ListParagraph"/>
        <w:numPr>
          <w:ilvl w:val="0"/>
          <w:numId w:val="1"/>
        </w:numPr>
        <w:rPr>
          <w:rFonts w:cstheme="minorHAnsi"/>
        </w:rPr>
      </w:pPr>
      <w:proofErr w:type="spellStart"/>
      <w:r w:rsidRPr="00077B1D">
        <w:rPr>
          <w:rFonts w:cstheme="minorHAnsi"/>
        </w:rPr>
        <w:t>Vlastos</w:t>
      </w:r>
      <w:proofErr w:type="spellEnd"/>
      <w:r w:rsidRPr="00077B1D">
        <w:rPr>
          <w:rFonts w:cstheme="minorHAnsi"/>
        </w:rPr>
        <w:t xml:space="preserve">, Gregory. “On Heraclitus.” In Studies in </w:t>
      </w:r>
      <w:proofErr w:type="spellStart"/>
      <w:r w:rsidRPr="00077B1D">
        <w:rPr>
          <w:rFonts w:cstheme="minorHAnsi"/>
        </w:rPr>
        <w:t>Presocratic</w:t>
      </w:r>
      <w:proofErr w:type="spellEnd"/>
      <w:r w:rsidRPr="00077B1D">
        <w:rPr>
          <w:rFonts w:cstheme="minorHAnsi"/>
        </w:rPr>
        <w:t xml:space="preserve"> Philosophy Vol. 1. </w:t>
      </w:r>
      <w:r>
        <w:rPr>
          <w:rFonts w:cstheme="minorHAnsi"/>
        </w:rPr>
        <w:tab/>
      </w:r>
      <w:r>
        <w:rPr>
          <w:rFonts w:cstheme="minorHAnsi"/>
        </w:rPr>
        <w:tab/>
      </w:r>
      <w:r>
        <w:rPr>
          <w:rFonts w:cstheme="minorHAnsi"/>
        </w:rPr>
        <w:tab/>
      </w:r>
      <w:bookmarkStart w:id="13" w:name="_GoBack"/>
      <w:bookmarkEnd w:id="13"/>
      <w:r w:rsidRPr="00077B1D">
        <w:rPr>
          <w:rFonts w:cstheme="minorHAnsi"/>
        </w:rPr>
        <w:t xml:space="preserve">ed. David J. </w:t>
      </w:r>
      <w:proofErr w:type="spellStart"/>
      <w:r w:rsidRPr="00077B1D">
        <w:rPr>
          <w:rFonts w:cstheme="minorHAnsi"/>
        </w:rPr>
        <w:t>Furley</w:t>
      </w:r>
      <w:proofErr w:type="spellEnd"/>
      <w:r w:rsidRPr="00077B1D">
        <w:rPr>
          <w:rFonts w:cstheme="minorHAnsi"/>
        </w:rPr>
        <w:t xml:space="preserve"> and R. E. Allen (London: Routledge &amp; Kegan Paul Ltd, 1970).</w:t>
      </w:r>
    </w:p>
    <w:sectPr w:rsidR="00077B1D" w:rsidRPr="00D63243" w:rsidSect="00CE79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67957" w14:textId="77777777" w:rsidR="00F05F7D" w:rsidRDefault="00F05F7D" w:rsidP="00AC70B1">
      <w:pPr>
        <w:spacing w:after="0" w:line="240" w:lineRule="auto"/>
      </w:pPr>
      <w:r>
        <w:separator/>
      </w:r>
    </w:p>
  </w:endnote>
  <w:endnote w:type="continuationSeparator" w:id="0">
    <w:p w14:paraId="2A3004E8" w14:textId="77777777" w:rsidR="00F05F7D" w:rsidRDefault="00F05F7D" w:rsidP="00AC7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104A7" w14:textId="77777777" w:rsidR="00F05F7D" w:rsidRDefault="00F05F7D" w:rsidP="00AC70B1">
      <w:pPr>
        <w:spacing w:after="0" w:line="240" w:lineRule="auto"/>
      </w:pPr>
      <w:r>
        <w:separator/>
      </w:r>
    </w:p>
  </w:footnote>
  <w:footnote w:type="continuationSeparator" w:id="0">
    <w:p w14:paraId="1683410E" w14:textId="77777777" w:rsidR="00F05F7D" w:rsidRDefault="00F05F7D" w:rsidP="00AC70B1">
      <w:pPr>
        <w:spacing w:after="0" w:line="240" w:lineRule="auto"/>
      </w:pPr>
      <w:r>
        <w:continuationSeparator/>
      </w:r>
    </w:p>
  </w:footnote>
  <w:footnote w:id="1">
    <w:p w14:paraId="0389F87E" w14:textId="104E9147" w:rsidR="00AE6F60" w:rsidRDefault="00AC70B1">
      <w:pPr>
        <w:pStyle w:val="FootnoteText"/>
      </w:pPr>
      <w:r>
        <w:rPr>
          <w:rStyle w:val="FootnoteReference"/>
        </w:rPr>
        <w:footnoteRef/>
      </w:r>
      <w:r w:rsidR="00AE6F60" w:rsidRPr="00AE6F60">
        <w:t xml:space="preserve"> </w:t>
      </w:r>
      <w:bookmarkStart w:id="0" w:name="_Hlk507008325"/>
      <w:r w:rsidR="00AE6F60" w:rsidRPr="00AE6F60">
        <w:t>Graham</w:t>
      </w:r>
      <w:r w:rsidR="00AE6F60">
        <w:t xml:space="preserve">, </w:t>
      </w:r>
      <w:r w:rsidR="00AE6F60" w:rsidRPr="00AE6F60">
        <w:t xml:space="preserve">Daniel W. </w:t>
      </w:r>
      <w:r w:rsidR="00AE6F60">
        <w:t>“</w:t>
      </w:r>
      <w:r w:rsidR="00AE6F60" w:rsidRPr="00AE6F60">
        <w:t>Heraclitus (fl. c. 500 B.C.E.)</w:t>
      </w:r>
      <w:r w:rsidR="00AE6F60">
        <w:t xml:space="preserve">” </w:t>
      </w:r>
      <w:r w:rsidR="00AE6F60" w:rsidRPr="00AE6F60">
        <w:rPr>
          <w:i/>
        </w:rPr>
        <w:t xml:space="preserve">Internet </w:t>
      </w:r>
      <w:proofErr w:type="spellStart"/>
      <w:r w:rsidR="00AE6F60" w:rsidRPr="00AE6F60">
        <w:rPr>
          <w:i/>
        </w:rPr>
        <w:t>Encyclopedia</w:t>
      </w:r>
      <w:proofErr w:type="spellEnd"/>
      <w:r w:rsidR="00AE6F60" w:rsidRPr="00AE6F60">
        <w:rPr>
          <w:i/>
        </w:rPr>
        <w:t xml:space="preserve"> of Philosophy</w:t>
      </w:r>
      <w:r w:rsidR="00AE6F60" w:rsidRPr="00AE6F60">
        <w:t>.</w:t>
      </w:r>
      <w:r w:rsidR="00AE6F60">
        <w:tab/>
      </w:r>
      <w:r w:rsidR="00AE6F60">
        <w:tab/>
      </w:r>
      <w:r w:rsidR="00AE6F60">
        <w:tab/>
      </w:r>
      <w:r w:rsidR="00AE6F60">
        <w:tab/>
        <w:t xml:space="preserve"> </w:t>
      </w:r>
      <w:r w:rsidR="00AE6F60" w:rsidRPr="00AE6F60">
        <w:t>Brigham Young University</w:t>
      </w:r>
      <w:r w:rsidR="00AE6F60">
        <w:t>. Accessed 18 Feb 2018.</w:t>
      </w:r>
    </w:p>
    <w:p w14:paraId="40313E2A" w14:textId="66CE4185" w:rsidR="00AC70B1" w:rsidRDefault="00AE6F60" w:rsidP="00AE6F60">
      <w:pPr>
        <w:pStyle w:val="FootnoteText"/>
        <w:ind w:firstLine="720"/>
      </w:pPr>
      <w:r>
        <w:t>&lt;</w:t>
      </w:r>
      <w:r w:rsidR="00AC70B1" w:rsidRPr="00AC70B1">
        <w:t>https://www.iep.utm.edu/heraclit/#H3</w:t>
      </w:r>
      <w:r>
        <w:t>&gt;</w:t>
      </w:r>
    </w:p>
    <w:bookmarkEnd w:id="0"/>
  </w:footnote>
  <w:footnote w:id="2">
    <w:p w14:paraId="1B509D5A" w14:textId="269E0035" w:rsidR="00B4025E" w:rsidRDefault="00B4025E">
      <w:pPr>
        <w:pStyle w:val="FootnoteText"/>
      </w:pPr>
      <w:r>
        <w:rPr>
          <w:rStyle w:val="FootnoteReference"/>
        </w:rPr>
        <w:footnoteRef/>
      </w:r>
      <w:r>
        <w:t xml:space="preserve"> Osbourne</w:t>
      </w:r>
      <w:r w:rsidR="000466D7">
        <w:t>, Catherine.</w:t>
      </w:r>
      <w:r w:rsidR="0023358B">
        <w:t xml:space="preserve"> “Heraclitus.” in Routledge History of Philosophy Volume 1, From the Beginning to Plato,</w:t>
      </w:r>
      <w:r w:rsidR="00667BE3">
        <w:tab/>
      </w:r>
      <w:r w:rsidR="0023358B">
        <w:t xml:space="preserve"> ed. C. C. W. Taylor (London: Routledge, 1997). pp.</w:t>
      </w:r>
      <w:r>
        <w:t>88-9</w:t>
      </w:r>
    </w:p>
  </w:footnote>
  <w:footnote w:id="3">
    <w:p w14:paraId="122B1C0D" w14:textId="06555EF6" w:rsidR="00C35523" w:rsidRDefault="00C35523">
      <w:pPr>
        <w:pStyle w:val="FootnoteText"/>
      </w:pPr>
      <w:r>
        <w:rPr>
          <w:rStyle w:val="FootnoteReference"/>
        </w:rPr>
        <w:footnoteRef/>
      </w:r>
      <w:r>
        <w:t xml:space="preserve"> </w:t>
      </w:r>
      <w:r w:rsidR="0023358B">
        <w:t>I</w:t>
      </w:r>
      <w:r w:rsidR="00AE6F60">
        <w:t>bid</w:t>
      </w:r>
      <w:r w:rsidR="0023358B">
        <w:t>.,</w:t>
      </w:r>
      <w:r>
        <w:t xml:space="preserve"> </w:t>
      </w:r>
      <w:r w:rsidR="0023358B">
        <w:t>pp.</w:t>
      </w:r>
      <w:r>
        <w:t>98-99</w:t>
      </w:r>
    </w:p>
  </w:footnote>
  <w:footnote w:id="4">
    <w:p w14:paraId="0FAE2882" w14:textId="288A8A1D" w:rsidR="008C40F4" w:rsidRDefault="008C40F4">
      <w:pPr>
        <w:pStyle w:val="FootnoteText"/>
      </w:pPr>
      <w:r>
        <w:rPr>
          <w:rStyle w:val="FootnoteReference"/>
        </w:rPr>
        <w:footnoteRef/>
      </w:r>
      <w:r>
        <w:t xml:space="preserve"> </w:t>
      </w:r>
      <w:r w:rsidR="00285A1D">
        <w:t>i</w:t>
      </w:r>
      <w:r>
        <w:t>bid</w:t>
      </w:r>
      <w:r w:rsidR="003F6C00">
        <w:t>.,</w:t>
      </w:r>
      <w:r>
        <w:t xml:space="preserve"> </w:t>
      </w:r>
      <w:r w:rsidR="003F6C00">
        <w:t>p.</w:t>
      </w:r>
      <w:r>
        <w:t>99</w:t>
      </w:r>
    </w:p>
  </w:footnote>
  <w:footnote w:id="5">
    <w:p w14:paraId="30F238E9" w14:textId="66A2A135" w:rsidR="00013336" w:rsidRDefault="00013336">
      <w:pPr>
        <w:pStyle w:val="FootnoteText"/>
      </w:pPr>
      <w:r>
        <w:rPr>
          <w:rStyle w:val="FootnoteReference"/>
        </w:rPr>
        <w:footnoteRef/>
      </w:r>
      <w:r>
        <w:t xml:space="preserve"> </w:t>
      </w:r>
      <w:r w:rsidR="00285A1D">
        <w:t xml:space="preserve"> </w:t>
      </w:r>
      <w:proofErr w:type="spellStart"/>
      <w:r w:rsidR="00285A1D">
        <w:t>Vlastos</w:t>
      </w:r>
      <w:proofErr w:type="spellEnd"/>
      <w:r w:rsidR="00285A1D">
        <w:t>, Gregory. “On Heraclitus</w:t>
      </w:r>
      <w:r w:rsidR="00215419">
        <w:t>.</w:t>
      </w:r>
      <w:r w:rsidR="00285A1D">
        <w:t xml:space="preserve">” </w:t>
      </w:r>
      <w:r w:rsidR="00215419">
        <w:t xml:space="preserve">In </w:t>
      </w:r>
      <w:r w:rsidR="00667BE3" w:rsidRPr="00215419">
        <w:t xml:space="preserve">Studies in </w:t>
      </w:r>
      <w:proofErr w:type="spellStart"/>
      <w:r w:rsidR="00667BE3" w:rsidRPr="00215419">
        <w:t>Presocratic</w:t>
      </w:r>
      <w:proofErr w:type="spellEnd"/>
      <w:r w:rsidR="00667BE3" w:rsidRPr="00215419">
        <w:t xml:space="preserve"> Philosophy Vol. 1. </w:t>
      </w:r>
      <w:r w:rsidR="00667BE3">
        <w:t xml:space="preserve">ed. </w:t>
      </w:r>
      <w:r w:rsidR="00285A1D">
        <w:t xml:space="preserve">David J. </w:t>
      </w:r>
      <w:proofErr w:type="spellStart"/>
      <w:r>
        <w:t>Furley</w:t>
      </w:r>
      <w:proofErr w:type="spellEnd"/>
      <w:r w:rsidR="00285A1D">
        <w:t xml:space="preserve"> and </w:t>
      </w:r>
      <w:r w:rsidR="00215419">
        <w:tab/>
      </w:r>
      <w:r w:rsidR="00215419">
        <w:tab/>
      </w:r>
      <w:r w:rsidR="00285A1D">
        <w:t xml:space="preserve">R. E. Allen (London: Routledge &amp; Kegan Paul Ltd, 1970). </w:t>
      </w:r>
      <w:r w:rsidR="00215419">
        <w:t>p</w:t>
      </w:r>
      <w:r w:rsidR="00285A1D">
        <w:t>.420</w:t>
      </w:r>
    </w:p>
  </w:footnote>
  <w:footnote w:id="6">
    <w:p w14:paraId="65A16926" w14:textId="2B7EA974" w:rsidR="00DB3970" w:rsidRDefault="00DB3970">
      <w:pPr>
        <w:pStyle w:val="FootnoteText"/>
      </w:pPr>
      <w:r>
        <w:rPr>
          <w:rStyle w:val="FootnoteReference"/>
        </w:rPr>
        <w:footnoteRef/>
      </w:r>
      <w:r>
        <w:t xml:space="preserve"> </w:t>
      </w:r>
      <w:bookmarkStart w:id="2" w:name="_Hlk507008295"/>
      <w:r>
        <w:t>Freeman</w:t>
      </w:r>
      <w:r w:rsidR="00B42927">
        <w:t xml:space="preserve">, Kathleen, </w:t>
      </w:r>
      <w:r w:rsidR="00B42927">
        <w:rPr>
          <w:i/>
        </w:rPr>
        <w:t xml:space="preserve">Companion to the Pre-Socratic Philosophers </w:t>
      </w:r>
      <w:r w:rsidR="00B42927">
        <w:t>(Oxford: Blackwell, 1946).</w:t>
      </w:r>
      <w:bookmarkEnd w:id="2"/>
      <w:r>
        <w:t xml:space="preserve"> </w:t>
      </w:r>
      <w:r w:rsidR="00B42927">
        <w:t>p.</w:t>
      </w:r>
      <w:r>
        <w:t>114</w:t>
      </w:r>
    </w:p>
  </w:footnote>
  <w:footnote w:id="7">
    <w:p w14:paraId="2976C9BB" w14:textId="10DAF56E" w:rsidR="005E7895" w:rsidRDefault="005E7895" w:rsidP="00EC682C">
      <w:pPr>
        <w:pStyle w:val="FootnoteText"/>
      </w:pPr>
      <w:r>
        <w:rPr>
          <w:rStyle w:val="FootnoteReference"/>
        </w:rPr>
        <w:footnoteRef/>
      </w:r>
      <w:r>
        <w:t xml:space="preserve"> </w:t>
      </w:r>
      <w:bookmarkStart w:id="3" w:name="_Hlk507008988"/>
      <w:bookmarkStart w:id="4" w:name="_Hlk507008989"/>
      <w:bookmarkStart w:id="5" w:name="_Hlk507008990"/>
      <w:bookmarkStart w:id="6" w:name="_Hlk507008991"/>
      <w:bookmarkStart w:id="7" w:name="_Hlk507008992"/>
      <w:bookmarkStart w:id="8" w:name="_Hlk507008993"/>
      <w:bookmarkStart w:id="9" w:name="_Hlk507008994"/>
      <w:bookmarkStart w:id="10" w:name="_Hlk507008995"/>
      <w:bookmarkStart w:id="11" w:name="_Hlk507008996"/>
      <w:bookmarkStart w:id="12" w:name="_Hlk507008997"/>
      <w:r>
        <w:t>Plato</w:t>
      </w:r>
      <w:r w:rsidR="00101279">
        <w:t>,</w:t>
      </w:r>
      <w:r>
        <w:t xml:space="preserve"> </w:t>
      </w:r>
      <w:r w:rsidR="00EC682C">
        <w:t>“</w:t>
      </w:r>
      <w:r w:rsidR="00EC682C" w:rsidRPr="00EC682C">
        <w:t xml:space="preserve">The </w:t>
      </w:r>
      <w:r w:rsidRPr="00EC682C">
        <w:t>Republic VII</w:t>
      </w:r>
      <w:r w:rsidR="00D63243" w:rsidRPr="00EC682C">
        <w:t>.</w:t>
      </w:r>
      <w:r w:rsidR="00EC682C">
        <w:t>” Accessed 19 Feb 2018. pp. 373-378.</w:t>
      </w:r>
      <w:r w:rsidR="00077B1D">
        <w:tab/>
        <w:t>&lt;</w:t>
      </w:r>
      <w:r w:rsidR="00EC682C" w:rsidRPr="00EC682C">
        <w:t>http://www.idph.net/conteudos/ebooks/republic.pdf</w:t>
      </w:r>
      <w:r w:rsidR="00077B1D">
        <w:t>&gt;</w:t>
      </w:r>
      <w:bookmarkEnd w:id="3"/>
      <w:bookmarkEnd w:id="4"/>
      <w:bookmarkEnd w:id="5"/>
      <w:bookmarkEnd w:id="6"/>
      <w:bookmarkEnd w:id="7"/>
      <w:bookmarkEnd w:id="8"/>
      <w:bookmarkEnd w:id="9"/>
      <w:bookmarkEnd w:id="10"/>
      <w:bookmarkEnd w:id="11"/>
      <w:bookmarkEnd w:id="1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84209D"/>
    <w:multiLevelType w:val="hybridMultilevel"/>
    <w:tmpl w:val="44304E32"/>
    <w:lvl w:ilvl="0" w:tplc="C786DFE0">
      <w:start w:val="1"/>
      <w:numFmt w:val="decimal"/>
      <w:lvlText w:val="%1)"/>
      <w:lvlJc w:val="left"/>
      <w:pPr>
        <w:ind w:left="720" w:hanging="360"/>
      </w:pPr>
      <w:rPr>
        <w:rFonts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EA7"/>
    <w:rsid w:val="00007A68"/>
    <w:rsid w:val="00011C02"/>
    <w:rsid w:val="00013336"/>
    <w:rsid w:val="00026865"/>
    <w:rsid w:val="000405A4"/>
    <w:rsid w:val="000406F1"/>
    <w:rsid w:val="000466D7"/>
    <w:rsid w:val="000608B4"/>
    <w:rsid w:val="000760EB"/>
    <w:rsid w:val="00077B1D"/>
    <w:rsid w:val="00101279"/>
    <w:rsid w:val="001950C4"/>
    <w:rsid w:val="001A251C"/>
    <w:rsid w:val="001D4B0B"/>
    <w:rsid w:val="001F7E7D"/>
    <w:rsid w:val="00215419"/>
    <w:rsid w:val="0023215D"/>
    <w:rsid w:val="0023358B"/>
    <w:rsid w:val="002375BD"/>
    <w:rsid w:val="002558BE"/>
    <w:rsid w:val="00285A1D"/>
    <w:rsid w:val="002A4DC2"/>
    <w:rsid w:val="002A67FB"/>
    <w:rsid w:val="002A6B38"/>
    <w:rsid w:val="002B3C62"/>
    <w:rsid w:val="003233A0"/>
    <w:rsid w:val="003564E2"/>
    <w:rsid w:val="00357ABE"/>
    <w:rsid w:val="00382A20"/>
    <w:rsid w:val="003A3C3D"/>
    <w:rsid w:val="003A3CB1"/>
    <w:rsid w:val="003A6E43"/>
    <w:rsid w:val="003C2F5C"/>
    <w:rsid w:val="003F5F47"/>
    <w:rsid w:val="003F6C00"/>
    <w:rsid w:val="00404691"/>
    <w:rsid w:val="00446DE2"/>
    <w:rsid w:val="004B7D3B"/>
    <w:rsid w:val="004D3AD8"/>
    <w:rsid w:val="004D6F2F"/>
    <w:rsid w:val="004E1316"/>
    <w:rsid w:val="004F31C7"/>
    <w:rsid w:val="004F6944"/>
    <w:rsid w:val="005310C2"/>
    <w:rsid w:val="00535DD3"/>
    <w:rsid w:val="00544F2F"/>
    <w:rsid w:val="00551471"/>
    <w:rsid w:val="00571591"/>
    <w:rsid w:val="00582A87"/>
    <w:rsid w:val="005E7895"/>
    <w:rsid w:val="005F2BDA"/>
    <w:rsid w:val="005F6DAC"/>
    <w:rsid w:val="0062108D"/>
    <w:rsid w:val="006561BA"/>
    <w:rsid w:val="006643B4"/>
    <w:rsid w:val="00667BE3"/>
    <w:rsid w:val="006D3C72"/>
    <w:rsid w:val="0070196D"/>
    <w:rsid w:val="00795ECA"/>
    <w:rsid w:val="007A760B"/>
    <w:rsid w:val="007B4107"/>
    <w:rsid w:val="007C005E"/>
    <w:rsid w:val="007F37EC"/>
    <w:rsid w:val="0080108C"/>
    <w:rsid w:val="0082213A"/>
    <w:rsid w:val="00823910"/>
    <w:rsid w:val="00827744"/>
    <w:rsid w:val="00836D27"/>
    <w:rsid w:val="008A1861"/>
    <w:rsid w:val="008B38CB"/>
    <w:rsid w:val="008C40F4"/>
    <w:rsid w:val="008E29C5"/>
    <w:rsid w:val="008F3321"/>
    <w:rsid w:val="008F7058"/>
    <w:rsid w:val="00900528"/>
    <w:rsid w:val="009209B7"/>
    <w:rsid w:val="0097313D"/>
    <w:rsid w:val="00990F64"/>
    <w:rsid w:val="009E035D"/>
    <w:rsid w:val="009E5751"/>
    <w:rsid w:val="009F6EBF"/>
    <w:rsid w:val="00A279FA"/>
    <w:rsid w:val="00A700C5"/>
    <w:rsid w:val="00A7534E"/>
    <w:rsid w:val="00A954CD"/>
    <w:rsid w:val="00AB50C5"/>
    <w:rsid w:val="00AC70B1"/>
    <w:rsid w:val="00AE6F60"/>
    <w:rsid w:val="00B01270"/>
    <w:rsid w:val="00B4025E"/>
    <w:rsid w:val="00B42927"/>
    <w:rsid w:val="00B62659"/>
    <w:rsid w:val="00BA7EA7"/>
    <w:rsid w:val="00BE317B"/>
    <w:rsid w:val="00BF32DF"/>
    <w:rsid w:val="00BF61C1"/>
    <w:rsid w:val="00C3096A"/>
    <w:rsid w:val="00C35523"/>
    <w:rsid w:val="00C5796F"/>
    <w:rsid w:val="00C97475"/>
    <w:rsid w:val="00CA519C"/>
    <w:rsid w:val="00CB0D9F"/>
    <w:rsid w:val="00CC5595"/>
    <w:rsid w:val="00CE7928"/>
    <w:rsid w:val="00D00B7A"/>
    <w:rsid w:val="00D63243"/>
    <w:rsid w:val="00D7142E"/>
    <w:rsid w:val="00D85E8E"/>
    <w:rsid w:val="00DB3970"/>
    <w:rsid w:val="00DC6A3D"/>
    <w:rsid w:val="00DD7673"/>
    <w:rsid w:val="00DF37F9"/>
    <w:rsid w:val="00DF5FD6"/>
    <w:rsid w:val="00E01D45"/>
    <w:rsid w:val="00E52E65"/>
    <w:rsid w:val="00EA4A6F"/>
    <w:rsid w:val="00EA78E2"/>
    <w:rsid w:val="00EB661F"/>
    <w:rsid w:val="00EC682C"/>
    <w:rsid w:val="00EC6981"/>
    <w:rsid w:val="00F05F7D"/>
    <w:rsid w:val="00F13C6F"/>
    <w:rsid w:val="00F70291"/>
    <w:rsid w:val="00F9401D"/>
    <w:rsid w:val="00FA57F5"/>
    <w:rsid w:val="00FB41C3"/>
    <w:rsid w:val="00FD4988"/>
    <w:rsid w:val="00FF4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DD30"/>
  <w15:chartTrackingRefBased/>
  <w15:docId w15:val="{B9FE261E-46A4-4831-9E63-961CD282E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79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70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70B1"/>
    <w:rPr>
      <w:sz w:val="20"/>
      <w:szCs w:val="20"/>
    </w:rPr>
  </w:style>
  <w:style w:type="character" w:styleId="FootnoteReference">
    <w:name w:val="footnote reference"/>
    <w:basedOn w:val="DefaultParagraphFont"/>
    <w:uiPriority w:val="99"/>
    <w:semiHidden/>
    <w:unhideWhenUsed/>
    <w:rsid w:val="00AC70B1"/>
    <w:rPr>
      <w:vertAlign w:val="superscript"/>
    </w:rPr>
  </w:style>
  <w:style w:type="paragraph" w:styleId="ListParagraph">
    <w:name w:val="List Paragraph"/>
    <w:basedOn w:val="Normal"/>
    <w:uiPriority w:val="34"/>
    <w:qFormat/>
    <w:rsid w:val="00D63243"/>
    <w:pPr>
      <w:ind w:left="720"/>
      <w:contextualSpacing/>
    </w:pPr>
  </w:style>
  <w:style w:type="character" w:styleId="Hyperlink">
    <w:name w:val="Hyperlink"/>
    <w:basedOn w:val="DefaultParagraphFont"/>
    <w:uiPriority w:val="99"/>
    <w:unhideWhenUsed/>
    <w:rsid w:val="00D63243"/>
    <w:rPr>
      <w:color w:val="0000FF" w:themeColor="hyperlink"/>
      <w:u w:val="single"/>
    </w:rPr>
  </w:style>
  <w:style w:type="character" w:styleId="UnresolvedMention">
    <w:name w:val="Unresolved Mention"/>
    <w:basedOn w:val="DefaultParagraphFont"/>
    <w:uiPriority w:val="99"/>
    <w:semiHidden/>
    <w:unhideWhenUsed/>
    <w:rsid w:val="00D6324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62098-363C-4702-BDAC-7815AED66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4006</TotalTime>
  <Pages>3</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dc:creator>
  <cp:keywords/>
  <dc:description/>
  <cp:lastModifiedBy>indi</cp:lastModifiedBy>
  <cp:revision>112</cp:revision>
  <dcterms:created xsi:type="dcterms:W3CDTF">2018-02-12T22:27:00Z</dcterms:created>
  <dcterms:modified xsi:type="dcterms:W3CDTF">2018-02-21T20:41:00Z</dcterms:modified>
</cp:coreProperties>
</file>