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B98191" w14:textId="77777777" w:rsidR="005E1CF2" w:rsidRDefault="00527869">
      <w:pPr>
        <w:rPr>
          <w:rFonts w:ascii="Times New Roman" w:hAnsi="Times New Roman" w:cs="Times New Roman"/>
          <w:sz w:val="24"/>
          <w:szCs w:val="24"/>
        </w:rPr>
      </w:pPr>
      <w:r>
        <w:rPr>
          <w:rFonts w:ascii="Times New Roman" w:hAnsi="Times New Roman" w:cs="Times New Roman"/>
          <w:sz w:val="24"/>
          <w:szCs w:val="24"/>
        </w:rPr>
        <w:t>Social Care Wales</w:t>
      </w:r>
    </w:p>
    <w:p w14:paraId="03AC6561" w14:textId="77777777" w:rsidR="005E1CF2" w:rsidRDefault="00527869">
      <w:pPr>
        <w:rPr>
          <w:rFonts w:ascii="Times New Roman" w:hAnsi="Times New Roman" w:cs="Times New Roman"/>
          <w:sz w:val="24"/>
          <w:szCs w:val="24"/>
        </w:rPr>
      </w:pPr>
      <w:r>
        <w:rPr>
          <w:noProof/>
        </w:rPr>
        <w:drawing>
          <wp:inline distT="0" distB="0" distL="0" distR="0" wp14:anchorId="0D380CB6" wp14:editId="3A4C58E4">
            <wp:extent cx="1905635" cy="722630"/>
            <wp:effectExtent l="0" t="0" r="0" b="0"/>
            <wp:docPr id="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2"/>
                    <pic:cNvPicPr>
                      <a:picLocks noChangeAspect="1" noChangeArrowheads="1"/>
                    </pic:cNvPicPr>
                  </pic:nvPicPr>
                  <pic:blipFill>
                    <a:blip r:embed="rId8"/>
                    <a:stretch>
                      <a:fillRect/>
                    </a:stretch>
                  </pic:blipFill>
                  <pic:spPr bwMode="auto">
                    <a:xfrm>
                      <a:off x="0" y="0"/>
                      <a:ext cx="1905635" cy="722630"/>
                    </a:xfrm>
                    <a:prstGeom prst="rect">
                      <a:avLst/>
                    </a:prstGeom>
                  </pic:spPr>
                </pic:pic>
              </a:graphicData>
            </a:graphic>
          </wp:inline>
        </w:drawing>
      </w:r>
    </w:p>
    <w:p w14:paraId="07B9FB94" w14:textId="77777777" w:rsidR="005E1CF2" w:rsidRDefault="005E1CF2">
      <w:pPr>
        <w:rPr>
          <w:rFonts w:ascii="Times New Roman" w:hAnsi="Times New Roman" w:cs="Times New Roman"/>
          <w:sz w:val="24"/>
          <w:szCs w:val="24"/>
        </w:rPr>
      </w:pPr>
    </w:p>
    <w:p w14:paraId="04F51F3B" w14:textId="77777777" w:rsidR="005E1CF2" w:rsidRDefault="005E1CF2">
      <w:pPr>
        <w:rPr>
          <w:rFonts w:ascii="Times New Roman" w:hAnsi="Times New Roman" w:cs="Times New Roman"/>
          <w:sz w:val="24"/>
          <w:szCs w:val="24"/>
        </w:rPr>
      </w:pPr>
    </w:p>
    <w:p w14:paraId="4ABBD254" w14:textId="77777777" w:rsidR="005E1CF2" w:rsidRDefault="00527869">
      <w:pPr>
        <w:overflowPunct/>
        <w:textAlignment w:val="auto"/>
        <w:rPr>
          <w:rFonts w:ascii="Times New Roman" w:hAnsi="Times New Roman"/>
          <w:b/>
          <w:bCs/>
          <w:color w:val="auto"/>
          <w:sz w:val="48"/>
          <w:szCs w:val="48"/>
        </w:rPr>
      </w:pPr>
      <w:r>
        <w:rPr>
          <w:rFonts w:ascii="Times New Roman" w:hAnsi="Times New Roman" w:cs="Times New Roman"/>
          <w:b/>
          <w:color w:val="auto"/>
          <w:sz w:val="48"/>
          <w:szCs w:val="48"/>
        </w:rPr>
        <w:t xml:space="preserve">GRADUATE CERTIFICATE in </w:t>
      </w:r>
      <w:r>
        <w:rPr>
          <w:rFonts w:ascii="Times New Roman" w:hAnsi="Times New Roman"/>
          <w:b/>
          <w:bCs/>
          <w:color w:val="auto"/>
          <w:sz w:val="48"/>
          <w:szCs w:val="48"/>
        </w:rPr>
        <w:t>Consolidation of Social Work Practice</w:t>
      </w:r>
    </w:p>
    <w:p w14:paraId="2280CDB0" w14:textId="77777777" w:rsidR="005E1CF2" w:rsidRDefault="00527869">
      <w:pPr>
        <w:overflowPunct/>
        <w:ind w:right="-957"/>
        <w:textAlignment w:val="auto"/>
        <w:rPr>
          <w:rFonts w:ascii="Times New Roman" w:hAnsi="Times New Roman" w:cs="Times New Roman"/>
          <w:b/>
          <w:color w:val="auto"/>
          <w:sz w:val="48"/>
        </w:rPr>
      </w:pPr>
      <w:r>
        <w:rPr>
          <w:rFonts w:ascii="Times New Roman" w:hAnsi="Times New Roman" w:cs="Times New Roman"/>
          <w:b/>
          <w:color w:val="auto"/>
          <w:sz w:val="48"/>
        </w:rPr>
        <w:t>LEVEL 6 - 60 Credits</w:t>
      </w:r>
    </w:p>
    <w:p w14:paraId="425FA55D" w14:textId="77777777" w:rsidR="005E1CF2" w:rsidRDefault="005E1CF2">
      <w:pPr>
        <w:overflowPunct/>
        <w:ind w:right="-957"/>
        <w:textAlignment w:val="auto"/>
        <w:rPr>
          <w:rFonts w:ascii="Times New Roman" w:hAnsi="Times New Roman" w:cs="Times New Roman"/>
          <w:b/>
          <w:color w:val="auto"/>
          <w:sz w:val="48"/>
        </w:rPr>
      </w:pPr>
    </w:p>
    <w:p w14:paraId="6A57C51D" w14:textId="77777777" w:rsidR="005E1CF2" w:rsidRDefault="005E1CF2">
      <w:pPr>
        <w:overflowPunct/>
        <w:ind w:right="-957"/>
        <w:textAlignment w:val="auto"/>
        <w:rPr>
          <w:rFonts w:ascii="Times New Roman" w:hAnsi="Times New Roman" w:cs="Times New Roman"/>
          <w:b/>
          <w:color w:val="auto"/>
          <w:sz w:val="48"/>
        </w:rPr>
      </w:pPr>
    </w:p>
    <w:p w14:paraId="4431CBB1" w14:textId="77777777" w:rsidR="005E1CF2" w:rsidRDefault="00527869">
      <w:pPr>
        <w:overflowPunct/>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45601D31" w14:textId="77777777" w:rsidR="005E1CF2" w:rsidRDefault="00527869">
      <w:pPr>
        <w:overflowPunct/>
        <w:ind w:right="-957"/>
        <w:textAlignment w:val="auto"/>
        <w:rPr>
          <w:rFonts w:ascii="Times New Roman" w:hAnsi="Times New Roman" w:cs="Times New Roman"/>
          <w:b/>
          <w:color w:val="auto"/>
          <w:sz w:val="48"/>
        </w:rPr>
      </w:pPr>
      <w:r>
        <w:rPr>
          <w:rFonts w:ascii="Times New Roman" w:hAnsi="Times New Roman" w:cs="Times New Roman"/>
          <w:b/>
          <w:color w:val="auto"/>
          <w:sz w:val="48"/>
        </w:rPr>
        <w:t>(PORTH AGORED and UWTSD)</w:t>
      </w:r>
    </w:p>
    <w:p w14:paraId="134CBD1E" w14:textId="77777777" w:rsidR="005E1CF2" w:rsidRDefault="005E1CF2">
      <w:pPr>
        <w:overflowPunct/>
        <w:ind w:right="-957"/>
        <w:textAlignment w:val="auto"/>
        <w:rPr>
          <w:rFonts w:ascii="Times New Roman" w:hAnsi="Times New Roman" w:cs="Times New Roman"/>
          <w:b/>
          <w:color w:val="auto"/>
          <w:sz w:val="48"/>
        </w:rPr>
      </w:pPr>
    </w:p>
    <w:p w14:paraId="01FFD2FC" w14:textId="77777777" w:rsidR="005E1CF2" w:rsidRDefault="005E1CF2">
      <w:pPr>
        <w:overflowPunct/>
        <w:ind w:right="-957"/>
        <w:textAlignment w:val="auto"/>
        <w:rPr>
          <w:rFonts w:ascii="Times New Roman" w:hAnsi="Times New Roman" w:cs="Times New Roman"/>
          <w:b/>
          <w:color w:val="auto"/>
          <w:sz w:val="48"/>
        </w:rPr>
      </w:pPr>
    </w:p>
    <w:tbl>
      <w:tblPr>
        <w:tblW w:w="103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368"/>
      </w:tblGrid>
      <w:tr w:rsidR="005E1CF2" w14:paraId="545D91A5" w14:textId="77777777">
        <w:tc>
          <w:tcPr>
            <w:tcW w:w="10368" w:type="dxa"/>
            <w:tcBorders>
              <w:top w:val="single" w:sz="4" w:space="0" w:color="000000"/>
              <w:left w:val="single" w:sz="4" w:space="0" w:color="000000"/>
              <w:bottom w:val="single" w:sz="4" w:space="0" w:color="000000"/>
              <w:right w:val="single" w:sz="4" w:space="0" w:color="000000"/>
            </w:tcBorders>
            <w:shd w:val="clear" w:color="auto" w:fill="auto"/>
          </w:tcPr>
          <w:p w14:paraId="4E4DD208" w14:textId="77777777" w:rsidR="005E1CF2" w:rsidRDefault="00527869">
            <w:pPr>
              <w:overflowPunct/>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p>
          <w:p w14:paraId="1A7F5780" w14:textId="77777777" w:rsidR="005E1CF2" w:rsidRDefault="00527869">
            <w:pPr>
              <w:overflowPunct/>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Lesley Chambers </w:t>
            </w:r>
          </w:p>
          <w:p w14:paraId="224C84C5" w14:textId="77777777" w:rsidR="005E1CF2" w:rsidRDefault="00527869">
            <w:pPr>
              <w:overflowPunct/>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University Registration Number:</w:t>
            </w:r>
          </w:p>
          <w:p w14:paraId="6C8E470A" w14:textId="77777777" w:rsidR="005E1CF2" w:rsidRDefault="00527869">
            <w:pPr>
              <w:overflowPunct/>
              <w:ind w:right="-957"/>
              <w:textAlignment w:val="auto"/>
              <w:rPr>
                <w:rFonts w:ascii="Times New Roman" w:hAnsi="Times New Roman" w:cs="Times New Roman"/>
                <w:b/>
                <w:color w:val="auto"/>
                <w:sz w:val="48"/>
              </w:rPr>
            </w:pPr>
            <w:r>
              <w:rPr>
                <w:rFonts w:ascii="Times New Roman" w:hAnsi="Times New Roman" w:cs="Times New Roman"/>
                <w:b/>
                <w:color w:val="auto"/>
                <w:sz w:val="48"/>
              </w:rPr>
              <w:t>1811112</w:t>
            </w:r>
          </w:p>
          <w:p w14:paraId="294843CB" w14:textId="77777777" w:rsidR="005E1CF2" w:rsidRDefault="005E1CF2">
            <w:pPr>
              <w:overflowPunct/>
              <w:ind w:right="-957"/>
              <w:textAlignment w:val="auto"/>
              <w:rPr>
                <w:rFonts w:ascii="Times New Roman" w:hAnsi="Times New Roman" w:cs="Times New Roman"/>
                <w:b/>
                <w:color w:val="auto"/>
                <w:sz w:val="48"/>
              </w:rPr>
            </w:pPr>
          </w:p>
        </w:tc>
      </w:tr>
    </w:tbl>
    <w:p w14:paraId="24A94B0C" w14:textId="77777777" w:rsidR="005E1CF2" w:rsidRDefault="00527869">
      <w:pPr>
        <w:overflowPunct/>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DB0D89D" w14:textId="77777777" w:rsidR="005E1CF2" w:rsidRDefault="005E1CF2">
      <w:pPr>
        <w:overflowPunct/>
        <w:textAlignment w:val="auto"/>
        <w:rPr>
          <w:rFonts w:ascii="Times New Roman" w:hAnsi="Times New Roman" w:cs="Times New Roman"/>
          <w:color w:val="auto"/>
          <w:sz w:val="24"/>
        </w:rPr>
      </w:pPr>
    </w:p>
    <w:p w14:paraId="5472BCED" w14:textId="77777777" w:rsidR="005E1CF2" w:rsidRDefault="005E1CF2">
      <w:pPr>
        <w:overflowPunct/>
        <w:ind w:right="-957"/>
        <w:textAlignment w:val="auto"/>
        <w:rPr>
          <w:rFonts w:ascii="Times New Roman" w:hAnsi="Times New Roman" w:cs="Times New Roman"/>
          <w:b/>
          <w:color w:val="auto"/>
          <w:sz w:val="48"/>
        </w:rPr>
      </w:pPr>
    </w:p>
    <w:p w14:paraId="50C6AB49" w14:textId="77777777" w:rsidR="005E1CF2" w:rsidRDefault="00527869">
      <w:pPr>
        <w:overflowPunct/>
        <w:ind w:right="-957"/>
        <w:textAlignment w:val="auto"/>
        <w:rPr>
          <w:rFonts w:ascii="Times New Roman" w:hAnsi="Times New Roman" w:cs="Times New Roman"/>
          <w:b/>
          <w:color w:val="auto"/>
          <w:sz w:val="40"/>
        </w:rPr>
      </w:pPr>
      <w:r>
        <w:rPr>
          <w:rFonts w:ascii="Times New Roman" w:hAnsi="Times New Roman" w:cs="Times New Roman"/>
          <w:b/>
          <w:color w:val="auto"/>
          <w:sz w:val="40"/>
        </w:rPr>
        <w:t>WALES INSTITUTE for WORK-BASED LEARNING</w:t>
      </w:r>
    </w:p>
    <w:p w14:paraId="70A5EB87" w14:textId="77777777" w:rsidR="005E1CF2" w:rsidRDefault="00527869">
      <w:pPr>
        <w:overflowPunct/>
        <w:ind w:right="-957"/>
        <w:textAlignment w:val="auto"/>
        <w:rPr>
          <w:rFonts w:ascii="Times New Roman" w:hAnsi="Times New Roman" w:cs="Times New Roman"/>
          <w:b/>
          <w:color w:val="auto"/>
          <w:sz w:val="48"/>
        </w:rPr>
      </w:pPr>
      <w:r>
        <w:rPr>
          <w:rFonts w:ascii="Times New Roman" w:hAnsi="Times New Roman" w:cs="Times New Roman"/>
          <w:b/>
          <w:color w:val="auto"/>
          <w:sz w:val="48"/>
        </w:rPr>
        <w:t>2017-2018</w:t>
      </w:r>
      <w:r>
        <w:br w:type="page"/>
      </w:r>
    </w:p>
    <w:p w14:paraId="28499C58" w14:textId="77777777" w:rsidR="005E1CF2" w:rsidRDefault="00527869">
      <w:pPr>
        <w:rPr>
          <w:b/>
          <w:color w:val="auto"/>
          <w:sz w:val="24"/>
          <w:szCs w:val="24"/>
        </w:rPr>
      </w:pPr>
      <w:r>
        <w:rPr>
          <w:b/>
          <w:color w:val="auto"/>
          <w:sz w:val="24"/>
          <w:szCs w:val="24"/>
        </w:rPr>
        <w:lastRenderedPageBreak/>
        <w:t>Portfolio Guidance</w:t>
      </w:r>
    </w:p>
    <w:p w14:paraId="2AFFB104" w14:textId="77777777" w:rsidR="005E1CF2" w:rsidRDefault="005E1CF2">
      <w:pPr>
        <w:rPr>
          <w:color w:val="auto"/>
          <w:sz w:val="24"/>
          <w:szCs w:val="24"/>
        </w:rPr>
      </w:pPr>
    </w:p>
    <w:p w14:paraId="2E36A026" w14:textId="77777777" w:rsidR="005E1CF2" w:rsidRDefault="00527869">
      <w:pPr>
        <w:jc w:val="both"/>
        <w:rPr>
          <w:color w:val="auto"/>
          <w:sz w:val="24"/>
          <w:szCs w:val="24"/>
        </w:rPr>
      </w:pPr>
      <w:r>
        <w:rPr>
          <w:color w:val="auto"/>
          <w:sz w:val="24"/>
          <w:szCs w:val="24"/>
        </w:rPr>
        <w:t>Please read these notes carefully. They provide essential information. The documents you will use in developing your portfolio are on the following pages.</w:t>
      </w:r>
    </w:p>
    <w:p w14:paraId="00AAA667" w14:textId="77777777" w:rsidR="005E1CF2" w:rsidRDefault="005E1CF2">
      <w:pPr>
        <w:rPr>
          <w:color w:val="auto"/>
          <w:sz w:val="24"/>
          <w:szCs w:val="24"/>
        </w:rPr>
      </w:pPr>
    </w:p>
    <w:p w14:paraId="2DBE73AB" w14:textId="77777777" w:rsidR="005E1CF2" w:rsidRDefault="00527869">
      <w:pPr>
        <w:jc w:val="both"/>
        <w:rPr>
          <w:color w:val="auto"/>
          <w:sz w:val="24"/>
          <w:szCs w:val="24"/>
        </w:rPr>
      </w:pPr>
      <w:r>
        <w:rPr>
          <w:b/>
          <w:color w:val="auto"/>
          <w:sz w:val="24"/>
          <w:szCs w:val="24"/>
        </w:rPr>
        <w:t>What is the portfolio for?</w:t>
      </w:r>
    </w:p>
    <w:p w14:paraId="7E682E13" w14:textId="77777777" w:rsidR="005E1CF2" w:rsidRDefault="005E1CF2">
      <w:pPr>
        <w:jc w:val="both"/>
        <w:rPr>
          <w:b/>
          <w:color w:val="auto"/>
          <w:sz w:val="24"/>
          <w:szCs w:val="24"/>
        </w:rPr>
      </w:pPr>
    </w:p>
    <w:p w14:paraId="7DBC9B21" w14:textId="77777777" w:rsidR="005E1CF2" w:rsidRDefault="00527869">
      <w:pPr>
        <w:jc w:val="both"/>
        <w:rPr>
          <w:color w:val="auto"/>
          <w:sz w:val="24"/>
          <w:szCs w:val="24"/>
        </w:rPr>
      </w:pPr>
      <w:r>
        <w:rPr>
          <w:color w:val="auto"/>
          <w:sz w:val="24"/>
          <w:szCs w:val="24"/>
        </w:rPr>
        <w:t>The purpose of this portfolio is to enable learners to demonstrate and provide evidence of how they meet the learning outcomes set by the Social Care Wales, for the Consolidation programme, including:</w:t>
      </w:r>
    </w:p>
    <w:p w14:paraId="47982BC3" w14:textId="77777777" w:rsidR="005E1CF2" w:rsidRDefault="005E1CF2">
      <w:pPr>
        <w:jc w:val="both"/>
        <w:rPr>
          <w:color w:val="auto"/>
          <w:sz w:val="24"/>
          <w:szCs w:val="24"/>
        </w:rPr>
      </w:pPr>
    </w:p>
    <w:p w14:paraId="33D3AB89" w14:textId="77777777" w:rsidR="005E1CF2" w:rsidRDefault="00527869">
      <w:pPr>
        <w:numPr>
          <w:ilvl w:val="0"/>
          <w:numId w:val="2"/>
        </w:numPr>
        <w:jc w:val="both"/>
        <w:rPr>
          <w:color w:val="auto"/>
          <w:sz w:val="24"/>
          <w:szCs w:val="24"/>
        </w:rPr>
      </w:pPr>
      <w:r>
        <w:rPr>
          <w:color w:val="auto"/>
          <w:sz w:val="24"/>
          <w:szCs w:val="24"/>
        </w:rPr>
        <w:t>Applying analysis in assessment to inform intervention;</w:t>
      </w:r>
    </w:p>
    <w:p w14:paraId="5A687C7C" w14:textId="77777777" w:rsidR="005E1CF2" w:rsidRDefault="00527869">
      <w:pPr>
        <w:numPr>
          <w:ilvl w:val="0"/>
          <w:numId w:val="2"/>
        </w:numPr>
        <w:jc w:val="both"/>
        <w:rPr>
          <w:color w:val="auto"/>
          <w:sz w:val="24"/>
          <w:szCs w:val="24"/>
        </w:rPr>
      </w:pPr>
      <w:r>
        <w:rPr>
          <w:color w:val="auto"/>
          <w:sz w:val="24"/>
          <w:szCs w:val="24"/>
        </w:rPr>
        <w:t>Intervention and application of professional judgement in increasingly complex situations;</w:t>
      </w:r>
    </w:p>
    <w:p w14:paraId="757C9974" w14:textId="77777777" w:rsidR="005E1CF2" w:rsidRDefault="00527869">
      <w:pPr>
        <w:numPr>
          <w:ilvl w:val="0"/>
          <w:numId w:val="2"/>
        </w:numPr>
        <w:jc w:val="both"/>
        <w:rPr>
          <w:color w:val="auto"/>
          <w:sz w:val="24"/>
          <w:szCs w:val="24"/>
        </w:rPr>
      </w:pPr>
      <w:r>
        <w:rPr>
          <w:color w:val="auto"/>
          <w:sz w:val="24"/>
          <w:szCs w:val="24"/>
        </w:rPr>
        <w:t>Working collaboratively with service users, carers and other professionals.</w:t>
      </w:r>
    </w:p>
    <w:p w14:paraId="4817F35F" w14:textId="77777777" w:rsidR="005E1CF2" w:rsidRDefault="005E1CF2">
      <w:pPr>
        <w:ind w:left="502"/>
        <w:jc w:val="both"/>
        <w:rPr>
          <w:color w:val="FF0000"/>
          <w:sz w:val="24"/>
          <w:szCs w:val="24"/>
        </w:rPr>
      </w:pPr>
    </w:p>
    <w:p w14:paraId="59E063A5" w14:textId="77777777" w:rsidR="005E1CF2" w:rsidRDefault="00527869">
      <w:pPr>
        <w:jc w:val="both"/>
        <w:rPr>
          <w:color w:val="auto"/>
          <w:sz w:val="24"/>
          <w:szCs w:val="24"/>
        </w:rPr>
      </w:pPr>
      <w:r>
        <w:rPr>
          <w:b/>
          <w:color w:val="auto"/>
          <w:sz w:val="24"/>
          <w:szCs w:val="24"/>
        </w:rPr>
        <w:t>Learner and employer learning agreement</w:t>
      </w:r>
    </w:p>
    <w:p w14:paraId="105B8C82" w14:textId="77777777" w:rsidR="005E1CF2" w:rsidRDefault="005E1CF2">
      <w:pPr>
        <w:jc w:val="both"/>
        <w:rPr>
          <w:color w:val="auto"/>
          <w:sz w:val="24"/>
          <w:szCs w:val="24"/>
        </w:rPr>
      </w:pPr>
    </w:p>
    <w:p w14:paraId="232A095B" w14:textId="77777777" w:rsidR="005E1CF2" w:rsidRDefault="00527869">
      <w:pPr>
        <w:jc w:val="both"/>
        <w:rPr>
          <w:color w:val="auto"/>
          <w:sz w:val="24"/>
          <w:szCs w:val="24"/>
        </w:rPr>
      </w:pPr>
      <w:r>
        <w:rPr>
          <w:color w:val="auto"/>
          <w:sz w:val="24"/>
          <w:szCs w:val="24"/>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14:paraId="1EB5AF65" w14:textId="77777777" w:rsidR="005E1CF2" w:rsidRDefault="005E1CF2">
      <w:pPr>
        <w:jc w:val="both"/>
        <w:rPr>
          <w:color w:val="FF0000"/>
          <w:sz w:val="24"/>
          <w:szCs w:val="24"/>
        </w:rPr>
      </w:pPr>
    </w:p>
    <w:p w14:paraId="3B16662C" w14:textId="77777777" w:rsidR="005E1CF2" w:rsidRDefault="00527869">
      <w:pPr>
        <w:jc w:val="both"/>
        <w:rPr>
          <w:color w:val="auto"/>
          <w:sz w:val="24"/>
          <w:szCs w:val="24"/>
        </w:rPr>
      </w:pPr>
      <w:r>
        <w:rPr>
          <w:b/>
          <w:color w:val="auto"/>
          <w:sz w:val="24"/>
          <w:szCs w:val="24"/>
        </w:rPr>
        <w:t>How should the Portfolio be presented?</w:t>
      </w:r>
    </w:p>
    <w:p w14:paraId="655A6D77" w14:textId="77777777" w:rsidR="005E1CF2" w:rsidRDefault="005E1CF2">
      <w:pPr>
        <w:jc w:val="both"/>
        <w:rPr>
          <w:color w:val="auto"/>
          <w:sz w:val="24"/>
          <w:szCs w:val="24"/>
        </w:rPr>
      </w:pPr>
    </w:p>
    <w:p w14:paraId="59265302" w14:textId="77777777" w:rsidR="005E1CF2" w:rsidRDefault="00527869">
      <w:pPr>
        <w:overflowPunct/>
        <w:jc w:val="both"/>
        <w:textAlignment w:val="auto"/>
        <w:rPr>
          <w:color w:val="auto"/>
          <w:sz w:val="24"/>
          <w:szCs w:val="24"/>
        </w:rPr>
      </w:pPr>
      <w:r>
        <w:rPr>
          <w:color w:val="auto"/>
          <w:sz w:val="24"/>
          <w:szCs w:val="24"/>
        </w:rPr>
        <w:t xml:space="preserve">The material you write to include in the portfolio must be typed. Information about this can be found in the Programme Handbook. The whole portfolio must be submitted electronically. Portfolios must be complete at the point of submission. </w:t>
      </w:r>
    </w:p>
    <w:p w14:paraId="2E4B5955" w14:textId="77777777" w:rsidR="005E1CF2" w:rsidRDefault="005E1CF2">
      <w:pPr>
        <w:jc w:val="both"/>
        <w:rPr>
          <w:i/>
          <w:color w:val="FF0000"/>
          <w:sz w:val="24"/>
          <w:szCs w:val="24"/>
        </w:rPr>
      </w:pPr>
    </w:p>
    <w:p w14:paraId="1BAED10C" w14:textId="77777777" w:rsidR="005E1CF2" w:rsidRDefault="00527869">
      <w:pPr>
        <w:jc w:val="both"/>
        <w:rPr>
          <w:i/>
          <w:color w:val="auto"/>
          <w:sz w:val="24"/>
          <w:szCs w:val="24"/>
        </w:rPr>
      </w:pPr>
      <w:r>
        <w:rPr>
          <w:b/>
          <w:color w:val="auto"/>
          <w:sz w:val="24"/>
          <w:szCs w:val="24"/>
        </w:rPr>
        <w:t>How is the Portfolio assessed?</w:t>
      </w:r>
    </w:p>
    <w:p w14:paraId="1C96718F" w14:textId="77777777" w:rsidR="005E1CF2" w:rsidRDefault="005E1CF2">
      <w:pPr>
        <w:jc w:val="both"/>
        <w:rPr>
          <w:b/>
          <w:color w:val="auto"/>
          <w:sz w:val="24"/>
          <w:szCs w:val="24"/>
        </w:rPr>
      </w:pPr>
    </w:p>
    <w:p w14:paraId="528F3744" w14:textId="77777777" w:rsidR="005E1CF2" w:rsidRDefault="00527869">
      <w:pPr>
        <w:jc w:val="both"/>
        <w:rPr>
          <w:color w:val="auto"/>
          <w:sz w:val="24"/>
          <w:szCs w:val="24"/>
        </w:rPr>
      </w:pPr>
      <w:r>
        <w:rPr>
          <w:color w:val="auto"/>
          <w:sz w:val="24"/>
          <w:szCs w:val="24"/>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14:paraId="5B480E02" w14:textId="77777777" w:rsidR="005E1CF2" w:rsidRDefault="005E1CF2">
      <w:pPr>
        <w:jc w:val="both"/>
        <w:rPr>
          <w:color w:val="auto"/>
          <w:sz w:val="24"/>
          <w:szCs w:val="24"/>
        </w:rPr>
      </w:pPr>
    </w:p>
    <w:p w14:paraId="764E488D" w14:textId="77777777" w:rsidR="005E1CF2" w:rsidRDefault="00527869">
      <w:pPr>
        <w:jc w:val="both"/>
        <w:rPr>
          <w:color w:val="auto"/>
          <w:sz w:val="24"/>
          <w:szCs w:val="24"/>
        </w:rPr>
      </w:pPr>
      <w:r>
        <w:rPr>
          <w:color w:val="auto"/>
          <w:sz w:val="24"/>
          <w:szCs w:val="24"/>
        </w:rPr>
        <w:t>Dates of portfolio submission will normally be made available at induction, at consolidation workshop meetings and posted on Moodle.</w:t>
      </w:r>
    </w:p>
    <w:p w14:paraId="344243A8" w14:textId="77777777" w:rsidR="005E1CF2" w:rsidRDefault="00527869">
      <w:pPr>
        <w:jc w:val="both"/>
        <w:rPr>
          <w:color w:val="FF0000"/>
          <w:sz w:val="24"/>
          <w:szCs w:val="24"/>
        </w:rPr>
      </w:pPr>
      <w:r>
        <w:br w:type="page"/>
      </w:r>
    </w:p>
    <w:p w14:paraId="6D2A5660" w14:textId="77777777" w:rsidR="005E1CF2" w:rsidRDefault="00527869">
      <w:pPr>
        <w:jc w:val="both"/>
        <w:rPr>
          <w:color w:val="auto"/>
          <w:sz w:val="24"/>
          <w:szCs w:val="24"/>
        </w:rPr>
      </w:pPr>
      <w:r>
        <w:rPr>
          <w:b/>
          <w:color w:val="auto"/>
          <w:sz w:val="24"/>
          <w:szCs w:val="24"/>
        </w:rPr>
        <w:lastRenderedPageBreak/>
        <w:t>Confidentiality</w:t>
      </w:r>
    </w:p>
    <w:p w14:paraId="0C40929F" w14:textId="77777777" w:rsidR="005E1CF2" w:rsidRDefault="005E1CF2">
      <w:pPr>
        <w:jc w:val="both"/>
        <w:rPr>
          <w:b/>
          <w:color w:val="auto"/>
          <w:sz w:val="24"/>
          <w:szCs w:val="24"/>
        </w:rPr>
      </w:pPr>
    </w:p>
    <w:p w14:paraId="2445870D" w14:textId="77777777" w:rsidR="005E1CF2" w:rsidRDefault="00527869">
      <w:pPr>
        <w:jc w:val="both"/>
        <w:rPr>
          <w:color w:val="auto"/>
          <w:sz w:val="24"/>
          <w:szCs w:val="24"/>
        </w:rPr>
      </w:pPr>
      <w:r>
        <w:rPr>
          <w:color w:val="auto"/>
          <w:sz w:val="24"/>
          <w:szCs w:val="24"/>
        </w:rPr>
        <w:t>It is important that no individual can be identified either directly or indirectly from the information in the portfolio. You must:</w:t>
      </w:r>
    </w:p>
    <w:p w14:paraId="1A5AB46C" w14:textId="77777777" w:rsidR="005E1CF2" w:rsidRDefault="005E1CF2">
      <w:pPr>
        <w:jc w:val="both"/>
        <w:rPr>
          <w:color w:val="auto"/>
          <w:sz w:val="24"/>
          <w:szCs w:val="24"/>
        </w:rPr>
      </w:pPr>
    </w:p>
    <w:p w14:paraId="24C85DA4" w14:textId="77777777" w:rsidR="005E1CF2" w:rsidRDefault="00527869">
      <w:pPr>
        <w:numPr>
          <w:ilvl w:val="0"/>
          <w:numId w:val="1"/>
        </w:numPr>
        <w:jc w:val="both"/>
        <w:rPr>
          <w:color w:val="auto"/>
          <w:sz w:val="24"/>
          <w:szCs w:val="24"/>
        </w:rPr>
      </w:pPr>
      <w:r>
        <w:rPr>
          <w:color w:val="auto"/>
          <w:sz w:val="24"/>
          <w:szCs w:val="24"/>
        </w:rPr>
        <w:t>adhere to guidance in the Programme Handbook about confidentiality;</w:t>
      </w:r>
    </w:p>
    <w:p w14:paraId="35BD1E37" w14:textId="77777777" w:rsidR="005E1CF2" w:rsidRDefault="00527869">
      <w:pPr>
        <w:numPr>
          <w:ilvl w:val="0"/>
          <w:numId w:val="6"/>
        </w:numPr>
        <w:jc w:val="both"/>
        <w:rPr>
          <w:color w:val="auto"/>
          <w:sz w:val="24"/>
          <w:szCs w:val="24"/>
        </w:rPr>
      </w:pPr>
      <w:r>
        <w:rPr>
          <w:color w:val="auto"/>
          <w:sz w:val="24"/>
          <w:szCs w:val="24"/>
        </w:rPr>
        <w:t>not identify your Local Authority/employer by name or by associating any geographical, physical or other feature which might enable it to be identified. This includes reference in the bibliography to policies e.g. please use ‘xxx authority policy’;</w:t>
      </w:r>
    </w:p>
    <w:p w14:paraId="333D0251" w14:textId="77777777" w:rsidR="005E1CF2" w:rsidRDefault="00527869">
      <w:pPr>
        <w:numPr>
          <w:ilvl w:val="0"/>
          <w:numId w:val="6"/>
        </w:numPr>
        <w:jc w:val="both"/>
        <w:rPr>
          <w:color w:val="auto"/>
          <w:sz w:val="24"/>
          <w:szCs w:val="24"/>
        </w:rPr>
      </w:pPr>
      <w:r>
        <w:rPr>
          <w:color w:val="auto"/>
          <w:sz w:val="24"/>
          <w:szCs w:val="24"/>
        </w:rPr>
        <w:t>not identify</w:t>
      </w:r>
      <w:r>
        <w:rPr>
          <w:b/>
          <w:color w:val="auto"/>
          <w:sz w:val="24"/>
          <w:szCs w:val="24"/>
        </w:rPr>
        <w:t xml:space="preserve"> </w:t>
      </w:r>
      <w:r>
        <w:rPr>
          <w:color w:val="auto"/>
          <w:sz w:val="24"/>
          <w:szCs w:val="24"/>
        </w:rPr>
        <w:t xml:space="preserve">any individual using services, their family or carers by name. Instead you must use numbers e.g. 1, 2, 3 etc. and </w:t>
      </w:r>
      <w:r>
        <w:rPr>
          <w:b/>
          <w:color w:val="auto"/>
          <w:sz w:val="24"/>
          <w:szCs w:val="24"/>
        </w:rPr>
        <w:t>not</w:t>
      </w:r>
      <w:r>
        <w:rPr>
          <w:color w:val="auto"/>
          <w:sz w:val="24"/>
          <w:szCs w:val="24"/>
        </w:rPr>
        <w:t xml:space="preserve"> letters;</w:t>
      </w:r>
    </w:p>
    <w:p w14:paraId="468EAB34" w14:textId="77777777" w:rsidR="005E1CF2" w:rsidRDefault="00527869">
      <w:pPr>
        <w:numPr>
          <w:ilvl w:val="0"/>
          <w:numId w:val="6"/>
        </w:numPr>
        <w:jc w:val="both"/>
        <w:rPr>
          <w:color w:val="auto"/>
          <w:sz w:val="24"/>
          <w:szCs w:val="24"/>
        </w:rPr>
      </w:pPr>
      <w:r>
        <w:rPr>
          <w:color w:val="auto"/>
          <w:sz w:val="24"/>
          <w:szCs w:val="24"/>
        </w:rPr>
        <w:t>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14:paraId="6A4AB232" w14:textId="77777777" w:rsidR="005E1CF2" w:rsidRDefault="00527869">
      <w:pPr>
        <w:numPr>
          <w:ilvl w:val="0"/>
          <w:numId w:val="5"/>
        </w:numPr>
        <w:jc w:val="both"/>
        <w:rPr>
          <w:color w:val="auto"/>
          <w:sz w:val="24"/>
          <w:szCs w:val="24"/>
        </w:rPr>
      </w:pPr>
      <w:r>
        <w:rPr>
          <w:color w:val="auto"/>
          <w:sz w:val="24"/>
          <w:szCs w:val="24"/>
        </w:rPr>
        <w:t>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14:paraId="4EA30CDE" w14:textId="77777777" w:rsidR="005E1CF2" w:rsidRDefault="005E1CF2">
      <w:pPr>
        <w:jc w:val="both"/>
        <w:rPr>
          <w:color w:val="auto"/>
          <w:sz w:val="24"/>
          <w:szCs w:val="24"/>
        </w:rPr>
      </w:pPr>
    </w:p>
    <w:p w14:paraId="60317F48" w14:textId="77777777" w:rsidR="005E1CF2" w:rsidRDefault="00527869">
      <w:pPr>
        <w:jc w:val="both"/>
        <w:rPr>
          <w:b/>
          <w:i/>
          <w:color w:val="FF0000"/>
          <w:sz w:val="24"/>
          <w:szCs w:val="24"/>
        </w:rPr>
      </w:pPr>
      <w:r>
        <w:rPr>
          <w:b/>
          <w:i/>
          <w:color w:val="FF0000"/>
          <w:sz w:val="24"/>
          <w:szCs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14:paraId="65ECD6CE" w14:textId="77777777" w:rsidR="005E1CF2" w:rsidRDefault="005E1CF2">
      <w:pPr>
        <w:ind w:left="360"/>
        <w:jc w:val="both"/>
        <w:rPr>
          <w:b/>
          <w:color w:val="auto"/>
          <w:sz w:val="24"/>
          <w:szCs w:val="24"/>
        </w:rPr>
      </w:pPr>
    </w:p>
    <w:p w14:paraId="49F97B05" w14:textId="77777777" w:rsidR="005E1CF2" w:rsidRDefault="005E1CF2">
      <w:pPr>
        <w:ind w:left="360"/>
        <w:jc w:val="both"/>
        <w:rPr>
          <w:b/>
          <w:color w:val="auto"/>
          <w:sz w:val="24"/>
          <w:szCs w:val="24"/>
        </w:rPr>
      </w:pPr>
    </w:p>
    <w:p w14:paraId="02F15506" w14:textId="77777777" w:rsidR="005E1CF2" w:rsidRDefault="00527869">
      <w:pPr>
        <w:jc w:val="both"/>
        <w:rPr>
          <w:b/>
          <w:color w:val="auto"/>
          <w:sz w:val="24"/>
          <w:szCs w:val="24"/>
        </w:rPr>
      </w:pPr>
      <w:r>
        <w:rPr>
          <w:b/>
          <w:color w:val="auto"/>
          <w:sz w:val="24"/>
          <w:szCs w:val="24"/>
        </w:rPr>
        <w:t>Dyslexia and other special circumstances</w:t>
      </w:r>
    </w:p>
    <w:p w14:paraId="7F57715C" w14:textId="77777777" w:rsidR="005E1CF2" w:rsidRDefault="005E1CF2">
      <w:pPr>
        <w:jc w:val="both"/>
        <w:rPr>
          <w:b/>
          <w:color w:val="FF0000"/>
          <w:sz w:val="24"/>
          <w:szCs w:val="24"/>
          <w:u w:val="single"/>
        </w:rPr>
      </w:pPr>
    </w:p>
    <w:p w14:paraId="58A4E0BE" w14:textId="77777777" w:rsidR="005E1CF2" w:rsidRDefault="00527869">
      <w:pPr>
        <w:jc w:val="both"/>
        <w:rPr>
          <w:color w:val="FF0000"/>
          <w:sz w:val="24"/>
          <w:szCs w:val="24"/>
        </w:rPr>
      </w:pPr>
      <w:r>
        <w:rPr>
          <w:color w:val="auto"/>
          <w:sz w:val="24"/>
          <w:szCs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Pr>
          <w:b/>
          <w:i/>
          <w:color w:val="auto"/>
          <w:sz w:val="24"/>
          <w:szCs w:val="24"/>
        </w:rPr>
        <w:t>it is the learner’s individual responsibility to contact them</w:t>
      </w:r>
      <w:r>
        <w:rPr>
          <w:color w:val="FF0000"/>
          <w:sz w:val="24"/>
          <w:szCs w:val="24"/>
        </w:rPr>
        <w:t xml:space="preserve">. </w:t>
      </w:r>
    </w:p>
    <w:p w14:paraId="484EAF6A" w14:textId="77777777" w:rsidR="005E1CF2" w:rsidRDefault="005E1CF2">
      <w:pPr>
        <w:jc w:val="both"/>
        <w:rPr>
          <w:b/>
          <w:color w:val="FF0000"/>
          <w:sz w:val="24"/>
          <w:szCs w:val="24"/>
        </w:rPr>
      </w:pPr>
    </w:p>
    <w:p w14:paraId="0DAC5FE9" w14:textId="77777777" w:rsidR="005E1CF2" w:rsidRDefault="00527869">
      <w:pPr>
        <w:jc w:val="both"/>
        <w:rPr>
          <w:b/>
          <w:color w:val="FF0000"/>
          <w:sz w:val="24"/>
          <w:szCs w:val="24"/>
        </w:rPr>
      </w:pPr>
      <w:r>
        <w:br w:type="page"/>
      </w:r>
    </w:p>
    <w:p w14:paraId="28E81E6D" w14:textId="77777777" w:rsidR="005E1CF2" w:rsidRDefault="00527869">
      <w:pPr>
        <w:jc w:val="center"/>
        <w:rPr>
          <w:b/>
          <w:color w:val="auto"/>
          <w:sz w:val="24"/>
          <w:szCs w:val="24"/>
        </w:rPr>
      </w:pPr>
      <w:r>
        <w:rPr>
          <w:b/>
          <w:color w:val="auto"/>
          <w:sz w:val="24"/>
          <w:szCs w:val="24"/>
        </w:rPr>
        <w:lastRenderedPageBreak/>
        <w:t>Section 1</w:t>
      </w:r>
    </w:p>
    <w:p w14:paraId="6BE3F896" w14:textId="77777777" w:rsidR="005E1CF2" w:rsidRDefault="005E1CF2">
      <w:pPr>
        <w:jc w:val="both"/>
        <w:rPr>
          <w:color w:val="auto"/>
          <w:sz w:val="24"/>
          <w:szCs w:val="24"/>
          <w:u w:val="single"/>
        </w:rPr>
      </w:pPr>
    </w:p>
    <w:p w14:paraId="23C48D27" w14:textId="77777777" w:rsidR="005E1CF2" w:rsidRDefault="005E1CF2">
      <w:pPr>
        <w:pBdr>
          <w:top w:val="single" w:sz="6" w:space="1" w:color="000000"/>
          <w:left w:val="single" w:sz="6" w:space="0" w:color="000000"/>
          <w:bottom w:val="single" w:sz="6" w:space="1" w:color="000000"/>
          <w:right w:val="single" w:sz="6" w:space="1" w:color="000000"/>
        </w:pBdr>
        <w:jc w:val="both"/>
        <w:rPr>
          <w:b/>
          <w:color w:val="auto"/>
          <w:sz w:val="24"/>
          <w:szCs w:val="24"/>
        </w:rPr>
      </w:pPr>
    </w:p>
    <w:p w14:paraId="4667D1FB" w14:textId="77777777" w:rsidR="005E1CF2" w:rsidRDefault="00527869">
      <w:pPr>
        <w:pBdr>
          <w:top w:val="single" w:sz="6" w:space="1" w:color="000000"/>
          <w:left w:val="single" w:sz="6" w:space="0" w:color="000000"/>
          <w:bottom w:val="single" w:sz="6" w:space="1" w:color="000000"/>
          <w:right w:val="single" w:sz="6" w:space="1" w:color="000000"/>
        </w:pBdr>
        <w:jc w:val="both"/>
        <w:rPr>
          <w:b/>
          <w:color w:val="auto"/>
          <w:sz w:val="24"/>
          <w:szCs w:val="24"/>
        </w:rPr>
      </w:pPr>
      <w:r>
        <w:rPr>
          <w:b/>
          <w:color w:val="auto"/>
          <w:sz w:val="24"/>
          <w:szCs w:val="24"/>
        </w:rPr>
        <w:t xml:space="preserve">Graduate Certificate in Consolidation of Social Work Practice – Learner Portfolio </w:t>
      </w:r>
    </w:p>
    <w:p w14:paraId="17EF6899" w14:textId="77777777" w:rsidR="005E1CF2" w:rsidRDefault="005E1CF2">
      <w:pPr>
        <w:pBdr>
          <w:top w:val="single" w:sz="6" w:space="1" w:color="000000"/>
          <w:left w:val="single" w:sz="6" w:space="0" w:color="000000"/>
          <w:bottom w:val="single" w:sz="6" w:space="1" w:color="000000"/>
          <w:right w:val="single" w:sz="6" w:space="1" w:color="000000"/>
        </w:pBdr>
        <w:jc w:val="both"/>
        <w:rPr>
          <w:b/>
          <w:color w:val="auto"/>
          <w:sz w:val="24"/>
          <w:szCs w:val="24"/>
        </w:rPr>
      </w:pPr>
    </w:p>
    <w:p w14:paraId="568C63F6" w14:textId="77777777" w:rsidR="005E1CF2" w:rsidRDefault="005E1CF2">
      <w:pPr>
        <w:jc w:val="both"/>
        <w:rPr>
          <w:color w:val="auto"/>
          <w:sz w:val="24"/>
          <w:szCs w:val="24"/>
        </w:rPr>
      </w:pPr>
    </w:p>
    <w:p w14:paraId="62E3BEEA" w14:textId="77777777" w:rsidR="005E1CF2" w:rsidRDefault="00527869">
      <w:pPr>
        <w:jc w:val="both"/>
        <w:rPr>
          <w:i/>
          <w:color w:val="auto"/>
          <w:sz w:val="24"/>
          <w:szCs w:val="24"/>
        </w:rPr>
      </w:pPr>
      <w:r>
        <w:rPr>
          <w:i/>
          <w:color w:val="auto"/>
          <w:sz w:val="24"/>
          <w:szCs w:val="24"/>
        </w:rPr>
        <w:t xml:space="preserve">Guidance: </w:t>
      </w:r>
    </w:p>
    <w:p w14:paraId="561FFC16" w14:textId="77777777" w:rsidR="005E1CF2" w:rsidRDefault="005E1CF2">
      <w:pPr>
        <w:jc w:val="both"/>
        <w:rPr>
          <w:i/>
          <w:color w:val="auto"/>
          <w:sz w:val="24"/>
          <w:szCs w:val="24"/>
        </w:rPr>
      </w:pPr>
    </w:p>
    <w:p w14:paraId="2416B31B" w14:textId="77777777" w:rsidR="005E1CF2" w:rsidRDefault="00527869">
      <w:pPr>
        <w:numPr>
          <w:ilvl w:val="0"/>
          <w:numId w:val="4"/>
        </w:numPr>
        <w:jc w:val="both"/>
        <w:rPr>
          <w:i/>
          <w:color w:val="auto"/>
          <w:sz w:val="24"/>
          <w:szCs w:val="24"/>
        </w:rPr>
      </w:pPr>
      <w:r>
        <w:rPr>
          <w:i/>
          <w:color w:val="auto"/>
          <w:sz w:val="24"/>
          <w:szCs w:val="24"/>
        </w:rPr>
        <w:t>Your portfolio must contain items 1 – 9 below (in the order given);</w:t>
      </w:r>
    </w:p>
    <w:p w14:paraId="15E1E7DB" w14:textId="77777777" w:rsidR="005E1CF2" w:rsidRDefault="00527869">
      <w:pPr>
        <w:numPr>
          <w:ilvl w:val="0"/>
          <w:numId w:val="4"/>
        </w:numPr>
        <w:jc w:val="both"/>
        <w:rPr>
          <w:i/>
          <w:color w:val="auto"/>
          <w:sz w:val="24"/>
          <w:szCs w:val="24"/>
        </w:rPr>
      </w:pPr>
      <w:r>
        <w:rPr>
          <w:i/>
          <w:color w:val="auto"/>
          <w:sz w:val="24"/>
          <w:szCs w:val="24"/>
        </w:rPr>
        <w:t xml:space="preserve">You should use this pro-forma to insert your text within each section; </w:t>
      </w:r>
    </w:p>
    <w:p w14:paraId="16887642" w14:textId="77777777" w:rsidR="005E1CF2" w:rsidRDefault="00527869">
      <w:pPr>
        <w:numPr>
          <w:ilvl w:val="0"/>
          <w:numId w:val="4"/>
        </w:numPr>
        <w:jc w:val="both"/>
        <w:rPr>
          <w:i/>
          <w:color w:val="auto"/>
          <w:sz w:val="24"/>
          <w:szCs w:val="24"/>
        </w:rPr>
      </w:pPr>
      <w:r>
        <w:rPr>
          <w:i/>
          <w:color w:val="auto"/>
          <w:sz w:val="24"/>
          <w:szCs w:val="24"/>
        </w:rPr>
        <w:t xml:space="preserve">Please make sure the Signatures page at Section 8 is fully completed before submission  </w:t>
      </w:r>
    </w:p>
    <w:p w14:paraId="0C2D7036" w14:textId="77777777" w:rsidR="005E1CF2" w:rsidRDefault="005E1CF2">
      <w:pPr>
        <w:jc w:val="both"/>
        <w:rPr>
          <w:b/>
          <w:color w:val="auto"/>
          <w:sz w:val="24"/>
          <w:szCs w:val="24"/>
        </w:rPr>
      </w:pPr>
    </w:p>
    <w:p w14:paraId="46367DDD" w14:textId="77777777" w:rsidR="005E1CF2" w:rsidRDefault="00527869">
      <w:pPr>
        <w:jc w:val="both"/>
        <w:rPr>
          <w:b/>
          <w:color w:val="auto"/>
          <w:sz w:val="24"/>
          <w:szCs w:val="24"/>
        </w:rPr>
      </w:pPr>
      <w:r>
        <w:rPr>
          <w:b/>
          <w:color w:val="auto"/>
          <w:sz w:val="24"/>
          <w:szCs w:val="24"/>
        </w:rPr>
        <w:t xml:space="preserve">Contents </w:t>
      </w:r>
    </w:p>
    <w:p w14:paraId="3387749B" w14:textId="77777777" w:rsidR="005E1CF2" w:rsidRDefault="005E1CF2">
      <w:pPr>
        <w:jc w:val="both"/>
        <w:rPr>
          <w:b/>
          <w:color w:val="FF0000"/>
          <w:sz w:val="24"/>
          <w:szCs w:val="24"/>
        </w:rPr>
      </w:pPr>
    </w:p>
    <w:tbl>
      <w:tblPr>
        <w:tblW w:w="9448"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38"/>
        <w:gridCol w:w="7081"/>
        <w:gridCol w:w="1129"/>
      </w:tblGrid>
      <w:tr w:rsidR="005E1CF2" w14:paraId="16E6BD33" w14:textId="77777777">
        <w:tc>
          <w:tcPr>
            <w:tcW w:w="1238" w:type="dxa"/>
            <w:tcBorders>
              <w:top w:val="single" w:sz="4" w:space="0" w:color="000000"/>
              <w:left w:val="single" w:sz="4" w:space="0" w:color="000000"/>
              <w:bottom w:val="single" w:sz="4" w:space="0" w:color="000000"/>
              <w:right w:val="single" w:sz="4" w:space="0" w:color="000000"/>
            </w:tcBorders>
            <w:shd w:val="clear" w:color="auto" w:fill="auto"/>
          </w:tcPr>
          <w:p w14:paraId="6E9138AB" w14:textId="77777777" w:rsidR="005E1CF2" w:rsidRDefault="00527869">
            <w:pPr>
              <w:jc w:val="both"/>
              <w:rPr>
                <w:b/>
                <w:color w:val="auto"/>
                <w:sz w:val="24"/>
                <w:szCs w:val="24"/>
              </w:rPr>
            </w:pPr>
            <w:r>
              <w:rPr>
                <w:b/>
                <w:color w:val="auto"/>
                <w:sz w:val="24"/>
                <w:szCs w:val="24"/>
              </w:rPr>
              <w:t>Portfolio Section</w:t>
            </w:r>
          </w:p>
        </w:tc>
        <w:tc>
          <w:tcPr>
            <w:tcW w:w="7081" w:type="dxa"/>
            <w:tcBorders>
              <w:top w:val="single" w:sz="4" w:space="0" w:color="000000"/>
              <w:left w:val="single" w:sz="4" w:space="0" w:color="000000"/>
              <w:bottom w:val="single" w:sz="4" w:space="0" w:color="000000"/>
              <w:right w:val="single" w:sz="4" w:space="0" w:color="000000"/>
            </w:tcBorders>
            <w:shd w:val="clear" w:color="auto" w:fill="auto"/>
          </w:tcPr>
          <w:p w14:paraId="5437FA92" w14:textId="77777777" w:rsidR="005E1CF2" w:rsidRDefault="00527869">
            <w:pPr>
              <w:jc w:val="both"/>
              <w:rPr>
                <w:b/>
                <w:color w:val="auto"/>
                <w:sz w:val="24"/>
                <w:szCs w:val="24"/>
              </w:rPr>
            </w:pPr>
            <w:r>
              <w:rPr>
                <w:b/>
                <w:color w:val="auto"/>
                <w:sz w:val="24"/>
                <w:szCs w:val="24"/>
              </w:rPr>
              <w:t>Topic</w:t>
            </w:r>
          </w:p>
          <w:p w14:paraId="02949606" w14:textId="77777777" w:rsidR="005E1CF2" w:rsidRDefault="005E1CF2">
            <w:pPr>
              <w:jc w:val="both"/>
              <w:rPr>
                <w:b/>
                <w:color w:val="auto"/>
                <w:sz w:val="24"/>
                <w:szCs w:val="24"/>
              </w:rPr>
            </w:pPr>
          </w:p>
        </w:tc>
        <w:tc>
          <w:tcPr>
            <w:tcW w:w="1129" w:type="dxa"/>
            <w:tcBorders>
              <w:top w:val="single" w:sz="4" w:space="0" w:color="000000"/>
              <w:left w:val="single" w:sz="4" w:space="0" w:color="000000"/>
              <w:bottom w:val="single" w:sz="4" w:space="0" w:color="000000"/>
              <w:right w:val="single" w:sz="4" w:space="0" w:color="000000"/>
            </w:tcBorders>
            <w:shd w:val="clear" w:color="auto" w:fill="auto"/>
          </w:tcPr>
          <w:p w14:paraId="194C15A3" w14:textId="77777777" w:rsidR="005E1CF2" w:rsidRDefault="00527869">
            <w:pPr>
              <w:jc w:val="both"/>
              <w:rPr>
                <w:b/>
                <w:color w:val="auto"/>
                <w:sz w:val="24"/>
                <w:szCs w:val="24"/>
              </w:rPr>
            </w:pPr>
            <w:r>
              <w:rPr>
                <w:b/>
                <w:color w:val="auto"/>
                <w:sz w:val="24"/>
                <w:szCs w:val="24"/>
              </w:rPr>
              <w:t>Task no.</w:t>
            </w:r>
          </w:p>
        </w:tc>
      </w:tr>
      <w:tr w:rsidR="005E1CF2" w14:paraId="38185B50" w14:textId="77777777">
        <w:tc>
          <w:tcPr>
            <w:tcW w:w="1238" w:type="dxa"/>
            <w:tcBorders>
              <w:top w:val="single" w:sz="4" w:space="0" w:color="000000"/>
              <w:left w:val="single" w:sz="4" w:space="0" w:color="000000"/>
              <w:bottom w:val="single" w:sz="4" w:space="0" w:color="000000"/>
              <w:right w:val="single" w:sz="4" w:space="0" w:color="000000"/>
            </w:tcBorders>
            <w:shd w:val="clear" w:color="auto" w:fill="auto"/>
          </w:tcPr>
          <w:p w14:paraId="2CF513BD" w14:textId="77777777" w:rsidR="005E1CF2" w:rsidRDefault="00527869">
            <w:pPr>
              <w:jc w:val="both"/>
              <w:rPr>
                <w:color w:val="auto"/>
                <w:sz w:val="24"/>
                <w:szCs w:val="24"/>
              </w:rPr>
            </w:pPr>
            <w:r>
              <w:rPr>
                <w:color w:val="auto"/>
                <w:sz w:val="24"/>
                <w:szCs w:val="24"/>
              </w:rPr>
              <w:t>1</w:t>
            </w:r>
          </w:p>
        </w:tc>
        <w:tc>
          <w:tcPr>
            <w:tcW w:w="7081" w:type="dxa"/>
            <w:tcBorders>
              <w:top w:val="single" w:sz="4" w:space="0" w:color="000000"/>
              <w:left w:val="single" w:sz="4" w:space="0" w:color="000000"/>
              <w:bottom w:val="single" w:sz="4" w:space="0" w:color="000000"/>
              <w:right w:val="single" w:sz="4" w:space="0" w:color="000000"/>
            </w:tcBorders>
            <w:shd w:val="clear" w:color="auto" w:fill="auto"/>
          </w:tcPr>
          <w:p w14:paraId="5102F4B4" w14:textId="77777777" w:rsidR="005E1CF2" w:rsidRDefault="00527869">
            <w:pPr>
              <w:spacing w:line="360" w:lineRule="auto"/>
              <w:jc w:val="both"/>
              <w:rPr>
                <w:color w:val="auto"/>
                <w:sz w:val="24"/>
                <w:szCs w:val="24"/>
              </w:rPr>
            </w:pPr>
            <w:r>
              <w:rPr>
                <w:color w:val="auto"/>
                <w:sz w:val="24"/>
                <w:szCs w:val="24"/>
              </w:rPr>
              <w:t>Contents page</w:t>
            </w:r>
          </w:p>
        </w:tc>
        <w:tc>
          <w:tcPr>
            <w:tcW w:w="1129" w:type="dxa"/>
            <w:tcBorders>
              <w:top w:val="single" w:sz="4" w:space="0" w:color="000000"/>
              <w:left w:val="single" w:sz="4" w:space="0" w:color="000000"/>
              <w:bottom w:val="single" w:sz="4" w:space="0" w:color="000000"/>
              <w:right w:val="single" w:sz="4" w:space="0" w:color="000000"/>
            </w:tcBorders>
            <w:shd w:val="clear" w:color="auto" w:fill="auto"/>
          </w:tcPr>
          <w:p w14:paraId="79727C52" w14:textId="77777777" w:rsidR="005E1CF2" w:rsidRDefault="005E1CF2">
            <w:pPr>
              <w:spacing w:line="360" w:lineRule="auto"/>
              <w:jc w:val="both"/>
              <w:rPr>
                <w:color w:val="auto"/>
                <w:sz w:val="24"/>
                <w:szCs w:val="24"/>
              </w:rPr>
            </w:pPr>
          </w:p>
        </w:tc>
      </w:tr>
      <w:tr w:rsidR="005E1CF2" w14:paraId="22C010AC" w14:textId="77777777">
        <w:tc>
          <w:tcPr>
            <w:tcW w:w="1238" w:type="dxa"/>
            <w:tcBorders>
              <w:top w:val="single" w:sz="4" w:space="0" w:color="000000"/>
              <w:left w:val="single" w:sz="4" w:space="0" w:color="000000"/>
              <w:bottom w:val="single" w:sz="4" w:space="0" w:color="000000"/>
              <w:right w:val="single" w:sz="4" w:space="0" w:color="000000"/>
            </w:tcBorders>
            <w:shd w:val="clear" w:color="auto" w:fill="auto"/>
          </w:tcPr>
          <w:p w14:paraId="1973D9EA" w14:textId="77777777" w:rsidR="005E1CF2" w:rsidRDefault="00527869">
            <w:pPr>
              <w:jc w:val="both"/>
              <w:rPr>
                <w:color w:val="auto"/>
                <w:sz w:val="24"/>
                <w:szCs w:val="24"/>
              </w:rPr>
            </w:pPr>
            <w:r>
              <w:rPr>
                <w:color w:val="auto"/>
                <w:sz w:val="24"/>
                <w:szCs w:val="24"/>
              </w:rPr>
              <w:t>2</w:t>
            </w:r>
          </w:p>
        </w:tc>
        <w:tc>
          <w:tcPr>
            <w:tcW w:w="7081" w:type="dxa"/>
            <w:tcBorders>
              <w:top w:val="single" w:sz="4" w:space="0" w:color="000000"/>
              <w:left w:val="single" w:sz="4" w:space="0" w:color="000000"/>
              <w:bottom w:val="single" w:sz="4" w:space="0" w:color="000000"/>
              <w:right w:val="single" w:sz="4" w:space="0" w:color="000000"/>
            </w:tcBorders>
            <w:shd w:val="clear" w:color="auto" w:fill="auto"/>
          </w:tcPr>
          <w:p w14:paraId="0C7BB549" w14:textId="77777777" w:rsidR="005E1CF2" w:rsidRDefault="00527869">
            <w:pPr>
              <w:spacing w:line="360" w:lineRule="auto"/>
              <w:jc w:val="both"/>
              <w:rPr>
                <w:color w:val="auto"/>
                <w:sz w:val="24"/>
                <w:szCs w:val="24"/>
              </w:rPr>
            </w:pPr>
            <w:r>
              <w:rPr>
                <w:color w:val="auto"/>
                <w:sz w:val="24"/>
                <w:szCs w:val="24"/>
              </w:rPr>
              <w:t>Developmental Review</w:t>
            </w:r>
          </w:p>
        </w:tc>
        <w:tc>
          <w:tcPr>
            <w:tcW w:w="1129" w:type="dxa"/>
            <w:tcBorders>
              <w:top w:val="single" w:sz="4" w:space="0" w:color="000000"/>
              <w:left w:val="single" w:sz="4" w:space="0" w:color="000000"/>
              <w:bottom w:val="single" w:sz="4" w:space="0" w:color="000000"/>
              <w:right w:val="single" w:sz="4" w:space="0" w:color="000000"/>
            </w:tcBorders>
            <w:shd w:val="clear" w:color="auto" w:fill="auto"/>
          </w:tcPr>
          <w:p w14:paraId="00E66BBE" w14:textId="77777777" w:rsidR="005E1CF2" w:rsidRDefault="00527869">
            <w:pPr>
              <w:spacing w:line="360" w:lineRule="auto"/>
              <w:jc w:val="both"/>
              <w:rPr>
                <w:color w:val="auto"/>
                <w:sz w:val="24"/>
                <w:szCs w:val="24"/>
              </w:rPr>
            </w:pPr>
            <w:r>
              <w:rPr>
                <w:color w:val="auto"/>
                <w:sz w:val="24"/>
                <w:szCs w:val="24"/>
              </w:rPr>
              <w:t>1</w:t>
            </w:r>
          </w:p>
        </w:tc>
      </w:tr>
      <w:tr w:rsidR="005E1CF2" w14:paraId="5C4F4CF0" w14:textId="77777777">
        <w:tc>
          <w:tcPr>
            <w:tcW w:w="1238" w:type="dxa"/>
            <w:tcBorders>
              <w:top w:val="single" w:sz="4" w:space="0" w:color="000000"/>
              <w:left w:val="single" w:sz="4" w:space="0" w:color="000000"/>
              <w:bottom w:val="single" w:sz="4" w:space="0" w:color="000000"/>
              <w:right w:val="single" w:sz="4" w:space="0" w:color="000000"/>
            </w:tcBorders>
            <w:shd w:val="clear" w:color="auto" w:fill="auto"/>
          </w:tcPr>
          <w:p w14:paraId="3D4C5640" w14:textId="77777777" w:rsidR="005E1CF2" w:rsidRDefault="00527869">
            <w:pPr>
              <w:jc w:val="both"/>
              <w:rPr>
                <w:color w:val="auto"/>
                <w:sz w:val="24"/>
                <w:szCs w:val="24"/>
              </w:rPr>
            </w:pPr>
            <w:r>
              <w:rPr>
                <w:color w:val="auto"/>
                <w:sz w:val="24"/>
                <w:szCs w:val="24"/>
              </w:rPr>
              <w:t>3</w:t>
            </w:r>
          </w:p>
        </w:tc>
        <w:tc>
          <w:tcPr>
            <w:tcW w:w="7081" w:type="dxa"/>
            <w:tcBorders>
              <w:top w:val="single" w:sz="4" w:space="0" w:color="000000"/>
              <w:left w:val="single" w:sz="4" w:space="0" w:color="000000"/>
              <w:bottom w:val="single" w:sz="4" w:space="0" w:color="000000"/>
              <w:right w:val="single" w:sz="4" w:space="0" w:color="000000"/>
            </w:tcBorders>
            <w:shd w:val="clear" w:color="auto" w:fill="auto"/>
          </w:tcPr>
          <w:p w14:paraId="3495AA55" w14:textId="77777777" w:rsidR="005E1CF2" w:rsidRDefault="00527869">
            <w:pPr>
              <w:spacing w:line="360" w:lineRule="auto"/>
              <w:jc w:val="both"/>
              <w:rPr>
                <w:color w:val="auto"/>
                <w:sz w:val="24"/>
                <w:szCs w:val="24"/>
              </w:rPr>
            </w:pPr>
            <w:r>
              <w:rPr>
                <w:color w:val="auto"/>
                <w:sz w:val="24"/>
                <w:szCs w:val="24"/>
              </w:rPr>
              <w:t>Observation and feedback</w:t>
            </w:r>
          </w:p>
        </w:tc>
        <w:tc>
          <w:tcPr>
            <w:tcW w:w="1129" w:type="dxa"/>
            <w:tcBorders>
              <w:top w:val="single" w:sz="4" w:space="0" w:color="000000"/>
              <w:left w:val="single" w:sz="4" w:space="0" w:color="000000"/>
              <w:bottom w:val="single" w:sz="4" w:space="0" w:color="000000"/>
              <w:right w:val="single" w:sz="4" w:space="0" w:color="000000"/>
            </w:tcBorders>
            <w:shd w:val="clear" w:color="auto" w:fill="auto"/>
          </w:tcPr>
          <w:p w14:paraId="6CB44F33" w14:textId="77777777" w:rsidR="005E1CF2" w:rsidRDefault="00527869">
            <w:pPr>
              <w:spacing w:line="360" w:lineRule="auto"/>
              <w:jc w:val="both"/>
              <w:rPr>
                <w:color w:val="auto"/>
                <w:sz w:val="24"/>
                <w:szCs w:val="24"/>
              </w:rPr>
            </w:pPr>
            <w:r>
              <w:rPr>
                <w:color w:val="auto"/>
                <w:sz w:val="24"/>
                <w:szCs w:val="24"/>
              </w:rPr>
              <w:t>2</w:t>
            </w:r>
          </w:p>
        </w:tc>
      </w:tr>
      <w:tr w:rsidR="005E1CF2" w14:paraId="0F1A5683" w14:textId="77777777">
        <w:tc>
          <w:tcPr>
            <w:tcW w:w="1238" w:type="dxa"/>
            <w:tcBorders>
              <w:top w:val="single" w:sz="4" w:space="0" w:color="000000"/>
              <w:left w:val="single" w:sz="4" w:space="0" w:color="000000"/>
              <w:bottom w:val="single" w:sz="4" w:space="0" w:color="000000"/>
              <w:right w:val="single" w:sz="4" w:space="0" w:color="000000"/>
            </w:tcBorders>
            <w:shd w:val="clear" w:color="auto" w:fill="auto"/>
          </w:tcPr>
          <w:p w14:paraId="6947854D" w14:textId="77777777" w:rsidR="005E1CF2" w:rsidRDefault="00527869">
            <w:pPr>
              <w:jc w:val="both"/>
              <w:rPr>
                <w:color w:val="auto"/>
                <w:sz w:val="24"/>
                <w:szCs w:val="24"/>
              </w:rPr>
            </w:pPr>
            <w:r>
              <w:rPr>
                <w:color w:val="auto"/>
                <w:sz w:val="24"/>
                <w:szCs w:val="24"/>
              </w:rPr>
              <w:t>4</w:t>
            </w:r>
          </w:p>
        </w:tc>
        <w:tc>
          <w:tcPr>
            <w:tcW w:w="7081" w:type="dxa"/>
            <w:tcBorders>
              <w:top w:val="single" w:sz="4" w:space="0" w:color="000000"/>
              <w:left w:val="single" w:sz="4" w:space="0" w:color="000000"/>
              <w:bottom w:val="single" w:sz="4" w:space="0" w:color="000000"/>
              <w:right w:val="single" w:sz="4" w:space="0" w:color="000000"/>
            </w:tcBorders>
            <w:shd w:val="clear" w:color="auto" w:fill="auto"/>
          </w:tcPr>
          <w:p w14:paraId="77D1CD4F" w14:textId="77777777" w:rsidR="005E1CF2" w:rsidRDefault="00527869">
            <w:pPr>
              <w:spacing w:line="360" w:lineRule="auto"/>
              <w:jc w:val="both"/>
              <w:rPr>
                <w:color w:val="auto"/>
                <w:sz w:val="24"/>
                <w:szCs w:val="24"/>
              </w:rPr>
            </w:pPr>
            <w:r>
              <w:rPr>
                <w:color w:val="auto"/>
                <w:sz w:val="24"/>
                <w:szCs w:val="24"/>
              </w:rPr>
              <w:t>Safeguarding and working in complex situations – Case Study</w:t>
            </w:r>
          </w:p>
        </w:tc>
        <w:tc>
          <w:tcPr>
            <w:tcW w:w="1129" w:type="dxa"/>
            <w:tcBorders>
              <w:top w:val="single" w:sz="4" w:space="0" w:color="000000"/>
              <w:left w:val="single" w:sz="4" w:space="0" w:color="000000"/>
              <w:bottom w:val="single" w:sz="4" w:space="0" w:color="000000"/>
              <w:right w:val="single" w:sz="4" w:space="0" w:color="000000"/>
            </w:tcBorders>
            <w:shd w:val="clear" w:color="auto" w:fill="auto"/>
          </w:tcPr>
          <w:p w14:paraId="46BE56F2" w14:textId="77777777" w:rsidR="005E1CF2" w:rsidRDefault="00527869">
            <w:pPr>
              <w:spacing w:line="360" w:lineRule="auto"/>
              <w:jc w:val="both"/>
              <w:rPr>
                <w:color w:val="auto"/>
                <w:sz w:val="24"/>
                <w:szCs w:val="24"/>
              </w:rPr>
            </w:pPr>
            <w:r>
              <w:rPr>
                <w:color w:val="auto"/>
                <w:sz w:val="24"/>
                <w:szCs w:val="24"/>
              </w:rPr>
              <w:t>3</w:t>
            </w:r>
          </w:p>
        </w:tc>
      </w:tr>
      <w:tr w:rsidR="005E1CF2" w14:paraId="306905E6" w14:textId="77777777">
        <w:tc>
          <w:tcPr>
            <w:tcW w:w="1238" w:type="dxa"/>
            <w:tcBorders>
              <w:top w:val="single" w:sz="4" w:space="0" w:color="000000"/>
              <w:left w:val="single" w:sz="4" w:space="0" w:color="000000"/>
              <w:bottom w:val="single" w:sz="4" w:space="0" w:color="000000"/>
              <w:right w:val="single" w:sz="4" w:space="0" w:color="000000"/>
            </w:tcBorders>
            <w:shd w:val="clear" w:color="auto" w:fill="auto"/>
          </w:tcPr>
          <w:p w14:paraId="007595D8" w14:textId="77777777" w:rsidR="005E1CF2" w:rsidRDefault="00527869">
            <w:pPr>
              <w:jc w:val="both"/>
              <w:rPr>
                <w:color w:val="auto"/>
                <w:sz w:val="24"/>
                <w:szCs w:val="24"/>
              </w:rPr>
            </w:pPr>
            <w:r>
              <w:rPr>
                <w:color w:val="auto"/>
                <w:sz w:val="24"/>
                <w:szCs w:val="24"/>
              </w:rPr>
              <w:t>5</w:t>
            </w:r>
          </w:p>
        </w:tc>
        <w:tc>
          <w:tcPr>
            <w:tcW w:w="7081" w:type="dxa"/>
            <w:tcBorders>
              <w:top w:val="single" w:sz="4" w:space="0" w:color="000000"/>
              <w:left w:val="single" w:sz="4" w:space="0" w:color="000000"/>
              <w:bottom w:val="single" w:sz="4" w:space="0" w:color="000000"/>
              <w:right w:val="single" w:sz="4" w:space="0" w:color="000000"/>
            </w:tcBorders>
            <w:shd w:val="clear" w:color="auto" w:fill="auto"/>
          </w:tcPr>
          <w:p w14:paraId="3A022010" w14:textId="77777777" w:rsidR="005E1CF2" w:rsidRDefault="00527869">
            <w:pPr>
              <w:spacing w:line="360" w:lineRule="auto"/>
              <w:jc w:val="both"/>
              <w:rPr>
                <w:color w:val="auto"/>
                <w:sz w:val="24"/>
                <w:szCs w:val="24"/>
              </w:rPr>
            </w:pPr>
            <w:r>
              <w:rPr>
                <w:color w:val="auto"/>
                <w:sz w:val="24"/>
                <w:szCs w:val="24"/>
              </w:rPr>
              <w:t>Safeguarding</w:t>
            </w:r>
          </w:p>
        </w:tc>
        <w:tc>
          <w:tcPr>
            <w:tcW w:w="1129" w:type="dxa"/>
            <w:tcBorders>
              <w:top w:val="single" w:sz="4" w:space="0" w:color="000000"/>
              <w:left w:val="single" w:sz="4" w:space="0" w:color="000000"/>
              <w:bottom w:val="single" w:sz="4" w:space="0" w:color="000000"/>
              <w:right w:val="single" w:sz="4" w:space="0" w:color="000000"/>
            </w:tcBorders>
            <w:shd w:val="clear" w:color="auto" w:fill="auto"/>
          </w:tcPr>
          <w:p w14:paraId="7E94E02C" w14:textId="77777777" w:rsidR="005E1CF2" w:rsidRDefault="00527869">
            <w:pPr>
              <w:spacing w:line="360" w:lineRule="auto"/>
              <w:jc w:val="both"/>
              <w:rPr>
                <w:color w:val="auto"/>
                <w:sz w:val="24"/>
                <w:szCs w:val="24"/>
              </w:rPr>
            </w:pPr>
            <w:r>
              <w:rPr>
                <w:color w:val="auto"/>
                <w:sz w:val="24"/>
                <w:szCs w:val="24"/>
              </w:rPr>
              <w:t>4</w:t>
            </w:r>
          </w:p>
        </w:tc>
      </w:tr>
      <w:tr w:rsidR="005E1CF2" w14:paraId="4374D2D1" w14:textId="77777777">
        <w:tc>
          <w:tcPr>
            <w:tcW w:w="1238" w:type="dxa"/>
            <w:tcBorders>
              <w:top w:val="single" w:sz="4" w:space="0" w:color="000000"/>
              <w:left w:val="single" w:sz="4" w:space="0" w:color="000000"/>
              <w:bottom w:val="single" w:sz="4" w:space="0" w:color="000000"/>
              <w:right w:val="single" w:sz="4" w:space="0" w:color="000000"/>
            </w:tcBorders>
            <w:shd w:val="clear" w:color="auto" w:fill="auto"/>
          </w:tcPr>
          <w:p w14:paraId="48142398" w14:textId="77777777" w:rsidR="005E1CF2" w:rsidRDefault="00527869">
            <w:pPr>
              <w:jc w:val="both"/>
              <w:rPr>
                <w:color w:val="auto"/>
                <w:sz w:val="24"/>
                <w:szCs w:val="24"/>
              </w:rPr>
            </w:pPr>
            <w:r>
              <w:rPr>
                <w:color w:val="auto"/>
                <w:sz w:val="24"/>
                <w:szCs w:val="24"/>
              </w:rPr>
              <w:t>6</w:t>
            </w:r>
          </w:p>
        </w:tc>
        <w:tc>
          <w:tcPr>
            <w:tcW w:w="7081" w:type="dxa"/>
            <w:tcBorders>
              <w:top w:val="single" w:sz="4" w:space="0" w:color="000000"/>
              <w:left w:val="single" w:sz="4" w:space="0" w:color="000000"/>
              <w:bottom w:val="single" w:sz="4" w:space="0" w:color="000000"/>
              <w:right w:val="single" w:sz="4" w:space="0" w:color="000000"/>
            </w:tcBorders>
            <w:shd w:val="clear" w:color="auto" w:fill="auto"/>
          </w:tcPr>
          <w:p w14:paraId="47A64C4B" w14:textId="77777777" w:rsidR="005E1CF2" w:rsidRDefault="00527869">
            <w:pPr>
              <w:spacing w:line="360" w:lineRule="auto"/>
              <w:jc w:val="both"/>
              <w:rPr>
                <w:color w:val="auto"/>
                <w:sz w:val="24"/>
                <w:szCs w:val="24"/>
              </w:rPr>
            </w:pPr>
            <w:r>
              <w:rPr>
                <w:color w:val="auto"/>
                <w:sz w:val="24"/>
                <w:szCs w:val="24"/>
              </w:rPr>
              <w:t>Developmental Review</w:t>
            </w:r>
          </w:p>
        </w:tc>
        <w:tc>
          <w:tcPr>
            <w:tcW w:w="1129" w:type="dxa"/>
            <w:tcBorders>
              <w:top w:val="single" w:sz="4" w:space="0" w:color="000000"/>
              <w:left w:val="single" w:sz="4" w:space="0" w:color="000000"/>
              <w:bottom w:val="single" w:sz="4" w:space="0" w:color="000000"/>
              <w:right w:val="single" w:sz="4" w:space="0" w:color="000000"/>
            </w:tcBorders>
            <w:shd w:val="clear" w:color="auto" w:fill="auto"/>
          </w:tcPr>
          <w:p w14:paraId="51C9BD6D" w14:textId="77777777" w:rsidR="005E1CF2" w:rsidRDefault="00527869">
            <w:pPr>
              <w:spacing w:line="360" w:lineRule="auto"/>
              <w:jc w:val="both"/>
              <w:rPr>
                <w:color w:val="auto"/>
                <w:sz w:val="24"/>
                <w:szCs w:val="24"/>
              </w:rPr>
            </w:pPr>
            <w:r>
              <w:rPr>
                <w:color w:val="auto"/>
                <w:sz w:val="24"/>
                <w:szCs w:val="24"/>
              </w:rPr>
              <w:t>1</w:t>
            </w:r>
          </w:p>
        </w:tc>
      </w:tr>
      <w:tr w:rsidR="005E1CF2" w14:paraId="0AB4B948" w14:textId="77777777">
        <w:tc>
          <w:tcPr>
            <w:tcW w:w="1238" w:type="dxa"/>
            <w:tcBorders>
              <w:top w:val="single" w:sz="4" w:space="0" w:color="000000"/>
              <w:left w:val="single" w:sz="4" w:space="0" w:color="000000"/>
              <w:bottom w:val="single" w:sz="4" w:space="0" w:color="000000"/>
              <w:right w:val="single" w:sz="4" w:space="0" w:color="000000"/>
            </w:tcBorders>
            <w:shd w:val="clear" w:color="auto" w:fill="auto"/>
          </w:tcPr>
          <w:p w14:paraId="73C87C0E" w14:textId="77777777" w:rsidR="005E1CF2" w:rsidRDefault="00527869">
            <w:pPr>
              <w:jc w:val="both"/>
              <w:rPr>
                <w:color w:val="auto"/>
                <w:sz w:val="24"/>
                <w:szCs w:val="24"/>
              </w:rPr>
            </w:pPr>
            <w:r>
              <w:rPr>
                <w:color w:val="auto"/>
                <w:sz w:val="24"/>
                <w:szCs w:val="24"/>
              </w:rPr>
              <w:t>7</w:t>
            </w:r>
          </w:p>
        </w:tc>
        <w:tc>
          <w:tcPr>
            <w:tcW w:w="7081" w:type="dxa"/>
            <w:tcBorders>
              <w:top w:val="single" w:sz="4" w:space="0" w:color="000000"/>
              <w:left w:val="single" w:sz="4" w:space="0" w:color="000000"/>
              <w:bottom w:val="single" w:sz="4" w:space="0" w:color="000000"/>
              <w:right w:val="single" w:sz="4" w:space="0" w:color="000000"/>
            </w:tcBorders>
            <w:shd w:val="clear" w:color="auto" w:fill="auto"/>
          </w:tcPr>
          <w:p w14:paraId="6D4C2702" w14:textId="77777777" w:rsidR="005E1CF2" w:rsidRDefault="00527869">
            <w:pPr>
              <w:spacing w:line="360" w:lineRule="auto"/>
              <w:jc w:val="both"/>
              <w:rPr>
                <w:color w:val="auto"/>
                <w:sz w:val="24"/>
                <w:szCs w:val="24"/>
              </w:rPr>
            </w:pPr>
            <w:r>
              <w:rPr>
                <w:color w:val="auto"/>
                <w:sz w:val="24"/>
                <w:szCs w:val="24"/>
              </w:rPr>
              <w:t>Bibliography</w:t>
            </w:r>
          </w:p>
        </w:tc>
        <w:tc>
          <w:tcPr>
            <w:tcW w:w="1129" w:type="dxa"/>
            <w:tcBorders>
              <w:top w:val="single" w:sz="4" w:space="0" w:color="000000"/>
              <w:left w:val="single" w:sz="4" w:space="0" w:color="000000"/>
              <w:bottom w:val="single" w:sz="4" w:space="0" w:color="000000"/>
              <w:right w:val="single" w:sz="4" w:space="0" w:color="000000"/>
            </w:tcBorders>
            <w:shd w:val="clear" w:color="auto" w:fill="auto"/>
          </w:tcPr>
          <w:p w14:paraId="1D8176BC" w14:textId="77777777" w:rsidR="005E1CF2" w:rsidRDefault="005E1CF2">
            <w:pPr>
              <w:spacing w:line="360" w:lineRule="auto"/>
              <w:jc w:val="both"/>
              <w:rPr>
                <w:color w:val="auto"/>
                <w:sz w:val="24"/>
                <w:szCs w:val="24"/>
              </w:rPr>
            </w:pPr>
          </w:p>
        </w:tc>
      </w:tr>
      <w:tr w:rsidR="005E1CF2" w14:paraId="344B6D35" w14:textId="77777777">
        <w:tc>
          <w:tcPr>
            <w:tcW w:w="1238" w:type="dxa"/>
            <w:tcBorders>
              <w:top w:val="single" w:sz="4" w:space="0" w:color="000000"/>
              <w:left w:val="single" w:sz="4" w:space="0" w:color="000000"/>
              <w:bottom w:val="single" w:sz="4" w:space="0" w:color="000000"/>
              <w:right w:val="single" w:sz="4" w:space="0" w:color="000000"/>
            </w:tcBorders>
            <w:shd w:val="clear" w:color="auto" w:fill="auto"/>
          </w:tcPr>
          <w:p w14:paraId="5234AE5C" w14:textId="77777777" w:rsidR="005E1CF2" w:rsidRDefault="00527869">
            <w:pPr>
              <w:jc w:val="both"/>
              <w:rPr>
                <w:color w:val="auto"/>
                <w:sz w:val="24"/>
                <w:szCs w:val="24"/>
              </w:rPr>
            </w:pPr>
            <w:r>
              <w:rPr>
                <w:color w:val="auto"/>
                <w:sz w:val="24"/>
                <w:szCs w:val="24"/>
              </w:rPr>
              <w:t>8</w:t>
            </w:r>
          </w:p>
        </w:tc>
        <w:tc>
          <w:tcPr>
            <w:tcW w:w="7081" w:type="dxa"/>
            <w:tcBorders>
              <w:top w:val="single" w:sz="4" w:space="0" w:color="000000"/>
              <w:left w:val="single" w:sz="4" w:space="0" w:color="000000"/>
              <w:bottom w:val="single" w:sz="4" w:space="0" w:color="000000"/>
              <w:right w:val="single" w:sz="4" w:space="0" w:color="000000"/>
            </w:tcBorders>
            <w:shd w:val="clear" w:color="auto" w:fill="auto"/>
          </w:tcPr>
          <w:p w14:paraId="4A11E9E5" w14:textId="77777777" w:rsidR="005E1CF2" w:rsidRDefault="00527869">
            <w:pPr>
              <w:spacing w:line="360" w:lineRule="auto"/>
              <w:jc w:val="both"/>
              <w:rPr>
                <w:color w:val="auto"/>
                <w:sz w:val="24"/>
                <w:szCs w:val="24"/>
              </w:rPr>
            </w:pPr>
            <w:r>
              <w:rPr>
                <w:color w:val="auto"/>
                <w:sz w:val="24"/>
                <w:szCs w:val="24"/>
              </w:rPr>
              <w:t>Learner details, Signatures and Line manager verification</w:t>
            </w:r>
          </w:p>
        </w:tc>
        <w:tc>
          <w:tcPr>
            <w:tcW w:w="1129" w:type="dxa"/>
            <w:tcBorders>
              <w:top w:val="single" w:sz="4" w:space="0" w:color="000000"/>
              <w:left w:val="single" w:sz="4" w:space="0" w:color="000000"/>
              <w:bottom w:val="single" w:sz="4" w:space="0" w:color="000000"/>
              <w:right w:val="single" w:sz="4" w:space="0" w:color="000000"/>
            </w:tcBorders>
            <w:shd w:val="clear" w:color="auto" w:fill="auto"/>
          </w:tcPr>
          <w:p w14:paraId="2C46D44E" w14:textId="77777777" w:rsidR="005E1CF2" w:rsidRDefault="005E1CF2">
            <w:pPr>
              <w:spacing w:line="360" w:lineRule="auto"/>
              <w:jc w:val="both"/>
              <w:rPr>
                <w:color w:val="auto"/>
                <w:sz w:val="24"/>
                <w:szCs w:val="24"/>
              </w:rPr>
            </w:pPr>
          </w:p>
        </w:tc>
      </w:tr>
      <w:tr w:rsidR="005E1CF2" w14:paraId="67E55213" w14:textId="77777777">
        <w:tc>
          <w:tcPr>
            <w:tcW w:w="1238" w:type="dxa"/>
            <w:tcBorders>
              <w:top w:val="single" w:sz="4" w:space="0" w:color="000000"/>
              <w:left w:val="single" w:sz="4" w:space="0" w:color="000000"/>
              <w:bottom w:val="single" w:sz="4" w:space="0" w:color="000000"/>
              <w:right w:val="single" w:sz="4" w:space="0" w:color="000000"/>
            </w:tcBorders>
            <w:shd w:val="clear" w:color="auto" w:fill="auto"/>
          </w:tcPr>
          <w:p w14:paraId="4CA95EEC" w14:textId="77777777" w:rsidR="005E1CF2" w:rsidRDefault="00527869">
            <w:pPr>
              <w:jc w:val="both"/>
              <w:rPr>
                <w:color w:val="auto"/>
                <w:sz w:val="24"/>
                <w:szCs w:val="24"/>
              </w:rPr>
            </w:pPr>
            <w:r>
              <w:rPr>
                <w:color w:val="auto"/>
                <w:sz w:val="24"/>
                <w:szCs w:val="24"/>
              </w:rPr>
              <w:t>9</w:t>
            </w:r>
          </w:p>
        </w:tc>
        <w:tc>
          <w:tcPr>
            <w:tcW w:w="7081" w:type="dxa"/>
            <w:tcBorders>
              <w:top w:val="single" w:sz="4" w:space="0" w:color="000000"/>
              <w:left w:val="single" w:sz="4" w:space="0" w:color="000000"/>
              <w:bottom w:val="single" w:sz="4" w:space="0" w:color="000000"/>
              <w:right w:val="single" w:sz="4" w:space="0" w:color="000000"/>
            </w:tcBorders>
            <w:shd w:val="clear" w:color="auto" w:fill="auto"/>
          </w:tcPr>
          <w:p w14:paraId="18AB6751" w14:textId="77777777" w:rsidR="005E1CF2" w:rsidRDefault="00527869">
            <w:pPr>
              <w:spacing w:line="360" w:lineRule="auto"/>
              <w:jc w:val="both"/>
              <w:rPr>
                <w:color w:val="auto"/>
                <w:sz w:val="24"/>
                <w:szCs w:val="24"/>
              </w:rPr>
            </w:pPr>
            <w:r>
              <w:rPr>
                <w:color w:val="auto"/>
                <w:sz w:val="24"/>
                <w:szCs w:val="24"/>
              </w:rPr>
              <w:t>Learner and Employer Learning Agreement</w:t>
            </w:r>
          </w:p>
        </w:tc>
        <w:tc>
          <w:tcPr>
            <w:tcW w:w="1129" w:type="dxa"/>
            <w:tcBorders>
              <w:top w:val="single" w:sz="4" w:space="0" w:color="000000"/>
              <w:left w:val="single" w:sz="4" w:space="0" w:color="000000"/>
              <w:bottom w:val="single" w:sz="4" w:space="0" w:color="000000"/>
              <w:right w:val="single" w:sz="4" w:space="0" w:color="000000"/>
            </w:tcBorders>
            <w:shd w:val="clear" w:color="auto" w:fill="auto"/>
          </w:tcPr>
          <w:p w14:paraId="02A75144" w14:textId="77777777" w:rsidR="005E1CF2" w:rsidRDefault="005E1CF2">
            <w:pPr>
              <w:spacing w:line="360" w:lineRule="auto"/>
              <w:jc w:val="both"/>
              <w:rPr>
                <w:color w:val="auto"/>
                <w:sz w:val="24"/>
                <w:szCs w:val="24"/>
              </w:rPr>
            </w:pPr>
          </w:p>
        </w:tc>
      </w:tr>
    </w:tbl>
    <w:p w14:paraId="638AA1D5" w14:textId="77777777" w:rsidR="005E1CF2" w:rsidRDefault="00527869">
      <w:pPr>
        <w:jc w:val="both"/>
        <w:rPr>
          <w:b/>
          <w:sz w:val="24"/>
          <w:szCs w:val="24"/>
        </w:rPr>
      </w:pPr>
      <w:r>
        <w:br w:type="page"/>
      </w:r>
    </w:p>
    <w:p w14:paraId="586F4DAE" w14:textId="77777777" w:rsidR="005E1CF2" w:rsidRDefault="00527869">
      <w:pPr>
        <w:jc w:val="center"/>
        <w:rPr>
          <w:b/>
          <w:sz w:val="24"/>
          <w:szCs w:val="24"/>
        </w:rPr>
      </w:pPr>
      <w:r>
        <w:rPr>
          <w:b/>
          <w:sz w:val="24"/>
          <w:szCs w:val="24"/>
        </w:rPr>
        <w:lastRenderedPageBreak/>
        <w:t>Section 2</w:t>
      </w:r>
    </w:p>
    <w:p w14:paraId="4103FC3B" w14:textId="77777777" w:rsidR="005E1CF2" w:rsidRDefault="005E1CF2">
      <w:pPr>
        <w:jc w:val="both"/>
        <w:rPr>
          <w:b/>
          <w:sz w:val="24"/>
          <w:szCs w:val="24"/>
        </w:rPr>
      </w:pPr>
    </w:p>
    <w:p w14:paraId="50F02C1D" w14:textId="77777777" w:rsidR="005E1CF2" w:rsidRDefault="00527869">
      <w:pPr>
        <w:jc w:val="both"/>
        <w:rPr>
          <w:b/>
          <w:sz w:val="24"/>
          <w:szCs w:val="24"/>
        </w:rPr>
      </w:pPr>
      <w:r>
        <w:rPr>
          <w:b/>
          <w:sz w:val="24"/>
          <w:szCs w:val="24"/>
        </w:rPr>
        <w:t>Developmental review (a)</w:t>
      </w:r>
    </w:p>
    <w:p w14:paraId="28D935B8" w14:textId="77777777" w:rsidR="005E1CF2" w:rsidRDefault="005E1CF2">
      <w:pPr>
        <w:jc w:val="both"/>
        <w:rPr>
          <w:b/>
          <w:sz w:val="24"/>
          <w:szCs w:val="24"/>
        </w:rPr>
      </w:pPr>
    </w:p>
    <w:p w14:paraId="2FEE9DE0" w14:textId="77777777" w:rsidR="005E1CF2" w:rsidRDefault="00527869">
      <w:pPr>
        <w:jc w:val="both"/>
        <w:rPr>
          <w:i/>
          <w:sz w:val="24"/>
          <w:szCs w:val="24"/>
        </w:rPr>
      </w:pPr>
      <w:r>
        <w:rPr>
          <w:i/>
          <w:sz w:val="24"/>
          <w:szCs w:val="24"/>
        </w:rPr>
        <w:t>Guidance: This section should be completed by taking into account</w:t>
      </w:r>
      <w:r>
        <w:rPr>
          <w:sz w:val="24"/>
          <w:szCs w:val="24"/>
        </w:rPr>
        <w:t xml:space="preserve"> </w:t>
      </w:r>
      <w:r>
        <w:rPr>
          <w:i/>
          <w:sz w:val="24"/>
          <w:szCs w:val="24"/>
        </w:rPr>
        <w:t>the work that you will have done since qualifying, and discussions with your mentor and supervisor/line manager as part of your First Three Years of Practice Individual Plan.</w:t>
      </w:r>
    </w:p>
    <w:p w14:paraId="702B5F88" w14:textId="77777777" w:rsidR="005E1CF2" w:rsidRDefault="005E1CF2">
      <w:pPr>
        <w:jc w:val="both"/>
        <w:rPr>
          <w:i/>
          <w:sz w:val="24"/>
          <w:szCs w:val="24"/>
        </w:rPr>
      </w:pPr>
    </w:p>
    <w:tbl>
      <w:tblPr>
        <w:tblW w:w="102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278"/>
      </w:tblGrid>
      <w:tr w:rsidR="005E1CF2" w14:paraId="4E398148" w14:textId="77777777">
        <w:tc>
          <w:tcPr>
            <w:tcW w:w="10278" w:type="dxa"/>
            <w:tcBorders>
              <w:top w:val="single" w:sz="4" w:space="0" w:color="000000"/>
              <w:left w:val="single" w:sz="4" w:space="0" w:color="000000"/>
              <w:bottom w:val="single" w:sz="4" w:space="0" w:color="000000"/>
              <w:right w:val="single" w:sz="4" w:space="0" w:color="000000"/>
            </w:tcBorders>
            <w:shd w:val="clear" w:color="auto" w:fill="auto"/>
          </w:tcPr>
          <w:p w14:paraId="4AFCD759" w14:textId="77777777" w:rsidR="005E1CF2" w:rsidRDefault="00527869">
            <w:pPr>
              <w:jc w:val="both"/>
              <w:rPr>
                <w:sz w:val="24"/>
                <w:szCs w:val="24"/>
              </w:rPr>
            </w:pPr>
            <w:r>
              <w:rPr>
                <w:sz w:val="24"/>
                <w:szCs w:val="24"/>
              </w:rPr>
              <w:t>Based on your experience in practice, identify and justify your agreed learning needs for the following outcomes:</w:t>
            </w:r>
          </w:p>
          <w:p w14:paraId="60DE3D62" w14:textId="77777777" w:rsidR="005E1CF2" w:rsidRDefault="005E1CF2">
            <w:pPr>
              <w:jc w:val="both"/>
              <w:rPr>
                <w:sz w:val="24"/>
                <w:szCs w:val="24"/>
              </w:rPr>
            </w:pPr>
          </w:p>
          <w:p w14:paraId="48E5C074" w14:textId="77777777" w:rsidR="005E1CF2" w:rsidRDefault="00527869">
            <w:pPr>
              <w:numPr>
                <w:ilvl w:val="0"/>
                <w:numId w:val="7"/>
              </w:numPr>
              <w:jc w:val="both"/>
              <w:rPr>
                <w:sz w:val="24"/>
                <w:szCs w:val="24"/>
              </w:rPr>
            </w:pPr>
            <w:r>
              <w:rPr>
                <w:sz w:val="24"/>
                <w:szCs w:val="24"/>
              </w:rPr>
              <w:t xml:space="preserve">Working Collaboratively with Service Users &amp; Carers  </w:t>
            </w:r>
          </w:p>
          <w:p w14:paraId="3114F28A" w14:textId="77777777" w:rsidR="005E1CF2" w:rsidRDefault="00527869">
            <w:pPr>
              <w:numPr>
                <w:ilvl w:val="0"/>
                <w:numId w:val="7"/>
              </w:numPr>
              <w:jc w:val="both"/>
              <w:rPr>
                <w:sz w:val="24"/>
                <w:szCs w:val="24"/>
              </w:rPr>
            </w:pPr>
            <w:r>
              <w:rPr>
                <w:sz w:val="24"/>
                <w:szCs w:val="24"/>
              </w:rPr>
              <w:t>Working Collaboratively with Other Professionals</w:t>
            </w:r>
          </w:p>
          <w:p w14:paraId="0BA96E27" w14:textId="77777777" w:rsidR="005E1CF2" w:rsidRDefault="00527869">
            <w:pPr>
              <w:numPr>
                <w:ilvl w:val="0"/>
                <w:numId w:val="7"/>
              </w:numPr>
              <w:jc w:val="both"/>
              <w:rPr>
                <w:sz w:val="24"/>
                <w:szCs w:val="24"/>
              </w:rPr>
            </w:pPr>
            <w:r>
              <w:rPr>
                <w:sz w:val="24"/>
                <w:szCs w:val="24"/>
              </w:rPr>
              <w:t>Applying analysis in assessment to inform interventions</w:t>
            </w:r>
          </w:p>
          <w:p w14:paraId="7DF395B9" w14:textId="77777777" w:rsidR="005E1CF2" w:rsidRDefault="00527869">
            <w:pPr>
              <w:numPr>
                <w:ilvl w:val="0"/>
                <w:numId w:val="7"/>
              </w:numPr>
              <w:jc w:val="both"/>
              <w:rPr>
                <w:sz w:val="24"/>
                <w:szCs w:val="24"/>
              </w:rPr>
            </w:pPr>
            <w:r>
              <w:rPr>
                <w:sz w:val="24"/>
                <w:szCs w:val="24"/>
              </w:rPr>
              <w:t>Intervention and application of professional judgement in increasingly complex situations</w:t>
            </w:r>
          </w:p>
          <w:p w14:paraId="04C3C5F5" w14:textId="77777777" w:rsidR="005E1CF2" w:rsidRDefault="005E1CF2">
            <w:pPr>
              <w:jc w:val="both"/>
              <w:rPr>
                <w:sz w:val="24"/>
                <w:szCs w:val="24"/>
                <w:highlight w:val="yellow"/>
              </w:rPr>
            </w:pPr>
          </w:p>
          <w:p w14:paraId="658E0345" w14:textId="77777777" w:rsidR="005E1CF2" w:rsidRDefault="005E1CF2">
            <w:pPr>
              <w:jc w:val="both"/>
              <w:rPr>
                <w:sz w:val="24"/>
                <w:szCs w:val="24"/>
              </w:rPr>
            </w:pPr>
          </w:p>
          <w:p w14:paraId="142061E9" w14:textId="77777777" w:rsidR="005E1CF2" w:rsidRDefault="00527869">
            <w:pPr>
              <w:spacing w:line="360" w:lineRule="auto"/>
              <w:jc w:val="both"/>
              <w:rPr>
                <w:sz w:val="24"/>
                <w:szCs w:val="24"/>
              </w:rPr>
            </w:pPr>
            <w:r>
              <w:rPr>
                <w:sz w:val="24"/>
                <w:szCs w:val="24"/>
              </w:rPr>
              <w:t>Since qualifying as a social worker in 2016 I have worked within various settings in North Wales including Private Fostering and a Children’s Assessment and Intervention Team. I am presently based within an Adult Hospice setting, however we work with all family members.</w:t>
            </w:r>
          </w:p>
          <w:p w14:paraId="3958D414" w14:textId="77777777" w:rsidR="005E1CF2" w:rsidRDefault="005E1CF2">
            <w:pPr>
              <w:spacing w:line="360" w:lineRule="auto"/>
              <w:jc w:val="both"/>
              <w:rPr>
                <w:sz w:val="24"/>
                <w:szCs w:val="24"/>
              </w:rPr>
            </w:pPr>
          </w:p>
          <w:p w14:paraId="1FCCD218" w14:textId="77777777" w:rsidR="005E1CF2" w:rsidRDefault="00527869">
            <w:pPr>
              <w:spacing w:line="360" w:lineRule="auto"/>
              <w:jc w:val="both"/>
              <w:rPr>
                <w:sz w:val="24"/>
                <w:szCs w:val="24"/>
              </w:rPr>
            </w:pPr>
            <w:r>
              <w:rPr>
                <w:sz w:val="24"/>
                <w:szCs w:val="24"/>
              </w:rPr>
              <w:t>Whilst in these roles I have experienced various supervision and management styles, some of which were productive and some less so. Lishman (2010) states that whilst supervision can be utilised for reflection and professional development, it can also be used as a drive for management control of accountability. I</w:t>
            </w:r>
            <w:r>
              <w:rPr>
                <w:color w:val="auto"/>
                <w:sz w:val="24"/>
                <w:szCs w:val="24"/>
              </w:rPr>
              <w:t xml:space="preserve"> have realised the benefit of ‘good’ supervision in terms of professional development as per the points identified below. </w:t>
            </w:r>
          </w:p>
          <w:p w14:paraId="0FA4997F" w14:textId="77777777" w:rsidR="005E1CF2" w:rsidRDefault="005E1CF2">
            <w:pPr>
              <w:spacing w:line="360" w:lineRule="auto"/>
              <w:jc w:val="both"/>
              <w:rPr>
                <w:sz w:val="24"/>
                <w:szCs w:val="24"/>
              </w:rPr>
            </w:pPr>
          </w:p>
          <w:p w14:paraId="38A14825" w14:textId="77777777" w:rsidR="005E1CF2" w:rsidRDefault="00527869">
            <w:pPr>
              <w:spacing w:line="360" w:lineRule="auto"/>
              <w:jc w:val="both"/>
              <w:rPr>
                <w:sz w:val="24"/>
                <w:szCs w:val="24"/>
                <w:u w:val="single"/>
              </w:rPr>
            </w:pPr>
            <w:r>
              <w:rPr>
                <w:sz w:val="24"/>
                <w:szCs w:val="24"/>
                <w:u w:val="single"/>
              </w:rPr>
              <w:t>Reflective Practice / Clinical supervision / Self-care</w:t>
            </w:r>
          </w:p>
          <w:p w14:paraId="1E599753" w14:textId="77777777" w:rsidR="005E1CF2" w:rsidRDefault="005E1CF2">
            <w:pPr>
              <w:spacing w:line="360" w:lineRule="auto"/>
              <w:jc w:val="both"/>
              <w:rPr>
                <w:sz w:val="24"/>
                <w:szCs w:val="24"/>
                <w:u w:val="single"/>
              </w:rPr>
            </w:pPr>
          </w:p>
          <w:p w14:paraId="6E0F037F" w14:textId="77777777" w:rsidR="005E1CF2" w:rsidRDefault="00527869">
            <w:pPr>
              <w:spacing w:line="360" w:lineRule="auto"/>
              <w:jc w:val="both"/>
              <w:rPr>
                <w:sz w:val="24"/>
                <w:szCs w:val="24"/>
                <w:u w:val="single"/>
              </w:rPr>
            </w:pPr>
            <w:r>
              <w:rPr>
                <w:sz w:val="24"/>
                <w:szCs w:val="24"/>
              </w:rPr>
              <w:t xml:space="preserve">Previously in practice, I have put myself forward to support other professionals and individuals that I am working with at the expense of my own personal and professional self-care. As a newly qualified social worker I strived to show a level of commitment to my role, which resulted in long working days and limited practice reflection opportunities. Poor self-care, coupled with limited to none post action reflection, placed me at risk in terms of professional burnout. I was aware that this was impacting negatively on my ability to assess information in order to make informed decisions (Oko 2008). Therefore by engaging in regular supervision I will have a platform for </w:t>
            </w:r>
            <w:r>
              <w:rPr>
                <w:sz w:val="24"/>
                <w:szCs w:val="24"/>
              </w:rPr>
              <w:lastRenderedPageBreak/>
              <w:t>therapeutic reflection which should result in interventions that are more effective for the people I am working with.</w:t>
            </w:r>
          </w:p>
          <w:p w14:paraId="51060FC1" w14:textId="77777777" w:rsidR="005E1CF2" w:rsidRDefault="005E1CF2">
            <w:pPr>
              <w:spacing w:line="360" w:lineRule="auto"/>
              <w:jc w:val="both"/>
              <w:rPr>
                <w:sz w:val="24"/>
                <w:szCs w:val="24"/>
              </w:rPr>
            </w:pPr>
          </w:p>
          <w:p w14:paraId="70973940" w14:textId="77777777" w:rsidR="005E1CF2" w:rsidRDefault="00527869">
            <w:pPr>
              <w:spacing w:line="360" w:lineRule="auto"/>
              <w:jc w:val="both"/>
            </w:pPr>
            <w:r>
              <w:rPr>
                <w:sz w:val="24"/>
                <w:szCs w:val="24"/>
              </w:rPr>
              <w:t>I have utilised supervision to reflect my transferable skills and identify areas of professional development that I need to continue professional registration and accountability (SCW, 2019</w:t>
            </w:r>
            <w:r w:rsidR="00494FF2">
              <w:rPr>
                <w:sz w:val="24"/>
                <w:szCs w:val="24"/>
              </w:rPr>
              <w:t>: COPPS</w:t>
            </w:r>
            <w:r>
              <w:rPr>
                <w:sz w:val="24"/>
                <w:szCs w:val="24"/>
              </w:rPr>
              <w:t xml:space="preserve">, 2017), in particular with vulnerable adults with complex needs. More specifically, I would like to develop my communication skills and language pertinent to this setting. This is an imperative area of development given the sensitive trajectory I encounter with the individuals and families I am working with. For example, pre and post bereavement and support for the individual (and their families) who are admitted for either symptom management or end of life care.  </w:t>
            </w:r>
          </w:p>
          <w:p w14:paraId="747C39CB" w14:textId="77777777" w:rsidR="005E1CF2" w:rsidRDefault="005E1CF2">
            <w:pPr>
              <w:spacing w:line="360" w:lineRule="auto"/>
              <w:jc w:val="both"/>
              <w:rPr>
                <w:sz w:val="24"/>
                <w:szCs w:val="24"/>
              </w:rPr>
            </w:pPr>
          </w:p>
          <w:p w14:paraId="5CC2102A" w14:textId="77777777" w:rsidR="005E1CF2" w:rsidRDefault="00527869">
            <w:pPr>
              <w:spacing w:line="360" w:lineRule="auto"/>
              <w:jc w:val="both"/>
              <w:rPr>
                <w:sz w:val="24"/>
                <w:szCs w:val="24"/>
              </w:rPr>
            </w:pPr>
            <w:r>
              <w:rPr>
                <w:sz w:val="24"/>
                <w:szCs w:val="24"/>
              </w:rPr>
              <w:t>My manager and I identified the following training, alongside supervision, to help me meet these learning needs:</w:t>
            </w:r>
          </w:p>
          <w:p w14:paraId="1BF2F8FF" w14:textId="77777777" w:rsidR="005E1CF2" w:rsidRDefault="005E1CF2">
            <w:pPr>
              <w:spacing w:line="360" w:lineRule="auto"/>
              <w:jc w:val="both"/>
              <w:rPr>
                <w:sz w:val="24"/>
                <w:szCs w:val="24"/>
              </w:rPr>
            </w:pPr>
          </w:p>
          <w:p w14:paraId="53470B07" w14:textId="77777777" w:rsidR="005E1CF2" w:rsidRDefault="00527869">
            <w:pPr>
              <w:numPr>
                <w:ilvl w:val="0"/>
                <w:numId w:val="15"/>
              </w:numPr>
              <w:spacing w:line="360" w:lineRule="auto"/>
              <w:jc w:val="both"/>
              <w:rPr>
                <w:sz w:val="24"/>
                <w:szCs w:val="24"/>
              </w:rPr>
            </w:pPr>
            <w:r>
              <w:rPr>
                <w:sz w:val="24"/>
                <w:szCs w:val="24"/>
                <w:u w:val="single"/>
              </w:rPr>
              <w:t>5 Day Palliative Care Course</w:t>
            </w:r>
            <w:r>
              <w:rPr>
                <w:sz w:val="24"/>
                <w:szCs w:val="24"/>
              </w:rPr>
              <w:t xml:space="preserve"> – This would be imperative to my interventions at the hospice as this course is based on good communication skills around the complexities of dying, death and grief. I would like to attend this to improve my knowledge in this area and also to ensure efficient joint working with individuals, carers and families and other professionals I work with in this MDT setting.</w:t>
            </w:r>
          </w:p>
          <w:p w14:paraId="677EF4D1" w14:textId="77777777" w:rsidR="005E1CF2" w:rsidRDefault="00527869">
            <w:pPr>
              <w:spacing w:line="360" w:lineRule="auto"/>
              <w:ind w:left="720"/>
              <w:jc w:val="both"/>
              <w:rPr>
                <w:sz w:val="24"/>
                <w:szCs w:val="24"/>
              </w:rPr>
            </w:pPr>
            <w:r>
              <w:rPr>
                <w:sz w:val="24"/>
                <w:szCs w:val="24"/>
              </w:rPr>
              <w:t xml:space="preserve"> </w:t>
            </w:r>
          </w:p>
          <w:p w14:paraId="0C82D7A3" w14:textId="77777777" w:rsidR="005E1CF2" w:rsidRDefault="00527869">
            <w:pPr>
              <w:numPr>
                <w:ilvl w:val="0"/>
                <w:numId w:val="15"/>
              </w:numPr>
              <w:spacing w:line="360" w:lineRule="auto"/>
              <w:jc w:val="both"/>
              <w:rPr>
                <w:sz w:val="24"/>
                <w:szCs w:val="24"/>
                <w:u w:val="single"/>
              </w:rPr>
            </w:pPr>
            <w:r>
              <w:rPr>
                <w:sz w:val="24"/>
                <w:szCs w:val="24"/>
                <w:u w:val="single"/>
              </w:rPr>
              <w:t>Adult Safeguarding for Professionals</w:t>
            </w:r>
            <w:r>
              <w:rPr>
                <w:sz w:val="24"/>
                <w:szCs w:val="24"/>
              </w:rPr>
              <w:t xml:space="preserve"> – Due to the context of training I have received in previous roles within in children’s setting, it was agreed that I would attend the next training in this area to develop my knowledge in this area so that It would be as robust as my child safeguarding knowledge. </w:t>
            </w:r>
          </w:p>
          <w:p w14:paraId="1297364D" w14:textId="77777777" w:rsidR="005E1CF2" w:rsidRDefault="005E1CF2">
            <w:pPr>
              <w:spacing w:line="360" w:lineRule="auto"/>
              <w:ind w:left="720"/>
              <w:jc w:val="both"/>
              <w:rPr>
                <w:sz w:val="24"/>
                <w:szCs w:val="24"/>
                <w:u w:val="single"/>
              </w:rPr>
            </w:pPr>
          </w:p>
          <w:p w14:paraId="4E0AD049" w14:textId="77777777" w:rsidR="005E1CF2" w:rsidRDefault="00527869">
            <w:pPr>
              <w:numPr>
                <w:ilvl w:val="0"/>
                <w:numId w:val="15"/>
              </w:numPr>
              <w:spacing w:line="360" w:lineRule="auto"/>
              <w:jc w:val="both"/>
              <w:rPr>
                <w:sz w:val="24"/>
                <w:szCs w:val="24"/>
              </w:rPr>
            </w:pPr>
            <w:r>
              <w:rPr>
                <w:sz w:val="24"/>
                <w:szCs w:val="24"/>
                <w:u w:val="single"/>
              </w:rPr>
              <w:t>Continue Health Care Training (CHC).</w:t>
            </w:r>
            <w:r>
              <w:rPr>
                <w:sz w:val="24"/>
                <w:szCs w:val="24"/>
              </w:rPr>
              <w:t xml:space="preserve"> In order to continue with my development as a social worker at the hospice, I need further knowledge of the CHC process. It was agreed that accessing this specific training would support my role when exploring discharge planning. It is hoped that by working collaboratively with both individuals, their families </w:t>
            </w:r>
            <w:r>
              <w:rPr>
                <w:sz w:val="24"/>
                <w:szCs w:val="24"/>
              </w:rPr>
              <w:lastRenderedPageBreak/>
              <w:t>and other professionals with this specialised k</w:t>
            </w:r>
            <w:r w:rsidR="00642844">
              <w:rPr>
                <w:sz w:val="24"/>
                <w:szCs w:val="24"/>
              </w:rPr>
              <w:t>nowledge will help to reduce</w:t>
            </w:r>
            <w:r>
              <w:rPr>
                <w:sz w:val="24"/>
                <w:szCs w:val="24"/>
              </w:rPr>
              <w:t xml:space="preserve"> issues that arise.  </w:t>
            </w:r>
          </w:p>
          <w:p w14:paraId="0FE54FB9" w14:textId="77777777" w:rsidR="005E1CF2" w:rsidRDefault="005E1CF2">
            <w:pPr>
              <w:jc w:val="both"/>
              <w:rPr>
                <w:sz w:val="24"/>
                <w:szCs w:val="24"/>
              </w:rPr>
            </w:pPr>
          </w:p>
          <w:p w14:paraId="6B301F75" w14:textId="77777777" w:rsidR="005E1CF2" w:rsidRDefault="005E1CF2">
            <w:pPr>
              <w:jc w:val="both"/>
              <w:rPr>
                <w:sz w:val="24"/>
                <w:szCs w:val="24"/>
                <w:highlight w:val="yellow"/>
              </w:rPr>
            </w:pPr>
          </w:p>
          <w:p w14:paraId="3033AEA3" w14:textId="77777777" w:rsidR="005E1CF2" w:rsidRDefault="00527869">
            <w:pPr>
              <w:jc w:val="both"/>
              <w:rPr>
                <w:i/>
                <w:sz w:val="24"/>
                <w:szCs w:val="24"/>
              </w:rPr>
            </w:pPr>
            <w:r w:rsidRPr="00527869">
              <w:rPr>
                <w:i/>
                <w:sz w:val="24"/>
                <w:szCs w:val="24"/>
              </w:rPr>
              <w:t>500 words (+/- 10%: include your actual word count at the end of each section)</w:t>
            </w:r>
            <w:r>
              <w:rPr>
                <w:i/>
                <w:sz w:val="24"/>
                <w:szCs w:val="24"/>
              </w:rPr>
              <w:t xml:space="preserve"> </w:t>
            </w:r>
            <w:r w:rsidR="00642844" w:rsidRPr="00642844">
              <w:rPr>
                <w:i/>
                <w:sz w:val="24"/>
                <w:szCs w:val="24"/>
              </w:rPr>
              <w:t>549</w:t>
            </w:r>
          </w:p>
          <w:p w14:paraId="49BF62AE" w14:textId="77777777" w:rsidR="005E1CF2" w:rsidRDefault="005E1CF2">
            <w:pPr>
              <w:jc w:val="both"/>
              <w:rPr>
                <w:i/>
                <w:sz w:val="24"/>
                <w:szCs w:val="24"/>
              </w:rPr>
            </w:pPr>
          </w:p>
        </w:tc>
      </w:tr>
    </w:tbl>
    <w:p w14:paraId="0F21795B" w14:textId="77777777" w:rsidR="005E1CF2" w:rsidRDefault="005E1CF2">
      <w:pPr>
        <w:jc w:val="both"/>
        <w:rPr>
          <w:sz w:val="24"/>
          <w:szCs w:val="24"/>
        </w:rPr>
      </w:pPr>
    </w:p>
    <w:p w14:paraId="12395581" w14:textId="77777777" w:rsidR="005E1CF2" w:rsidRDefault="005E1CF2">
      <w:pPr>
        <w:jc w:val="center"/>
        <w:rPr>
          <w:b/>
          <w:sz w:val="24"/>
          <w:szCs w:val="24"/>
        </w:rPr>
      </w:pPr>
    </w:p>
    <w:p w14:paraId="3C91E73E" w14:textId="77777777" w:rsidR="005E1CF2" w:rsidRDefault="005E1CF2">
      <w:pPr>
        <w:jc w:val="center"/>
        <w:rPr>
          <w:b/>
          <w:sz w:val="24"/>
          <w:szCs w:val="24"/>
        </w:rPr>
      </w:pPr>
    </w:p>
    <w:p w14:paraId="446103E6" w14:textId="77777777" w:rsidR="005E1CF2" w:rsidRDefault="00527869">
      <w:pPr>
        <w:numPr>
          <w:ilvl w:val="0"/>
          <w:numId w:val="13"/>
        </w:numPr>
        <w:tabs>
          <w:tab w:val="left" w:pos="270"/>
        </w:tabs>
        <w:rPr>
          <w:sz w:val="24"/>
          <w:szCs w:val="24"/>
        </w:rPr>
      </w:pPr>
      <w:r>
        <w:rPr>
          <w:b/>
          <w:bCs/>
          <w:sz w:val="24"/>
          <w:szCs w:val="24"/>
        </w:rPr>
        <w:t xml:space="preserve">Identify – </w:t>
      </w:r>
      <w:r>
        <w:rPr>
          <w:sz w:val="24"/>
          <w:szCs w:val="24"/>
        </w:rPr>
        <w:t>Usually asked for in the context of identifying key features or characteristics of something.  Unless specifically asked to do so, do not simply produce a list as you need to state the relevance and/or function of the thing/s you have identified. Determine what the key points to be addressed are and implications thereof.</w:t>
      </w:r>
    </w:p>
    <w:p w14:paraId="58DF683E" w14:textId="77777777" w:rsidR="005E1CF2" w:rsidRDefault="00527869">
      <w:pPr>
        <w:numPr>
          <w:ilvl w:val="0"/>
          <w:numId w:val="13"/>
        </w:numPr>
        <w:tabs>
          <w:tab w:val="left" w:pos="270"/>
        </w:tabs>
        <w:rPr>
          <w:sz w:val="24"/>
          <w:szCs w:val="24"/>
        </w:rPr>
      </w:pPr>
      <w:r>
        <w:rPr>
          <w:b/>
          <w:bCs/>
          <w:sz w:val="24"/>
          <w:szCs w:val="24"/>
        </w:rPr>
        <w:t xml:space="preserve">Justify – </w:t>
      </w:r>
      <w:r>
        <w:rPr>
          <w:sz w:val="24"/>
          <w:szCs w:val="24"/>
        </w:rPr>
        <w:t>Make a case by providing a body of evidence to support your ideas and points of view. To give a reasons for a position or argument. You need to provide supporting evidence and explanations your position and show adequate grounds of why you have a particular view or have come to a certain conclusions in relation to the main objective.</w:t>
      </w:r>
    </w:p>
    <w:p w14:paraId="0DAEFCA0" w14:textId="77777777" w:rsidR="005E1CF2" w:rsidRDefault="00527869">
      <w:pPr>
        <w:tabs>
          <w:tab w:val="left" w:pos="270"/>
        </w:tabs>
        <w:rPr>
          <w:sz w:val="24"/>
          <w:szCs w:val="24"/>
        </w:rPr>
      </w:pPr>
      <w:r>
        <w:br w:type="page"/>
      </w:r>
    </w:p>
    <w:p w14:paraId="0D1E4166" w14:textId="77777777" w:rsidR="005E1CF2" w:rsidRDefault="00527869">
      <w:pPr>
        <w:jc w:val="center"/>
        <w:rPr>
          <w:b/>
          <w:sz w:val="24"/>
          <w:szCs w:val="24"/>
        </w:rPr>
      </w:pPr>
      <w:r>
        <w:rPr>
          <w:b/>
          <w:sz w:val="24"/>
          <w:szCs w:val="24"/>
        </w:rPr>
        <w:lastRenderedPageBreak/>
        <w:t>Section 3</w:t>
      </w:r>
    </w:p>
    <w:p w14:paraId="5CBF8D2A" w14:textId="77777777" w:rsidR="005E1CF2" w:rsidRDefault="005E1CF2">
      <w:pPr>
        <w:jc w:val="both"/>
        <w:rPr>
          <w:b/>
          <w:sz w:val="24"/>
          <w:szCs w:val="24"/>
        </w:rPr>
      </w:pPr>
    </w:p>
    <w:p w14:paraId="3B977D6B" w14:textId="77777777" w:rsidR="005E1CF2" w:rsidRDefault="00527869">
      <w:pPr>
        <w:jc w:val="both"/>
        <w:rPr>
          <w:b/>
          <w:sz w:val="24"/>
          <w:szCs w:val="24"/>
        </w:rPr>
      </w:pPr>
      <w:r>
        <w:rPr>
          <w:b/>
          <w:sz w:val="24"/>
          <w:szCs w:val="24"/>
        </w:rPr>
        <w:t>Observation from an individual using services, their family and carers</w:t>
      </w:r>
    </w:p>
    <w:p w14:paraId="3DB340B2" w14:textId="77777777" w:rsidR="005E1CF2" w:rsidRDefault="005E1CF2">
      <w:pPr>
        <w:jc w:val="both"/>
        <w:rPr>
          <w:sz w:val="24"/>
          <w:szCs w:val="24"/>
        </w:rPr>
      </w:pPr>
    </w:p>
    <w:p w14:paraId="20C5C9CD" w14:textId="77777777" w:rsidR="005E1CF2" w:rsidRDefault="00527869">
      <w:pPr>
        <w:jc w:val="both"/>
        <w:rPr>
          <w:i/>
          <w:sz w:val="24"/>
          <w:szCs w:val="24"/>
        </w:rPr>
      </w:pPr>
      <w:r>
        <w:rPr>
          <w:i/>
          <w:sz w:val="24"/>
          <w:szCs w:val="24"/>
        </w:rPr>
        <w:t xml:space="preserve">Guidance: A learner must choose an observation of </w:t>
      </w:r>
      <w:r>
        <w:rPr>
          <w:b/>
          <w:i/>
          <w:sz w:val="24"/>
          <w:szCs w:val="24"/>
          <w:u w:val="single"/>
        </w:rPr>
        <w:t>direct social work practice</w:t>
      </w:r>
      <w:r>
        <w:rPr>
          <w:i/>
          <w:sz w:val="24"/>
          <w:szCs w:val="24"/>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w:t>
      </w:r>
      <w:r w:rsidR="00441EE8">
        <w:rPr>
          <w:i/>
          <w:sz w:val="24"/>
          <w:szCs w:val="24"/>
        </w:rPr>
        <w:t>years’ experience</w:t>
      </w:r>
      <w:r>
        <w:rPr>
          <w:i/>
          <w:sz w:val="24"/>
          <w:szCs w:val="24"/>
        </w:rPr>
        <w:t xml:space="preserve"> (criteria set out in the Programme Handbook). The observation must be a minimum of 30 minutes long. The observer will gain feedback from the individual using services, their families and/or their carers using the pro forma below at the end of the visit.  </w:t>
      </w:r>
    </w:p>
    <w:p w14:paraId="5EDB8ED8" w14:textId="77777777" w:rsidR="005E1CF2" w:rsidRDefault="005E1CF2">
      <w:pPr>
        <w:jc w:val="both"/>
        <w:rPr>
          <w:i/>
          <w:sz w:val="24"/>
          <w:szCs w:val="24"/>
        </w:rPr>
      </w:pPr>
    </w:p>
    <w:p w14:paraId="2803D85A" w14:textId="77777777" w:rsidR="005E1CF2" w:rsidRDefault="00527869">
      <w:pPr>
        <w:jc w:val="both"/>
        <w:rPr>
          <w:i/>
          <w:sz w:val="24"/>
          <w:szCs w:val="24"/>
        </w:rPr>
      </w:pPr>
      <w:r>
        <w:rPr>
          <w:i/>
          <w:sz w:val="24"/>
          <w:szCs w:val="24"/>
        </w:rPr>
        <w:t>Although the learner can choose to use the proforma provided for gathering feedback, they are encouraged to make this as in-depth as possible, and to use a range of ways to gather it, depending on age, ability, and the needs of the individuals using services, their families or carers.</w:t>
      </w:r>
    </w:p>
    <w:p w14:paraId="368FAD0B" w14:textId="77777777" w:rsidR="005E1CF2" w:rsidRDefault="005E1CF2">
      <w:pPr>
        <w:jc w:val="both"/>
        <w:rPr>
          <w:i/>
          <w:sz w:val="24"/>
          <w:szCs w:val="24"/>
        </w:rPr>
      </w:pPr>
    </w:p>
    <w:p w14:paraId="40EE4940" w14:textId="77777777" w:rsidR="005E1CF2" w:rsidRDefault="00527869">
      <w:pPr>
        <w:jc w:val="both"/>
        <w:rPr>
          <w:i/>
          <w:color w:val="auto"/>
          <w:sz w:val="24"/>
          <w:szCs w:val="24"/>
        </w:rPr>
      </w:pPr>
      <w:r>
        <w:rPr>
          <w:i/>
          <w:color w:val="auto"/>
          <w:sz w:val="24"/>
          <w:szCs w:val="24"/>
        </w:rPr>
        <w:t>In completing this section, you should watch the 4 video clips of ‘More than just words’ on Moodle as these should help you think about your own experiences and to reflect on why language should be an integral part of assessment and service provision.</w:t>
      </w:r>
    </w:p>
    <w:p w14:paraId="107CF651" w14:textId="77777777" w:rsidR="005E1CF2" w:rsidRDefault="005E1CF2">
      <w:pPr>
        <w:jc w:val="both"/>
        <w:rPr>
          <w:sz w:val="24"/>
          <w:szCs w:val="24"/>
        </w:rPr>
      </w:pPr>
    </w:p>
    <w:p w14:paraId="250241A4" w14:textId="77777777" w:rsidR="005E1CF2" w:rsidRDefault="00527869">
      <w:pPr>
        <w:jc w:val="both"/>
        <w:rPr>
          <w:b/>
          <w:sz w:val="24"/>
          <w:szCs w:val="24"/>
          <w:u w:val="single"/>
        </w:rPr>
      </w:pPr>
      <w:r>
        <w:rPr>
          <w:b/>
          <w:sz w:val="24"/>
          <w:szCs w:val="24"/>
          <w:u w:val="single"/>
        </w:rPr>
        <w:t xml:space="preserve">Observation Summary </w:t>
      </w:r>
    </w:p>
    <w:p w14:paraId="629CFD9A" w14:textId="77777777" w:rsidR="005E1CF2" w:rsidRDefault="005E1CF2">
      <w:pPr>
        <w:jc w:val="both"/>
        <w:rPr>
          <w:sz w:val="24"/>
          <w:szCs w:val="24"/>
        </w:rPr>
      </w:pPr>
    </w:p>
    <w:p w14:paraId="3BB9F2A9" w14:textId="77777777" w:rsidR="005E1CF2" w:rsidRDefault="00527869">
      <w:pPr>
        <w:jc w:val="both"/>
        <w:rPr>
          <w:sz w:val="24"/>
          <w:szCs w:val="24"/>
        </w:rPr>
      </w:pPr>
      <w:r>
        <w:rPr>
          <w:sz w:val="24"/>
          <w:szCs w:val="24"/>
        </w:rPr>
        <w:t xml:space="preserve">Please include name of the expert witness observing in </w:t>
      </w:r>
      <w:r>
        <w:rPr>
          <w:color w:val="auto"/>
          <w:sz w:val="24"/>
          <w:szCs w:val="24"/>
        </w:rPr>
        <w:t>section 8</w:t>
      </w:r>
      <w:r>
        <w:rPr>
          <w:sz w:val="24"/>
          <w:szCs w:val="24"/>
        </w:rPr>
        <w:t>.</w:t>
      </w:r>
    </w:p>
    <w:p w14:paraId="679EFE94" w14:textId="77777777" w:rsidR="005E1CF2" w:rsidRDefault="005E1CF2">
      <w:pPr>
        <w:jc w:val="both"/>
        <w:rPr>
          <w:sz w:val="24"/>
          <w:szCs w:val="24"/>
        </w:rPr>
      </w:pPr>
    </w:p>
    <w:p w14:paraId="59997504" w14:textId="77777777" w:rsidR="005E1CF2" w:rsidRDefault="00527869">
      <w:pPr>
        <w:jc w:val="both"/>
        <w:rPr>
          <w:sz w:val="24"/>
          <w:szCs w:val="24"/>
        </w:rPr>
      </w:pPr>
      <w:r>
        <w:rPr>
          <w:sz w:val="24"/>
          <w:szCs w:val="24"/>
        </w:rPr>
        <w:t xml:space="preserve">Date of observation:  _ 18.04.2019 _ </w:t>
      </w:r>
    </w:p>
    <w:p w14:paraId="6F2B00F4" w14:textId="77777777" w:rsidR="005E1CF2" w:rsidRDefault="005E1CF2">
      <w:pPr>
        <w:jc w:val="both"/>
        <w:rPr>
          <w:b/>
          <w:sz w:val="24"/>
          <w:szCs w:val="24"/>
        </w:rPr>
      </w:pPr>
    </w:p>
    <w:p w14:paraId="5FD07D0F" w14:textId="77777777" w:rsidR="005E1CF2" w:rsidRDefault="00527869">
      <w:pPr>
        <w:jc w:val="both"/>
        <w:rPr>
          <w:b/>
          <w:sz w:val="24"/>
          <w:szCs w:val="24"/>
        </w:rPr>
      </w:pPr>
      <w:r>
        <w:rPr>
          <w:b/>
          <w:sz w:val="24"/>
          <w:szCs w:val="24"/>
        </w:rPr>
        <w:t xml:space="preserve">To be completed by learner </w:t>
      </w:r>
    </w:p>
    <w:p w14:paraId="5C5AA25B" w14:textId="77777777" w:rsidR="005E1CF2" w:rsidRDefault="005E1CF2">
      <w:pPr>
        <w:jc w:val="both"/>
        <w:rPr>
          <w:b/>
          <w:sz w:val="24"/>
          <w:szCs w:val="24"/>
        </w:rPr>
      </w:pPr>
    </w:p>
    <w:tbl>
      <w:tblPr>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070"/>
      </w:tblGrid>
      <w:tr w:rsidR="005E1CF2" w14:paraId="0B9A85BF" w14:textId="77777777">
        <w:tc>
          <w:tcPr>
            <w:tcW w:w="10070" w:type="dxa"/>
            <w:tcBorders>
              <w:top w:val="single" w:sz="4" w:space="0" w:color="000000"/>
              <w:left w:val="single" w:sz="4" w:space="0" w:color="000000"/>
              <w:bottom w:val="single" w:sz="4" w:space="0" w:color="000000"/>
              <w:right w:val="single" w:sz="4" w:space="0" w:color="000000"/>
            </w:tcBorders>
            <w:shd w:val="clear" w:color="auto" w:fill="auto"/>
          </w:tcPr>
          <w:p w14:paraId="1C136B35" w14:textId="77777777" w:rsidR="005E1CF2" w:rsidRDefault="00527869">
            <w:pPr>
              <w:jc w:val="both"/>
              <w:rPr>
                <w:sz w:val="24"/>
                <w:szCs w:val="24"/>
              </w:rPr>
            </w:pPr>
            <w:r>
              <w:rPr>
                <w:sz w:val="24"/>
                <w:szCs w:val="24"/>
              </w:rPr>
              <w:t xml:space="preserve">Set out the social work objectives and give a brief description of the situation including geographical and legislative contexts and any relevant cultural, ethnicity and language issues. </w:t>
            </w:r>
          </w:p>
          <w:p w14:paraId="3004842E" w14:textId="77777777" w:rsidR="005E1CF2" w:rsidRDefault="005E1CF2">
            <w:pPr>
              <w:jc w:val="both"/>
              <w:rPr>
                <w:sz w:val="24"/>
                <w:szCs w:val="24"/>
                <w:highlight w:val="yellow"/>
              </w:rPr>
            </w:pPr>
          </w:p>
          <w:p w14:paraId="384FADD5" w14:textId="77777777" w:rsidR="005E1CF2" w:rsidRDefault="00527869">
            <w:pPr>
              <w:spacing w:line="360" w:lineRule="auto"/>
              <w:jc w:val="both"/>
              <w:rPr>
                <w:color w:val="FF0000"/>
                <w:sz w:val="24"/>
                <w:szCs w:val="24"/>
              </w:rPr>
            </w:pPr>
            <w:r>
              <w:rPr>
                <w:sz w:val="24"/>
                <w:szCs w:val="24"/>
              </w:rPr>
              <w:t xml:space="preserve">Miss 1 lives independently in an area that is identified as being impoverished according to the Welsh Government Index of Multiple Deprivation (WGIMD, 2014). The multiple deprivation index has eight separate domains that include; income, employment, health, education, access to services, community safety, physical environment and housing. An area is considered to be of multiple deprivation if there is a concentration of people that experience problems in more than one of these domains. The WGIMD state that the impacts of multiple deprivation have both material and social implications that can affect an individual’s wellbeing and access to opportunities. </w:t>
            </w:r>
          </w:p>
          <w:p w14:paraId="63CC850A" w14:textId="77777777" w:rsidR="005E1CF2" w:rsidRDefault="005E1CF2">
            <w:pPr>
              <w:spacing w:line="360" w:lineRule="auto"/>
              <w:jc w:val="both"/>
              <w:rPr>
                <w:sz w:val="24"/>
                <w:szCs w:val="24"/>
              </w:rPr>
            </w:pPr>
          </w:p>
          <w:p w14:paraId="3818C778" w14:textId="77777777" w:rsidR="005E1CF2" w:rsidRDefault="00527869">
            <w:pPr>
              <w:spacing w:line="360" w:lineRule="auto"/>
              <w:jc w:val="both"/>
              <w:rPr>
                <w:color w:val="FF0000"/>
                <w:sz w:val="24"/>
                <w:szCs w:val="24"/>
              </w:rPr>
            </w:pPr>
            <w:r>
              <w:rPr>
                <w:sz w:val="24"/>
                <w:szCs w:val="24"/>
              </w:rPr>
              <w:lastRenderedPageBreak/>
              <w:t>Miss 1 identifies as White Welsh however communicates in English. Miss 1 states that although she grew up in North Wales she has limited Welsh vocabulary A recent survey found that 32% of people residing in Wales could only speak limited Welsh (Welsh Gov, 2013-2014) Therefore Miss 1 declined any intervention utilising the Welsh language. However, my ‘active offer’ of this is a conduct that echoes the core values of the Social Services and Well-being (Wales) Act 2014, (Welsh Gov).</w:t>
            </w:r>
            <w:r>
              <w:rPr>
                <w:color w:val="FF0000"/>
                <w:sz w:val="24"/>
                <w:szCs w:val="24"/>
              </w:rPr>
              <w:t xml:space="preserve"> </w:t>
            </w:r>
          </w:p>
          <w:p w14:paraId="29A92395" w14:textId="77777777" w:rsidR="005E1CF2" w:rsidRDefault="005E1CF2">
            <w:pPr>
              <w:spacing w:line="360" w:lineRule="auto"/>
              <w:jc w:val="both"/>
              <w:rPr>
                <w:sz w:val="24"/>
                <w:szCs w:val="24"/>
              </w:rPr>
            </w:pPr>
          </w:p>
          <w:p w14:paraId="58C6CE90" w14:textId="77777777" w:rsidR="005E1CF2" w:rsidRDefault="00527869">
            <w:pPr>
              <w:spacing w:line="360" w:lineRule="auto"/>
              <w:jc w:val="both"/>
            </w:pPr>
            <w:r>
              <w:rPr>
                <w:sz w:val="24"/>
                <w:szCs w:val="24"/>
              </w:rPr>
              <w:t xml:space="preserve">A recent bereavement has left Miss 1 without a father. Bereavement is a considerable life stressor for anyone but </w:t>
            </w:r>
            <w:proofErr w:type="spellStart"/>
            <w:r>
              <w:rPr>
                <w:sz w:val="24"/>
                <w:szCs w:val="24"/>
              </w:rPr>
              <w:t>Melhem</w:t>
            </w:r>
            <w:proofErr w:type="spellEnd"/>
            <w:r>
              <w:rPr>
                <w:sz w:val="24"/>
                <w:szCs w:val="24"/>
              </w:rPr>
              <w:t xml:space="preserve"> et al, (2011) say people who experience the death of a parent, even as an adult, have an increased risk of depression and post-traumatic stress disorder within a year of their loss. The aim of the session was to recap the previous sessions whilst exploring Miss 1’s current needs in terms coping strategies and future goals. Utilising crisis intervention theory Miss 1 reflected that she had lost control of her life following the loss of her father which has had a negative impact on her well-being. Miss 1 is currently exploring skills and self-care strategies to support her well-being. </w:t>
            </w:r>
          </w:p>
          <w:p w14:paraId="5DEF566F" w14:textId="77777777" w:rsidR="005E1CF2" w:rsidRDefault="005E1CF2">
            <w:pPr>
              <w:spacing w:line="360" w:lineRule="auto"/>
              <w:jc w:val="both"/>
              <w:rPr>
                <w:sz w:val="24"/>
                <w:szCs w:val="24"/>
              </w:rPr>
            </w:pPr>
          </w:p>
          <w:p w14:paraId="41D3BE49" w14:textId="77777777" w:rsidR="005E1CF2" w:rsidRDefault="00527869">
            <w:pPr>
              <w:spacing w:line="360" w:lineRule="auto"/>
              <w:jc w:val="both"/>
              <w:rPr>
                <w:color w:val="FF0000"/>
                <w:sz w:val="24"/>
                <w:szCs w:val="24"/>
              </w:rPr>
            </w:pPr>
            <w:r>
              <w:rPr>
                <w:sz w:val="24"/>
                <w:szCs w:val="24"/>
              </w:rPr>
              <w:t xml:space="preserve">This observation was chosen to explore current communication techniques, ensuring I was promoting her interests with Miss 1 whilst maintaining trust and encouraging her independence to ensure Miss 1 doesn’t become dependent on our service. </w:t>
            </w:r>
          </w:p>
          <w:p w14:paraId="7337C7D0" w14:textId="77777777" w:rsidR="005E1CF2" w:rsidRDefault="005E1CF2">
            <w:pPr>
              <w:jc w:val="both"/>
              <w:rPr>
                <w:sz w:val="24"/>
                <w:szCs w:val="24"/>
                <w:highlight w:val="yellow"/>
              </w:rPr>
            </w:pPr>
          </w:p>
          <w:p w14:paraId="3DF979D6" w14:textId="77777777" w:rsidR="005E1CF2" w:rsidRDefault="00527869">
            <w:pPr>
              <w:jc w:val="both"/>
            </w:pPr>
            <w:r w:rsidRPr="00527869">
              <w:rPr>
                <w:i/>
                <w:sz w:val="24"/>
                <w:szCs w:val="24"/>
              </w:rPr>
              <w:t>300 words (+/- 10%: include your actual word count at the end of each section) 330</w:t>
            </w:r>
          </w:p>
          <w:p w14:paraId="26C3E993" w14:textId="77777777" w:rsidR="005E1CF2" w:rsidRDefault="005E1CF2">
            <w:pPr>
              <w:jc w:val="both"/>
              <w:rPr>
                <w:i/>
                <w:sz w:val="24"/>
                <w:szCs w:val="24"/>
              </w:rPr>
            </w:pPr>
          </w:p>
          <w:p w14:paraId="44E47648" w14:textId="77777777" w:rsidR="005E1CF2" w:rsidRDefault="005E1CF2">
            <w:pPr>
              <w:jc w:val="both"/>
              <w:rPr>
                <w:i/>
                <w:sz w:val="24"/>
                <w:szCs w:val="24"/>
              </w:rPr>
            </w:pPr>
          </w:p>
        </w:tc>
      </w:tr>
    </w:tbl>
    <w:p w14:paraId="42099ED8" w14:textId="77777777" w:rsidR="005E1CF2" w:rsidRDefault="005E1CF2">
      <w:pPr>
        <w:jc w:val="both"/>
        <w:rPr>
          <w:sz w:val="24"/>
          <w:szCs w:val="24"/>
        </w:rPr>
      </w:pPr>
    </w:p>
    <w:p w14:paraId="061F8FA0" w14:textId="77777777" w:rsidR="005E1CF2" w:rsidRDefault="005E1CF2">
      <w:pPr>
        <w:jc w:val="both"/>
        <w:rPr>
          <w:sz w:val="24"/>
          <w:szCs w:val="24"/>
        </w:rPr>
      </w:pPr>
    </w:p>
    <w:p w14:paraId="03D5A7B9" w14:textId="77777777" w:rsidR="005E1CF2" w:rsidRDefault="005E1CF2">
      <w:pPr>
        <w:jc w:val="both"/>
        <w:rPr>
          <w:sz w:val="24"/>
          <w:szCs w:val="24"/>
        </w:rPr>
      </w:pPr>
    </w:p>
    <w:p w14:paraId="36901955" w14:textId="77777777" w:rsidR="005E1CF2" w:rsidRDefault="005E1CF2">
      <w:pPr>
        <w:jc w:val="both"/>
        <w:rPr>
          <w:sz w:val="24"/>
          <w:szCs w:val="24"/>
        </w:rPr>
      </w:pPr>
    </w:p>
    <w:p w14:paraId="5128A366" w14:textId="77777777" w:rsidR="005E1CF2" w:rsidRDefault="005E1CF2">
      <w:pPr>
        <w:jc w:val="both"/>
        <w:rPr>
          <w:sz w:val="24"/>
          <w:szCs w:val="24"/>
        </w:rPr>
      </w:pPr>
    </w:p>
    <w:p w14:paraId="1F1171E0" w14:textId="77777777" w:rsidR="005E1CF2" w:rsidRDefault="005E1CF2">
      <w:pPr>
        <w:jc w:val="both"/>
        <w:rPr>
          <w:sz w:val="24"/>
          <w:szCs w:val="24"/>
        </w:rPr>
      </w:pPr>
    </w:p>
    <w:p w14:paraId="7B4A4E7A" w14:textId="77777777" w:rsidR="005E1CF2" w:rsidRDefault="00527869">
      <w:r>
        <w:br w:type="page"/>
      </w:r>
    </w:p>
    <w:tbl>
      <w:tblPr>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070"/>
      </w:tblGrid>
      <w:tr w:rsidR="005E1CF2" w14:paraId="59A3BCE8" w14:textId="77777777">
        <w:tc>
          <w:tcPr>
            <w:tcW w:w="10070" w:type="dxa"/>
            <w:tcBorders>
              <w:top w:val="single" w:sz="4" w:space="0" w:color="000000"/>
              <w:left w:val="single" w:sz="4" w:space="0" w:color="000000"/>
              <w:bottom w:val="single" w:sz="4" w:space="0" w:color="000000"/>
              <w:right w:val="single" w:sz="4" w:space="0" w:color="000000"/>
            </w:tcBorders>
            <w:shd w:val="clear" w:color="auto" w:fill="auto"/>
          </w:tcPr>
          <w:p w14:paraId="6CB18FAF" w14:textId="77777777" w:rsidR="005E1CF2" w:rsidRPr="00527869" w:rsidRDefault="00527869">
            <w:pPr>
              <w:pageBreakBefore/>
              <w:jc w:val="both"/>
              <w:rPr>
                <w:sz w:val="24"/>
                <w:szCs w:val="24"/>
              </w:rPr>
            </w:pPr>
            <w:r w:rsidRPr="00527869">
              <w:rPr>
                <w:sz w:val="24"/>
                <w:szCs w:val="24"/>
              </w:rPr>
              <w:lastRenderedPageBreak/>
              <w:t xml:space="preserve">Critically reflect on your communication methods and skills during the observation including how you identified whether you had the necessary communication skills to work with the </w:t>
            </w:r>
            <w:r w:rsidRPr="00527869">
              <w:rPr>
                <w:color w:val="auto"/>
                <w:sz w:val="24"/>
                <w:szCs w:val="24"/>
              </w:rPr>
              <w:t>individual using services, their family or carers</w:t>
            </w:r>
            <w:r w:rsidRPr="00527869">
              <w:rPr>
                <w:sz w:val="24"/>
                <w:szCs w:val="24"/>
              </w:rPr>
              <w:t>.  Show how you adhered to social work values using a person centred approach, Code of Professional Practice for Social Care Workers, cultural sensitive practice, language preference including the “Active Offer” principle, and ethical practice.</w:t>
            </w:r>
          </w:p>
          <w:p w14:paraId="72E22608" w14:textId="77777777" w:rsidR="005E1CF2" w:rsidRDefault="005E1CF2">
            <w:pPr>
              <w:spacing w:line="360" w:lineRule="auto"/>
              <w:jc w:val="both"/>
              <w:rPr>
                <w:i/>
                <w:sz w:val="24"/>
                <w:szCs w:val="24"/>
              </w:rPr>
            </w:pPr>
          </w:p>
          <w:p w14:paraId="68D9EBAD" w14:textId="77777777" w:rsidR="005E1CF2" w:rsidRDefault="00527869">
            <w:pPr>
              <w:spacing w:line="360" w:lineRule="auto"/>
              <w:jc w:val="both"/>
            </w:pPr>
            <w:r>
              <w:rPr>
                <w:sz w:val="24"/>
                <w:szCs w:val="24"/>
              </w:rPr>
              <w:t xml:space="preserve">During a previous session I had explained to Miss 1 my current academic studies, providing an overview of requirements for the observation and given her an opportunity for her to ask any questions. I advised Miss 1 of whom the observer would be, practising in an open manner and adhering to the COPP. I was honest in offering appropriate reassurance that their presence was solely to assess my professional skill set. Although Miss 1 gave initial verbal consent, I had asked her to reflect and confirm/decline the observation during our next session. Miss 1 was reassured that her care and support would not be effected should she choose not to partake in observation. </w:t>
            </w:r>
          </w:p>
          <w:p w14:paraId="0B3345E9" w14:textId="77777777" w:rsidR="005E1CF2" w:rsidRDefault="005E1CF2">
            <w:pPr>
              <w:spacing w:line="360" w:lineRule="auto"/>
              <w:jc w:val="both"/>
              <w:rPr>
                <w:sz w:val="24"/>
                <w:szCs w:val="24"/>
              </w:rPr>
            </w:pPr>
          </w:p>
          <w:p w14:paraId="490DAB00" w14:textId="77777777" w:rsidR="005E1CF2" w:rsidRDefault="00527869">
            <w:pPr>
              <w:spacing w:line="360" w:lineRule="auto"/>
              <w:jc w:val="both"/>
            </w:pPr>
            <w:r>
              <w:rPr>
                <w:sz w:val="24"/>
                <w:szCs w:val="24"/>
              </w:rPr>
              <w:t>On the day of planned observation, I clarified again that Miss 1 was happy to proceed with the observation, which she was. I reaffirmed Miss 1’s wishes to proceed with the session communicating with her first language of English, (SSWBA, 2014) ‘If a person is offered a method of communication which is familiar, it gives them some sense of control over the situation’ (Horwath, 2009, p.132).  I introduced her to the observer and the session began. As this session was a continuation of ongoing bereavement support, Miss 1 and I had established a professional relationship maintaining honesty and trust, which are paramount within bereavement support due to the sensitivity of her grief trajectory. Previous sessions had enabled me to ascertain supporting interactions with Miss 1, during times of emotional outlet which included consent to positive therapeutic touch, providing a safe, caring and reassuring setting for Miss 1</w:t>
            </w:r>
            <w:r>
              <w:rPr>
                <w:color w:val="auto"/>
                <w:sz w:val="24"/>
                <w:szCs w:val="24"/>
              </w:rPr>
              <w:t xml:space="preserve">. A technique of non-contact touch called Therapeutic Touch (TT) is beneficial for relieving anxiety in individuals; enhancing sharing and emotional compassion. Meehan (1998) asserts there are observable physical changes that occur in a TT recipient. These can include audible signs of relaxation i.e. sigh and can be observed instantly or over a period of time, An essential premise of TT however, is that the practitioner can be compassionate. Compassion must be intended with a caring input that is not associated to the outcome and </w:t>
            </w:r>
            <w:r>
              <w:rPr>
                <w:color w:val="auto"/>
                <w:sz w:val="24"/>
                <w:szCs w:val="24"/>
              </w:rPr>
              <w:lastRenderedPageBreak/>
              <w:t>not for personally associated. When appropriate TT is implemented, it can be rewarding for both parties and rarely has an impact of emotional resilience of the practitioner (Krieger, 1975).</w:t>
            </w:r>
          </w:p>
          <w:p w14:paraId="2C65F10C" w14:textId="77777777" w:rsidR="005E1CF2" w:rsidRDefault="005E1CF2">
            <w:pPr>
              <w:spacing w:line="360" w:lineRule="auto"/>
              <w:jc w:val="both"/>
              <w:rPr>
                <w:i/>
                <w:iCs/>
                <w:sz w:val="24"/>
                <w:szCs w:val="24"/>
              </w:rPr>
            </w:pPr>
          </w:p>
          <w:p w14:paraId="5DDD2F3A" w14:textId="77777777" w:rsidR="005E1CF2" w:rsidRPr="00527869" w:rsidRDefault="00527869">
            <w:pPr>
              <w:spacing w:line="360" w:lineRule="auto"/>
              <w:jc w:val="both"/>
              <w:rPr>
                <w:iCs/>
              </w:rPr>
            </w:pPr>
            <w:r w:rsidRPr="00527869">
              <w:rPr>
                <w:iCs/>
                <w:sz w:val="24"/>
                <w:szCs w:val="24"/>
              </w:rPr>
              <w:t>Reviewing Miss 1’s emotional well-being following the previous session she was able to recognise that she has implemented some tasks set in previous session. T</w:t>
            </w:r>
            <w:r w:rsidRPr="00527869">
              <w:rPr>
                <w:iCs/>
                <w:sz w:val="24"/>
                <w:szCs w:val="24"/>
                <w:lang w:val="en-US"/>
              </w:rPr>
              <w:t>ask centered social work is a way of working with individuals to work towards their goals. This is what Miss 1 and I were working towards during our sessions, completing tasks to improve emotional well-being concentrating on tasks and not mental health issues (</w:t>
            </w:r>
            <w:proofErr w:type="spellStart"/>
            <w:r w:rsidRPr="00527869">
              <w:rPr>
                <w:iCs/>
                <w:sz w:val="24"/>
                <w:szCs w:val="24"/>
                <w:lang w:val="en-US"/>
              </w:rPr>
              <w:t>Teater</w:t>
            </w:r>
            <w:proofErr w:type="spellEnd"/>
            <w:r w:rsidRPr="00527869">
              <w:rPr>
                <w:iCs/>
                <w:sz w:val="24"/>
                <w:szCs w:val="24"/>
                <w:lang w:val="en-US"/>
              </w:rPr>
              <w:t>, 2010). Doel (1991) explains that Task Centered model includes working in partnership to ensure the service users reach their goals. I encouraged Miss 1 to describe her issues from her own perspective in order to establish personal goals she wanted to pursue. It is important for practitioners to focus on strengths and abilities to encourage a greater sense of confidence and self-esteem without focus on the things they can’t achieve (</w:t>
            </w:r>
            <w:proofErr w:type="spellStart"/>
            <w:r w:rsidRPr="00527869">
              <w:rPr>
                <w:iCs/>
                <w:sz w:val="24"/>
                <w:szCs w:val="24"/>
                <w:lang w:val="en-US"/>
              </w:rPr>
              <w:t>Teater</w:t>
            </w:r>
            <w:proofErr w:type="spellEnd"/>
            <w:r w:rsidRPr="00527869">
              <w:rPr>
                <w:iCs/>
                <w:sz w:val="24"/>
                <w:szCs w:val="24"/>
                <w:lang w:val="en-US"/>
              </w:rPr>
              <w:t>, 2010).</w:t>
            </w:r>
            <w:r w:rsidRPr="00527869">
              <w:rPr>
                <w:iCs/>
                <w:color w:val="FF0000"/>
                <w:sz w:val="24"/>
                <w:szCs w:val="24"/>
              </w:rPr>
              <w:t xml:space="preserve"> </w:t>
            </w:r>
          </w:p>
          <w:p w14:paraId="0969A40F" w14:textId="77777777" w:rsidR="005E1CF2" w:rsidRDefault="005E1CF2">
            <w:pPr>
              <w:spacing w:line="360" w:lineRule="auto"/>
              <w:jc w:val="both"/>
              <w:rPr>
                <w:sz w:val="24"/>
                <w:szCs w:val="24"/>
              </w:rPr>
            </w:pPr>
          </w:p>
          <w:p w14:paraId="34C77AB6" w14:textId="77777777" w:rsidR="005E1CF2" w:rsidRDefault="00527869">
            <w:pPr>
              <w:spacing w:line="360" w:lineRule="auto"/>
              <w:jc w:val="both"/>
              <w:rPr>
                <w:sz w:val="24"/>
                <w:szCs w:val="24"/>
              </w:rPr>
            </w:pPr>
            <w:r>
              <w:rPr>
                <w:sz w:val="24"/>
                <w:szCs w:val="24"/>
              </w:rPr>
              <w:t xml:space="preserve">Miss 1 expressed how she had ‘panicked’ and ‘broken down’ during a recent incident where her car had malfunctioned. Historically Miss 1 would seek support from her father for this so Miss 1 felt this was ‘the end of the world’. Systems theory could help understand difficulties within the family and identify what systems are in place to support them. Payne (2014) states that systems theory can help to understand how individuals behave within groups and how private lives overlap into interactions with the social world. Payne explains that the microsystem (the individual) exists within the macrosystem (the family). Within the macrosystem each individual interacts with each other, gaining insight into these behaviours can build a picture of how the </w:t>
            </w:r>
            <w:proofErr w:type="spellStart"/>
            <w:r>
              <w:rPr>
                <w:sz w:val="24"/>
                <w:szCs w:val="24"/>
              </w:rPr>
              <w:t>macrosytem</w:t>
            </w:r>
            <w:proofErr w:type="spellEnd"/>
            <w:r>
              <w:rPr>
                <w:sz w:val="24"/>
                <w:szCs w:val="24"/>
              </w:rPr>
              <w:t xml:space="preserve"> operates. There are also considerations of the wider macrosystems such as school, friends and wider family members. However Freidman &amp; Neuman, (2011) state that although systems theory works in understanding how individuals fit within their environment, it does not give the worker direction towards methods of intervention. Therefore it is a theory that mainly informs the understanding of the context. During this situation Miss 1 was able to call upon extended family member to access practical support and guidance. </w:t>
            </w:r>
          </w:p>
          <w:p w14:paraId="63BB78D9" w14:textId="77777777" w:rsidR="005E1CF2" w:rsidRDefault="005E1CF2">
            <w:pPr>
              <w:spacing w:line="360" w:lineRule="auto"/>
              <w:jc w:val="both"/>
              <w:rPr>
                <w:sz w:val="24"/>
                <w:szCs w:val="24"/>
                <w:highlight w:val="cyan"/>
              </w:rPr>
            </w:pPr>
          </w:p>
          <w:p w14:paraId="2A1809C8" w14:textId="77777777" w:rsidR="005E1CF2" w:rsidRDefault="00527869">
            <w:pPr>
              <w:spacing w:line="360" w:lineRule="auto"/>
              <w:jc w:val="both"/>
            </w:pPr>
            <w:r>
              <w:rPr>
                <w:sz w:val="24"/>
                <w:szCs w:val="24"/>
              </w:rPr>
              <w:lastRenderedPageBreak/>
              <w:t>Kubler Ross’s staged theory of grief could help understand how the individuals are coping with the loss. Stages of grief include; denial, anger, bargaining, depression and acceptance. Miss 1 would often ask ‘when will I feel better’ and state ‘I’ve never been an angry person’, However, the theory is not linear so the individual may go through these stages in any order (</w:t>
            </w:r>
            <w:proofErr w:type="spellStart"/>
            <w:r>
              <w:rPr>
                <w:sz w:val="24"/>
                <w:szCs w:val="24"/>
              </w:rPr>
              <w:t>Sudbery</w:t>
            </w:r>
            <w:proofErr w:type="spellEnd"/>
            <w:r>
              <w:rPr>
                <w:sz w:val="24"/>
                <w:szCs w:val="24"/>
              </w:rPr>
              <w:t>, 2010). Communication may be difficult when considering peoples grieving, and their changing roles. I looked at Transactional Analysis (TA) theory that uses communication styles of parent, adult, and child to inform my own communication style, to be aware that I was talking to and treating Miss 1 as an adult and to mirror her communication style. From building relationships with Miss 1 we were able to explore situations where she has been ‘snappy’ with her mother. We explored how her mother is also grieving and presenting herself in a different stage of grief: from the information shared her mother could be described as in ‘denial’. At times Miss 1 spoke negatively of her mother so could be identified as the ‘victim’ (Maclean &amp; Harrison, 2009) and her mother as the ‘prosecutor’. However it was important for me to not professionally show agreement or to be drawn in the tensions and remain neutral but I could acknowledged the feelings that Miss 1 had without judgement. Thompson and Thompson (2008) highlight that professionalism entails, informed knowledge, value basis and professional accountability without judgement, all of which are incorporated within the Codes of Practice.</w:t>
            </w:r>
            <w:r>
              <w:rPr>
                <w:color w:val="FF0000"/>
                <w:sz w:val="24"/>
                <w:szCs w:val="24"/>
              </w:rPr>
              <w:t xml:space="preserve"> </w:t>
            </w:r>
          </w:p>
          <w:p w14:paraId="773BF52D" w14:textId="77777777" w:rsidR="005E1CF2" w:rsidRDefault="005E1CF2">
            <w:pPr>
              <w:spacing w:line="360" w:lineRule="auto"/>
              <w:jc w:val="both"/>
              <w:rPr>
                <w:sz w:val="24"/>
                <w:szCs w:val="24"/>
                <w:highlight w:val="cyan"/>
              </w:rPr>
            </w:pPr>
          </w:p>
          <w:p w14:paraId="5239B00A" w14:textId="77777777" w:rsidR="005E1CF2" w:rsidRDefault="00527869">
            <w:pPr>
              <w:spacing w:line="360" w:lineRule="auto"/>
              <w:jc w:val="both"/>
              <w:rPr>
                <w:sz w:val="24"/>
                <w:szCs w:val="24"/>
              </w:rPr>
            </w:pPr>
            <w:r>
              <w:rPr>
                <w:sz w:val="24"/>
                <w:szCs w:val="24"/>
              </w:rPr>
              <w:t xml:space="preserve">The Collins dictionary defines communication as ‘the giving or exchanging of information through a variety of media’ (Thomas, 1995, p.77). During the session with Miss 1 I offered a variety of communication techniques, including verbal, nonverbal and listening to ensure she felt valued and heard (Lishman and </w:t>
            </w:r>
            <w:proofErr w:type="spellStart"/>
            <w:r>
              <w:rPr>
                <w:sz w:val="24"/>
                <w:szCs w:val="24"/>
              </w:rPr>
              <w:t>Postle</w:t>
            </w:r>
            <w:proofErr w:type="spellEnd"/>
            <w:r>
              <w:rPr>
                <w:sz w:val="24"/>
                <w:szCs w:val="24"/>
              </w:rPr>
              <w:t xml:space="preserve">, 2007). Argyle </w:t>
            </w:r>
            <w:r>
              <w:rPr>
                <w:i/>
                <w:sz w:val="24"/>
                <w:szCs w:val="24"/>
              </w:rPr>
              <w:t xml:space="preserve">et al. </w:t>
            </w:r>
            <w:r>
              <w:rPr>
                <w:sz w:val="24"/>
                <w:szCs w:val="24"/>
              </w:rPr>
              <w:t xml:space="preserve">(1970) suggest that non-verbal communication has more effect than verbal and if the two were to become conflicted then the non-verbal communication would be the dominant expression (cited from Lishman </w:t>
            </w:r>
            <w:r>
              <w:rPr>
                <w:i/>
                <w:sz w:val="24"/>
                <w:szCs w:val="24"/>
              </w:rPr>
              <w:t>et al.,</w:t>
            </w:r>
            <w:r>
              <w:rPr>
                <w:sz w:val="24"/>
                <w:szCs w:val="24"/>
              </w:rPr>
              <w:t xml:space="preserve"> 1994, p.20) B</w:t>
            </w:r>
            <w:r>
              <w:rPr>
                <w:color w:val="auto"/>
                <w:sz w:val="24"/>
                <w:szCs w:val="24"/>
              </w:rPr>
              <w:t xml:space="preserve">ody language can be interpreted differently by individuals and it was important for me to have self-awareness of my own body language as poor signals, for example not paying attention or fidgeting, could discourage Miss 1 from sharing information, or professional interpretations being misunderstood. ‘It is important to be aware of the body language of the individual and his or her overall affect or emotional tone’ (Horwath, 2009, p.134). Throughout the session, I used active listening skills to show that I was engaged by maintaining a </w:t>
            </w:r>
            <w:r>
              <w:rPr>
                <w:color w:val="auto"/>
                <w:sz w:val="24"/>
                <w:szCs w:val="24"/>
              </w:rPr>
              <w:lastRenderedPageBreak/>
              <w:t>reasonable amount of eye contact and giving verbal feedback with a ‘yes’, as she was listening.  ‘It is common when listening to make noises mm, yes, right’ (</w:t>
            </w:r>
            <w:proofErr w:type="spellStart"/>
            <w:r>
              <w:rPr>
                <w:color w:val="auto"/>
                <w:sz w:val="24"/>
                <w:szCs w:val="24"/>
              </w:rPr>
              <w:t>Koprowska</w:t>
            </w:r>
            <w:proofErr w:type="spellEnd"/>
            <w:r>
              <w:rPr>
                <w:color w:val="auto"/>
                <w:sz w:val="24"/>
                <w:szCs w:val="24"/>
              </w:rPr>
              <w:t xml:space="preserve">, 2005, p.77). </w:t>
            </w:r>
            <w:r>
              <w:rPr>
                <w:color w:val="auto"/>
                <w:sz w:val="24"/>
                <w:szCs w:val="24"/>
                <w:lang w:val="en-US"/>
              </w:rPr>
              <w:t xml:space="preserve">I paid particular attention to my non-verbal communication as Harms (2007) states that 85% of communication is conveyed this way, therefore considering Egan’s model of SOLAR (2010) I aimed for appropriate body language such as sitting squarely to face the person, assume an open body position, sometimes leaning slightly forward towards Miss 1 and maintaining appropriate eye contact, whilst appearing in a relaxed manner.. Body language communicates attention and interest in other people as well as concern, respect and authenticity (Cournoyer, 2011).  </w:t>
            </w:r>
          </w:p>
          <w:p w14:paraId="0A2350AB" w14:textId="77777777" w:rsidR="005E1CF2" w:rsidRDefault="005E1CF2">
            <w:pPr>
              <w:jc w:val="both"/>
              <w:rPr>
                <w:sz w:val="24"/>
                <w:szCs w:val="24"/>
                <w:highlight w:val="yellow"/>
              </w:rPr>
            </w:pPr>
          </w:p>
          <w:p w14:paraId="07DA6C38" w14:textId="77777777" w:rsidR="005E1CF2" w:rsidRDefault="00527869">
            <w:pPr>
              <w:spacing w:line="360" w:lineRule="auto"/>
              <w:jc w:val="both"/>
              <w:rPr>
                <w:sz w:val="24"/>
                <w:szCs w:val="24"/>
              </w:rPr>
            </w:pPr>
            <w:r>
              <w:rPr>
                <w:sz w:val="24"/>
                <w:szCs w:val="24"/>
              </w:rPr>
              <w:t>From both professional and personal experiences, I am able to recognise the impact has had on Miss 1’s emotional and mental wellbeing. During sessions we have been able to establish trajectories such as beginning, middle and end (Golan, 1974) and although she still experiences waves of grief, Miss 1 has an end goal in sight with an action plan of how to achieve this, with the bereavement support service. The service works collaboratively with individuals so this session will further co-produce a care plan for Miss 1, considering her strengths and discuss the potential of reducing current service input.</w:t>
            </w:r>
          </w:p>
          <w:p w14:paraId="61764761" w14:textId="77777777" w:rsidR="005E1CF2" w:rsidRDefault="005E1CF2">
            <w:pPr>
              <w:jc w:val="both"/>
              <w:rPr>
                <w:sz w:val="24"/>
                <w:szCs w:val="24"/>
                <w:highlight w:val="cyan"/>
              </w:rPr>
            </w:pPr>
          </w:p>
          <w:p w14:paraId="119D466F" w14:textId="77777777" w:rsidR="005E1CF2" w:rsidRDefault="00527869" w:rsidP="00527869">
            <w:pPr>
              <w:jc w:val="both"/>
              <w:rPr>
                <w:sz w:val="24"/>
                <w:szCs w:val="24"/>
              </w:rPr>
            </w:pPr>
            <w:r w:rsidRPr="00527869">
              <w:rPr>
                <w:i/>
                <w:sz w:val="24"/>
                <w:szCs w:val="24"/>
              </w:rPr>
              <w:t>1300</w:t>
            </w:r>
            <w:r w:rsidRPr="00527869">
              <w:rPr>
                <w:sz w:val="24"/>
                <w:szCs w:val="24"/>
              </w:rPr>
              <w:t xml:space="preserve"> </w:t>
            </w:r>
            <w:r w:rsidRPr="00527869">
              <w:rPr>
                <w:i/>
                <w:sz w:val="24"/>
                <w:szCs w:val="24"/>
              </w:rPr>
              <w:t>(+/- 10%: include your actual word count at the end of each section)</w:t>
            </w:r>
            <w:r>
              <w:rPr>
                <w:i/>
                <w:sz w:val="24"/>
                <w:szCs w:val="24"/>
              </w:rPr>
              <w:t xml:space="preserve"> 1350</w:t>
            </w:r>
          </w:p>
        </w:tc>
      </w:tr>
    </w:tbl>
    <w:p w14:paraId="7992ED0A" w14:textId="77777777" w:rsidR="005E1CF2" w:rsidRDefault="005E1CF2">
      <w:pPr>
        <w:jc w:val="both"/>
        <w:rPr>
          <w:b/>
          <w:sz w:val="24"/>
          <w:szCs w:val="24"/>
        </w:rPr>
      </w:pPr>
    </w:p>
    <w:p w14:paraId="149C93E5" w14:textId="77777777" w:rsidR="005E1CF2" w:rsidRDefault="005E1CF2">
      <w:pPr>
        <w:jc w:val="both"/>
        <w:rPr>
          <w:b/>
          <w:sz w:val="24"/>
          <w:szCs w:val="24"/>
        </w:rPr>
      </w:pPr>
    </w:p>
    <w:p w14:paraId="55E26406" w14:textId="77777777" w:rsidR="005E1CF2" w:rsidRDefault="00527869">
      <w:pPr>
        <w:numPr>
          <w:ilvl w:val="0"/>
          <w:numId w:val="14"/>
        </w:numPr>
        <w:jc w:val="both"/>
        <w:rPr>
          <w:b/>
          <w:sz w:val="24"/>
          <w:szCs w:val="24"/>
        </w:rPr>
      </w:pPr>
      <w:r>
        <w:rPr>
          <w:b/>
          <w:sz w:val="24"/>
          <w:szCs w:val="24"/>
        </w:rPr>
        <w:t xml:space="preserve">Consent </w:t>
      </w:r>
      <w:r>
        <w:rPr>
          <w:b/>
          <w:bCs/>
          <w:sz w:val="24"/>
          <w:szCs w:val="24"/>
        </w:rPr>
        <w:t xml:space="preserve">prior to observation </w:t>
      </w:r>
    </w:p>
    <w:p w14:paraId="69241DFB" w14:textId="77777777" w:rsidR="005E1CF2" w:rsidRDefault="00527869">
      <w:pPr>
        <w:numPr>
          <w:ilvl w:val="0"/>
          <w:numId w:val="14"/>
        </w:numPr>
        <w:jc w:val="both"/>
        <w:rPr>
          <w:b/>
          <w:sz w:val="24"/>
          <w:szCs w:val="24"/>
        </w:rPr>
      </w:pPr>
      <w:r>
        <w:rPr>
          <w:b/>
          <w:bCs/>
          <w:sz w:val="24"/>
          <w:szCs w:val="24"/>
        </w:rPr>
        <w:t>Choice of language as per the advocacy offer</w:t>
      </w:r>
      <w:r>
        <w:br w:type="page"/>
      </w:r>
    </w:p>
    <w:p w14:paraId="299F244A" w14:textId="77777777" w:rsidR="005E1CF2" w:rsidRDefault="00527869">
      <w:pPr>
        <w:jc w:val="both"/>
        <w:rPr>
          <w:b/>
          <w:sz w:val="24"/>
          <w:szCs w:val="24"/>
        </w:rPr>
      </w:pPr>
      <w:r>
        <w:rPr>
          <w:b/>
          <w:sz w:val="24"/>
          <w:szCs w:val="24"/>
        </w:rPr>
        <w:lastRenderedPageBreak/>
        <w:t>Feedback and comments from an individual using services, their family or carers</w:t>
      </w:r>
    </w:p>
    <w:p w14:paraId="593FF942" w14:textId="77777777" w:rsidR="005E1CF2" w:rsidRDefault="005E1CF2">
      <w:pPr>
        <w:jc w:val="both"/>
        <w:rPr>
          <w:sz w:val="24"/>
          <w:szCs w:val="24"/>
        </w:rPr>
      </w:pPr>
    </w:p>
    <w:p w14:paraId="064A32AB" w14:textId="77777777" w:rsidR="005E1CF2" w:rsidRDefault="00527869">
      <w:pPr>
        <w:jc w:val="both"/>
        <w:rPr>
          <w:sz w:val="24"/>
          <w:szCs w:val="24"/>
        </w:rPr>
      </w:pPr>
      <w:r>
        <w:rPr>
          <w:sz w:val="24"/>
          <w:szCs w:val="24"/>
        </w:rPr>
        <w:t>This section of the Observation should not be done in the presence of the learner.</w:t>
      </w:r>
    </w:p>
    <w:p w14:paraId="67868DDB" w14:textId="77777777" w:rsidR="005E1CF2" w:rsidRDefault="005E1CF2">
      <w:pPr>
        <w:jc w:val="both"/>
        <w:rPr>
          <w:sz w:val="24"/>
          <w:szCs w:val="24"/>
        </w:rPr>
      </w:pPr>
    </w:p>
    <w:p w14:paraId="2FFCEC31" w14:textId="77777777" w:rsidR="005E1CF2" w:rsidRDefault="00527869">
      <w:pPr>
        <w:jc w:val="both"/>
        <w:rPr>
          <w:sz w:val="24"/>
          <w:szCs w:val="24"/>
        </w:rPr>
      </w:pPr>
      <w:r>
        <w:rPr>
          <w:sz w:val="24"/>
          <w:szCs w:val="24"/>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14:paraId="14FDE148" w14:textId="77777777" w:rsidR="005E1CF2" w:rsidRDefault="005E1CF2">
      <w:pPr>
        <w:jc w:val="both"/>
        <w:rPr>
          <w:sz w:val="24"/>
          <w:szCs w:val="24"/>
        </w:rPr>
      </w:pPr>
    </w:p>
    <w:p w14:paraId="6AB83396" w14:textId="77777777" w:rsidR="005E1CF2" w:rsidRDefault="00527869">
      <w:pPr>
        <w:jc w:val="both"/>
        <w:rPr>
          <w:sz w:val="24"/>
          <w:szCs w:val="24"/>
        </w:rPr>
      </w:pPr>
      <w:r>
        <w:rPr>
          <w:sz w:val="24"/>
          <w:szCs w:val="24"/>
        </w:rPr>
        <w:t>Before asking the questions, the observer must explain to the individual using services</w:t>
      </w:r>
      <w:r>
        <w:rPr>
          <w:i/>
          <w:sz w:val="24"/>
          <w:szCs w:val="24"/>
        </w:rPr>
        <w:t xml:space="preserve"> </w:t>
      </w:r>
      <w:r>
        <w:rPr>
          <w:sz w:val="24"/>
          <w:szCs w:val="24"/>
        </w:rPr>
        <w:t xml:space="preserve">that their comments will be shared with the learner. It may be useful to explain that it is used as a learning tool for the learner to develop their own practice. </w:t>
      </w:r>
    </w:p>
    <w:p w14:paraId="379FF6AE" w14:textId="77777777" w:rsidR="005E1CF2" w:rsidRDefault="005E1CF2">
      <w:pPr>
        <w:jc w:val="both"/>
        <w:rPr>
          <w:sz w:val="24"/>
          <w:szCs w:val="24"/>
        </w:rPr>
      </w:pPr>
    </w:p>
    <w:p w14:paraId="0EC74E5A" w14:textId="77777777" w:rsidR="005E1CF2" w:rsidRDefault="00527869">
      <w:pPr>
        <w:jc w:val="both"/>
        <w:rPr>
          <w:sz w:val="24"/>
          <w:szCs w:val="24"/>
        </w:rPr>
      </w:pPr>
      <w:r>
        <w:rPr>
          <w:sz w:val="24"/>
          <w:szCs w:val="24"/>
        </w:rPr>
        <w:t>If the observer is unable to gain feedback,</w:t>
      </w:r>
      <w:r>
        <w:rPr>
          <w:i/>
          <w:sz w:val="24"/>
          <w:szCs w:val="24"/>
        </w:rPr>
        <w:t xml:space="preserve"> </w:t>
      </w:r>
      <w:r>
        <w:rPr>
          <w:sz w:val="24"/>
          <w:szCs w:val="24"/>
        </w:rPr>
        <w:t>they should briefly say why.</w:t>
      </w:r>
    </w:p>
    <w:p w14:paraId="0F157DB5" w14:textId="77777777" w:rsidR="005E1CF2" w:rsidRDefault="005E1CF2">
      <w:pPr>
        <w:jc w:val="both"/>
        <w:rPr>
          <w:sz w:val="24"/>
          <w:szCs w:val="24"/>
        </w:rPr>
      </w:pPr>
    </w:p>
    <w:tbl>
      <w:tblPr>
        <w:tblW w:w="100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695"/>
        <w:gridCol w:w="7370"/>
      </w:tblGrid>
      <w:tr w:rsidR="005E1CF2" w14:paraId="28637BED" w14:textId="77777777">
        <w:tc>
          <w:tcPr>
            <w:tcW w:w="2695" w:type="dxa"/>
            <w:tcBorders>
              <w:top w:val="single" w:sz="4" w:space="0" w:color="000000"/>
              <w:left w:val="single" w:sz="4" w:space="0" w:color="000000"/>
              <w:bottom w:val="single" w:sz="4" w:space="0" w:color="000000"/>
              <w:right w:val="single" w:sz="4" w:space="0" w:color="000000"/>
            </w:tcBorders>
            <w:shd w:val="clear" w:color="auto" w:fill="auto"/>
          </w:tcPr>
          <w:p w14:paraId="46844645" w14:textId="77777777" w:rsidR="005E1CF2" w:rsidRDefault="00527869">
            <w:pPr>
              <w:rPr>
                <w:sz w:val="22"/>
                <w:szCs w:val="22"/>
              </w:rPr>
            </w:pPr>
            <w:r>
              <w:rPr>
                <w:sz w:val="22"/>
                <w:szCs w:val="22"/>
              </w:rPr>
              <w:t>Was the social worker on time?  Or if delayed did he or she contact you?</w:t>
            </w:r>
          </w:p>
          <w:p w14:paraId="5B88A3C6" w14:textId="77777777" w:rsidR="005E1CF2" w:rsidRDefault="005E1CF2">
            <w:pPr>
              <w:rPr>
                <w:sz w:val="22"/>
                <w:szCs w:val="22"/>
              </w:rPr>
            </w:pPr>
          </w:p>
        </w:tc>
        <w:tc>
          <w:tcPr>
            <w:tcW w:w="7369" w:type="dxa"/>
            <w:tcBorders>
              <w:top w:val="single" w:sz="8" w:space="0" w:color="000000"/>
              <w:left w:val="single" w:sz="8" w:space="0" w:color="000000"/>
              <w:bottom w:val="single" w:sz="8" w:space="0" w:color="000000"/>
              <w:right w:val="single" w:sz="8" w:space="0" w:color="000000"/>
            </w:tcBorders>
            <w:shd w:val="clear" w:color="auto" w:fill="auto"/>
          </w:tcPr>
          <w:p w14:paraId="23FFD38D" w14:textId="77777777" w:rsidR="005E1CF2" w:rsidRDefault="00527869">
            <w:pPr>
              <w:spacing w:line="252" w:lineRule="auto"/>
              <w:jc w:val="both"/>
              <w:rPr>
                <w:rFonts w:ascii="Calibri" w:hAnsi="Calibri" w:cs="Calibri"/>
                <w:color w:val="auto"/>
                <w:sz w:val="24"/>
                <w:szCs w:val="24"/>
              </w:rPr>
            </w:pPr>
            <w:r>
              <w:rPr>
                <w:sz w:val="24"/>
                <w:szCs w:val="24"/>
              </w:rPr>
              <w:t xml:space="preserve">The social worker was always on time. </w:t>
            </w:r>
          </w:p>
        </w:tc>
      </w:tr>
      <w:tr w:rsidR="005E1CF2" w14:paraId="4B48CD30" w14:textId="77777777">
        <w:tc>
          <w:tcPr>
            <w:tcW w:w="2695" w:type="dxa"/>
            <w:tcBorders>
              <w:top w:val="single" w:sz="4" w:space="0" w:color="000000"/>
              <w:left w:val="single" w:sz="4" w:space="0" w:color="000000"/>
              <w:bottom w:val="single" w:sz="4" w:space="0" w:color="000000"/>
              <w:right w:val="single" w:sz="4" w:space="0" w:color="000000"/>
            </w:tcBorders>
            <w:shd w:val="clear" w:color="auto" w:fill="auto"/>
          </w:tcPr>
          <w:p w14:paraId="0B95F351" w14:textId="77777777" w:rsidR="005E1CF2" w:rsidRDefault="00527869">
            <w:pPr>
              <w:rPr>
                <w:sz w:val="22"/>
                <w:szCs w:val="22"/>
              </w:rPr>
            </w:pPr>
            <w:r>
              <w:rPr>
                <w:sz w:val="22"/>
                <w:szCs w:val="22"/>
              </w:rPr>
              <w:t xml:space="preserve">Did the social worker get your permission in advance for the observer to be present? </w:t>
            </w:r>
          </w:p>
          <w:p w14:paraId="12A41118" w14:textId="77777777" w:rsidR="005E1CF2" w:rsidRDefault="00527869">
            <w:pPr>
              <w:rPr>
                <w:sz w:val="22"/>
                <w:szCs w:val="22"/>
              </w:rPr>
            </w:pPr>
            <w:r>
              <w:rPr>
                <w:sz w:val="22"/>
                <w:szCs w:val="22"/>
              </w:rPr>
              <w:t>Did they explain why they were being observed?</w:t>
            </w:r>
          </w:p>
          <w:p w14:paraId="3B306EB5" w14:textId="77777777" w:rsidR="005E1CF2" w:rsidRDefault="005E1CF2">
            <w:pPr>
              <w:rPr>
                <w:sz w:val="22"/>
                <w:szCs w:val="22"/>
              </w:rPr>
            </w:pPr>
          </w:p>
        </w:tc>
        <w:tc>
          <w:tcPr>
            <w:tcW w:w="7369" w:type="dxa"/>
            <w:tcBorders>
              <w:top w:val="single" w:sz="8" w:space="0" w:color="000000"/>
              <w:left w:val="single" w:sz="8" w:space="0" w:color="000000"/>
              <w:bottom w:val="single" w:sz="8" w:space="0" w:color="000000"/>
              <w:right w:val="single" w:sz="8" w:space="0" w:color="000000"/>
            </w:tcBorders>
            <w:shd w:val="clear" w:color="auto" w:fill="auto"/>
          </w:tcPr>
          <w:p w14:paraId="4C13D6F1" w14:textId="77777777" w:rsidR="005E1CF2" w:rsidRDefault="00527869">
            <w:pPr>
              <w:spacing w:line="252" w:lineRule="auto"/>
              <w:jc w:val="both"/>
              <w:rPr>
                <w:sz w:val="24"/>
                <w:szCs w:val="24"/>
              </w:rPr>
            </w:pPr>
            <w:r>
              <w:rPr>
                <w:sz w:val="24"/>
                <w:szCs w:val="24"/>
              </w:rPr>
              <w:t>Yes she did and I was happy to for this to happen. Lesley and the hospice have supported me so much it was nice to be able to give something back, especially if it was helping Lesley’s professional development.</w:t>
            </w:r>
          </w:p>
          <w:p w14:paraId="3029B671" w14:textId="77777777" w:rsidR="005E1CF2" w:rsidRDefault="005E1CF2">
            <w:pPr>
              <w:spacing w:line="252" w:lineRule="auto"/>
              <w:jc w:val="both"/>
              <w:rPr>
                <w:sz w:val="24"/>
                <w:szCs w:val="24"/>
              </w:rPr>
            </w:pPr>
          </w:p>
        </w:tc>
      </w:tr>
      <w:tr w:rsidR="005E1CF2" w14:paraId="38BDFB46" w14:textId="77777777">
        <w:tc>
          <w:tcPr>
            <w:tcW w:w="2695" w:type="dxa"/>
            <w:tcBorders>
              <w:top w:val="single" w:sz="4" w:space="0" w:color="000000"/>
              <w:left w:val="single" w:sz="4" w:space="0" w:color="000000"/>
              <w:bottom w:val="single" w:sz="4" w:space="0" w:color="000000"/>
              <w:right w:val="single" w:sz="4" w:space="0" w:color="000000"/>
            </w:tcBorders>
            <w:shd w:val="clear" w:color="auto" w:fill="auto"/>
          </w:tcPr>
          <w:p w14:paraId="42F496DC" w14:textId="77777777" w:rsidR="005E1CF2" w:rsidRDefault="00527869">
            <w:pPr>
              <w:rPr>
                <w:sz w:val="22"/>
                <w:szCs w:val="22"/>
              </w:rPr>
            </w:pPr>
            <w:r>
              <w:rPr>
                <w:sz w:val="22"/>
                <w:szCs w:val="22"/>
              </w:rPr>
              <w:t>Were you clear why the social worker met with you today?</w:t>
            </w:r>
          </w:p>
          <w:p w14:paraId="3C4C4964" w14:textId="77777777" w:rsidR="005E1CF2" w:rsidRDefault="005E1CF2">
            <w:pPr>
              <w:rPr>
                <w:sz w:val="22"/>
                <w:szCs w:val="22"/>
              </w:rPr>
            </w:pPr>
          </w:p>
        </w:tc>
        <w:tc>
          <w:tcPr>
            <w:tcW w:w="7369" w:type="dxa"/>
            <w:tcBorders>
              <w:top w:val="single" w:sz="8" w:space="0" w:color="000000"/>
              <w:left w:val="single" w:sz="8" w:space="0" w:color="000000"/>
              <w:bottom w:val="single" w:sz="8" w:space="0" w:color="000000"/>
              <w:right w:val="single" w:sz="8" w:space="0" w:color="000000"/>
            </w:tcBorders>
            <w:shd w:val="clear" w:color="auto" w:fill="auto"/>
          </w:tcPr>
          <w:p w14:paraId="55A86881" w14:textId="77777777" w:rsidR="005E1CF2" w:rsidRDefault="00527869">
            <w:pPr>
              <w:spacing w:line="252" w:lineRule="auto"/>
              <w:jc w:val="both"/>
              <w:rPr>
                <w:sz w:val="24"/>
                <w:szCs w:val="24"/>
              </w:rPr>
            </w:pPr>
            <w:r>
              <w:rPr>
                <w:sz w:val="24"/>
                <w:szCs w:val="24"/>
              </w:rPr>
              <w:t>Yes</w:t>
            </w:r>
          </w:p>
        </w:tc>
      </w:tr>
      <w:tr w:rsidR="005E1CF2" w14:paraId="068634FB" w14:textId="77777777">
        <w:tc>
          <w:tcPr>
            <w:tcW w:w="2695" w:type="dxa"/>
            <w:tcBorders>
              <w:top w:val="single" w:sz="4" w:space="0" w:color="000000"/>
              <w:left w:val="single" w:sz="4" w:space="0" w:color="000000"/>
              <w:bottom w:val="single" w:sz="4" w:space="0" w:color="000000"/>
              <w:right w:val="single" w:sz="4" w:space="0" w:color="000000"/>
            </w:tcBorders>
            <w:shd w:val="clear" w:color="auto" w:fill="auto"/>
          </w:tcPr>
          <w:p w14:paraId="6B5D812C" w14:textId="77777777" w:rsidR="005E1CF2" w:rsidRDefault="00527869">
            <w:pPr>
              <w:rPr>
                <w:sz w:val="22"/>
                <w:szCs w:val="22"/>
              </w:rPr>
            </w:pPr>
            <w:r>
              <w:rPr>
                <w:sz w:val="22"/>
                <w:szCs w:val="22"/>
              </w:rPr>
              <w:t>How well prepared do you think, the social worker was for his or her meeting with you?</w:t>
            </w:r>
          </w:p>
          <w:p w14:paraId="7D315F87" w14:textId="77777777" w:rsidR="005E1CF2" w:rsidRDefault="005E1CF2">
            <w:pPr>
              <w:rPr>
                <w:sz w:val="22"/>
                <w:szCs w:val="22"/>
              </w:rPr>
            </w:pPr>
          </w:p>
        </w:tc>
        <w:tc>
          <w:tcPr>
            <w:tcW w:w="7369" w:type="dxa"/>
            <w:tcBorders>
              <w:top w:val="single" w:sz="8" w:space="0" w:color="000000"/>
              <w:left w:val="single" w:sz="8" w:space="0" w:color="000000"/>
              <w:bottom w:val="single" w:sz="8" w:space="0" w:color="000000"/>
              <w:right w:val="single" w:sz="8" w:space="0" w:color="000000"/>
            </w:tcBorders>
            <w:shd w:val="clear" w:color="auto" w:fill="auto"/>
          </w:tcPr>
          <w:p w14:paraId="6A2AC9A2" w14:textId="77777777" w:rsidR="005E1CF2" w:rsidRDefault="00527869">
            <w:pPr>
              <w:spacing w:line="252" w:lineRule="auto"/>
              <w:jc w:val="both"/>
              <w:rPr>
                <w:sz w:val="24"/>
                <w:szCs w:val="24"/>
              </w:rPr>
            </w:pPr>
            <w:r>
              <w:rPr>
                <w:sz w:val="24"/>
                <w:szCs w:val="24"/>
              </w:rPr>
              <w:t>Very well, she always is.</w:t>
            </w:r>
          </w:p>
        </w:tc>
      </w:tr>
      <w:tr w:rsidR="005E1CF2" w14:paraId="5BCEEA7A" w14:textId="77777777">
        <w:tc>
          <w:tcPr>
            <w:tcW w:w="2695" w:type="dxa"/>
            <w:tcBorders>
              <w:top w:val="single" w:sz="4" w:space="0" w:color="000000"/>
              <w:left w:val="single" w:sz="4" w:space="0" w:color="000000"/>
              <w:bottom w:val="single" w:sz="4" w:space="0" w:color="000000"/>
              <w:right w:val="single" w:sz="4" w:space="0" w:color="000000"/>
            </w:tcBorders>
            <w:shd w:val="clear" w:color="auto" w:fill="auto"/>
          </w:tcPr>
          <w:p w14:paraId="65AB2E97" w14:textId="77777777" w:rsidR="005E1CF2" w:rsidRDefault="00527869">
            <w:pPr>
              <w:tabs>
                <w:tab w:val="left" w:pos="851"/>
              </w:tabs>
              <w:overflowPunct/>
              <w:ind w:hanging="142"/>
              <w:textAlignment w:val="auto"/>
              <w:rPr>
                <w:sz w:val="22"/>
                <w:szCs w:val="22"/>
              </w:rPr>
            </w:pPr>
            <w:r>
              <w:rPr>
                <w:sz w:val="22"/>
                <w:szCs w:val="22"/>
              </w:rPr>
              <w:t xml:space="preserve">  How has the social worker listened to you and respected your views and wishes?</w:t>
            </w:r>
          </w:p>
          <w:p w14:paraId="7327338A" w14:textId="77777777" w:rsidR="005E1CF2" w:rsidRDefault="005E1CF2">
            <w:pPr>
              <w:tabs>
                <w:tab w:val="left" w:pos="851"/>
              </w:tabs>
              <w:overflowPunct/>
              <w:ind w:hanging="142"/>
              <w:textAlignment w:val="auto"/>
              <w:rPr>
                <w:sz w:val="22"/>
                <w:szCs w:val="22"/>
              </w:rPr>
            </w:pPr>
          </w:p>
        </w:tc>
        <w:tc>
          <w:tcPr>
            <w:tcW w:w="7369" w:type="dxa"/>
            <w:tcBorders>
              <w:top w:val="single" w:sz="8" w:space="0" w:color="000000"/>
              <w:left w:val="single" w:sz="8" w:space="0" w:color="000000"/>
              <w:bottom w:val="single" w:sz="8" w:space="0" w:color="000000"/>
              <w:right w:val="single" w:sz="8" w:space="0" w:color="000000"/>
            </w:tcBorders>
            <w:shd w:val="clear" w:color="auto" w:fill="auto"/>
          </w:tcPr>
          <w:p w14:paraId="41F1296C" w14:textId="77777777" w:rsidR="005E1CF2" w:rsidRDefault="00527869">
            <w:pPr>
              <w:spacing w:line="252" w:lineRule="auto"/>
              <w:jc w:val="both"/>
              <w:rPr>
                <w:sz w:val="24"/>
                <w:szCs w:val="24"/>
              </w:rPr>
            </w:pPr>
            <w:r>
              <w:rPr>
                <w:sz w:val="24"/>
                <w:szCs w:val="24"/>
              </w:rPr>
              <w:t>Definitely!</w:t>
            </w:r>
          </w:p>
        </w:tc>
      </w:tr>
      <w:tr w:rsidR="005E1CF2" w14:paraId="6381DC16" w14:textId="77777777">
        <w:tc>
          <w:tcPr>
            <w:tcW w:w="2695" w:type="dxa"/>
            <w:tcBorders>
              <w:top w:val="single" w:sz="4" w:space="0" w:color="000000"/>
              <w:left w:val="single" w:sz="4" w:space="0" w:color="000000"/>
              <w:bottom w:val="single" w:sz="4" w:space="0" w:color="000000"/>
              <w:right w:val="single" w:sz="4" w:space="0" w:color="000000"/>
            </w:tcBorders>
            <w:shd w:val="clear" w:color="auto" w:fill="auto"/>
          </w:tcPr>
          <w:p w14:paraId="2C0626C9" w14:textId="77777777" w:rsidR="005E1CF2" w:rsidRDefault="00527869">
            <w:pPr>
              <w:tabs>
                <w:tab w:val="left" w:pos="-142"/>
                <w:tab w:val="left" w:pos="851"/>
              </w:tabs>
              <w:overflowPunct/>
              <w:textAlignment w:val="auto"/>
              <w:rPr>
                <w:sz w:val="22"/>
                <w:szCs w:val="22"/>
              </w:rPr>
            </w:pPr>
            <w:r>
              <w:rPr>
                <w:sz w:val="22"/>
                <w:szCs w:val="22"/>
              </w:rPr>
              <w:t>Did the social worker talk to you in a way that you understood?</w:t>
            </w:r>
          </w:p>
          <w:p w14:paraId="030AA60B" w14:textId="77777777" w:rsidR="005E1CF2" w:rsidRDefault="00527869">
            <w:pPr>
              <w:tabs>
                <w:tab w:val="left" w:pos="-142"/>
                <w:tab w:val="left" w:pos="851"/>
              </w:tabs>
              <w:overflowPunct/>
              <w:textAlignment w:val="auto"/>
              <w:rPr>
                <w:sz w:val="22"/>
                <w:szCs w:val="22"/>
              </w:rPr>
            </w:pPr>
            <w:r>
              <w:rPr>
                <w:sz w:val="22"/>
                <w:szCs w:val="22"/>
              </w:rPr>
              <w:t>Did you understand the language they used?</w:t>
            </w:r>
          </w:p>
          <w:p w14:paraId="4A90B03D" w14:textId="77777777" w:rsidR="005E1CF2" w:rsidRDefault="005E1CF2">
            <w:pPr>
              <w:tabs>
                <w:tab w:val="left" w:pos="-142"/>
                <w:tab w:val="left" w:pos="851"/>
              </w:tabs>
              <w:overflowPunct/>
              <w:textAlignment w:val="auto"/>
              <w:rPr>
                <w:sz w:val="22"/>
                <w:szCs w:val="22"/>
              </w:rPr>
            </w:pPr>
          </w:p>
        </w:tc>
        <w:tc>
          <w:tcPr>
            <w:tcW w:w="7369" w:type="dxa"/>
            <w:tcBorders>
              <w:top w:val="single" w:sz="8" w:space="0" w:color="000000"/>
              <w:left w:val="single" w:sz="8" w:space="0" w:color="000000"/>
              <w:bottom w:val="single" w:sz="8" w:space="0" w:color="000000"/>
              <w:right w:val="single" w:sz="8" w:space="0" w:color="000000"/>
            </w:tcBorders>
            <w:shd w:val="clear" w:color="auto" w:fill="auto"/>
          </w:tcPr>
          <w:p w14:paraId="2BC5EF80" w14:textId="77777777" w:rsidR="005E1CF2" w:rsidRDefault="00527869">
            <w:pPr>
              <w:spacing w:line="252" w:lineRule="auto"/>
              <w:jc w:val="both"/>
              <w:rPr>
                <w:sz w:val="24"/>
                <w:szCs w:val="24"/>
              </w:rPr>
            </w:pPr>
            <w:r>
              <w:rPr>
                <w:sz w:val="24"/>
                <w:szCs w:val="24"/>
              </w:rPr>
              <w:t xml:space="preserve">Lesley always speaks to me in a way that I understand, cannot fault how she communicates. </w:t>
            </w:r>
          </w:p>
        </w:tc>
      </w:tr>
    </w:tbl>
    <w:p w14:paraId="07E528FD" w14:textId="77777777" w:rsidR="005E1CF2" w:rsidRDefault="00527869">
      <w:r>
        <w:br w:type="page"/>
      </w:r>
    </w:p>
    <w:tbl>
      <w:tblPr>
        <w:tblW w:w="100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697"/>
        <w:gridCol w:w="7368"/>
      </w:tblGrid>
      <w:tr w:rsidR="005E1CF2" w14:paraId="59CE455A" w14:textId="77777777">
        <w:tc>
          <w:tcPr>
            <w:tcW w:w="2697" w:type="dxa"/>
            <w:tcBorders>
              <w:top w:val="single" w:sz="4" w:space="0" w:color="000000"/>
              <w:left w:val="single" w:sz="4" w:space="0" w:color="000000"/>
              <w:bottom w:val="single" w:sz="4" w:space="0" w:color="000000"/>
              <w:right w:val="single" w:sz="4" w:space="0" w:color="000000"/>
            </w:tcBorders>
            <w:shd w:val="clear" w:color="auto" w:fill="auto"/>
          </w:tcPr>
          <w:p w14:paraId="7D622216" w14:textId="77777777" w:rsidR="005E1CF2" w:rsidRDefault="00527869">
            <w:pPr>
              <w:pageBreakBefore/>
              <w:tabs>
                <w:tab w:val="left" w:pos="-142"/>
                <w:tab w:val="left" w:pos="851"/>
              </w:tabs>
              <w:overflowPunct/>
              <w:textAlignment w:val="auto"/>
              <w:rPr>
                <w:sz w:val="22"/>
                <w:szCs w:val="22"/>
              </w:rPr>
            </w:pPr>
            <w:r>
              <w:rPr>
                <w:sz w:val="22"/>
                <w:szCs w:val="22"/>
              </w:rPr>
              <w:lastRenderedPageBreak/>
              <w:t>How has the social worker’s involvement met your expectations for this visit?</w:t>
            </w:r>
          </w:p>
          <w:p w14:paraId="38C29E54" w14:textId="77777777" w:rsidR="005E1CF2" w:rsidRDefault="005E1CF2">
            <w:pPr>
              <w:tabs>
                <w:tab w:val="left" w:pos="-142"/>
                <w:tab w:val="left" w:pos="851"/>
              </w:tabs>
              <w:overflowPunct/>
              <w:textAlignment w:val="auto"/>
              <w:rPr>
                <w:sz w:val="22"/>
                <w:szCs w:val="22"/>
              </w:rPr>
            </w:pPr>
          </w:p>
        </w:tc>
        <w:tc>
          <w:tcPr>
            <w:tcW w:w="7367" w:type="dxa"/>
            <w:tcBorders>
              <w:top w:val="single" w:sz="8" w:space="0" w:color="000000"/>
              <w:left w:val="single" w:sz="8" w:space="0" w:color="000000"/>
              <w:bottom w:val="single" w:sz="8" w:space="0" w:color="000000"/>
              <w:right w:val="single" w:sz="8" w:space="0" w:color="000000"/>
            </w:tcBorders>
            <w:shd w:val="clear" w:color="auto" w:fill="auto"/>
          </w:tcPr>
          <w:p w14:paraId="1D40CB91" w14:textId="77777777" w:rsidR="005E1CF2" w:rsidRDefault="00527869">
            <w:pPr>
              <w:spacing w:line="252" w:lineRule="auto"/>
              <w:jc w:val="both"/>
              <w:rPr>
                <w:rFonts w:ascii="Calibri" w:hAnsi="Calibri" w:cs="Calibri"/>
                <w:color w:val="auto"/>
                <w:sz w:val="24"/>
                <w:szCs w:val="24"/>
              </w:rPr>
            </w:pPr>
            <w:r>
              <w:rPr>
                <w:sz w:val="24"/>
                <w:szCs w:val="24"/>
              </w:rPr>
              <w:t xml:space="preserve">Yes, totally. </w:t>
            </w:r>
          </w:p>
        </w:tc>
      </w:tr>
      <w:tr w:rsidR="005E1CF2" w14:paraId="5EE8C6DB" w14:textId="77777777">
        <w:tc>
          <w:tcPr>
            <w:tcW w:w="2697" w:type="dxa"/>
            <w:tcBorders>
              <w:top w:val="single" w:sz="4" w:space="0" w:color="000000"/>
              <w:left w:val="single" w:sz="4" w:space="0" w:color="000000"/>
              <w:bottom w:val="single" w:sz="4" w:space="0" w:color="000000"/>
              <w:right w:val="single" w:sz="4" w:space="0" w:color="000000"/>
            </w:tcBorders>
            <w:shd w:val="clear" w:color="auto" w:fill="auto"/>
          </w:tcPr>
          <w:p w14:paraId="59477911" w14:textId="77777777" w:rsidR="005E1CF2" w:rsidRDefault="00527869">
            <w:pPr>
              <w:tabs>
                <w:tab w:val="left" w:pos="0"/>
                <w:tab w:val="left" w:pos="851"/>
              </w:tabs>
              <w:overflowPunct/>
              <w:textAlignment w:val="auto"/>
              <w:rPr>
                <w:sz w:val="22"/>
                <w:szCs w:val="22"/>
              </w:rPr>
            </w:pPr>
            <w:r>
              <w:rPr>
                <w:sz w:val="22"/>
                <w:szCs w:val="22"/>
              </w:rPr>
              <w:t>Are there any other comments or suggestions that you would like to make?</w:t>
            </w:r>
          </w:p>
        </w:tc>
        <w:tc>
          <w:tcPr>
            <w:tcW w:w="7367" w:type="dxa"/>
            <w:tcBorders>
              <w:top w:val="single" w:sz="8" w:space="0" w:color="000000"/>
              <w:left w:val="single" w:sz="8" w:space="0" w:color="000000"/>
              <w:bottom w:val="single" w:sz="8" w:space="0" w:color="000000"/>
              <w:right w:val="single" w:sz="8" w:space="0" w:color="000000"/>
            </w:tcBorders>
            <w:shd w:val="clear" w:color="auto" w:fill="auto"/>
          </w:tcPr>
          <w:p w14:paraId="25FC662E" w14:textId="77777777" w:rsidR="005E1CF2" w:rsidRDefault="00527869">
            <w:pPr>
              <w:spacing w:line="252" w:lineRule="auto"/>
              <w:jc w:val="both"/>
              <w:rPr>
                <w:sz w:val="24"/>
                <w:szCs w:val="24"/>
              </w:rPr>
            </w:pPr>
            <w:r>
              <w:rPr>
                <w:sz w:val="24"/>
                <w:szCs w:val="24"/>
              </w:rPr>
              <w:t xml:space="preserve">“Lesley has guided me through the darkest time of my life. Coming to the end of my support sessions I feel like a child who is riding their bike for the first time without stabilisers but I’m sure I will be fine” </w:t>
            </w:r>
          </w:p>
        </w:tc>
      </w:tr>
    </w:tbl>
    <w:p w14:paraId="232198BA" w14:textId="77777777" w:rsidR="005E1CF2" w:rsidRDefault="00527869">
      <w:pPr>
        <w:ind w:left="720"/>
        <w:jc w:val="center"/>
        <w:rPr>
          <w:b/>
          <w:sz w:val="24"/>
          <w:szCs w:val="24"/>
        </w:rPr>
      </w:pPr>
      <w:r>
        <w:br w:type="page"/>
      </w:r>
      <w:r>
        <w:rPr>
          <w:b/>
          <w:sz w:val="24"/>
          <w:szCs w:val="24"/>
        </w:rPr>
        <w:lastRenderedPageBreak/>
        <w:t xml:space="preserve">Section 4 </w:t>
      </w:r>
    </w:p>
    <w:p w14:paraId="5AECD0E4" w14:textId="77777777" w:rsidR="005E1CF2" w:rsidRDefault="005E1CF2">
      <w:pPr>
        <w:rPr>
          <w:b/>
          <w:sz w:val="24"/>
          <w:szCs w:val="24"/>
        </w:rPr>
      </w:pPr>
    </w:p>
    <w:p w14:paraId="4A1692F2" w14:textId="77777777" w:rsidR="005E1CF2" w:rsidRDefault="00527869">
      <w:pPr>
        <w:rPr>
          <w:b/>
          <w:color w:val="auto"/>
          <w:sz w:val="24"/>
          <w:szCs w:val="24"/>
        </w:rPr>
      </w:pPr>
      <w:r>
        <w:rPr>
          <w:b/>
          <w:color w:val="auto"/>
          <w:sz w:val="24"/>
          <w:szCs w:val="24"/>
        </w:rPr>
        <w:t>Safeguarding and working in complex situations – Case Study</w:t>
      </w:r>
    </w:p>
    <w:p w14:paraId="5F1018C4" w14:textId="77777777" w:rsidR="005E1CF2" w:rsidRDefault="005E1CF2">
      <w:pPr>
        <w:jc w:val="both"/>
        <w:rPr>
          <w:b/>
          <w:color w:val="auto"/>
          <w:sz w:val="24"/>
          <w:szCs w:val="24"/>
        </w:rPr>
      </w:pPr>
    </w:p>
    <w:tbl>
      <w:tblPr>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070"/>
      </w:tblGrid>
      <w:tr w:rsidR="005E1CF2" w14:paraId="0489996E" w14:textId="77777777">
        <w:tc>
          <w:tcPr>
            <w:tcW w:w="10070" w:type="dxa"/>
            <w:tcBorders>
              <w:top w:val="single" w:sz="4" w:space="0" w:color="000000"/>
              <w:left w:val="single" w:sz="4" w:space="0" w:color="000000"/>
              <w:bottom w:val="single" w:sz="4" w:space="0" w:color="000000"/>
              <w:right w:val="single" w:sz="4" w:space="0" w:color="000000"/>
            </w:tcBorders>
            <w:shd w:val="clear" w:color="auto" w:fill="auto"/>
          </w:tcPr>
          <w:p w14:paraId="079302A7" w14:textId="77777777" w:rsidR="005E1CF2" w:rsidRPr="00527869" w:rsidRDefault="00527869">
            <w:pPr>
              <w:jc w:val="both"/>
              <w:rPr>
                <w:sz w:val="24"/>
                <w:szCs w:val="24"/>
              </w:rPr>
            </w:pPr>
            <w:r w:rsidRPr="00527869">
              <w:rPr>
                <w:sz w:val="24"/>
                <w:szCs w:val="24"/>
              </w:rPr>
              <w:t>Complete a critically reflective case study based on an assessment, undertaken with others (</w:t>
            </w:r>
            <w:r w:rsidRPr="00527869">
              <w:rPr>
                <w:b/>
                <w:sz w:val="24"/>
                <w:szCs w:val="24"/>
              </w:rPr>
              <w:t>in your own area of work)</w:t>
            </w:r>
            <w:r w:rsidRPr="00527869">
              <w:rPr>
                <w:sz w:val="24"/>
                <w:szCs w:val="24"/>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14:paraId="2DD98647" w14:textId="77777777" w:rsidR="005E1CF2" w:rsidRDefault="005E1CF2">
            <w:pPr>
              <w:jc w:val="both"/>
              <w:rPr>
                <w:sz w:val="24"/>
                <w:szCs w:val="24"/>
                <w:highlight w:val="yellow"/>
              </w:rPr>
            </w:pPr>
          </w:p>
          <w:p w14:paraId="0D0121D2" w14:textId="77777777" w:rsidR="005E1CF2" w:rsidRDefault="00527869">
            <w:pPr>
              <w:spacing w:line="360" w:lineRule="auto"/>
              <w:jc w:val="both"/>
            </w:pPr>
            <w:r>
              <w:rPr>
                <w:sz w:val="24"/>
                <w:szCs w:val="24"/>
              </w:rPr>
              <w:t xml:space="preserve">Looking firstly at critically reflective practice, it is significant to acknowledge that it is not an exclusively a social work approach and that it can be found within other professions whom social workers collaborate with (Tate &amp; Sills, 2004). Adams et al (2002) identify the essentiality of developing critical analysis as it progresses good practice and practice development. Giving due consideration to the complexity of human life and relationships, in which social workers seek to engage, support and empower, Ruch (2005) argues that reflective practice is essential. </w:t>
            </w:r>
          </w:p>
          <w:p w14:paraId="7F7B2876" w14:textId="77777777" w:rsidR="005E1CF2" w:rsidRDefault="005E1CF2">
            <w:pPr>
              <w:spacing w:line="360" w:lineRule="auto"/>
              <w:jc w:val="both"/>
              <w:rPr>
                <w:color w:val="FF0000"/>
                <w:sz w:val="24"/>
                <w:szCs w:val="24"/>
              </w:rPr>
            </w:pPr>
          </w:p>
          <w:p w14:paraId="32CC3965" w14:textId="77777777" w:rsidR="005E1CF2" w:rsidRDefault="00527869">
            <w:pPr>
              <w:spacing w:line="360" w:lineRule="auto"/>
              <w:jc w:val="both"/>
            </w:pPr>
            <w:r>
              <w:rPr>
                <w:color w:val="auto"/>
                <w:sz w:val="24"/>
                <w:szCs w:val="24"/>
              </w:rPr>
              <w:t>By adhering to the Codes of Professional Practice (COPP, 2017), I strive to practice within occupational standards by practising in an open and honest manner, when meeting individuals and families I introduce myself as a Social worker and although this is a role that is difficult to define it is currently being redefined within the Social Service and wellbeing (Wales) Act (2014). Social work is a protected professional title (SCW, 2019). The social work profession has one solely reserved function, which is the role of the Independent Reviewing Officer (IRO). Kirsty McGregor found, the ‘reserved functions’ of social work are open to debate. The role of a social worker is often misunderstood by the public and there are ‘functions’ that could, potentially due to austerity, become undertaken by unqualified individuals (Community Care, 2011). This could cause potential further confusion, to a role that is already misunderstood. In terms of children’s safeguarding this could negatively impact lengthy court proceedings with poor outcomes for individuals with statutory and private placements having an increase in rates (McGregor, 2011).</w:t>
            </w:r>
          </w:p>
          <w:p w14:paraId="5FC29B5A" w14:textId="77777777" w:rsidR="005E1CF2" w:rsidRDefault="005E1CF2">
            <w:pPr>
              <w:spacing w:line="360" w:lineRule="auto"/>
              <w:jc w:val="both"/>
              <w:rPr>
                <w:sz w:val="24"/>
                <w:szCs w:val="24"/>
              </w:rPr>
            </w:pPr>
          </w:p>
          <w:p w14:paraId="47CEA65C" w14:textId="77777777" w:rsidR="005E1CF2" w:rsidRDefault="00527869">
            <w:pPr>
              <w:spacing w:line="360" w:lineRule="auto"/>
              <w:jc w:val="both"/>
            </w:pPr>
            <w:r>
              <w:rPr>
                <w:sz w:val="24"/>
                <w:szCs w:val="24"/>
              </w:rPr>
              <w:lastRenderedPageBreak/>
              <w:t>In Wales, the Welsh Government is responsible for the safeguarding of children, but its policies and procedures are very similar to that of the child protection system in England (Brammer, 2010) Although this piece of work relates to a Welsh setting it is imperative to note that at time patients and family members reside in England and therefore as a practitioner I need to have knowledge of duel legislations and processes to share these concerns with connecting local authorities (COPP, 2017). In addition the Welsh Government has adopted the UN Convention on the Rights of the Child as a foundation for all of its work with children and young people and follows 7 core aims for child development as defined in Children and Young People Rights to Action (WAG, 2004). The Children Act 2004 has also developed more effective services that focus towards children and young people’s needs (</w:t>
            </w:r>
            <w:proofErr w:type="spellStart"/>
            <w:r>
              <w:rPr>
                <w:sz w:val="24"/>
                <w:szCs w:val="24"/>
              </w:rPr>
              <w:t>Brayne</w:t>
            </w:r>
            <w:proofErr w:type="spellEnd"/>
            <w:r>
              <w:rPr>
                <w:sz w:val="24"/>
                <w:szCs w:val="24"/>
              </w:rPr>
              <w:t xml:space="preserve"> and </w:t>
            </w:r>
            <w:proofErr w:type="spellStart"/>
            <w:r>
              <w:rPr>
                <w:sz w:val="24"/>
                <w:szCs w:val="24"/>
              </w:rPr>
              <w:t>Carr</w:t>
            </w:r>
            <w:proofErr w:type="spellEnd"/>
            <w:r>
              <w:rPr>
                <w:sz w:val="24"/>
                <w:szCs w:val="24"/>
              </w:rPr>
              <w:t>, 2010).</w:t>
            </w:r>
          </w:p>
          <w:p w14:paraId="5DD0E904" w14:textId="77777777" w:rsidR="005E1CF2" w:rsidRDefault="005E1CF2">
            <w:pPr>
              <w:spacing w:line="360" w:lineRule="auto"/>
              <w:jc w:val="both"/>
              <w:rPr>
                <w:sz w:val="24"/>
                <w:szCs w:val="24"/>
              </w:rPr>
            </w:pPr>
          </w:p>
          <w:p w14:paraId="3288373D" w14:textId="77777777" w:rsidR="005E1CF2" w:rsidRDefault="00527869">
            <w:pPr>
              <w:spacing w:line="360" w:lineRule="auto"/>
              <w:jc w:val="both"/>
              <w:rPr>
                <w:sz w:val="24"/>
                <w:szCs w:val="24"/>
              </w:rPr>
            </w:pPr>
            <w:r>
              <w:rPr>
                <w:sz w:val="24"/>
                <w:szCs w:val="24"/>
              </w:rPr>
              <w:t>The All Wales Child Protection Procedures (AWCPP) 2008 provide a set of child protection procedures for safeguarding in Wales. They also replaced earlier legislation and reflect changes, required as a result of high profile child protection reports. The procedures are split into 5 parts: The context of child protection work, What to do if you suspect child abuse or a child at risk, Procedures to follow when reporting abuse, Management of particular types of child abuse, Protocols developed since the procedures in 2002 (AWCPP, 2008).</w:t>
            </w:r>
          </w:p>
          <w:p w14:paraId="2EBBF182" w14:textId="77777777" w:rsidR="005E1CF2" w:rsidRDefault="005E1CF2">
            <w:pPr>
              <w:spacing w:line="360" w:lineRule="auto"/>
              <w:jc w:val="both"/>
              <w:rPr>
                <w:sz w:val="24"/>
                <w:szCs w:val="24"/>
              </w:rPr>
            </w:pPr>
          </w:p>
          <w:p w14:paraId="7B2CD39A" w14:textId="77777777" w:rsidR="005E1CF2" w:rsidRDefault="00527869">
            <w:pPr>
              <w:spacing w:line="360" w:lineRule="auto"/>
              <w:jc w:val="both"/>
              <w:rPr>
                <w:sz w:val="24"/>
                <w:szCs w:val="24"/>
              </w:rPr>
            </w:pPr>
            <w:r>
              <w:rPr>
                <w:sz w:val="24"/>
                <w:szCs w:val="24"/>
              </w:rPr>
              <w:t>Safeguarding is protecting children and adults from abuse or neglect and educating those around them (Gov</w:t>
            </w:r>
            <w:r w:rsidR="00036001">
              <w:rPr>
                <w:sz w:val="24"/>
                <w:szCs w:val="24"/>
              </w:rPr>
              <w:t xml:space="preserve"> </w:t>
            </w:r>
            <w:r>
              <w:rPr>
                <w:sz w:val="24"/>
                <w:szCs w:val="24"/>
              </w:rPr>
              <w:t xml:space="preserve">Wales, 2017). Whilst The SSWBA places a duty on professionals to ‘act and respond’ to concerns, additionally social workers are also responsible to minimise risk caused to individuals by themselves and or other people (COPP, 2017). Legislation and policies provide guidance to help professionals understand the nature “at risk” adults and children, whilst also identify categories of which may include emotional, physical, sexual and neglect (AWCPP, 2008). </w:t>
            </w:r>
          </w:p>
          <w:p w14:paraId="01BEB0D0" w14:textId="77777777" w:rsidR="005E1CF2" w:rsidRDefault="005E1CF2">
            <w:pPr>
              <w:spacing w:line="360" w:lineRule="auto"/>
              <w:jc w:val="both"/>
              <w:rPr>
                <w:sz w:val="24"/>
                <w:szCs w:val="24"/>
              </w:rPr>
            </w:pPr>
          </w:p>
          <w:p w14:paraId="0B91C467" w14:textId="77777777" w:rsidR="005E1CF2" w:rsidRDefault="00527869">
            <w:pPr>
              <w:spacing w:line="360" w:lineRule="auto"/>
              <w:jc w:val="both"/>
            </w:pPr>
            <w:r>
              <w:rPr>
                <w:sz w:val="24"/>
                <w:szCs w:val="24"/>
              </w:rPr>
              <w:t xml:space="preserve">The case study identified was together with my assessor following collaborative work with XXX Local Authority (LA). Although my current role involves interaction with both children and adults this section will explore the current legislation relating to children’s safeguards. As a registered professional, Social Care Wales (SCW) and Codes of Professional Practice (COPP) place an expectation of knowledge, accountability and training to remain appropriate </w:t>
            </w:r>
            <w:r>
              <w:rPr>
                <w:sz w:val="24"/>
                <w:szCs w:val="24"/>
              </w:rPr>
              <w:lastRenderedPageBreak/>
              <w:t xml:space="preserve">and updated to practice input (SCW, 2017). Throughout this case reflection I will identify the process of variant safeguard policies and legislation inclusive of national policy to agency policy. </w:t>
            </w:r>
          </w:p>
          <w:p w14:paraId="722856AB" w14:textId="77777777" w:rsidR="005E1CF2" w:rsidRDefault="005E1CF2">
            <w:pPr>
              <w:spacing w:line="360" w:lineRule="auto"/>
              <w:jc w:val="both"/>
              <w:rPr>
                <w:sz w:val="24"/>
                <w:szCs w:val="24"/>
              </w:rPr>
            </w:pPr>
          </w:p>
          <w:p w14:paraId="1091D840" w14:textId="77777777" w:rsidR="005E1CF2" w:rsidRDefault="00527869">
            <w:pPr>
              <w:spacing w:line="360" w:lineRule="auto"/>
              <w:jc w:val="both"/>
              <w:rPr>
                <w:sz w:val="24"/>
                <w:szCs w:val="24"/>
              </w:rPr>
            </w:pPr>
            <w:r>
              <w:rPr>
                <w:sz w:val="24"/>
                <w:szCs w:val="24"/>
              </w:rPr>
              <w:t xml:space="preserve">In order to maintain confidentially, and professionals jurisdiction (SCW:COPP,2017) a limited synopsis will be provided relating to the family members and the dynamics of their situations, ensuring the brief provides enough content to show knowledge and understanding of the safeguarding process outlined within The Children Act (1989:2004) and further enhanced within the SSWBA (2014). </w:t>
            </w:r>
          </w:p>
          <w:p w14:paraId="4621B670" w14:textId="77777777" w:rsidR="005E1CF2" w:rsidRDefault="005E1CF2">
            <w:pPr>
              <w:spacing w:line="360" w:lineRule="auto"/>
              <w:jc w:val="both"/>
              <w:rPr>
                <w:sz w:val="24"/>
                <w:szCs w:val="24"/>
              </w:rPr>
            </w:pPr>
          </w:p>
          <w:p w14:paraId="1660C074" w14:textId="77777777" w:rsidR="005E1CF2" w:rsidRDefault="00527869">
            <w:pPr>
              <w:spacing w:line="360" w:lineRule="auto"/>
              <w:jc w:val="both"/>
            </w:pPr>
            <w:r>
              <w:rPr>
                <w:sz w:val="24"/>
                <w:szCs w:val="24"/>
              </w:rPr>
              <w:t>Mr 3 is identified as a male in his early 40’s. Mr 3 became an inpatient with the hospice for End of Life Care (</w:t>
            </w:r>
            <w:proofErr w:type="spellStart"/>
            <w:r>
              <w:rPr>
                <w:sz w:val="24"/>
                <w:szCs w:val="24"/>
              </w:rPr>
              <w:t>EoLC</w:t>
            </w:r>
            <w:proofErr w:type="spellEnd"/>
            <w:r>
              <w:rPr>
                <w:sz w:val="24"/>
                <w:szCs w:val="24"/>
              </w:rPr>
              <w:t xml:space="preserve">) due to being informed of his short prognosis following a recent appointment with his oncologist&gt; Mr 3 stated his preferred place of care (PPOC) and preferred place of death (PPOD) was the Hospice. Mr 3 lived independently in what is identified as a rurally deprived area of Wales (WGIMD, 2014). His first language is English and speaks limited Welsh, such as greetings. Mr 3 is known to services locally following intervention and support regarding his drug / substance intake. </w:t>
            </w:r>
          </w:p>
          <w:p w14:paraId="18C3ECD9" w14:textId="77777777" w:rsidR="005E1CF2" w:rsidRDefault="005E1CF2">
            <w:pPr>
              <w:spacing w:line="360" w:lineRule="auto"/>
              <w:jc w:val="both"/>
              <w:rPr>
                <w:sz w:val="24"/>
                <w:szCs w:val="24"/>
              </w:rPr>
            </w:pPr>
          </w:p>
          <w:p w14:paraId="2F61F7FB" w14:textId="77777777" w:rsidR="005E1CF2" w:rsidRDefault="00527869">
            <w:pPr>
              <w:spacing w:line="360" w:lineRule="auto"/>
              <w:jc w:val="both"/>
              <w:rPr>
                <w:sz w:val="24"/>
                <w:szCs w:val="24"/>
              </w:rPr>
            </w:pPr>
            <w:r>
              <w:rPr>
                <w:sz w:val="24"/>
                <w:szCs w:val="24"/>
              </w:rPr>
              <w:t>Miss 4 identifies as female, also residing in Wales, Miss 4 has a mental health diagnosis. Stanley and Cox (2011) suggests that often a parent’s mental health problem can affect a child’s development and is a significant factor for children entering the care system.   Research shows that 11% of adults in Wales have a diagnosed mental health issue (Welsh Government 2011). The Royal College of Psychiatrists (2010) proposes that socio economic group, poverty, poor education, unemployment and social isolation are major risk factors for mental health problems.</w:t>
            </w:r>
          </w:p>
          <w:p w14:paraId="5C732608" w14:textId="77777777" w:rsidR="005E1CF2" w:rsidRDefault="005E1CF2">
            <w:pPr>
              <w:spacing w:line="360" w:lineRule="auto"/>
              <w:jc w:val="both"/>
              <w:rPr>
                <w:sz w:val="24"/>
                <w:szCs w:val="24"/>
              </w:rPr>
            </w:pPr>
          </w:p>
          <w:p w14:paraId="4886F68B" w14:textId="2894FB4F" w:rsidR="005E1CF2" w:rsidRDefault="00527869">
            <w:pPr>
              <w:spacing w:line="360" w:lineRule="auto"/>
              <w:jc w:val="both"/>
            </w:pPr>
            <w:r>
              <w:rPr>
                <w:sz w:val="24"/>
                <w:szCs w:val="24"/>
              </w:rPr>
              <w:t xml:space="preserve">Miss 5 is the daughter of Mr 3 and Miss 4, and is 15 years old. Considering Erikson’s (1995) life stage model she will currently be in the “Adolescence stage” (Crawford &amp; Walker, 2003, p29) and could be going through “role confusion” (Crawford &amp; Walker, 2003, p29) due to multiple factors inclusive of her mother’s mental health coupled with her father’s poor life prognosis. </w:t>
            </w:r>
            <w:r>
              <w:rPr>
                <w:sz w:val="24"/>
                <w:szCs w:val="24"/>
                <w:lang w:val="en-US"/>
              </w:rPr>
              <w:t xml:space="preserve">A survey carried out in 2004 found that 10% of children aged 5-16 were diagnosed </w:t>
            </w:r>
            <w:r>
              <w:rPr>
                <w:sz w:val="24"/>
                <w:szCs w:val="24"/>
                <w:lang w:val="en-US"/>
              </w:rPr>
              <w:lastRenderedPageBreak/>
              <w:t xml:space="preserve">with a mental health disorder, 4% of which were specific to emotional trauma which can include anxiety and depression (Kitchener &amp; </w:t>
            </w:r>
            <w:proofErr w:type="spellStart"/>
            <w:r>
              <w:rPr>
                <w:sz w:val="24"/>
                <w:szCs w:val="24"/>
                <w:lang w:val="en-US"/>
              </w:rPr>
              <w:t>Jorm</w:t>
            </w:r>
            <w:proofErr w:type="spellEnd"/>
            <w:r w:rsidR="004231A5">
              <w:rPr>
                <w:sz w:val="24"/>
                <w:szCs w:val="24"/>
                <w:lang w:val="en-US"/>
              </w:rPr>
              <w:t xml:space="preserve">, </w:t>
            </w:r>
            <w:r>
              <w:rPr>
                <w:sz w:val="24"/>
                <w:szCs w:val="24"/>
                <w:lang w:val="en-US"/>
              </w:rPr>
              <w:t xml:space="preserve">2007). </w:t>
            </w:r>
            <w:r>
              <w:rPr>
                <w:sz w:val="24"/>
                <w:szCs w:val="24"/>
              </w:rPr>
              <w:t>Rowntree Foundation (2004), reports children living with parental health problems will be more vulnerable as a result.</w:t>
            </w:r>
          </w:p>
          <w:p w14:paraId="7CAD1313" w14:textId="77777777" w:rsidR="005E1CF2" w:rsidRDefault="005E1CF2">
            <w:pPr>
              <w:spacing w:line="360" w:lineRule="auto"/>
              <w:jc w:val="both"/>
              <w:rPr>
                <w:sz w:val="24"/>
                <w:szCs w:val="24"/>
              </w:rPr>
            </w:pPr>
          </w:p>
          <w:p w14:paraId="16C1C547" w14:textId="77777777" w:rsidR="005E1CF2" w:rsidRDefault="00527869">
            <w:pPr>
              <w:spacing w:line="360" w:lineRule="auto"/>
              <w:jc w:val="both"/>
              <w:rPr>
                <w:sz w:val="24"/>
                <w:szCs w:val="24"/>
                <w:lang w:val="en-US"/>
              </w:rPr>
            </w:pPr>
            <w:r>
              <w:rPr>
                <w:sz w:val="24"/>
                <w:szCs w:val="24"/>
                <w:lang w:val="en-US"/>
              </w:rPr>
              <w:t xml:space="preserve">Incorporating The Welsh language Measure (2011) into the investigation I ascertained the desired language for all members of the family to allow them to communicate in their preferred language, all resources I used could be translated into Welsh.  I have researched statistics on Welsh speakers in XXX County and according to the Welsh Government (2011) there are 19,343 people who speak Welsh which is a percentage of 13.2 which is below the 19% average of the whole of Wales. Social Workers must at all times adhere to The Welsh Language Measure (2011) and ensure Welsh speakers are able to communicate in their preferred language. Welsh language should be treated as no less important than the English language and we should try to encourage and promote the Welsh Language in all aspects of our work including during investigation and query. The importance of Welsh language is further evidenced by </w:t>
            </w:r>
            <w:proofErr w:type="spellStart"/>
            <w:r>
              <w:rPr>
                <w:sz w:val="24"/>
                <w:szCs w:val="24"/>
                <w:lang w:val="en-US"/>
              </w:rPr>
              <w:t>Gwenan</w:t>
            </w:r>
            <w:proofErr w:type="spellEnd"/>
            <w:r>
              <w:rPr>
                <w:sz w:val="24"/>
                <w:szCs w:val="24"/>
                <w:lang w:val="en-US"/>
              </w:rPr>
              <w:t xml:space="preserve"> </w:t>
            </w:r>
            <w:proofErr w:type="spellStart"/>
            <w:r>
              <w:rPr>
                <w:sz w:val="24"/>
                <w:szCs w:val="24"/>
                <w:lang w:val="en-US"/>
              </w:rPr>
              <w:t>Prysor</w:t>
            </w:r>
            <w:proofErr w:type="spellEnd"/>
            <w:r>
              <w:rPr>
                <w:sz w:val="24"/>
                <w:szCs w:val="24"/>
                <w:lang w:val="en-US"/>
              </w:rPr>
              <w:t xml:space="preserve"> (2012) during her testimony within ‘more than just words’ where she highlights that although practitioners lack confidence with the spoken language it still provides a security to Welsh speakers that identify the care and compassion and reflect the consideration of their values and identity, as I have previously acknowledged my welsh language is basic however I strive to maintain basic communication and greetings in an </w:t>
            </w:r>
            <w:r w:rsidR="00036001">
              <w:rPr>
                <w:sz w:val="24"/>
                <w:szCs w:val="24"/>
                <w:lang w:val="en-US"/>
              </w:rPr>
              <w:t>individual’s</w:t>
            </w:r>
            <w:r>
              <w:rPr>
                <w:sz w:val="24"/>
                <w:szCs w:val="24"/>
                <w:lang w:val="en-US"/>
              </w:rPr>
              <w:t xml:space="preserve"> first language. </w:t>
            </w:r>
          </w:p>
          <w:p w14:paraId="22B9F48F" w14:textId="77777777" w:rsidR="005E1CF2" w:rsidRDefault="005E1CF2">
            <w:pPr>
              <w:spacing w:line="360" w:lineRule="auto"/>
              <w:jc w:val="both"/>
              <w:rPr>
                <w:sz w:val="24"/>
                <w:szCs w:val="24"/>
                <w:lang w:val="en-US"/>
              </w:rPr>
            </w:pPr>
          </w:p>
          <w:p w14:paraId="52E7DB87" w14:textId="77777777" w:rsidR="005E1CF2" w:rsidRDefault="00527869">
            <w:pPr>
              <w:spacing w:line="360" w:lineRule="auto"/>
              <w:jc w:val="both"/>
              <w:rPr>
                <w:sz w:val="24"/>
                <w:szCs w:val="24"/>
                <w:u w:val="single"/>
                <w:lang w:val="en-US"/>
              </w:rPr>
            </w:pPr>
            <w:r>
              <w:rPr>
                <w:sz w:val="24"/>
                <w:szCs w:val="24"/>
                <w:u w:val="single"/>
                <w:lang w:val="en-US"/>
              </w:rPr>
              <w:t xml:space="preserve">Concern </w:t>
            </w:r>
          </w:p>
          <w:p w14:paraId="23DDB21F" w14:textId="77777777" w:rsidR="005E1CF2" w:rsidRDefault="00527869">
            <w:pPr>
              <w:spacing w:line="360" w:lineRule="auto"/>
              <w:jc w:val="both"/>
              <w:rPr>
                <w:sz w:val="24"/>
                <w:szCs w:val="24"/>
                <w:lang w:val="en-US"/>
              </w:rPr>
            </w:pPr>
            <w:r>
              <w:rPr>
                <w:sz w:val="24"/>
                <w:szCs w:val="24"/>
                <w:lang w:val="en-US"/>
              </w:rPr>
              <w:t xml:space="preserve">Miss 5 was visiting her father within the hospice setting with members of her wider family, during this time Miss 4 arrived and appeared to be under the influence of substances. Miss 4 arrived on the ward and entered the room of </w:t>
            </w:r>
            <w:r w:rsidR="00036001">
              <w:rPr>
                <w:sz w:val="24"/>
                <w:szCs w:val="24"/>
                <w:lang w:val="en-US"/>
              </w:rPr>
              <w:t>Mr.</w:t>
            </w:r>
            <w:r>
              <w:rPr>
                <w:sz w:val="24"/>
                <w:szCs w:val="24"/>
                <w:lang w:val="en-US"/>
              </w:rPr>
              <w:t xml:space="preserve"> 3, Miss 4 was heard to have been verbally abusive to </w:t>
            </w:r>
            <w:r w:rsidR="00036001">
              <w:rPr>
                <w:sz w:val="24"/>
                <w:szCs w:val="24"/>
                <w:lang w:val="en-US"/>
              </w:rPr>
              <w:t>Mr.</w:t>
            </w:r>
            <w:r>
              <w:rPr>
                <w:sz w:val="24"/>
                <w:szCs w:val="24"/>
                <w:lang w:val="en-US"/>
              </w:rPr>
              <w:t xml:space="preserve"> 3 in the presence of his daughter Miss 5, causing her significant levels of emotional </w:t>
            </w:r>
            <w:r w:rsidR="00036001">
              <w:rPr>
                <w:sz w:val="24"/>
                <w:szCs w:val="24"/>
                <w:lang w:val="en-US"/>
              </w:rPr>
              <w:t>distress</w:t>
            </w:r>
            <w:r>
              <w:rPr>
                <w:sz w:val="24"/>
                <w:szCs w:val="24"/>
                <w:lang w:val="en-US"/>
              </w:rPr>
              <w:t xml:space="preserve"> as observed by </w:t>
            </w:r>
            <w:r w:rsidR="00036001">
              <w:rPr>
                <w:sz w:val="24"/>
                <w:szCs w:val="24"/>
                <w:lang w:val="en-US"/>
              </w:rPr>
              <w:t>Mr.</w:t>
            </w:r>
            <w:r>
              <w:rPr>
                <w:sz w:val="24"/>
                <w:szCs w:val="24"/>
                <w:lang w:val="en-US"/>
              </w:rPr>
              <w:t xml:space="preserve"> 3 and nursing staff.</w:t>
            </w:r>
          </w:p>
          <w:p w14:paraId="0B070E34" w14:textId="77777777" w:rsidR="005E1CF2" w:rsidRDefault="005E1CF2">
            <w:pPr>
              <w:spacing w:line="360" w:lineRule="auto"/>
              <w:jc w:val="both"/>
              <w:rPr>
                <w:sz w:val="24"/>
                <w:szCs w:val="24"/>
                <w:lang w:val="en-US"/>
              </w:rPr>
            </w:pPr>
          </w:p>
          <w:p w14:paraId="28B8AA8C" w14:textId="77777777" w:rsidR="005E1CF2" w:rsidRDefault="00527869">
            <w:pPr>
              <w:spacing w:line="360" w:lineRule="auto"/>
              <w:jc w:val="both"/>
              <w:rPr>
                <w:sz w:val="24"/>
                <w:szCs w:val="24"/>
                <w:u w:val="single"/>
                <w:lang w:val="en-US"/>
              </w:rPr>
            </w:pPr>
            <w:r>
              <w:rPr>
                <w:sz w:val="24"/>
                <w:szCs w:val="24"/>
                <w:u w:val="single"/>
                <w:lang w:val="en-US"/>
              </w:rPr>
              <w:t>Collation of family views</w:t>
            </w:r>
          </w:p>
          <w:p w14:paraId="4F73858A" w14:textId="77777777" w:rsidR="005E1CF2" w:rsidRDefault="00527869">
            <w:pPr>
              <w:spacing w:line="360" w:lineRule="auto"/>
              <w:jc w:val="both"/>
              <w:rPr>
                <w:sz w:val="24"/>
                <w:szCs w:val="24"/>
              </w:rPr>
            </w:pPr>
            <w:r>
              <w:rPr>
                <w:color w:val="auto"/>
                <w:sz w:val="24"/>
                <w:szCs w:val="24"/>
                <w:lang w:val="en-US"/>
              </w:rPr>
              <w:t xml:space="preserve">Once Miss 4 had vacated the premises I was able to collate the views of </w:t>
            </w:r>
            <w:r w:rsidR="00036001">
              <w:rPr>
                <w:color w:val="auto"/>
                <w:sz w:val="24"/>
                <w:szCs w:val="24"/>
                <w:lang w:val="en-US"/>
              </w:rPr>
              <w:t>Mr.</w:t>
            </w:r>
            <w:r>
              <w:rPr>
                <w:color w:val="auto"/>
                <w:sz w:val="24"/>
                <w:szCs w:val="24"/>
                <w:lang w:val="en-US"/>
              </w:rPr>
              <w:t xml:space="preserve"> 3 and his wider family members, I introduced myself by name, and role and clearly explained why I was there </w:t>
            </w:r>
            <w:r>
              <w:rPr>
                <w:color w:val="auto"/>
                <w:sz w:val="24"/>
                <w:szCs w:val="24"/>
                <w:lang w:val="en-US"/>
              </w:rPr>
              <w:lastRenderedPageBreak/>
              <w:t xml:space="preserve">(COPP, 2017). During discussions with the those present it transpired that Miss 5 had previously been known to statutory services due to concerns relating her emotional wellbeing, consequently her name was registered on XXX local authorities ‘at risk’ register, for a period of time however was discharged some 18 months ago. Miss 5 stated she did not wish to return to her </w:t>
            </w:r>
            <w:r w:rsidR="00036001">
              <w:rPr>
                <w:color w:val="auto"/>
                <w:sz w:val="24"/>
                <w:szCs w:val="24"/>
                <w:lang w:val="en-US"/>
              </w:rPr>
              <w:t>mother’s</w:t>
            </w:r>
            <w:r>
              <w:rPr>
                <w:color w:val="auto"/>
                <w:sz w:val="24"/>
                <w:szCs w:val="24"/>
                <w:lang w:val="en-US"/>
              </w:rPr>
              <w:t xml:space="preserve"> care at present as she wished to remain with her dying father, but her mother did not agree. Due to </w:t>
            </w:r>
            <w:r w:rsidR="00036001">
              <w:rPr>
                <w:color w:val="auto"/>
                <w:sz w:val="24"/>
                <w:szCs w:val="24"/>
                <w:lang w:val="en-US"/>
              </w:rPr>
              <w:t>Mr.</w:t>
            </w:r>
            <w:r>
              <w:rPr>
                <w:color w:val="auto"/>
                <w:sz w:val="24"/>
                <w:szCs w:val="24"/>
                <w:lang w:val="en-US"/>
              </w:rPr>
              <w:t xml:space="preserve"> 3’s medical condition, cognitive deterioration and fluctuating capacity he was unable to provide consent, although wider family asserted Miss 5 could stay in </w:t>
            </w:r>
            <w:r w:rsidR="00036001">
              <w:rPr>
                <w:color w:val="auto"/>
                <w:sz w:val="24"/>
                <w:szCs w:val="24"/>
                <w:lang w:val="en-US"/>
              </w:rPr>
              <w:t>their</w:t>
            </w:r>
            <w:r>
              <w:rPr>
                <w:color w:val="auto"/>
                <w:sz w:val="24"/>
                <w:szCs w:val="24"/>
                <w:lang w:val="en-US"/>
              </w:rPr>
              <w:t xml:space="preserve"> care. Following this I ensured I had spoken independently with Miss 5, </w:t>
            </w:r>
            <w:r>
              <w:rPr>
                <w:sz w:val="24"/>
                <w:szCs w:val="24"/>
              </w:rPr>
              <w:t xml:space="preserve">Current research highlights the necessity of listening to children and young people McLeod (2007). Children have the right to be heard (UNCRC, 1989), I had a duty to support Miss 5 to be heard, as stipulated within the Munro report (2011).  Additionally supporting Miss 5 to have confidence in my practice and reassure her I was there to support her non-judgmentally throughout the process (COPP, 2017; Banks, 2006). However, Head (1998) suggests that in practice this is not always the case, consequently children’s views are often left unheard.  Further research into service user accounts highlighted that a high percentage of children felt their opinions were unheard and often ignored (Clark &amp; Statham, 2005).  Any decisions therefore, require social workers to pay consideration to the age of the child and acknowledge the child’s level of understanding when ascertaining their wishes (Thomas &amp; O’Kane, 1999). </w:t>
            </w:r>
          </w:p>
          <w:p w14:paraId="1DD6E051" w14:textId="77777777" w:rsidR="005E1CF2" w:rsidRDefault="005E1CF2">
            <w:pPr>
              <w:spacing w:line="360" w:lineRule="auto"/>
              <w:jc w:val="both"/>
              <w:rPr>
                <w:sz w:val="24"/>
                <w:szCs w:val="24"/>
              </w:rPr>
            </w:pPr>
          </w:p>
          <w:p w14:paraId="57684D74" w14:textId="77777777" w:rsidR="005E1CF2" w:rsidRDefault="00527869">
            <w:pPr>
              <w:spacing w:line="360" w:lineRule="auto"/>
              <w:jc w:val="both"/>
              <w:rPr>
                <w:color w:val="auto"/>
                <w:sz w:val="24"/>
                <w:szCs w:val="24"/>
                <w:lang w:val="en-US"/>
              </w:rPr>
            </w:pPr>
            <w:r>
              <w:rPr>
                <w:sz w:val="24"/>
                <w:szCs w:val="24"/>
              </w:rPr>
              <w:t xml:space="preserve">In this case the age of Miss 5 must be considered, by doing this I utilised previous </w:t>
            </w:r>
            <w:r w:rsidR="00036001">
              <w:rPr>
                <w:sz w:val="24"/>
                <w:szCs w:val="24"/>
              </w:rPr>
              <w:t>knowledge’s</w:t>
            </w:r>
            <w:r>
              <w:rPr>
                <w:sz w:val="24"/>
                <w:szCs w:val="24"/>
              </w:rPr>
              <w:t xml:space="preserve"> relating to legislation and research such as the </w:t>
            </w:r>
            <w:proofErr w:type="spellStart"/>
            <w:r>
              <w:rPr>
                <w:sz w:val="24"/>
                <w:szCs w:val="24"/>
              </w:rPr>
              <w:t>Gilleck</w:t>
            </w:r>
            <w:proofErr w:type="spellEnd"/>
            <w:r>
              <w:rPr>
                <w:sz w:val="24"/>
                <w:szCs w:val="24"/>
              </w:rPr>
              <w:t xml:space="preserve"> case law (1986) which allows professionals opportunity to explore and ascertain capacity of children.  Covell and Howe (2007) claim that progress within legislation has given children and young people a sense of empowerment. The SSWBA (2014) could mark a future change with its emphasis on individuals having a voice and collaborative working (Welsh Government, 2015).  </w:t>
            </w:r>
          </w:p>
          <w:p w14:paraId="577046A9" w14:textId="77777777" w:rsidR="005E1CF2" w:rsidRDefault="005E1CF2">
            <w:pPr>
              <w:spacing w:line="360" w:lineRule="auto"/>
              <w:jc w:val="both"/>
              <w:rPr>
                <w:sz w:val="24"/>
                <w:szCs w:val="24"/>
              </w:rPr>
            </w:pPr>
          </w:p>
          <w:p w14:paraId="0953B457" w14:textId="77777777" w:rsidR="005E1CF2" w:rsidRDefault="00527869">
            <w:pPr>
              <w:spacing w:line="360" w:lineRule="auto"/>
              <w:jc w:val="both"/>
              <w:rPr>
                <w:sz w:val="24"/>
                <w:szCs w:val="24"/>
              </w:rPr>
            </w:pPr>
            <w:r>
              <w:rPr>
                <w:sz w:val="24"/>
                <w:szCs w:val="24"/>
              </w:rPr>
              <w:t xml:space="preserve">Due to my previous experience within </w:t>
            </w:r>
            <w:r w:rsidR="00036001">
              <w:rPr>
                <w:sz w:val="24"/>
                <w:szCs w:val="24"/>
              </w:rPr>
              <w:t>statutory</w:t>
            </w:r>
            <w:r>
              <w:rPr>
                <w:sz w:val="24"/>
                <w:szCs w:val="24"/>
              </w:rPr>
              <w:t xml:space="preserve"> children services I was able to advise the family of potential outcomes, such as a placement with family members, however I also advised that due to previous statutory involvement the LA may have another viewpoint moving forward, as I explained I did not have full case history, however during these discussion I was able to ascertain required information such as data for police checks should the LA which to </w:t>
            </w:r>
            <w:r>
              <w:rPr>
                <w:sz w:val="24"/>
                <w:szCs w:val="24"/>
              </w:rPr>
              <w:lastRenderedPageBreak/>
              <w:t xml:space="preserve">proceed. I anticipated that by gathering this information concisely it would reduce their stresses in </w:t>
            </w:r>
            <w:r w:rsidR="00036001">
              <w:rPr>
                <w:sz w:val="24"/>
                <w:szCs w:val="24"/>
              </w:rPr>
              <w:t>a</w:t>
            </w:r>
            <w:r>
              <w:rPr>
                <w:sz w:val="24"/>
                <w:szCs w:val="24"/>
              </w:rPr>
              <w:t xml:space="preserve"> highly emotive situation, instead of constantly disturbing them and Mr 3. Unfortunately Miss 4 did not consent to Miss 5 remaining in the temporary care of the identified family member, therefore I explained to Miss 4 that I would have to share this information with XXX LA to which Miss 4 found extremely intrusive. </w:t>
            </w:r>
          </w:p>
          <w:p w14:paraId="6B3A1324" w14:textId="77777777" w:rsidR="005E1CF2" w:rsidRDefault="005E1CF2">
            <w:pPr>
              <w:spacing w:line="360" w:lineRule="auto"/>
              <w:jc w:val="both"/>
              <w:rPr>
                <w:color w:val="auto"/>
                <w:sz w:val="24"/>
                <w:szCs w:val="24"/>
                <w:lang w:val="en-US"/>
              </w:rPr>
            </w:pPr>
          </w:p>
          <w:p w14:paraId="2DFD4C5B" w14:textId="77777777" w:rsidR="005E1CF2" w:rsidRDefault="00527869">
            <w:pPr>
              <w:spacing w:line="360" w:lineRule="auto"/>
              <w:jc w:val="both"/>
              <w:rPr>
                <w:sz w:val="24"/>
                <w:szCs w:val="24"/>
                <w:u w:val="single"/>
                <w:lang w:val="en-US"/>
              </w:rPr>
            </w:pPr>
            <w:r>
              <w:rPr>
                <w:sz w:val="24"/>
                <w:szCs w:val="24"/>
                <w:u w:val="single"/>
                <w:lang w:val="en-US"/>
              </w:rPr>
              <w:t xml:space="preserve">Hospice policy </w:t>
            </w:r>
          </w:p>
          <w:p w14:paraId="696717B2" w14:textId="77777777" w:rsidR="005E1CF2" w:rsidRDefault="00527869">
            <w:pPr>
              <w:spacing w:line="360" w:lineRule="auto"/>
              <w:jc w:val="both"/>
              <w:rPr>
                <w:sz w:val="24"/>
                <w:szCs w:val="24"/>
              </w:rPr>
            </w:pPr>
            <w:r>
              <w:rPr>
                <w:sz w:val="24"/>
                <w:szCs w:val="24"/>
                <w:lang w:val="en-US"/>
              </w:rPr>
              <w:t>The internal policy states that regardless</w:t>
            </w:r>
            <w:r>
              <w:rPr>
                <w:sz w:val="24"/>
                <w:szCs w:val="24"/>
              </w:rPr>
              <w:t xml:space="preserve"> of your job, role or status you must share your concerns with either your line manager, senior staff member or the hospice social worker, further linking into the SSWBA which places a duty on individuals. All staff and volunteers are expected to maintain training by attending annual mandatory training (XXX Hospice, 2019). When reporting the incident, individuals are encouraged to record information as accurately as possible and share with those identified above who will take the matter further and make necessary referrals to appropriate local authorities. </w:t>
            </w:r>
          </w:p>
          <w:p w14:paraId="3305034C" w14:textId="77777777" w:rsidR="005E1CF2" w:rsidRDefault="005E1CF2">
            <w:pPr>
              <w:spacing w:line="360" w:lineRule="auto"/>
              <w:jc w:val="both"/>
              <w:rPr>
                <w:sz w:val="24"/>
                <w:szCs w:val="24"/>
              </w:rPr>
            </w:pPr>
          </w:p>
          <w:p w14:paraId="625C4935" w14:textId="77777777" w:rsidR="005E1CF2" w:rsidRDefault="00527869">
            <w:pPr>
              <w:spacing w:line="360" w:lineRule="auto"/>
              <w:jc w:val="both"/>
              <w:rPr>
                <w:sz w:val="24"/>
                <w:szCs w:val="24"/>
                <w:u w:val="single"/>
              </w:rPr>
            </w:pPr>
            <w:r>
              <w:rPr>
                <w:sz w:val="24"/>
                <w:szCs w:val="24"/>
                <w:u w:val="single"/>
              </w:rPr>
              <w:t xml:space="preserve">Conflict of professional views </w:t>
            </w:r>
          </w:p>
          <w:p w14:paraId="097164DA" w14:textId="77777777" w:rsidR="005E1CF2" w:rsidRDefault="00527869">
            <w:pPr>
              <w:spacing w:line="360" w:lineRule="auto"/>
              <w:jc w:val="both"/>
              <w:rPr>
                <w:sz w:val="24"/>
                <w:szCs w:val="24"/>
              </w:rPr>
            </w:pPr>
            <w:r>
              <w:rPr>
                <w:sz w:val="24"/>
                <w:szCs w:val="24"/>
              </w:rPr>
              <w:t>During case discussion with my line manager I provided her with an overview of the current situation, I explained my plan and sought her thoughts and advice. We recognise we both come from different social work backgrounds and respected one another’s experience and views, however during the discussion it became apparent we had variant views. Further discussion took place regarding what was the least restrictive intervention vs children’s rights to be safe, as the child’s needs are paramount (CA, 1989;2004), by utilising my professional judgement I asserted that this information needed to be shared accordingly. Barker (1995) asserts that professionalism refers to ‘the degree to which an individual possesses and uses the knowledge, skills and qualification of a profession and adheres to its values and ethics when serving the client’ (P. 297). In terms of the social work profession the Code of Ethics for Social Work (BASW, 2012, 2014) develops this further by stating that it is the responsibility of the social worker to uphold professional values and principles whilst acting in an honest and trustworthy manner.</w:t>
            </w:r>
          </w:p>
          <w:p w14:paraId="5E36B691" w14:textId="77777777" w:rsidR="005E1CF2" w:rsidRDefault="005E1CF2">
            <w:pPr>
              <w:spacing w:line="360" w:lineRule="auto"/>
              <w:jc w:val="both"/>
              <w:rPr>
                <w:sz w:val="24"/>
                <w:szCs w:val="24"/>
              </w:rPr>
            </w:pPr>
          </w:p>
          <w:p w14:paraId="7406BB6E" w14:textId="77777777" w:rsidR="005E1CF2" w:rsidRDefault="00527869">
            <w:pPr>
              <w:spacing w:line="360" w:lineRule="auto"/>
              <w:jc w:val="both"/>
              <w:rPr>
                <w:sz w:val="24"/>
                <w:szCs w:val="24"/>
              </w:rPr>
            </w:pPr>
            <w:r>
              <w:rPr>
                <w:sz w:val="24"/>
                <w:szCs w:val="24"/>
              </w:rPr>
              <w:lastRenderedPageBreak/>
              <w:t>During supervision I was able to further reflect on this case, Schon (1983; 1987), usually accredited with the wider development and increasing popularity of reflective practice, branded two methods for reflection; reflection-in-action and reflection-on-action, this allowed myself and my manager to reflect the case and review future interventions within the service. Oko (2008) states reflection is utilised during supervision and involves questioning practice however without a critical perspective professional development is often restricted. To be critically reflective involves an ‘open minded, reflective appraisal that takes into account different perspective, experiences and assumptions’ (</w:t>
            </w:r>
            <w:proofErr w:type="spellStart"/>
            <w:r>
              <w:rPr>
                <w:sz w:val="24"/>
                <w:szCs w:val="24"/>
              </w:rPr>
              <w:t>Brechin</w:t>
            </w:r>
            <w:proofErr w:type="spellEnd"/>
            <w:r>
              <w:rPr>
                <w:sz w:val="24"/>
                <w:szCs w:val="24"/>
              </w:rPr>
              <w:t xml:space="preserve"> </w:t>
            </w:r>
            <w:r>
              <w:rPr>
                <w:i/>
                <w:sz w:val="24"/>
                <w:szCs w:val="24"/>
              </w:rPr>
              <w:t>et al.,</w:t>
            </w:r>
            <w:r>
              <w:rPr>
                <w:sz w:val="24"/>
                <w:szCs w:val="24"/>
              </w:rPr>
              <w:t xml:space="preserve"> 2000, P. 26). </w:t>
            </w:r>
          </w:p>
          <w:p w14:paraId="4151543C" w14:textId="77777777" w:rsidR="005E1CF2" w:rsidRDefault="005E1CF2">
            <w:pPr>
              <w:spacing w:line="360" w:lineRule="auto"/>
              <w:jc w:val="both"/>
              <w:rPr>
                <w:sz w:val="24"/>
                <w:szCs w:val="24"/>
              </w:rPr>
            </w:pPr>
          </w:p>
          <w:p w14:paraId="68196394" w14:textId="77777777" w:rsidR="005E1CF2" w:rsidRDefault="00527869">
            <w:pPr>
              <w:spacing w:line="360" w:lineRule="auto"/>
              <w:jc w:val="both"/>
              <w:rPr>
                <w:sz w:val="24"/>
                <w:szCs w:val="24"/>
                <w:u w:val="single"/>
                <w:lang w:val="en-US"/>
              </w:rPr>
            </w:pPr>
            <w:r>
              <w:rPr>
                <w:sz w:val="24"/>
                <w:szCs w:val="24"/>
                <w:u w:val="single"/>
                <w:lang w:val="en-US"/>
              </w:rPr>
              <w:t xml:space="preserve">Collaborating with  XXX LA  </w:t>
            </w:r>
          </w:p>
          <w:p w14:paraId="310E002E" w14:textId="77777777" w:rsidR="005E1CF2" w:rsidRDefault="00527869">
            <w:pPr>
              <w:spacing w:line="360" w:lineRule="auto"/>
              <w:jc w:val="both"/>
              <w:rPr>
                <w:sz w:val="24"/>
                <w:szCs w:val="24"/>
                <w:highlight w:val="cyan"/>
              </w:rPr>
            </w:pPr>
            <w:r>
              <w:rPr>
                <w:sz w:val="24"/>
                <w:szCs w:val="24"/>
                <w:lang w:val="en-US"/>
              </w:rPr>
              <w:t xml:space="preserve">Once the information was collated I was able to contact XXX LA, where I provided information regarding the concerns that had arisen verbally followed by completion of the appropriate electronic referral. </w:t>
            </w:r>
            <w:r>
              <w:rPr>
                <w:bCs/>
                <w:sz w:val="24"/>
                <w:szCs w:val="24"/>
              </w:rPr>
              <w:t xml:space="preserve">Watson and West 2006 sited in </w:t>
            </w:r>
            <w:r w:rsidR="00036001">
              <w:rPr>
                <w:bCs/>
                <w:sz w:val="24"/>
                <w:szCs w:val="24"/>
              </w:rPr>
              <w:t>Parker, J</w:t>
            </w:r>
            <w:r>
              <w:rPr>
                <w:bCs/>
                <w:sz w:val="24"/>
                <w:szCs w:val="24"/>
              </w:rPr>
              <w:t xml:space="preserve"> &amp; Bradley G, 2009 suggest that effectiveness of assessment depends on the deployment of key skills especially: communication, negotiation and decision making. </w:t>
            </w:r>
            <w:r>
              <w:rPr>
                <w:sz w:val="24"/>
                <w:szCs w:val="24"/>
              </w:rPr>
              <w:t xml:space="preserve">In relation to multi-agency working, information-sharing procedures need to identify a balance between protecting children’s safety and respecting their need for privacy (Handley &amp; Doyle, 2012; Children Act, 1989). </w:t>
            </w:r>
          </w:p>
          <w:p w14:paraId="0129AF45" w14:textId="77777777" w:rsidR="005E1CF2" w:rsidRDefault="005E1CF2">
            <w:pPr>
              <w:spacing w:line="360" w:lineRule="auto"/>
              <w:jc w:val="both"/>
              <w:rPr>
                <w:sz w:val="24"/>
                <w:szCs w:val="24"/>
                <w:highlight w:val="cyan"/>
              </w:rPr>
            </w:pPr>
          </w:p>
          <w:p w14:paraId="37359347" w14:textId="77777777" w:rsidR="005E1CF2" w:rsidRDefault="00527869">
            <w:pPr>
              <w:spacing w:line="360" w:lineRule="auto"/>
              <w:jc w:val="both"/>
              <w:rPr>
                <w:sz w:val="24"/>
                <w:szCs w:val="24"/>
                <w:u w:val="single"/>
              </w:rPr>
            </w:pPr>
            <w:r>
              <w:rPr>
                <w:sz w:val="24"/>
                <w:szCs w:val="24"/>
                <w:u w:val="single"/>
              </w:rPr>
              <w:t xml:space="preserve">Ethical dilemma – right for who, least restrictive, best practice. </w:t>
            </w:r>
          </w:p>
          <w:p w14:paraId="1D5FE0E4" w14:textId="77777777" w:rsidR="005E1CF2" w:rsidRDefault="00527869">
            <w:pPr>
              <w:spacing w:line="360" w:lineRule="auto"/>
              <w:jc w:val="both"/>
              <w:rPr>
                <w:sz w:val="24"/>
                <w:szCs w:val="24"/>
              </w:rPr>
            </w:pPr>
            <w:r>
              <w:rPr>
                <w:sz w:val="24"/>
                <w:szCs w:val="24"/>
              </w:rPr>
              <w:t>Intervention and autonomy became conflicted in this situation as a social worker I had the duty of protecting a child from their parent whilst wanting to maintain a child’s right to family integrity (</w:t>
            </w:r>
            <w:proofErr w:type="spellStart"/>
            <w:r>
              <w:rPr>
                <w:sz w:val="24"/>
                <w:szCs w:val="24"/>
              </w:rPr>
              <w:t>Braye</w:t>
            </w:r>
            <w:proofErr w:type="spellEnd"/>
            <w:r>
              <w:rPr>
                <w:sz w:val="24"/>
                <w:szCs w:val="24"/>
              </w:rPr>
              <w:t xml:space="preserve"> and Preston-Shoot, 2010).  The potential removal a Miss 5 from their home may jeopardise any future working relationships to support Miss 5 in the future as her trust and confidence services may be lost due to the safeguarding process, potentially causing further complication to her grieving and pre bereavement processing. This could also conflict The Codes of Practice for Social Care Workers (CCW, 2015) in which social workers must follow, should I not provide an open and honest intervention to the family. Miss 4 could consider this form of action an invasion of her privacy and may feel that this violates her right to private family life under Article 5 of The Human Rights Act 1998. Evidently Miss 4 found the process ‘invasive’ however Article 5 is defined as a qualified right which means interference is </w:t>
            </w:r>
            <w:r>
              <w:rPr>
                <w:sz w:val="24"/>
                <w:szCs w:val="24"/>
              </w:rPr>
              <w:lastRenderedPageBreak/>
              <w:t>permitted if it is justified in law (</w:t>
            </w:r>
            <w:proofErr w:type="spellStart"/>
            <w:r>
              <w:rPr>
                <w:sz w:val="24"/>
                <w:szCs w:val="24"/>
              </w:rPr>
              <w:t>Brayne</w:t>
            </w:r>
            <w:proofErr w:type="spellEnd"/>
            <w:r>
              <w:rPr>
                <w:sz w:val="24"/>
                <w:szCs w:val="24"/>
              </w:rPr>
              <w:t xml:space="preserve"> and </w:t>
            </w:r>
            <w:proofErr w:type="spellStart"/>
            <w:r>
              <w:rPr>
                <w:sz w:val="24"/>
                <w:szCs w:val="24"/>
              </w:rPr>
              <w:t>Carr</w:t>
            </w:r>
            <w:proofErr w:type="spellEnd"/>
            <w:r>
              <w:rPr>
                <w:sz w:val="24"/>
                <w:szCs w:val="24"/>
              </w:rPr>
              <w:t xml:space="preserve">, 2010). As the welfare of the child is paramount (s.1 CA 1989) this justifies any emergency intervention to protect the child. </w:t>
            </w:r>
          </w:p>
          <w:p w14:paraId="02433E75" w14:textId="77777777" w:rsidR="00036001" w:rsidRDefault="00036001">
            <w:pPr>
              <w:spacing w:line="360" w:lineRule="auto"/>
              <w:jc w:val="both"/>
              <w:rPr>
                <w:sz w:val="24"/>
                <w:szCs w:val="24"/>
              </w:rPr>
            </w:pPr>
          </w:p>
          <w:p w14:paraId="68BFC7BF" w14:textId="77777777" w:rsidR="005E1CF2" w:rsidRDefault="00527869">
            <w:pPr>
              <w:spacing w:line="360" w:lineRule="auto"/>
              <w:jc w:val="both"/>
              <w:rPr>
                <w:sz w:val="24"/>
                <w:szCs w:val="24"/>
              </w:rPr>
            </w:pPr>
            <w:r>
              <w:rPr>
                <w:sz w:val="24"/>
                <w:szCs w:val="24"/>
              </w:rPr>
              <w:t>During this case study and reflection I paid careful considerations to values, rights and best practice.  Immanuel Kant was a German philosopher who developed a moral theory based on rationality, the Kantian perspective is also known as Deontology (Banks, 2006).  Kant believed that we should use reason to determine “</w:t>
            </w:r>
            <w:r>
              <w:rPr>
                <w:i/>
                <w:sz w:val="24"/>
                <w:szCs w:val="24"/>
              </w:rPr>
              <w:t>what the right thing to do is</w:t>
            </w:r>
            <w:r>
              <w:rPr>
                <w:sz w:val="24"/>
                <w:szCs w:val="24"/>
              </w:rPr>
              <w:t>”. He believes it is everyone’s duty to exclude two considerations when using the Kantian approach, one being the effects and two your inclination, therefore one should act out of a personal sense of what is right. Kant uses this example, a terrorist gang demand the location of your friend, as they wish to kill him, do you then tell the true whereabouts? And admit to where they are, or do you lie? Therefore leading to the dilemma, do you lie anticipating the harm of death to your friend or tell the truth which is the general moral principle. (Thompson, 1994) this could also be linked to the Utilitarian principle as it is believed that the lie will lead to the least amount of pain because a man’s life will be spared. As Jeremy Bentham asserts, that which is good is that which equals the greatest sum of pleasure and the least sum of pain (Vardy and Grosch, 1994). I further considered ‘Utilitarianism’ which is an ethical theory proposed by Jeremy Bentham and John Stuart Mill. They believed that an action can be considered ethical if the result produces the greatest happiness for the greatest number of people. It is measured through the utility calculus (also known as the hedonic calculus.) Francis Hutcheson (1694-1746) sums up this theory as “</w:t>
            </w:r>
            <w:r>
              <w:rPr>
                <w:i/>
                <w:sz w:val="24"/>
                <w:szCs w:val="24"/>
              </w:rPr>
              <w:t>The greatest happiness for the greatest number.</w:t>
            </w:r>
            <w:r>
              <w:rPr>
                <w:sz w:val="24"/>
                <w:szCs w:val="24"/>
              </w:rPr>
              <w:t xml:space="preserve">” (P. Vardy and P. Grosch, 1994. P 64), relating this back to the case study and the wishes of family members you could reflect that Miss 5’s needs paramount, although in this case family were able to be identified that maintained her safety, whilst also providing emotional support during her father dying phase, if these were ignored or dismissed this could left Miss 5 at risk but also the situation could have contributed to further complex grief experiences. </w:t>
            </w:r>
          </w:p>
          <w:p w14:paraId="205EE1E7" w14:textId="77777777" w:rsidR="00036001" w:rsidRDefault="00036001">
            <w:pPr>
              <w:spacing w:line="360" w:lineRule="auto"/>
              <w:jc w:val="both"/>
              <w:rPr>
                <w:sz w:val="24"/>
                <w:szCs w:val="24"/>
              </w:rPr>
            </w:pPr>
          </w:p>
          <w:p w14:paraId="730D1A88" w14:textId="77777777" w:rsidR="005E1CF2" w:rsidRDefault="00527869">
            <w:pPr>
              <w:spacing w:line="360" w:lineRule="auto"/>
              <w:jc w:val="both"/>
              <w:rPr>
                <w:i/>
                <w:sz w:val="24"/>
                <w:szCs w:val="24"/>
              </w:rPr>
            </w:pPr>
            <w:r>
              <w:rPr>
                <w:sz w:val="24"/>
                <w:szCs w:val="24"/>
              </w:rPr>
              <w:t xml:space="preserve">Throughout practice intervention it is imperative that we treat those who access services with dignity, respect and as individuals referring to </w:t>
            </w:r>
            <w:proofErr w:type="spellStart"/>
            <w:r>
              <w:rPr>
                <w:sz w:val="24"/>
                <w:szCs w:val="24"/>
              </w:rPr>
              <w:t>Biestek’s</w:t>
            </w:r>
            <w:proofErr w:type="spellEnd"/>
            <w:r>
              <w:rPr>
                <w:sz w:val="24"/>
                <w:szCs w:val="24"/>
              </w:rPr>
              <w:t xml:space="preserve"> approach. </w:t>
            </w:r>
            <w:proofErr w:type="spellStart"/>
            <w:r>
              <w:rPr>
                <w:sz w:val="24"/>
                <w:szCs w:val="24"/>
              </w:rPr>
              <w:t>Biestek</w:t>
            </w:r>
            <w:proofErr w:type="spellEnd"/>
            <w:r>
              <w:rPr>
                <w:sz w:val="24"/>
                <w:szCs w:val="24"/>
              </w:rPr>
              <w:t xml:space="preserve"> was a Catholic Priest, not a Social Worker. He believed that values are for now and not for life. He identified that Social work has a basis of seven values. One being: Individualization, believing that </w:t>
            </w:r>
            <w:r>
              <w:rPr>
                <w:sz w:val="24"/>
                <w:szCs w:val="24"/>
              </w:rPr>
              <w:lastRenderedPageBreak/>
              <w:t>everybody is an individual and should be treated as such. Therefore this value relates to the importance of treating everyone as an individual and not in a “</w:t>
            </w:r>
            <w:r>
              <w:rPr>
                <w:i/>
                <w:sz w:val="24"/>
                <w:szCs w:val="24"/>
              </w:rPr>
              <w:t>blanket</w:t>
            </w:r>
            <w:r>
              <w:rPr>
                <w:sz w:val="24"/>
                <w:szCs w:val="24"/>
              </w:rPr>
              <w:t xml:space="preserve">” way. (Thompson, 2002, p .106)  This should be a focus in all practice however significant emphasis within this case study due to several ‘personal differences’ not only did my role consist of investigation, assessment it also included advocating for the members of the family ensure all practice within the hospice remain anti-discriminatory due to perceived mental health and substance misuse </w:t>
            </w:r>
            <w:r>
              <w:rPr>
                <w:i/>
                <w:sz w:val="24"/>
                <w:szCs w:val="24"/>
              </w:rPr>
              <w:t>“Individualization is based upon the right of human beings to be individuals and to be treated not just as a human being but as a human being with his personal differences.” (</w:t>
            </w:r>
            <w:proofErr w:type="spellStart"/>
            <w:r>
              <w:rPr>
                <w:i/>
                <w:sz w:val="24"/>
                <w:szCs w:val="24"/>
              </w:rPr>
              <w:t>Biestek</w:t>
            </w:r>
            <w:proofErr w:type="spellEnd"/>
            <w:r>
              <w:rPr>
                <w:i/>
                <w:sz w:val="24"/>
                <w:szCs w:val="24"/>
              </w:rPr>
              <w:t xml:space="preserve">, 1961, p.25) </w:t>
            </w:r>
          </w:p>
          <w:p w14:paraId="58BFB569" w14:textId="77777777" w:rsidR="005E1CF2" w:rsidRDefault="005E1CF2">
            <w:pPr>
              <w:spacing w:line="360" w:lineRule="auto"/>
              <w:jc w:val="both"/>
              <w:rPr>
                <w:i/>
                <w:sz w:val="24"/>
                <w:szCs w:val="24"/>
              </w:rPr>
            </w:pPr>
          </w:p>
          <w:p w14:paraId="4D9F6D76" w14:textId="77777777" w:rsidR="005E1CF2" w:rsidRDefault="00527869">
            <w:pPr>
              <w:spacing w:line="360" w:lineRule="auto"/>
              <w:jc w:val="both"/>
              <w:rPr>
                <w:sz w:val="24"/>
                <w:szCs w:val="24"/>
                <w:u w:val="single"/>
              </w:rPr>
            </w:pPr>
            <w:r>
              <w:rPr>
                <w:sz w:val="24"/>
                <w:szCs w:val="24"/>
                <w:u w:val="single"/>
              </w:rPr>
              <w:t xml:space="preserve">Outcome </w:t>
            </w:r>
          </w:p>
          <w:p w14:paraId="78372C6B" w14:textId="77777777" w:rsidR="005E1CF2" w:rsidRDefault="00527869">
            <w:pPr>
              <w:spacing w:line="360" w:lineRule="auto"/>
              <w:jc w:val="both"/>
            </w:pPr>
            <w:r>
              <w:rPr>
                <w:sz w:val="24"/>
                <w:szCs w:val="24"/>
              </w:rPr>
              <w:t>The All Wales Child Protection Procedures (AWCPPRG, 2008)</w:t>
            </w:r>
            <w:r>
              <w:rPr>
                <w:b/>
                <w:sz w:val="24"/>
                <w:szCs w:val="24"/>
              </w:rPr>
              <w:t xml:space="preserve"> </w:t>
            </w:r>
            <w:r>
              <w:rPr>
                <w:sz w:val="24"/>
                <w:szCs w:val="24"/>
              </w:rPr>
              <w:t>provide guidance to all Local Safeguarding Children Boards in Wales to protect children. It highlights what action to take when a referral is received out of hours and in cases of an emergency. In the case of Miss 5, a plan was in place as XXX LA agreed the best and least restrictive intervention was for Miss 5 to remain under the care of the identified relative following appropriate police checks, known as a voluntary placement with family or friend (SSWBA, s.17). However I had liaised with XXX Local authority and informed our clinical staff that should any further concerns arise, or the situation break down, they were equipped with contact details for the out of hours services.</w:t>
            </w:r>
          </w:p>
          <w:p w14:paraId="77AFFBEE" w14:textId="77777777" w:rsidR="005E1CF2" w:rsidRDefault="005E1CF2">
            <w:pPr>
              <w:spacing w:line="360" w:lineRule="auto"/>
              <w:jc w:val="both"/>
              <w:rPr>
                <w:sz w:val="24"/>
                <w:szCs w:val="24"/>
              </w:rPr>
            </w:pPr>
          </w:p>
          <w:p w14:paraId="3560CB6E" w14:textId="77777777" w:rsidR="005E1CF2" w:rsidRDefault="00527869">
            <w:pPr>
              <w:spacing w:line="360" w:lineRule="auto"/>
              <w:jc w:val="both"/>
              <w:rPr>
                <w:sz w:val="24"/>
                <w:szCs w:val="24"/>
              </w:rPr>
            </w:pPr>
            <w:r>
              <w:rPr>
                <w:sz w:val="24"/>
                <w:szCs w:val="24"/>
              </w:rPr>
              <w:t xml:space="preserve">Although this case study did not meet the threshold for child protection investigations, I felt I was able to fully express the procedures to the family. In terms of future practice I am aware that age was a contributing factor, and should Miss 5 not have been ‘Gillick </w:t>
            </w:r>
            <w:r w:rsidR="00036001">
              <w:rPr>
                <w:sz w:val="24"/>
                <w:szCs w:val="24"/>
              </w:rPr>
              <w:t>competent’ the</w:t>
            </w:r>
            <w:r>
              <w:rPr>
                <w:sz w:val="24"/>
                <w:szCs w:val="24"/>
              </w:rPr>
              <w:t xml:space="preserve"> process and procedures could have been very different. </w:t>
            </w:r>
          </w:p>
          <w:p w14:paraId="5D68F913" w14:textId="77777777" w:rsidR="005E1CF2" w:rsidRDefault="005E1CF2">
            <w:pPr>
              <w:spacing w:line="360" w:lineRule="auto"/>
              <w:jc w:val="both"/>
              <w:rPr>
                <w:sz w:val="24"/>
                <w:szCs w:val="24"/>
                <w:u w:val="single"/>
              </w:rPr>
            </w:pPr>
          </w:p>
          <w:p w14:paraId="1F283DFF" w14:textId="77777777" w:rsidR="005E1CF2" w:rsidRDefault="00527869">
            <w:pPr>
              <w:spacing w:line="360" w:lineRule="auto"/>
              <w:jc w:val="both"/>
            </w:pPr>
            <w:r>
              <w:rPr>
                <w:rFonts w:eastAsia="MS Mincho"/>
                <w:sz w:val="24"/>
                <w:szCs w:val="24"/>
              </w:rPr>
              <w:t xml:space="preserve">When concerns are highlighted in relation to a child’s welfare they are referred to the connected local authority, social workers engage in a process of assessment to ensure children are protected from harm. The assessment also aims to identify any unmet needs that the child may have, in order to achieve this the team seeks to gather important information about a child and family. The assessment analyses need and classifies the nature and level of any ‘risk’ or </w:t>
            </w:r>
            <w:r w:rsidR="00036001">
              <w:rPr>
                <w:rFonts w:eastAsia="MS Mincho"/>
                <w:sz w:val="24"/>
                <w:szCs w:val="24"/>
              </w:rPr>
              <w:t>‘potential</w:t>
            </w:r>
            <w:r>
              <w:rPr>
                <w:rFonts w:eastAsia="MS Mincho"/>
                <w:sz w:val="24"/>
                <w:szCs w:val="24"/>
              </w:rPr>
              <w:t xml:space="preserve"> harm’ that may be being experienced by the child. Initially, workers </w:t>
            </w:r>
            <w:r>
              <w:rPr>
                <w:rFonts w:eastAsia="MS Mincho"/>
                <w:sz w:val="24"/>
                <w:szCs w:val="24"/>
              </w:rPr>
              <w:lastRenderedPageBreak/>
              <w:t>have the responsibility of deciding whether the child that has ‘care and support needs’ (SSWBA, 2014) this was previously known as a ‘child in need’ (under s.17 of the Children Act 1989).  Or they need to ascertain if the child is suffering, or is likely to suffer, significant harm (under s.47 of the Children Act 1989). Once an unmet need is acknowledged, the agency has a duty to offer the necessary support that intends to improve the child’s outcomes and make them</w:t>
            </w:r>
            <w:r w:rsidR="00036001">
              <w:rPr>
                <w:rFonts w:eastAsia="MS Mincho"/>
                <w:sz w:val="24"/>
                <w:szCs w:val="24"/>
              </w:rPr>
              <w:t xml:space="preserve"> safe (AWCPP, 2008, CA 1989 &amp; 2004, SSWBA </w:t>
            </w:r>
            <w:r>
              <w:rPr>
                <w:rFonts w:eastAsia="MS Mincho"/>
                <w:sz w:val="24"/>
                <w:szCs w:val="24"/>
              </w:rPr>
              <w:t xml:space="preserve">2014). Should a child be deemed to be at significant risk the authority would seek legal advice in terms of gaining authorisation for an interim court order. There public have several misunderstandings of social workers and the ‘powers’ they hold, there have been a culture of fear of social workers wanting to ‘remove children’ from their parental care, however social workers do not have this level of authority. Although in certain situations the police can implement a Police Protection Order (PPO) which places the child under protection for up to 72 hours. This can often be in a fostering placement where no contact is granted with the parents.   </w:t>
            </w:r>
          </w:p>
          <w:p w14:paraId="65DF2F49" w14:textId="77777777" w:rsidR="005E1CF2" w:rsidRDefault="005E1CF2">
            <w:pPr>
              <w:spacing w:line="360" w:lineRule="auto"/>
              <w:jc w:val="both"/>
              <w:rPr>
                <w:rFonts w:eastAsia="MS Mincho"/>
                <w:sz w:val="24"/>
                <w:szCs w:val="24"/>
              </w:rPr>
            </w:pPr>
          </w:p>
          <w:p w14:paraId="3E25E095" w14:textId="77777777" w:rsidR="005E1CF2" w:rsidRDefault="00527869">
            <w:pPr>
              <w:spacing w:line="360" w:lineRule="auto"/>
              <w:jc w:val="both"/>
            </w:pPr>
            <w:r>
              <w:rPr>
                <w:rFonts w:eastAsia="MS Mincho"/>
                <w:sz w:val="24"/>
                <w:szCs w:val="24"/>
              </w:rPr>
              <w:t xml:space="preserve">Utilising Gibb’s (1988) model of reflection I was able to reflect in a structured manner with my manager, acknowledging some of the areas that had gone well in regards to the case study and being able to support Miss 5 to spend as much time as reasonably possible with her father. I also recognised that I couldn’t offer false reassurance to Mr 3 or wider family members, although I was able to give them a ‘pre-warning shot’ of potential outcomes. During my communication with Miss 5 it was evident that she had a positive attachment with her father. Miss 5 also thanked me for my support and listening to her wishes and feelings. Children and young people are requesting that social workers are given more training “Social Workers need to change their attitude and maybe get better training.” (Young person, focus group) when working and communicating with children and young people. Curtis (2006) assert this is an area often taken granted, although Miss 5 felt listened to on this occasion I feel it’s important to ensure that my future practice follows the same values and principals. </w:t>
            </w:r>
          </w:p>
          <w:p w14:paraId="4E257E88" w14:textId="77777777" w:rsidR="005E1CF2" w:rsidRDefault="005E1CF2">
            <w:pPr>
              <w:spacing w:line="360" w:lineRule="auto"/>
              <w:jc w:val="both"/>
              <w:rPr>
                <w:rFonts w:eastAsia="MS Mincho"/>
                <w:sz w:val="24"/>
                <w:szCs w:val="24"/>
              </w:rPr>
            </w:pPr>
          </w:p>
          <w:p w14:paraId="0F740F69" w14:textId="77777777" w:rsidR="005E1CF2" w:rsidRDefault="00527869">
            <w:pPr>
              <w:spacing w:line="360" w:lineRule="auto"/>
              <w:jc w:val="both"/>
            </w:pPr>
            <w:r>
              <w:rPr>
                <w:sz w:val="24"/>
                <w:szCs w:val="24"/>
              </w:rPr>
              <w:t xml:space="preserve">One of the most predominate theory’s for attachment is the one of John Bowlby (1953) he believes that any negative behaviour/trauma can affect the development of the child and could permanently shape a child’s development and personality (Crawford and Walker, 2003). Payne (2005) also agrees with this stating that ‘how we are depends on how we experience </w:t>
            </w:r>
            <w:r>
              <w:rPr>
                <w:sz w:val="24"/>
                <w:szCs w:val="24"/>
              </w:rPr>
              <w:lastRenderedPageBreak/>
              <w:t xml:space="preserve">early relationships’ (p. 81). With this knowledge, I endeavoured to allow Miss 5 time with her father, as per her request, but to also allow her to say goodbye. </w:t>
            </w:r>
          </w:p>
          <w:p w14:paraId="727FE71D" w14:textId="77777777" w:rsidR="005E1CF2" w:rsidRDefault="005E1CF2">
            <w:pPr>
              <w:spacing w:line="360" w:lineRule="auto"/>
              <w:jc w:val="both"/>
              <w:rPr>
                <w:sz w:val="24"/>
                <w:szCs w:val="24"/>
              </w:rPr>
            </w:pPr>
          </w:p>
          <w:p w14:paraId="2FD237AD" w14:textId="77777777" w:rsidR="005E1CF2" w:rsidRDefault="00527869">
            <w:pPr>
              <w:spacing w:line="360" w:lineRule="auto"/>
              <w:jc w:val="both"/>
            </w:pPr>
            <w:r>
              <w:rPr>
                <w:sz w:val="24"/>
                <w:szCs w:val="24"/>
              </w:rPr>
              <w:t>As I qualified in 2016 the changes in legislation were relatively new, therefore for professional development training was undertaken to ensure knowledge was gained in terms of the new Act. This was specifically relating to the language, terminology and changes to sections, such as voluntary placements. This case provided several professional and personal challenges in terms of professional confidence, when I had a difference of opinion with my manager.  By sharing my professional concerns with XXX Local authority could have impacted future working relationships with Miss 4 and Miss 5, in terms of accessing bereavement support, I acted upon professional judgment, whilst advocating the needs of Miss 5 whose rights were paramount. In order be aware of practice changes I am a regular user of the local safeguarding board and access their updates as and when they have been released. This is not only for my continued professional development, it also provides updated practice changes, practice guidance and training opportunities. Additionally individuals are able to indicate preference to become an active member of the evolution of services with social care Wales and invited to participate in research.</w:t>
            </w:r>
          </w:p>
          <w:p w14:paraId="2EAEB04E" w14:textId="77777777" w:rsidR="005E1CF2" w:rsidRDefault="005E1CF2">
            <w:pPr>
              <w:spacing w:line="360" w:lineRule="auto"/>
              <w:jc w:val="both"/>
              <w:rPr>
                <w:sz w:val="24"/>
                <w:szCs w:val="24"/>
              </w:rPr>
            </w:pPr>
          </w:p>
          <w:p w14:paraId="7EAE6C9C" w14:textId="77777777" w:rsidR="005E1CF2" w:rsidRDefault="00527869">
            <w:pPr>
              <w:jc w:val="both"/>
            </w:pPr>
            <w:r w:rsidRPr="00527869">
              <w:rPr>
                <w:i/>
                <w:sz w:val="24"/>
                <w:szCs w:val="24"/>
              </w:rPr>
              <w:t>4000 words</w:t>
            </w:r>
            <w:r w:rsidRPr="00527869">
              <w:rPr>
                <w:sz w:val="24"/>
                <w:szCs w:val="24"/>
              </w:rPr>
              <w:t xml:space="preserve"> </w:t>
            </w:r>
            <w:r w:rsidRPr="00527869">
              <w:rPr>
                <w:i/>
                <w:sz w:val="24"/>
                <w:szCs w:val="24"/>
              </w:rPr>
              <w:t>(+/- 10%: include your actual word count at the end of each section) 4010</w:t>
            </w:r>
          </w:p>
        </w:tc>
      </w:tr>
    </w:tbl>
    <w:p w14:paraId="2DCFD512" w14:textId="77777777" w:rsidR="005E1CF2" w:rsidRDefault="005E1CF2">
      <w:pPr>
        <w:jc w:val="both"/>
        <w:rPr>
          <w:sz w:val="24"/>
          <w:szCs w:val="24"/>
        </w:rPr>
      </w:pPr>
    </w:p>
    <w:p w14:paraId="192DF1A7" w14:textId="77777777" w:rsidR="005E1CF2" w:rsidRDefault="005E1CF2">
      <w:pPr>
        <w:jc w:val="both"/>
        <w:rPr>
          <w:b/>
          <w:sz w:val="24"/>
          <w:szCs w:val="24"/>
        </w:rPr>
      </w:pPr>
    </w:p>
    <w:p w14:paraId="129C4C8B" w14:textId="77777777" w:rsidR="005E1CF2" w:rsidRDefault="00527869">
      <w:pPr>
        <w:jc w:val="both"/>
        <w:rPr>
          <w:b/>
          <w:sz w:val="24"/>
          <w:szCs w:val="24"/>
        </w:rPr>
      </w:pPr>
      <w:r>
        <w:br w:type="page"/>
      </w:r>
    </w:p>
    <w:p w14:paraId="11311ECE" w14:textId="77777777" w:rsidR="005E1CF2" w:rsidRDefault="00527869">
      <w:pPr>
        <w:jc w:val="center"/>
        <w:rPr>
          <w:b/>
          <w:sz w:val="24"/>
          <w:szCs w:val="24"/>
        </w:rPr>
      </w:pPr>
      <w:r>
        <w:rPr>
          <w:b/>
          <w:sz w:val="24"/>
          <w:szCs w:val="24"/>
        </w:rPr>
        <w:lastRenderedPageBreak/>
        <w:t>Section  5</w:t>
      </w:r>
    </w:p>
    <w:p w14:paraId="2477820E" w14:textId="77777777" w:rsidR="005E1CF2" w:rsidRDefault="005E1CF2">
      <w:pPr>
        <w:jc w:val="center"/>
        <w:rPr>
          <w:b/>
          <w:sz w:val="24"/>
          <w:szCs w:val="24"/>
        </w:rPr>
      </w:pPr>
    </w:p>
    <w:p w14:paraId="17C515ED" w14:textId="77777777" w:rsidR="005E1CF2" w:rsidRDefault="00527869">
      <w:pPr>
        <w:rPr>
          <w:b/>
          <w:sz w:val="24"/>
          <w:szCs w:val="24"/>
        </w:rPr>
      </w:pPr>
      <w:r>
        <w:rPr>
          <w:b/>
          <w:sz w:val="24"/>
          <w:szCs w:val="24"/>
        </w:rPr>
        <w:t>Safeguarding</w:t>
      </w:r>
    </w:p>
    <w:p w14:paraId="7EE6D978" w14:textId="77777777" w:rsidR="005E1CF2" w:rsidRDefault="005E1CF2">
      <w:pPr>
        <w:jc w:val="both"/>
        <w:rPr>
          <w:b/>
          <w:sz w:val="24"/>
          <w:szCs w:val="24"/>
        </w:rPr>
      </w:pPr>
    </w:p>
    <w:p w14:paraId="7931CF85" w14:textId="77777777" w:rsidR="005E1CF2" w:rsidRDefault="00527869">
      <w:pPr>
        <w:ind w:left="-90"/>
        <w:jc w:val="both"/>
        <w:rPr>
          <w:i/>
          <w:sz w:val="24"/>
          <w:szCs w:val="24"/>
        </w:rPr>
      </w:pPr>
      <w:r>
        <w:rPr>
          <w:i/>
          <w:sz w:val="24"/>
          <w:szCs w:val="24"/>
        </w:rPr>
        <w:t xml:space="preserve">Guidance: Social Care Wales require newly qualified social workers to provide evidence of their understanding of safeguarding work with adults </w:t>
      </w:r>
      <w:r>
        <w:rPr>
          <w:b/>
          <w:i/>
          <w:sz w:val="24"/>
          <w:szCs w:val="24"/>
        </w:rPr>
        <w:t>and</w:t>
      </w:r>
      <w:r>
        <w:rPr>
          <w:i/>
          <w:sz w:val="24"/>
          <w:szCs w:val="24"/>
        </w:rPr>
        <w:t xml:space="preserve"> children. The assignment below will enable you to show this. </w:t>
      </w:r>
      <w:r>
        <w:rPr>
          <w:b/>
          <w:i/>
          <w:sz w:val="24"/>
          <w:szCs w:val="24"/>
        </w:rPr>
        <w:t>N.B</w:t>
      </w:r>
      <w:r>
        <w:rPr>
          <w:i/>
          <w:sz w:val="24"/>
          <w:szCs w:val="24"/>
        </w:rPr>
        <w:t xml:space="preserve">. if your normal area of work is with children please write about adult safeguarding. If you normally work with adults then write about child safeguarding. </w:t>
      </w:r>
    </w:p>
    <w:p w14:paraId="06F31622" w14:textId="77777777" w:rsidR="005E1CF2" w:rsidRDefault="005E1CF2">
      <w:pPr>
        <w:ind w:left="360" w:hanging="360"/>
        <w:jc w:val="both"/>
        <w:rPr>
          <w:sz w:val="24"/>
          <w:szCs w:val="24"/>
          <w:u w:val="single"/>
        </w:rPr>
      </w:pPr>
    </w:p>
    <w:tbl>
      <w:tblPr>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070"/>
      </w:tblGrid>
      <w:tr w:rsidR="005E1CF2" w14:paraId="6B620474" w14:textId="77777777">
        <w:tc>
          <w:tcPr>
            <w:tcW w:w="10070" w:type="dxa"/>
            <w:tcBorders>
              <w:top w:val="single" w:sz="4" w:space="0" w:color="000000"/>
              <w:left w:val="single" w:sz="4" w:space="0" w:color="000000"/>
              <w:bottom w:val="single" w:sz="4" w:space="0" w:color="000000"/>
              <w:right w:val="single" w:sz="4" w:space="0" w:color="000000"/>
            </w:tcBorders>
            <w:shd w:val="clear" w:color="auto" w:fill="auto"/>
          </w:tcPr>
          <w:p w14:paraId="36A4D0B9" w14:textId="77777777" w:rsidR="005E1CF2" w:rsidRPr="00527869" w:rsidRDefault="00527869">
            <w:pPr>
              <w:jc w:val="both"/>
              <w:rPr>
                <w:sz w:val="24"/>
                <w:szCs w:val="24"/>
              </w:rPr>
            </w:pPr>
            <w:r w:rsidRPr="00527869">
              <w:rPr>
                <w:sz w:val="24"/>
                <w:szCs w:val="24"/>
              </w:rPr>
              <w:t xml:space="preserve">In an area </w:t>
            </w:r>
            <w:r w:rsidRPr="00527869">
              <w:rPr>
                <w:b/>
                <w:sz w:val="24"/>
                <w:szCs w:val="24"/>
              </w:rPr>
              <w:t xml:space="preserve">that is not your main focus of work </w:t>
            </w:r>
            <w:r w:rsidRPr="00527869">
              <w:rPr>
                <w:sz w:val="24"/>
                <w:szCs w:val="24"/>
              </w:rPr>
              <w:t xml:space="preserve">(see guidance above), explain the relevant legislation, and the national, local and organisational policies and procedures for safeguarding. </w:t>
            </w:r>
          </w:p>
          <w:p w14:paraId="6BE80FCA" w14:textId="77777777" w:rsidR="005E1CF2" w:rsidRDefault="005E1CF2">
            <w:pPr>
              <w:jc w:val="both"/>
              <w:rPr>
                <w:sz w:val="24"/>
                <w:szCs w:val="24"/>
                <w:highlight w:val="yellow"/>
              </w:rPr>
            </w:pPr>
          </w:p>
          <w:p w14:paraId="40B29645" w14:textId="77777777" w:rsidR="005E1CF2" w:rsidRDefault="00527869">
            <w:pPr>
              <w:spacing w:line="360" w:lineRule="auto"/>
              <w:jc w:val="both"/>
            </w:pPr>
            <w:r>
              <w:rPr>
                <w:sz w:val="24"/>
                <w:szCs w:val="24"/>
              </w:rPr>
              <w:t xml:space="preserve">The Human Rights Act (1998) is the underpinning policy that protects adults from abuse. This is then broken down into articles and legislation such as Social Services and Well-being (Wales) Act (2014). This Act </w:t>
            </w:r>
            <w:r w:rsidR="001636CD">
              <w:rPr>
                <w:sz w:val="24"/>
                <w:szCs w:val="24"/>
              </w:rPr>
              <w:t xml:space="preserve">provides further expectation </w:t>
            </w:r>
            <w:r>
              <w:rPr>
                <w:sz w:val="24"/>
                <w:szCs w:val="24"/>
              </w:rPr>
              <w:t xml:space="preserve">of </w:t>
            </w:r>
            <w:r w:rsidR="001636CD">
              <w:rPr>
                <w:sz w:val="24"/>
                <w:szCs w:val="24"/>
              </w:rPr>
              <w:t xml:space="preserve">the </w:t>
            </w:r>
            <w:r>
              <w:rPr>
                <w:sz w:val="24"/>
                <w:szCs w:val="24"/>
              </w:rPr>
              <w:t xml:space="preserve">safeguarding process. Additionally the ‘Act’ places a duty on professionals to consider any concerns in terms of </w:t>
            </w:r>
            <w:r>
              <w:rPr>
                <w:color w:val="auto"/>
                <w:sz w:val="24"/>
                <w:szCs w:val="24"/>
              </w:rPr>
              <w:t xml:space="preserve">investigation and effectively communicate these with relevant teams. </w:t>
            </w:r>
            <w:r>
              <w:rPr>
                <w:sz w:val="24"/>
                <w:szCs w:val="24"/>
              </w:rPr>
              <w:t xml:space="preserve">In practice a professional may be supporting a child of a parent / carer who is deemed ‘at risk’ and identifying signs of abuse places a duty on the practitioner to investigate. The Act makes it a ‘Duty’ to report adults who may be, or suspicion of being at risk. This is now primary legislation rather than a framework (SSWBA, 14). Local safeguarding boards contribute to policy / procedure nationally, review efficiency, contribute to reviews and audits, raise awareness, and disseminate information. </w:t>
            </w:r>
          </w:p>
          <w:p w14:paraId="1E3B9F79" w14:textId="77777777" w:rsidR="005E1CF2" w:rsidRDefault="005E1CF2">
            <w:pPr>
              <w:spacing w:line="360" w:lineRule="auto"/>
              <w:jc w:val="both"/>
              <w:rPr>
                <w:b/>
                <w:bCs/>
                <w:sz w:val="24"/>
                <w:szCs w:val="24"/>
                <w:highlight w:val="cyan"/>
                <w:u w:val="single"/>
              </w:rPr>
            </w:pPr>
          </w:p>
          <w:p w14:paraId="7061A697" w14:textId="77777777" w:rsidR="005E1CF2" w:rsidRDefault="00527869">
            <w:pPr>
              <w:spacing w:line="360" w:lineRule="auto"/>
              <w:jc w:val="both"/>
              <w:rPr>
                <w:bCs/>
                <w:sz w:val="24"/>
                <w:szCs w:val="24"/>
              </w:rPr>
            </w:pPr>
            <w:r>
              <w:rPr>
                <w:bCs/>
                <w:sz w:val="24"/>
                <w:szCs w:val="24"/>
              </w:rPr>
              <w:t xml:space="preserve">XXX Hospice has a responsibility to ensure that all staff are competent in responding to the suspicion, allegation or incidents of abuse as outlined in their policy (XXX Hospice, 2019). Failure to report this may be considered a breach of duty of care. An “Adult at Risk” is now defined as a person over 18 who; is experiencing, or is at risk of experiencing, abuse or neglect, has needs for care and support whether or not the authority is meeting any of those needs, and as a result of those needs, is unable to protect him or herself against the abuse or neglect or the risk of it (s.176, SSWBA.2014). </w:t>
            </w:r>
          </w:p>
          <w:p w14:paraId="6D40F38D" w14:textId="77777777" w:rsidR="005E1CF2" w:rsidRDefault="005E1CF2">
            <w:pPr>
              <w:spacing w:line="360" w:lineRule="auto"/>
              <w:jc w:val="both"/>
              <w:rPr>
                <w:bCs/>
                <w:sz w:val="24"/>
                <w:szCs w:val="24"/>
              </w:rPr>
            </w:pPr>
          </w:p>
          <w:p w14:paraId="6FCC5C6F" w14:textId="77777777" w:rsidR="005E1CF2" w:rsidRDefault="00527869">
            <w:pPr>
              <w:spacing w:line="360" w:lineRule="auto"/>
              <w:jc w:val="both"/>
            </w:pPr>
            <w:r>
              <w:rPr>
                <w:bCs/>
                <w:sz w:val="24"/>
                <w:szCs w:val="24"/>
              </w:rPr>
              <w:t>Within my</w:t>
            </w:r>
            <w:r w:rsidR="00E809F8">
              <w:rPr>
                <w:bCs/>
                <w:sz w:val="24"/>
                <w:szCs w:val="24"/>
              </w:rPr>
              <w:t xml:space="preserve"> professional registration and h</w:t>
            </w:r>
            <w:r>
              <w:rPr>
                <w:bCs/>
                <w:sz w:val="24"/>
                <w:szCs w:val="24"/>
              </w:rPr>
              <w:t>ospice setting it is i</w:t>
            </w:r>
            <w:r w:rsidR="001636CD">
              <w:rPr>
                <w:bCs/>
                <w:sz w:val="24"/>
                <w:szCs w:val="24"/>
              </w:rPr>
              <w:t>mperative to be aware of</w:t>
            </w:r>
            <w:r w:rsidR="00D57393">
              <w:rPr>
                <w:bCs/>
                <w:sz w:val="24"/>
                <w:szCs w:val="24"/>
              </w:rPr>
              <w:t xml:space="preserve"> all</w:t>
            </w:r>
            <w:r w:rsidR="001636CD">
              <w:rPr>
                <w:bCs/>
                <w:sz w:val="24"/>
                <w:szCs w:val="24"/>
              </w:rPr>
              <w:t xml:space="preserve"> abuse</w:t>
            </w:r>
            <w:r>
              <w:rPr>
                <w:bCs/>
                <w:sz w:val="24"/>
                <w:szCs w:val="24"/>
              </w:rPr>
              <w:t xml:space="preserve"> categories (SCW, XXX Hospice, 2019) </w:t>
            </w:r>
            <w:r w:rsidR="009141BC">
              <w:rPr>
                <w:bCs/>
                <w:sz w:val="24"/>
                <w:szCs w:val="24"/>
              </w:rPr>
              <w:t>including not</w:t>
            </w:r>
            <w:r w:rsidR="00D57393">
              <w:rPr>
                <w:bCs/>
                <w:sz w:val="24"/>
                <w:szCs w:val="24"/>
              </w:rPr>
              <w:t xml:space="preserve"> only </w:t>
            </w:r>
            <w:r>
              <w:rPr>
                <w:bCs/>
                <w:sz w:val="24"/>
                <w:szCs w:val="24"/>
              </w:rPr>
              <w:t>the more commonly express</w:t>
            </w:r>
            <w:r w:rsidR="00D57393">
              <w:rPr>
                <w:bCs/>
                <w:sz w:val="24"/>
                <w:szCs w:val="24"/>
              </w:rPr>
              <w:t xml:space="preserve">ed emotional, sexual, physical but also ones such </w:t>
            </w:r>
            <w:r w:rsidR="009141BC">
              <w:rPr>
                <w:bCs/>
                <w:sz w:val="24"/>
                <w:szCs w:val="24"/>
              </w:rPr>
              <w:t xml:space="preserve">as ‘chemical’, </w:t>
            </w:r>
            <w:r>
              <w:rPr>
                <w:bCs/>
                <w:sz w:val="24"/>
                <w:szCs w:val="24"/>
              </w:rPr>
              <w:t xml:space="preserve">which is the abuse of medication </w:t>
            </w:r>
            <w:r>
              <w:rPr>
                <w:bCs/>
                <w:sz w:val="24"/>
                <w:szCs w:val="24"/>
              </w:rPr>
              <w:lastRenderedPageBreak/>
              <w:t>e.g. overdosing giving too much medication when not needed or with-drawing withholding needed medication or stealing / hiding medication (SCIE, 2018).</w:t>
            </w:r>
          </w:p>
          <w:p w14:paraId="0E03040A" w14:textId="77777777" w:rsidR="005E1CF2" w:rsidRDefault="005E1CF2">
            <w:pPr>
              <w:spacing w:line="360" w:lineRule="auto"/>
              <w:jc w:val="both"/>
              <w:rPr>
                <w:bCs/>
                <w:sz w:val="24"/>
                <w:szCs w:val="24"/>
              </w:rPr>
            </w:pPr>
          </w:p>
          <w:p w14:paraId="24BEB4E6" w14:textId="77777777" w:rsidR="005E1CF2" w:rsidRDefault="00527869">
            <w:pPr>
              <w:spacing w:line="360" w:lineRule="auto"/>
              <w:jc w:val="both"/>
            </w:pPr>
            <w:r>
              <w:rPr>
                <w:sz w:val="24"/>
                <w:szCs w:val="24"/>
              </w:rPr>
              <w:t xml:space="preserve">The Mental Capacity Act (MCA) </w:t>
            </w:r>
            <w:r w:rsidR="001636CD">
              <w:rPr>
                <w:sz w:val="24"/>
                <w:szCs w:val="24"/>
              </w:rPr>
              <w:t>2005</w:t>
            </w:r>
            <w:r w:rsidR="006C6385">
              <w:rPr>
                <w:sz w:val="24"/>
                <w:szCs w:val="24"/>
              </w:rPr>
              <w:t xml:space="preserve"> also</w:t>
            </w:r>
            <w:r w:rsidR="001636CD">
              <w:rPr>
                <w:sz w:val="24"/>
                <w:szCs w:val="24"/>
              </w:rPr>
              <w:t xml:space="preserve"> provides</w:t>
            </w:r>
            <w:r>
              <w:rPr>
                <w:sz w:val="24"/>
                <w:szCs w:val="24"/>
              </w:rPr>
              <w:t xml:space="preserve"> a legal framework </w:t>
            </w:r>
            <w:r w:rsidR="006C6385">
              <w:rPr>
                <w:sz w:val="24"/>
                <w:szCs w:val="24"/>
              </w:rPr>
              <w:t>to</w:t>
            </w:r>
            <w:r>
              <w:rPr>
                <w:sz w:val="24"/>
                <w:szCs w:val="24"/>
              </w:rPr>
              <w:t xml:space="preserve"> protect vulnerable adults who lack mental capacity and may not be able t</w:t>
            </w:r>
            <w:r w:rsidR="001636CD">
              <w:rPr>
                <w:sz w:val="24"/>
                <w:szCs w:val="24"/>
              </w:rPr>
              <w:t>o make their own decisions (MCA 2008,</w:t>
            </w:r>
            <w:r>
              <w:rPr>
                <w:sz w:val="24"/>
                <w:szCs w:val="24"/>
              </w:rPr>
              <w:t xml:space="preserve"> Brammer, 2010). This legislation is specific to an individual who is, or may become deprived of thei</w:t>
            </w:r>
            <w:r w:rsidR="006C6385">
              <w:rPr>
                <w:sz w:val="24"/>
                <w:szCs w:val="24"/>
              </w:rPr>
              <w:t xml:space="preserve">r liberty within a care home or </w:t>
            </w:r>
            <w:r>
              <w:rPr>
                <w:sz w:val="24"/>
                <w:szCs w:val="24"/>
              </w:rPr>
              <w:t>medical setting (NHS, 2019), The MCA &amp; D</w:t>
            </w:r>
            <w:r w:rsidR="006C6385">
              <w:rPr>
                <w:sz w:val="24"/>
                <w:szCs w:val="24"/>
              </w:rPr>
              <w:t xml:space="preserve">eprivation </w:t>
            </w:r>
            <w:r>
              <w:rPr>
                <w:sz w:val="24"/>
                <w:szCs w:val="24"/>
              </w:rPr>
              <w:t>o</w:t>
            </w:r>
            <w:r w:rsidR="006C6385">
              <w:rPr>
                <w:sz w:val="24"/>
                <w:szCs w:val="24"/>
              </w:rPr>
              <w:t>f Liberty Safeguards</w:t>
            </w:r>
            <w:r>
              <w:rPr>
                <w:sz w:val="24"/>
                <w:szCs w:val="24"/>
              </w:rPr>
              <w:t xml:space="preserve"> seek to ascertain the best interest of the </w:t>
            </w:r>
            <w:r w:rsidR="006C6385">
              <w:rPr>
                <w:sz w:val="24"/>
                <w:szCs w:val="24"/>
              </w:rPr>
              <w:t>individual’s</w:t>
            </w:r>
            <w:r>
              <w:rPr>
                <w:sz w:val="24"/>
                <w:szCs w:val="24"/>
              </w:rPr>
              <w:t xml:space="preserve"> residence in addition to </w:t>
            </w:r>
            <w:r w:rsidR="006C6385">
              <w:rPr>
                <w:sz w:val="24"/>
                <w:szCs w:val="24"/>
              </w:rPr>
              <w:t>the care and/</w:t>
            </w:r>
            <w:r>
              <w:rPr>
                <w:sz w:val="24"/>
                <w:szCs w:val="24"/>
              </w:rPr>
              <w:t>or treatment</w:t>
            </w:r>
            <w:r w:rsidR="006C6385">
              <w:rPr>
                <w:sz w:val="24"/>
                <w:szCs w:val="24"/>
              </w:rPr>
              <w:t>.</w:t>
            </w:r>
            <w:r>
              <w:rPr>
                <w:sz w:val="24"/>
                <w:szCs w:val="24"/>
              </w:rPr>
              <w:t xml:space="preserve"> These Acts are came into force in 2009 and relate to both individuals residing in both England and Wales (SCIE, 2011). Should an individual been deemed as lacking capacity as defined in MCA (2005), the hospice has a duty to explore a </w:t>
            </w:r>
            <w:r w:rsidR="006C6385">
              <w:rPr>
                <w:sz w:val="24"/>
                <w:szCs w:val="24"/>
              </w:rPr>
              <w:t>DoLS</w:t>
            </w:r>
            <w:r>
              <w:rPr>
                <w:sz w:val="24"/>
                <w:szCs w:val="24"/>
              </w:rPr>
              <w:t>. During emergency situations a DoLS can</w:t>
            </w:r>
            <w:r w:rsidR="006934B2">
              <w:rPr>
                <w:sz w:val="24"/>
                <w:szCs w:val="24"/>
              </w:rPr>
              <w:t xml:space="preserve"> be placed for 7 days followed by a 7 day extension if needed. A</w:t>
            </w:r>
            <w:r>
              <w:rPr>
                <w:sz w:val="24"/>
                <w:szCs w:val="24"/>
              </w:rPr>
              <w:t xml:space="preserve"> standard DoLS can also be requested giving </w:t>
            </w:r>
            <w:r w:rsidR="006934B2">
              <w:rPr>
                <w:sz w:val="24"/>
                <w:szCs w:val="24"/>
              </w:rPr>
              <w:t xml:space="preserve">the </w:t>
            </w:r>
            <w:r>
              <w:rPr>
                <w:sz w:val="24"/>
                <w:szCs w:val="24"/>
              </w:rPr>
              <w:t>leading agency a period of 28 days to conduct</w:t>
            </w:r>
            <w:r w:rsidR="006934B2">
              <w:rPr>
                <w:sz w:val="24"/>
                <w:szCs w:val="24"/>
              </w:rPr>
              <w:t xml:space="preserve"> their</w:t>
            </w:r>
            <w:r>
              <w:rPr>
                <w:sz w:val="24"/>
                <w:szCs w:val="24"/>
              </w:rPr>
              <w:t xml:space="preserve"> assessment (Gov, 2018). When initiating a DoLS request, the internal hospice policy identifies that a MDT approach is undertaken (XXX Hospice, 2018) which as a minimum would consist of a registered medical professional and a social worker. Prior to any DoLS submission the hospice must undertake a Best Interest Meeting (BIM) ascertaining previous wishes and feelings of the individu</w:t>
            </w:r>
            <w:r w:rsidR="006934B2">
              <w:rPr>
                <w:sz w:val="24"/>
                <w:szCs w:val="24"/>
              </w:rPr>
              <w:t>al and those of family members.</w:t>
            </w:r>
          </w:p>
          <w:p w14:paraId="432E970C" w14:textId="77777777" w:rsidR="005E1CF2" w:rsidRDefault="005E1CF2">
            <w:pPr>
              <w:jc w:val="both"/>
              <w:rPr>
                <w:sz w:val="24"/>
                <w:szCs w:val="24"/>
                <w:highlight w:val="yellow"/>
              </w:rPr>
            </w:pPr>
          </w:p>
          <w:p w14:paraId="6D6589BD" w14:textId="77777777" w:rsidR="005E1CF2" w:rsidRDefault="00527869">
            <w:pPr>
              <w:jc w:val="both"/>
            </w:pPr>
            <w:r w:rsidRPr="00527869">
              <w:rPr>
                <w:i/>
                <w:sz w:val="24"/>
                <w:szCs w:val="24"/>
              </w:rPr>
              <w:t>500 words</w:t>
            </w:r>
            <w:r w:rsidRPr="00527869">
              <w:rPr>
                <w:sz w:val="24"/>
                <w:szCs w:val="24"/>
              </w:rPr>
              <w:t xml:space="preserve"> (+/- 10%: include your actual word count</w:t>
            </w:r>
            <w:r w:rsidR="006934B2">
              <w:rPr>
                <w:sz w:val="24"/>
                <w:szCs w:val="24"/>
              </w:rPr>
              <w:t xml:space="preserve"> at the end of each section) 547</w:t>
            </w:r>
          </w:p>
        </w:tc>
      </w:tr>
    </w:tbl>
    <w:p w14:paraId="2A51CC74" w14:textId="77777777" w:rsidR="005E1CF2" w:rsidRDefault="005E1CF2">
      <w:pPr>
        <w:jc w:val="both"/>
        <w:rPr>
          <w:sz w:val="24"/>
          <w:szCs w:val="24"/>
        </w:rPr>
      </w:pPr>
    </w:p>
    <w:p w14:paraId="1F1D50CA" w14:textId="77777777" w:rsidR="005E1CF2" w:rsidRDefault="00527869">
      <w:pPr>
        <w:jc w:val="both"/>
        <w:rPr>
          <w:sz w:val="24"/>
          <w:szCs w:val="24"/>
        </w:rPr>
      </w:pPr>
      <w:r>
        <w:rPr>
          <w:sz w:val="24"/>
          <w:szCs w:val="24"/>
        </w:rPr>
        <w:t xml:space="preserve"> </w:t>
      </w:r>
    </w:p>
    <w:p w14:paraId="42B11645" w14:textId="77777777" w:rsidR="005E1CF2" w:rsidRDefault="005E1CF2">
      <w:pPr>
        <w:jc w:val="both"/>
        <w:rPr>
          <w:sz w:val="24"/>
          <w:szCs w:val="24"/>
        </w:rPr>
      </w:pPr>
    </w:p>
    <w:tbl>
      <w:tblPr>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070"/>
      </w:tblGrid>
      <w:tr w:rsidR="005E1CF2" w14:paraId="0F4E29E2" w14:textId="77777777">
        <w:tc>
          <w:tcPr>
            <w:tcW w:w="10070" w:type="dxa"/>
            <w:tcBorders>
              <w:top w:val="single" w:sz="4" w:space="0" w:color="000000"/>
              <w:left w:val="single" w:sz="4" w:space="0" w:color="000000"/>
              <w:bottom w:val="single" w:sz="4" w:space="0" w:color="000000"/>
              <w:right w:val="single" w:sz="4" w:space="0" w:color="000000"/>
            </w:tcBorders>
            <w:shd w:val="clear" w:color="auto" w:fill="auto"/>
          </w:tcPr>
          <w:p w14:paraId="1EB03A72" w14:textId="77777777" w:rsidR="005E1CF2" w:rsidRPr="00527869" w:rsidRDefault="00527869">
            <w:pPr>
              <w:jc w:val="both"/>
              <w:rPr>
                <w:sz w:val="24"/>
                <w:szCs w:val="24"/>
              </w:rPr>
            </w:pPr>
            <w:r w:rsidRPr="00527869">
              <w:rPr>
                <w:sz w:val="24"/>
                <w:szCs w:val="24"/>
              </w:rPr>
              <w:t>Reflect on the difference between safeguarding in adult and children’s work</w:t>
            </w:r>
          </w:p>
          <w:p w14:paraId="69BEF809" w14:textId="77777777" w:rsidR="005E1CF2" w:rsidRDefault="005E1CF2">
            <w:pPr>
              <w:jc w:val="both"/>
              <w:rPr>
                <w:sz w:val="24"/>
                <w:szCs w:val="24"/>
                <w:highlight w:val="cyan"/>
              </w:rPr>
            </w:pPr>
          </w:p>
          <w:p w14:paraId="5E3E5C31" w14:textId="77777777" w:rsidR="005E1CF2" w:rsidRDefault="00527869">
            <w:pPr>
              <w:spacing w:line="360" w:lineRule="auto"/>
              <w:jc w:val="both"/>
            </w:pPr>
            <w:r>
              <w:rPr>
                <w:sz w:val="24"/>
                <w:szCs w:val="24"/>
              </w:rPr>
              <w:t>The most prominent difference between children and adults safeguards appear to be based around legislation, definitions of abuse, signs of abuse and specific outcomes. The legislation</w:t>
            </w:r>
            <w:r w:rsidR="006406B4">
              <w:rPr>
                <w:sz w:val="24"/>
                <w:szCs w:val="24"/>
              </w:rPr>
              <w:t xml:space="preserve"> and procedure</w:t>
            </w:r>
            <w:r w:rsidR="00AD19B8">
              <w:rPr>
                <w:sz w:val="24"/>
                <w:szCs w:val="24"/>
              </w:rPr>
              <w:t>s</w:t>
            </w:r>
            <w:r w:rsidR="006406B4">
              <w:rPr>
                <w:sz w:val="24"/>
                <w:szCs w:val="24"/>
              </w:rPr>
              <w:t xml:space="preserve"> for children is underpinned</w:t>
            </w:r>
            <w:r>
              <w:rPr>
                <w:sz w:val="24"/>
                <w:szCs w:val="24"/>
              </w:rPr>
              <w:t xml:space="preserve"> by UNCRC (1989), the Children Act (1989</w:t>
            </w:r>
            <w:r w:rsidR="00AD19B8">
              <w:rPr>
                <w:sz w:val="24"/>
                <w:szCs w:val="24"/>
              </w:rPr>
              <w:t>; 2004</w:t>
            </w:r>
            <w:r>
              <w:rPr>
                <w:sz w:val="24"/>
                <w:szCs w:val="24"/>
              </w:rPr>
              <w:t xml:space="preserve">) and the SSWBA (2014). </w:t>
            </w:r>
            <w:r w:rsidR="00AD19B8">
              <w:rPr>
                <w:sz w:val="24"/>
                <w:szCs w:val="24"/>
              </w:rPr>
              <w:t>Whereas</w:t>
            </w:r>
            <w:r>
              <w:rPr>
                <w:sz w:val="24"/>
                <w:szCs w:val="24"/>
              </w:rPr>
              <w:t xml:space="preserve"> the adult legislation and guidelines are underpinned by In Safe Hands (2006), MCA (2005), Wales Interim Policy and Procedures for the Protection of Vulnerable Adults from Abuse (2013) and the SSWBA (2016). Although The SSWBA provides policy and guidance for the safeguarding of both children and adults there varying processes for </w:t>
            </w:r>
            <w:r w:rsidR="00AD19B8">
              <w:rPr>
                <w:sz w:val="24"/>
                <w:szCs w:val="24"/>
              </w:rPr>
              <w:t>either category, or</w:t>
            </w:r>
            <w:r>
              <w:rPr>
                <w:sz w:val="24"/>
                <w:szCs w:val="24"/>
              </w:rPr>
              <w:t xml:space="preserve"> a difference in language and definitions.  </w:t>
            </w:r>
          </w:p>
          <w:p w14:paraId="1963A55C" w14:textId="77777777" w:rsidR="00170965" w:rsidRPr="00170965" w:rsidRDefault="00170965">
            <w:pPr>
              <w:spacing w:line="360" w:lineRule="auto"/>
              <w:jc w:val="both"/>
            </w:pPr>
          </w:p>
          <w:p w14:paraId="1ECB80EF" w14:textId="77777777" w:rsidR="005E1CF2" w:rsidRDefault="00527869">
            <w:pPr>
              <w:spacing w:line="360" w:lineRule="auto"/>
              <w:jc w:val="both"/>
            </w:pPr>
            <w:r>
              <w:rPr>
                <w:sz w:val="24"/>
                <w:szCs w:val="24"/>
              </w:rPr>
              <w:t xml:space="preserve">Signs of abuse may have several visual differences, between adults and children and social workers need to be able to identify signs confidentially with both populations, for example financial abuse within adults may be identified by poor money management and unpaid bills, this could be known as coercive and control (Woman’s Aid, 2015). Whereas with children financial abuse could be identified through weight loss, presentation and or withholding child maintenance (Brown, 2003. Cited in ACT, </w:t>
            </w:r>
            <w:r w:rsidR="00201373">
              <w:rPr>
                <w:sz w:val="24"/>
                <w:szCs w:val="24"/>
              </w:rPr>
              <w:t>2016)</w:t>
            </w:r>
            <w:r>
              <w:rPr>
                <w:sz w:val="24"/>
                <w:szCs w:val="24"/>
              </w:rPr>
              <w:t xml:space="preserve">. </w:t>
            </w:r>
          </w:p>
          <w:p w14:paraId="001E0162" w14:textId="77777777" w:rsidR="005E1CF2" w:rsidRDefault="005E1CF2">
            <w:pPr>
              <w:spacing w:line="360" w:lineRule="auto"/>
              <w:jc w:val="both"/>
              <w:rPr>
                <w:sz w:val="24"/>
                <w:szCs w:val="24"/>
              </w:rPr>
            </w:pPr>
          </w:p>
          <w:p w14:paraId="1A27B4B1" w14:textId="77777777" w:rsidR="005E1CF2" w:rsidRPr="00170965" w:rsidRDefault="00527869">
            <w:pPr>
              <w:spacing w:line="360" w:lineRule="auto"/>
              <w:jc w:val="both"/>
              <w:rPr>
                <w:sz w:val="24"/>
                <w:szCs w:val="24"/>
              </w:rPr>
            </w:pPr>
            <w:r>
              <w:rPr>
                <w:sz w:val="24"/>
                <w:szCs w:val="24"/>
              </w:rPr>
              <w:t>Another variant of the safeguards of children and adults is the right to decline intervention. Adults deemed to have capacity as stated within the MCA (2005) are able to decline care and support from services. In addition the MCA also applies to children aged 16 upwards therefore they have the ability to refuse intervention.</w:t>
            </w:r>
            <w:r w:rsidR="00170965">
              <w:rPr>
                <w:sz w:val="24"/>
                <w:szCs w:val="24"/>
              </w:rPr>
              <w:t xml:space="preserve"> </w:t>
            </w:r>
            <w:r>
              <w:rPr>
                <w:sz w:val="24"/>
                <w:szCs w:val="24"/>
              </w:rPr>
              <w:t>Deprivation of Liberty Safeguard</w:t>
            </w:r>
            <w:r w:rsidR="00AD19B8">
              <w:rPr>
                <w:sz w:val="24"/>
                <w:szCs w:val="24"/>
              </w:rPr>
              <w:t>ing with</w:t>
            </w:r>
            <w:r>
              <w:rPr>
                <w:sz w:val="24"/>
                <w:szCs w:val="24"/>
              </w:rPr>
              <w:t xml:space="preserve"> adult</w:t>
            </w:r>
            <w:r w:rsidR="00AD19B8">
              <w:rPr>
                <w:sz w:val="24"/>
                <w:szCs w:val="24"/>
              </w:rPr>
              <w:t xml:space="preserve">s can only apply when the individual doesn’t have capacity and </w:t>
            </w:r>
            <w:r>
              <w:rPr>
                <w:sz w:val="24"/>
                <w:szCs w:val="24"/>
              </w:rPr>
              <w:t>relates to the best interest of a vulnerable adul</w:t>
            </w:r>
            <w:r w:rsidR="00AD19B8">
              <w:rPr>
                <w:sz w:val="24"/>
                <w:szCs w:val="24"/>
              </w:rPr>
              <w:t>t (MCA, 2005). In comparison</w:t>
            </w:r>
            <w:r w:rsidR="00201373">
              <w:rPr>
                <w:sz w:val="24"/>
                <w:szCs w:val="24"/>
              </w:rPr>
              <w:t>,</w:t>
            </w:r>
            <w:r w:rsidR="00AD19B8">
              <w:rPr>
                <w:sz w:val="24"/>
                <w:szCs w:val="24"/>
              </w:rPr>
              <w:t xml:space="preserve"> </w:t>
            </w:r>
            <w:r>
              <w:rPr>
                <w:sz w:val="24"/>
                <w:szCs w:val="24"/>
              </w:rPr>
              <w:t>the procedures to deprive a child of their</w:t>
            </w:r>
            <w:r w:rsidR="00AD19B8">
              <w:rPr>
                <w:sz w:val="24"/>
                <w:szCs w:val="24"/>
              </w:rPr>
              <w:t xml:space="preserve"> liberty (Community Care, 2018) can include</w:t>
            </w:r>
            <w:r>
              <w:rPr>
                <w:sz w:val="24"/>
                <w:szCs w:val="24"/>
              </w:rPr>
              <w:t xml:space="preserve"> many factors </w:t>
            </w:r>
            <w:r w:rsidR="00AD19B8">
              <w:rPr>
                <w:sz w:val="24"/>
                <w:szCs w:val="24"/>
              </w:rPr>
              <w:t>such as;</w:t>
            </w:r>
            <w:r>
              <w:rPr>
                <w:sz w:val="24"/>
                <w:szCs w:val="24"/>
              </w:rPr>
              <w:t xml:space="preserve"> is the young person in secure accommodation as identified in section 2</w:t>
            </w:r>
            <w:r w:rsidR="00201373">
              <w:rPr>
                <w:sz w:val="24"/>
                <w:szCs w:val="24"/>
              </w:rPr>
              <w:t>5 of the Children Act 1989,</w:t>
            </w:r>
            <w:r>
              <w:rPr>
                <w:sz w:val="24"/>
                <w:szCs w:val="24"/>
              </w:rPr>
              <w:t xml:space="preserve"> a capacity assessment (</w:t>
            </w:r>
            <w:r w:rsidR="00201373">
              <w:rPr>
                <w:sz w:val="24"/>
                <w:szCs w:val="24"/>
              </w:rPr>
              <w:t>MCA, 2005</w:t>
            </w:r>
            <w:r>
              <w:rPr>
                <w:sz w:val="24"/>
                <w:szCs w:val="24"/>
              </w:rPr>
              <w:t>)</w:t>
            </w:r>
            <w:r w:rsidR="00201373">
              <w:rPr>
                <w:sz w:val="24"/>
                <w:szCs w:val="24"/>
              </w:rPr>
              <w:t xml:space="preserve"> or being detained under The Mental Health Act </w:t>
            </w:r>
            <w:r>
              <w:rPr>
                <w:sz w:val="24"/>
                <w:szCs w:val="24"/>
              </w:rPr>
              <w:t>. Although a child’s parent can consent to a placement identified within a care order, the practitioner and agency could become under scrutiny. Therefore in terms of best practice the commissioner should refer the case to the Court of Protection (Com</w:t>
            </w:r>
            <w:r w:rsidR="00201373">
              <w:rPr>
                <w:sz w:val="24"/>
                <w:szCs w:val="24"/>
              </w:rPr>
              <w:t>munity care, 2018; MHA, 1983). T</w:t>
            </w:r>
            <w:r>
              <w:rPr>
                <w:sz w:val="24"/>
                <w:szCs w:val="24"/>
              </w:rPr>
              <w:t xml:space="preserve">his was further supported by the findings of the recent </w:t>
            </w:r>
            <w:hyperlink r:id="rId9">
              <w:r>
                <w:rPr>
                  <w:rStyle w:val="InternetLink"/>
                  <w:color w:val="auto"/>
                  <w:sz w:val="24"/>
                  <w:szCs w:val="24"/>
                  <w:highlight w:val="white"/>
                  <w:u w:val="none"/>
                </w:rPr>
                <w:t>Birmingham City Council v D case law [2016</w:t>
              </w:r>
            </w:hyperlink>
            <w:r>
              <w:rPr>
                <w:color w:val="555555"/>
                <w:sz w:val="24"/>
                <w:szCs w:val="24"/>
                <w:shd w:val="clear" w:color="auto" w:fill="FFFFFF"/>
              </w:rPr>
              <w:t>]</w:t>
            </w:r>
            <w:r w:rsidR="00201373">
              <w:rPr>
                <w:sz w:val="24"/>
                <w:szCs w:val="24"/>
              </w:rPr>
              <w:t>. Furthermore, should an</w:t>
            </w:r>
            <w:r>
              <w:rPr>
                <w:sz w:val="24"/>
                <w:szCs w:val="24"/>
              </w:rPr>
              <w:t xml:space="preserve"> individual be assess</w:t>
            </w:r>
            <w:r w:rsidR="00201373">
              <w:rPr>
                <w:sz w:val="24"/>
                <w:szCs w:val="24"/>
              </w:rPr>
              <w:t>ed as having capacity, there will still be</w:t>
            </w:r>
            <w:r>
              <w:rPr>
                <w:sz w:val="24"/>
                <w:szCs w:val="24"/>
              </w:rPr>
              <w:t xml:space="preserve"> situations</w:t>
            </w:r>
            <w:r w:rsidR="00201373">
              <w:rPr>
                <w:sz w:val="24"/>
                <w:szCs w:val="24"/>
              </w:rPr>
              <w:t>, case specific,</w:t>
            </w:r>
            <w:r>
              <w:rPr>
                <w:sz w:val="24"/>
                <w:szCs w:val="24"/>
              </w:rPr>
              <w:t xml:space="preserve"> where</w:t>
            </w:r>
            <w:r w:rsidR="00201373">
              <w:rPr>
                <w:sz w:val="24"/>
                <w:szCs w:val="24"/>
              </w:rPr>
              <w:t xml:space="preserve"> the</w:t>
            </w:r>
            <w:r>
              <w:rPr>
                <w:sz w:val="24"/>
                <w:szCs w:val="24"/>
              </w:rPr>
              <w:t xml:space="preserve"> intervention will continue without consent, such as criminal investigation and </w:t>
            </w:r>
            <w:r w:rsidR="00201373">
              <w:rPr>
                <w:sz w:val="24"/>
                <w:szCs w:val="24"/>
              </w:rPr>
              <w:t>domestic violence situations (XXX LA, 2018).</w:t>
            </w:r>
          </w:p>
          <w:p w14:paraId="004BA49A" w14:textId="77777777" w:rsidR="005E1CF2" w:rsidRDefault="005E1CF2">
            <w:pPr>
              <w:jc w:val="both"/>
              <w:rPr>
                <w:sz w:val="24"/>
                <w:szCs w:val="24"/>
                <w:highlight w:val="yellow"/>
              </w:rPr>
            </w:pPr>
          </w:p>
          <w:p w14:paraId="70F64F90" w14:textId="77777777" w:rsidR="005E1CF2" w:rsidRDefault="00527869">
            <w:pPr>
              <w:jc w:val="both"/>
              <w:rPr>
                <w:i/>
                <w:sz w:val="24"/>
                <w:szCs w:val="24"/>
              </w:rPr>
            </w:pPr>
            <w:r w:rsidRPr="00527869">
              <w:rPr>
                <w:i/>
                <w:sz w:val="24"/>
                <w:szCs w:val="24"/>
              </w:rPr>
              <w:t>400 words</w:t>
            </w:r>
            <w:r w:rsidRPr="00527869">
              <w:rPr>
                <w:sz w:val="24"/>
                <w:szCs w:val="24"/>
              </w:rPr>
              <w:t xml:space="preserve"> </w:t>
            </w:r>
            <w:r w:rsidRPr="00527869">
              <w:rPr>
                <w:i/>
                <w:sz w:val="24"/>
                <w:szCs w:val="24"/>
              </w:rPr>
              <w:t>(+/- 10%: include your actual word count</w:t>
            </w:r>
            <w:r w:rsidR="0058390D">
              <w:rPr>
                <w:i/>
                <w:sz w:val="24"/>
                <w:szCs w:val="24"/>
              </w:rPr>
              <w:t xml:space="preserve"> at the end of each section) 409</w:t>
            </w:r>
          </w:p>
          <w:p w14:paraId="34572C60" w14:textId="77777777" w:rsidR="005E1CF2" w:rsidRDefault="005E1CF2">
            <w:pPr>
              <w:jc w:val="both"/>
              <w:rPr>
                <w:sz w:val="24"/>
                <w:szCs w:val="24"/>
              </w:rPr>
            </w:pPr>
          </w:p>
        </w:tc>
      </w:tr>
    </w:tbl>
    <w:p w14:paraId="44A96FC2" w14:textId="77777777" w:rsidR="005E1CF2" w:rsidRDefault="005E1CF2">
      <w:pPr>
        <w:ind w:left="360" w:hanging="360"/>
        <w:jc w:val="both"/>
        <w:rPr>
          <w:b/>
          <w:sz w:val="24"/>
          <w:szCs w:val="24"/>
        </w:rPr>
      </w:pPr>
    </w:p>
    <w:p w14:paraId="33314935" w14:textId="77777777" w:rsidR="005E1CF2" w:rsidRDefault="005E1CF2">
      <w:pPr>
        <w:jc w:val="both"/>
        <w:rPr>
          <w:sz w:val="24"/>
          <w:szCs w:val="24"/>
        </w:rPr>
      </w:pPr>
    </w:p>
    <w:p w14:paraId="04D24708" w14:textId="77777777" w:rsidR="0041228E" w:rsidRDefault="0041228E" w:rsidP="0041228E">
      <w:pPr>
        <w:jc w:val="both"/>
        <w:rPr>
          <w:sz w:val="24"/>
          <w:szCs w:val="24"/>
        </w:rPr>
      </w:pPr>
    </w:p>
    <w:p w14:paraId="11FBAA0B" w14:textId="77777777" w:rsidR="005E1CF2" w:rsidRDefault="00527869" w:rsidP="0041228E">
      <w:pPr>
        <w:jc w:val="center"/>
        <w:rPr>
          <w:b/>
          <w:sz w:val="24"/>
          <w:szCs w:val="24"/>
        </w:rPr>
      </w:pPr>
      <w:r>
        <w:rPr>
          <w:b/>
          <w:sz w:val="24"/>
          <w:szCs w:val="24"/>
        </w:rPr>
        <w:t>Section 6</w:t>
      </w:r>
    </w:p>
    <w:p w14:paraId="7EB71AF2" w14:textId="77777777" w:rsidR="005E1CF2" w:rsidRDefault="005E1CF2">
      <w:pPr>
        <w:jc w:val="both"/>
        <w:rPr>
          <w:b/>
          <w:sz w:val="24"/>
          <w:szCs w:val="24"/>
        </w:rPr>
      </w:pPr>
    </w:p>
    <w:p w14:paraId="5191A389" w14:textId="77777777" w:rsidR="005E1CF2" w:rsidRDefault="00527869">
      <w:pPr>
        <w:jc w:val="both"/>
        <w:rPr>
          <w:b/>
          <w:sz w:val="24"/>
          <w:szCs w:val="24"/>
        </w:rPr>
      </w:pPr>
      <w:r>
        <w:rPr>
          <w:b/>
          <w:sz w:val="24"/>
          <w:szCs w:val="24"/>
        </w:rPr>
        <w:t>Developmental Review (b)</w:t>
      </w:r>
    </w:p>
    <w:p w14:paraId="5B3B8EB7" w14:textId="77777777" w:rsidR="005E1CF2" w:rsidRDefault="005E1CF2">
      <w:pPr>
        <w:jc w:val="both"/>
        <w:rPr>
          <w:b/>
          <w:sz w:val="24"/>
          <w:szCs w:val="24"/>
        </w:rPr>
      </w:pPr>
    </w:p>
    <w:tbl>
      <w:tblPr>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070"/>
      </w:tblGrid>
      <w:tr w:rsidR="005E1CF2" w14:paraId="0E84D6F2" w14:textId="77777777">
        <w:tc>
          <w:tcPr>
            <w:tcW w:w="10070" w:type="dxa"/>
            <w:tcBorders>
              <w:top w:val="single" w:sz="4" w:space="0" w:color="000000"/>
              <w:left w:val="single" w:sz="4" w:space="0" w:color="000000"/>
              <w:bottom w:val="single" w:sz="4" w:space="0" w:color="000000"/>
              <w:right w:val="single" w:sz="4" w:space="0" w:color="000000"/>
            </w:tcBorders>
            <w:shd w:val="clear" w:color="auto" w:fill="auto"/>
          </w:tcPr>
          <w:p w14:paraId="16DEFB6B" w14:textId="77777777" w:rsidR="005E1CF2" w:rsidRPr="00656037" w:rsidRDefault="00527869">
            <w:pPr>
              <w:jc w:val="both"/>
              <w:rPr>
                <w:sz w:val="24"/>
                <w:szCs w:val="24"/>
              </w:rPr>
            </w:pPr>
            <w:r w:rsidRPr="00656037">
              <w:rPr>
                <w:sz w:val="24"/>
                <w:szCs w:val="24"/>
              </w:rPr>
              <w:lastRenderedPageBreak/>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14:paraId="035FF1CB" w14:textId="77777777" w:rsidR="005E1CF2" w:rsidRDefault="005E1CF2">
            <w:pPr>
              <w:jc w:val="both"/>
              <w:rPr>
                <w:sz w:val="24"/>
                <w:szCs w:val="24"/>
                <w:u w:val="single"/>
              </w:rPr>
            </w:pPr>
          </w:p>
          <w:p w14:paraId="12CBBBE3" w14:textId="77777777" w:rsidR="005E1CF2" w:rsidRDefault="00527869">
            <w:pPr>
              <w:spacing w:line="360" w:lineRule="auto"/>
              <w:jc w:val="both"/>
              <w:rPr>
                <w:sz w:val="24"/>
                <w:szCs w:val="24"/>
              </w:rPr>
            </w:pPr>
            <w:r>
              <w:rPr>
                <w:sz w:val="24"/>
                <w:szCs w:val="24"/>
              </w:rPr>
              <w:t>During the past 12 months I ha</w:t>
            </w:r>
            <w:r w:rsidR="00385C2F">
              <w:rPr>
                <w:sz w:val="24"/>
                <w:szCs w:val="24"/>
              </w:rPr>
              <w:t xml:space="preserve">ve reflected </w:t>
            </w:r>
            <w:r w:rsidR="00F73D3F">
              <w:rPr>
                <w:sz w:val="24"/>
                <w:szCs w:val="24"/>
              </w:rPr>
              <w:t xml:space="preserve">regularly </w:t>
            </w:r>
            <w:r w:rsidR="00385C2F">
              <w:rPr>
                <w:sz w:val="24"/>
                <w:szCs w:val="24"/>
              </w:rPr>
              <w:t>with my manager</w:t>
            </w:r>
            <w:r>
              <w:rPr>
                <w:sz w:val="24"/>
                <w:szCs w:val="24"/>
              </w:rPr>
              <w:t xml:space="preserve"> during formal and informal supervision. Previously when self-reflecting, it has been problematic due to me being over-critical and subsequently deskilling myself. With the leadership of my current manager, the development of my self-reflective skills has been compl</w:t>
            </w:r>
            <w:r w:rsidR="00F73D3F">
              <w:rPr>
                <w:sz w:val="24"/>
                <w:szCs w:val="24"/>
              </w:rPr>
              <w:t>eted in a respectful and caring</w:t>
            </w:r>
            <w:r>
              <w:rPr>
                <w:sz w:val="24"/>
                <w:szCs w:val="24"/>
              </w:rPr>
              <w:t xml:space="preserve"> manner (Yip, 2006). This has ensured reflection aided learning and development rather than continual criticism (Gould, 1996). Although I am still able to seek support and clarity where appropriate, there has been a noticeable reduction in ‘seeking reassurance’. I recognise this previous behaviour could be influenced by my lack of experience with adults but</w:t>
            </w:r>
            <w:r w:rsidR="00F73D3F">
              <w:rPr>
                <w:sz w:val="24"/>
                <w:szCs w:val="24"/>
              </w:rPr>
              <w:t xml:space="preserve"> also the lack of a supportive manger in this setting before my current</w:t>
            </w:r>
            <w:r w:rsidR="000C0B33">
              <w:rPr>
                <w:sz w:val="24"/>
                <w:szCs w:val="24"/>
              </w:rPr>
              <w:t xml:space="preserve"> one. Both of the above factors have now changed.</w:t>
            </w:r>
          </w:p>
          <w:p w14:paraId="2CF39D5A" w14:textId="77777777" w:rsidR="000C0B33" w:rsidRDefault="000C0B33">
            <w:pPr>
              <w:spacing w:line="360" w:lineRule="auto"/>
              <w:jc w:val="both"/>
              <w:rPr>
                <w:sz w:val="24"/>
                <w:szCs w:val="24"/>
                <w:highlight w:val="cyan"/>
                <w:u w:val="single"/>
              </w:rPr>
            </w:pPr>
          </w:p>
          <w:p w14:paraId="18E84DC7" w14:textId="4DCEB5C9" w:rsidR="005E1CF2" w:rsidRDefault="00527869">
            <w:pPr>
              <w:spacing w:line="360" w:lineRule="auto"/>
              <w:jc w:val="both"/>
            </w:pPr>
            <w:r>
              <w:rPr>
                <w:sz w:val="24"/>
                <w:szCs w:val="24"/>
              </w:rPr>
              <w:t xml:space="preserve">Recognising the process of clinical supervision and accountability is often viewed as being open to criticism, focusing on problematic situations which can result in allocating blame and scrutiny. This can lead to defensive practice where the needs of </w:t>
            </w:r>
            <w:r w:rsidR="007E2CE8">
              <w:rPr>
                <w:sz w:val="24"/>
                <w:szCs w:val="24"/>
              </w:rPr>
              <w:t>individuals</w:t>
            </w:r>
            <w:r>
              <w:rPr>
                <w:sz w:val="24"/>
                <w:szCs w:val="24"/>
              </w:rPr>
              <w:t xml:space="preserve"> can be lost (Banks, 200</w:t>
            </w:r>
            <w:r w:rsidR="006B65F1">
              <w:rPr>
                <w:sz w:val="24"/>
                <w:szCs w:val="24"/>
              </w:rPr>
              <w:t>6</w:t>
            </w:r>
            <w:r>
              <w:rPr>
                <w:sz w:val="24"/>
                <w:szCs w:val="24"/>
              </w:rPr>
              <w:t>).</w:t>
            </w:r>
            <w:r w:rsidR="007E2CE8">
              <w:rPr>
                <w:sz w:val="24"/>
                <w:szCs w:val="24"/>
              </w:rPr>
              <w:t xml:space="preserve"> </w:t>
            </w:r>
            <w:r>
              <w:rPr>
                <w:sz w:val="24"/>
                <w:szCs w:val="24"/>
              </w:rPr>
              <w:t xml:space="preserve">Grant and </w:t>
            </w:r>
            <w:proofErr w:type="spellStart"/>
            <w:r>
              <w:rPr>
                <w:sz w:val="24"/>
                <w:szCs w:val="24"/>
              </w:rPr>
              <w:t>Kinman</w:t>
            </w:r>
            <w:proofErr w:type="spellEnd"/>
            <w:r>
              <w:rPr>
                <w:sz w:val="24"/>
                <w:szCs w:val="24"/>
              </w:rPr>
              <w:t xml:space="preserve"> (2012) identify that there are two key characteristics that promote social work development, especially within the qualifying period and one of these is the ability to reflect. Clinical supervision has really supported me to reflect safely. Utilising Kolb’s model of experiential learning (1984) I have been able to work through the negative impact that some cases have had on my own emotional wellbeing. To say I was nervous initially about clinical supervision, having never previously experienced it</w:t>
            </w:r>
            <w:r w:rsidR="00785C1E">
              <w:rPr>
                <w:sz w:val="24"/>
                <w:szCs w:val="24"/>
              </w:rPr>
              <w:t>, was an understatement. P</w:t>
            </w:r>
            <w:r>
              <w:rPr>
                <w:sz w:val="24"/>
                <w:szCs w:val="24"/>
              </w:rPr>
              <w:t xml:space="preserve">revious supervision </w:t>
            </w:r>
            <w:r w:rsidR="00785C1E">
              <w:rPr>
                <w:sz w:val="24"/>
                <w:szCs w:val="24"/>
              </w:rPr>
              <w:t>undertaken has been mainly about</w:t>
            </w:r>
            <w:r>
              <w:rPr>
                <w:sz w:val="24"/>
                <w:szCs w:val="24"/>
              </w:rPr>
              <w:t xml:space="preserve"> </w:t>
            </w:r>
            <w:r w:rsidR="00785C1E">
              <w:rPr>
                <w:sz w:val="24"/>
                <w:szCs w:val="24"/>
              </w:rPr>
              <w:t>task focused case discussion and closures</w:t>
            </w:r>
            <w:r>
              <w:rPr>
                <w:sz w:val="24"/>
                <w:szCs w:val="24"/>
              </w:rPr>
              <w:t>. Therefore, the fear of judgement, emotional outlet and perceived failures were daunting. However, clinical supervision has been</w:t>
            </w:r>
            <w:r w:rsidR="00785C1E">
              <w:rPr>
                <w:sz w:val="24"/>
                <w:szCs w:val="24"/>
              </w:rPr>
              <w:t xml:space="preserve"> extremely</w:t>
            </w:r>
            <w:r>
              <w:rPr>
                <w:sz w:val="24"/>
                <w:szCs w:val="24"/>
              </w:rPr>
              <w:t xml:space="preserve"> beneficial to my well-being and my practice.</w:t>
            </w:r>
            <w:r>
              <w:rPr>
                <w:color w:val="FF0000"/>
                <w:sz w:val="24"/>
                <w:szCs w:val="24"/>
              </w:rPr>
              <w:t xml:space="preserve"> </w:t>
            </w:r>
          </w:p>
          <w:p w14:paraId="22FC9B18" w14:textId="77777777" w:rsidR="005E1CF2" w:rsidRDefault="005E1CF2">
            <w:pPr>
              <w:spacing w:line="360" w:lineRule="auto"/>
              <w:jc w:val="both"/>
              <w:rPr>
                <w:sz w:val="24"/>
                <w:szCs w:val="24"/>
                <w:highlight w:val="cyan"/>
              </w:rPr>
            </w:pPr>
          </w:p>
          <w:p w14:paraId="4FD6AC5A" w14:textId="77777777" w:rsidR="005E1CF2" w:rsidRPr="00AD730F" w:rsidRDefault="00527869">
            <w:pPr>
              <w:spacing w:line="360" w:lineRule="auto"/>
              <w:jc w:val="both"/>
              <w:rPr>
                <w:sz w:val="24"/>
                <w:szCs w:val="24"/>
              </w:rPr>
            </w:pPr>
            <w:r>
              <w:rPr>
                <w:sz w:val="24"/>
                <w:szCs w:val="24"/>
              </w:rPr>
              <w:lastRenderedPageBreak/>
              <w:t>I feel I gained a vast amount</w:t>
            </w:r>
            <w:r w:rsidR="00AD730F">
              <w:rPr>
                <w:sz w:val="24"/>
                <w:szCs w:val="24"/>
              </w:rPr>
              <w:t xml:space="preserve"> of knowledge by attending the Palliative Care training. It </w:t>
            </w:r>
            <w:r>
              <w:rPr>
                <w:sz w:val="24"/>
                <w:szCs w:val="24"/>
              </w:rPr>
              <w:t>helped affirm my communication skill</w:t>
            </w:r>
            <w:r w:rsidR="00AD730F">
              <w:rPr>
                <w:sz w:val="24"/>
                <w:szCs w:val="24"/>
              </w:rPr>
              <w:t>s</w:t>
            </w:r>
            <w:r>
              <w:rPr>
                <w:sz w:val="24"/>
                <w:szCs w:val="24"/>
              </w:rPr>
              <w:t xml:space="preserve"> within </w:t>
            </w:r>
            <w:r w:rsidR="00AD730F">
              <w:rPr>
                <w:sz w:val="24"/>
                <w:szCs w:val="24"/>
              </w:rPr>
              <w:t xml:space="preserve">this setting including </w:t>
            </w:r>
            <w:r>
              <w:rPr>
                <w:sz w:val="24"/>
                <w:szCs w:val="24"/>
              </w:rPr>
              <w:t>the use of expression of life trajectories including ‘death’ and ‘dying. The training provide</w:t>
            </w:r>
            <w:r w:rsidR="00AD730F">
              <w:rPr>
                <w:sz w:val="24"/>
                <w:szCs w:val="24"/>
              </w:rPr>
              <w:t xml:space="preserve">d specific learning of </w:t>
            </w:r>
            <w:r>
              <w:rPr>
                <w:sz w:val="24"/>
                <w:szCs w:val="24"/>
              </w:rPr>
              <w:t>life limiting diagnosis and how these may impact both t</w:t>
            </w:r>
            <w:r w:rsidR="00AD730F">
              <w:rPr>
                <w:sz w:val="24"/>
                <w:szCs w:val="24"/>
              </w:rPr>
              <w:t xml:space="preserve">he patient and their families. </w:t>
            </w:r>
            <w:r>
              <w:rPr>
                <w:sz w:val="24"/>
                <w:szCs w:val="24"/>
              </w:rPr>
              <w:t xml:space="preserve">From this training I have rephrased language and terminology transferred from MDT to utilise with families, such as the use of The </w:t>
            </w:r>
            <w:proofErr w:type="spellStart"/>
            <w:r>
              <w:rPr>
                <w:sz w:val="24"/>
                <w:szCs w:val="24"/>
              </w:rPr>
              <w:t>Karnofsky</w:t>
            </w:r>
            <w:proofErr w:type="spellEnd"/>
            <w:r>
              <w:rPr>
                <w:sz w:val="24"/>
                <w:szCs w:val="24"/>
              </w:rPr>
              <w:t xml:space="preserve"> Performance Status (</w:t>
            </w:r>
            <w:r w:rsidRPr="00AD730F">
              <w:rPr>
                <w:color w:val="auto"/>
                <w:sz w:val="24"/>
                <w:szCs w:val="24"/>
              </w:rPr>
              <w:t>KPS)</w:t>
            </w:r>
            <w:r w:rsidR="00AD730F" w:rsidRPr="00AD730F">
              <w:rPr>
                <w:color w:val="auto"/>
                <w:sz w:val="24"/>
                <w:szCs w:val="24"/>
              </w:rPr>
              <w:t>. Th</w:t>
            </w:r>
            <w:r w:rsidRPr="00AD730F">
              <w:rPr>
                <w:color w:val="auto"/>
                <w:sz w:val="24"/>
                <w:szCs w:val="24"/>
              </w:rPr>
              <w:t xml:space="preserve">is </w:t>
            </w:r>
            <w:r>
              <w:rPr>
                <w:color w:val="auto"/>
                <w:sz w:val="24"/>
                <w:szCs w:val="24"/>
              </w:rPr>
              <w:t xml:space="preserve">is a scale used to ascertain a </w:t>
            </w:r>
            <w:r w:rsidR="00AD730F">
              <w:rPr>
                <w:color w:val="auto"/>
                <w:sz w:val="24"/>
                <w:szCs w:val="24"/>
              </w:rPr>
              <w:t xml:space="preserve">individuals </w:t>
            </w:r>
            <w:r>
              <w:rPr>
                <w:color w:val="auto"/>
                <w:sz w:val="24"/>
                <w:szCs w:val="24"/>
              </w:rPr>
              <w:t>trajectory</w:t>
            </w:r>
            <w:r>
              <w:rPr>
                <w:color w:val="FF0000"/>
                <w:sz w:val="24"/>
                <w:szCs w:val="24"/>
              </w:rPr>
              <w:t xml:space="preserve"> </w:t>
            </w:r>
            <w:r>
              <w:rPr>
                <w:color w:val="auto"/>
                <w:sz w:val="24"/>
                <w:szCs w:val="24"/>
              </w:rPr>
              <w:t xml:space="preserve">and their </w:t>
            </w:r>
            <w:r w:rsidR="00AD730F">
              <w:rPr>
                <w:color w:val="auto"/>
                <w:sz w:val="24"/>
                <w:szCs w:val="24"/>
              </w:rPr>
              <w:t>functional ability</w:t>
            </w:r>
            <w:r>
              <w:rPr>
                <w:color w:val="auto"/>
                <w:sz w:val="24"/>
                <w:szCs w:val="24"/>
              </w:rPr>
              <w:t xml:space="preserve"> </w:t>
            </w:r>
            <w:r w:rsidR="00AD730F">
              <w:rPr>
                <w:color w:val="auto"/>
                <w:sz w:val="24"/>
                <w:szCs w:val="24"/>
              </w:rPr>
              <w:t xml:space="preserve">within the palliative care phase </w:t>
            </w:r>
            <w:r>
              <w:rPr>
                <w:color w:val="auto"/>
                <w:sz w:val="24"/>
                <w:szCs w:val="24"/>
              </w:rPr>
              <w:t>(</w:t>
            </w:r>
            <w:proofErr w:type="spellStart"/>
            <w:r>
              <w:rPr>
                <w:rFonts w:eastAsia="MS Mincho"/>
                <w:sz w:val="24"/>
                <w:szCs w:val="24"/>
              </w:rPr>
              <w:t>Karnofsky</w:t>
            </w:r>
            <w:proofErr w:type="spellEnd"/>
            <w:r>
              <w:rPr>
                <w:rFonts w:eastAsia="MS Mincho"/>
                <w:sz w:val="24"/>
                <w:szCs w:val="24"/>
              </w:rPr>
              <w:t xml:space="preserve"> D, </w:t>
            </w:r>
            <w:r>
              <w:rPr>
                <w:rFonts w:eastAsia="MS Mincho"/>
                <w:i/>
                <w:iCs/>
                <w:sz w:val="24"/>
                <w:szCs w:val="24"/>
              </w:rPr>
              <w:t>et al</w:t>
            </w:r>
            <w:r>
              <w:rPr>
                <w:rFonts w:eastAsia="MS Mincho"/>
                <w:sz w:val="24"/>
                <w:szCs w:val="24"/>
              </w:rPr>
              <w:t>, 1948)</w:t>
            </w:r>
            <w:r w:rsidR="00AD730F">
              <w:rPr>
                <w:rFonts w:eastAsia="MS Mincho"/>
                <w:sz w:val="24"/>
                <w:szCs w:val="24"/>
              </w:rPr>
              <w:t>.</w:t>
            </w:r>
            <w:r w:rsidR="00AD730F">
              <w:rPr>
                <w:sz w:val="24"/>
                <w:szCs w:val="24"/>
              </w:rPr>
              <w:t xml:space="preserve"> </w:t>
            </w:r>
            <w:r>
              <w:rPr>
                <w:sz w:val="24"/>
                <w:szCs w:val="24"/>
              </w:rPr>
              <w:t>The palliative care phase is determined by a holistic clinical assessment which considers the needs of the patients and their family and carers. An example of transferring this new skillset included a discussion where I utilised the phases that</w:t>
            </w:r>
            <w:r w:rsidR="00AD730F">
              <w:rPr>
                <w:sz w:val="24"/>
                <w:szCs w:val="24"/>
              </w:rPr>
              <w:t xml:space="preserve"> an individual may be ‘stable’. I am now able to explain to families</w:t>
            </w:r>
            <w:r>
              <w:rPr>
                <w:sz w:val="24"/>
                <w:szCs w:val="24"/>
              </w:rPr>
              <w:t xml:space="preserve"> that it doesn’t mean the indivi</w:t>
            </w:r>
            <w:r w:rsidR="00AD730F">
              <w:rPr>
                <w:sz w:val="24"/>
                <w:szCs w:val="24"/>
              </w:rPr>
              <w:t>dual will make an improvement more that</w:t>
            </w:r>
            <w:r>
              <w:rPr>
                <w:sz w:val="24"/>
                <w:szCs w:val="24"/>
              </w:rPr>
              <w:t xml:space="preserve"> they are stable in their condition, such as pain managed or specific symptom improvement </w:t>
            </w:r>
            <w:r>
              <w:rPr>
                <w:color w:val="auto"/>
                <w:sz w:val="24"/>
                <w:szCs w:val="24"/>
              </w:rPr>
              <w:t>which familie</w:t>
            </w:r>
            <w:r w:rsidR="00AD730F">
              <w:rPr>
                <w:color w:val="auto"/>
                <w:sz w:val="24"/>
                <w:szCs w:val="24"/>
              </w:rPr>
              <w:t>s often find hard to understand as to them stable means “could get better”. I</w:t>
            </w:r>
            <w:r>
              <w:rPr>
                <w:color w:val="auto"/>
                <w:sz w:val="24"/>
                <w:szCs w:val="24"/>
              </w:rPr>
              <w:t xml:space="preserve">t is </w:t>
            </w:r>
            <w:r w:rsidR="00AD730F">
              <w:rPr>
                <w:color w:val="auto"/>
                <w:sz w:val="24"/>
                <w:szCs w:val="24"/>
              </w:rPr>
              <w:t xml:space="preserve">important </w:t>
            </w:r>
            <w:r>
              <w:rPr>
                <w:color w:val="auto"/>
                <w:sz w:val="24"/>
                <w:szCs w:val="24"/>
              </w:rPr>
              <w:t xml:space="preserve">that my language and understanding is </w:t>
            </w:r>
            <w:r w:rsidR="00AD730F">
              <w:rPr>
                <w:color w:val="auto"/>
                <w:sz w:val="24"/>
                <w:szCs w:val="24"/>
              </w:rPr>
              <w:t xml:space="preserve">congruent with the medical understanding </w:t>
            </w:r>
            <w:r>
              <w:rPr>
                <w:color w:val="auto"/>
                <w:sz w:val="24"/>
                <w:szCs w:val="24"/>
              </w:rPr>
              <w:t>in this area to ensure there is no additional stress caused to patients and their family members</w:t>
            </w:r>
            <w:r w:rsidR="00AD730F">
              <w:rPr>
                <w:color w:val="auto"/>
                <w:sz w:val="24"/>
                <w:szCs w:val="24"/>
              </w:rPr>
              <w:t xml:space="preserve"> by miscommunication</w:t>
            </w:r>
            <w:r>
              <w:rPr>
                <w:color w:val="auto"/>
                <w:sz w:val="24"/>
                <w:szCs w:val="24"/>
              </w:rPr>
              <w:t xml:space="preserve">. </w:t>
            </w:r>
            <w:r>
              <w:rPr>
                <w:color w:val="FF0000"/>
                <w:sz w:val="24"/>
                <w:szCs w:val="24"/>
              </w:rPr>
              <w:t xml:space="preserve"> </w:t>
            </w:r>
          </w:p>
          <w:p w14:paraId="799EE138" w14:textId="77777777" w:rsidR="005E1CF2" w:rsidRPr="00AD730F" w:rsidRDefault="005E1CF2">
            <w:pPr>
              <w:spacing w:line="360" w:lineRule="auto"/>
              <w:jc w:val="both"/>
              <w:rPr>
                <w:sz w:val="24"/>
                <w:szCs w:val="24"/>
                <w:highlight w:val="cyan"/>
              </w:rPr>
            </w:pPr>
          </w:p>
          <w:p w14:paraId="5F330A18" w14:textId="77777777" w:rsidR="005E1CF2" w:rsidRPr="00AD730F" w:rsidRDefault="00527869">
            <w:pPr>
              <w:spacing w:line="360" w:lineRule="auto"/>
              <w:jc w:val="both"/>
              <w:rPr>
                <w:sz w:val="24"/>
                <w:szCs w:val="24"/>
                <w:u w:val="single"/>
              </w:rPr>
            </w:pPr>
            <w:r w:rsidRPr="00AD730F">
              <w:rPr>
                <w:sz w:val="24"/>
                <w:szCs w:val="24"/>
              </w:rPr>
              <w:t xml:space="preserve">By attending </w:t>
            </w:r>
            <w:r w:rsidR="00AD730F" w:rsidRPr="00AD730F">
              <w:rPr>
                <w:sz w:val="24"/>
                <w:szCs w:val="24"/>
              </w:rPr>
              <w:t>Adult Safeguarding for Professionals training</w:t>
            </w:r>
            <w:r w:rsidRPr="00AD730F">
              <w:rPr>
                <w:sz w:val="24"/>
                <w:szCs w:val="24"/>
              </w:rPr>
              <w:t xml:space="preserve"> I was able to gain insight into the process relating to adult </w:t>
            </w:r>
            <w:r w:rsidR="00AD730F">
              <w:rPr>
                <w:sz w:val="24"/>
                <w:szCs w:val="24"/>
              </w:rPr>
              <w:t>this</w:t>
            </w:r>
            <w:r w:rsidRPr="00AD730F">
              <w:rPr>
                <w:sz w:val="24"/>
                <w:szCs w:val="24"/>
              </w:rPr>
              <w:t xml:space="preserve"> in </w:t>
            </w:r>
            <w:r>
              <w:rPr>
                <w:sz w:val="24"/>
                <w:szCs w:val="24"/>
              </w:rPr>
              <w:t xml:space="preserve">terms of </w:t>
            </w:r>
            <w:r w:rsidR="00AD730F">
              <w:rPr>
                <w:sz w:val="24"/>
                <w:szCs w:val="24"/>
              </w:rPr>
              <w:t xml:space="preserve">legislation and investigation </w:t>
            </w:r>
            <w:r>
              <w:rPr>
                <w:color w:val="auto"/>
                <w:sz w:val="24"/>
                <w:szCs w:val="24"/>
              </w:rPr>
              <w:t>whilst also clarifying the ‘Acts’ expectation on professionals and collaborative working</w:t>
            </w:r>
            <w:r w:rsidR="00AD730F">
              <w:rPr>
                <w:color w:val="auto"/>
                <w:sz w:val="24"/>
                <w:szCs w:val="24"/>
              </w:rPr>
              <w:t>. I identified</w:t>
            </w:r>
            <w:r>
              <w:rPr>
                <w:color w:val="auto"/>
                <w:sz w:val="24"/>
                <w:szCs w:val="24"/>
              </w:rPr>
              <w:t xml:space="preserve"> that it is not just the role of the local authority to c</w:t>
            </w:r>
            <w:r w:rsidR="00AD730F">
              <w:rPr>
                <w:color w:val="auto"/>
                <w:sz w:val="24"/>
                <w:szCs w:val="24"/>
              </w:rPr>
              <w:t>omplete the investigation, but</w:t>
            </w:r>
            <w:r>
              <w:rPr>
                <w:color w:val="auto"/>
                <w:sz w:val="24"/>
                <w:szCs w:val="24"/>
              </w:rPr>
              <w:t xml:space="preserve"> those who have previously known the individual can also ta</w:t>
            </w:r>
            <w:r w:rsidR="00AD730F">
              <w:rPr>
                <w:color w:val="auto"/>
                <w:sz w:val="24"/>
                <w:szCs w:val="24"/>
              </w:rPr>
              <w:t>ke the ‘lead’ with this process</w:t>
            </w:r>
            <w:r>
              <w:rPr>
                <w:color w:val="auto"/>
                <w:sz w:val="24"/>
                <w:szCs w:val="24"/>
              </w:rPr>
              <w:t xml:space="preserve"> and present findings at the strategy meeting. </w:t>
            </w:r>
            <w:r w:rsidR="00AD730F">
              <w:rPr>
                <w:color w:val="auto"/>
                <w:sz w:val="24"/>
                <w:szCs w:val="24"/>
              </w:rPr>
              <w:t>As a</w:t>
            </w:r>
            <w:r>
              <w:rPr>
                <w:color w:val="auto"/>
                <w:sz w:val="24"/>
                <w:szCs w:val="24"/>
              </w:rPr>
              <w:t xml:space="preserve"> practitioner I </w:t>
            </w:r>
            <w:r w:rsidR="00AD730F">
              <w:rPr>
                <w:color w:val="auto"/>
                <w:sz w:val="24"/>
                <w:szCs w:val="24"/>
              </w:rPr>
              <w:t xml:space="preserve">now </w:t>
            </w:r>
            <w:r>
              <w:rPr>
                <w:color w:val="auto"/>
                <w:sz w:val="24"/>
                <w:szCs w:val="24"/>
              </w:rPr>
              <w:t>feel more confident to challenge, consider and share information In terms on allegations and concerns.</w:t>
            </w:r>
          </w:p>
          <w:p w14:paraId="44171229" w14:textId="77777777" w:rsidR="005E1CF2" w:rsidRDefault="005E1CF2">
            <w:pPr>
              <w:spacing w:line="360" w:lineRule="auto"/>
              <w:jc w:val="both"/>
              <w:rPr>
                <w:color w:val="FF0000"/>
                <w:sz w:val="24"/>
                <w:szCs w:val="24"/>
                <w:highlight w:val="yellow"/>
                <w:u w:val="single"/>
              </w:rPr>
            </w:pPr>
          </w:p>
          <w:p w14:paraId="442087C2" w14:textId="77777777" w:rsidR="005E1CF2" w:rsidRDefault="00527869">
            <w:pPr>
              <w:spacing w:line="360" w:lineRule="auto"/>
              <w:jc w:val="both"/>
              <w:rPr>
                <w:sz w:val="24"/>
                <w:szCs w:val="24"/>
                <w:u w:val="single"/>
              </w:rPr>
            </w:pPr>
            <w:r>
              <w:rPr>
                <w:sz w:val="24"/>
                <w:szCs w:val="24"/>
                <w:u w:val="single"/>
              </w:rPr>
              <w:t xml:space="preserve">CHC </w:t>
            </w:r>
          </w:p>
          <w:p w14:paraId="2F0507A7" w14:textId="77777777" w:rsidR="005E1CF2" w:rsidRDefault="00527869">
            <w:pPr>
              <w:spacing w:line="360" w:lineRule="auto"/>
              <w:jc w:val="both"/>
              <w:rPr>
                <w:sz w:val="24"/>
                <w:szCs w:val="24"/>
              </w:rPr>
            </w:pPr>
            <w:r>
              <w:rPr>
                <w:sz w:val="24"/>
                <w:szCs w:val="24"/>
              </w:rPr>
              <w:t xml:space="preserve">Although there was a plan to attend this training, unfortunately it was cancelled by the provider. However I have continued to support my own development in terms of research by accessing documentation such as The National Framework for Implementation in </w:t>
            </w:r>
            <w:r w:rsidR="007A40A6">
              <w:rPr>
                <w:sz w:val="24"/>
                <w:szCs w:val="24"/>
              </w:rPr>
              <w:t>Wales (Welsh Gov. 2014) and</w:t>
            </w:r>
            <w:r>
              <w:rPr>
                <w:sz w:val="24"/>
                <w:szCs w:val="24"/>
              </w:rPr>
              <w:t xml:space="preserve"> reading specific Case Law including The Coughlan and Grogan Cases.</w:t>
            </w:r>
            <w:r w:rsidR="007A40A6">
              <w:rPr>
                <w:sz w:val="24"/>
                <w:szCs w:val="24"/>
              </w:rPr>
              <w:t xml:space="preserve"> I</w:t>
            </w:r>
            <w:r>
              <w:rPr>
                <w:sz w:val="24"/>
                <w:szCs w:val="24"/>
              </w:rPr>
              <w:t xml:space="preserve"> have gained experiencing </w:t>
            </w:r>
            <w:r w:rsidR="007A40A6">
              <w:rPr>
                <w:sz w:val="24"/>
                <w:szCs w:val="24"/>
              </w:rPr>
              <w:t>of both advocating for families</w:t>
            </w:r>
            <w:r>
              <w:rPr>
                <w:sz w:val="24"/>
                <w:szCs w:val="24"/>
              </w:rPr>
              <w:t xml:space="preserve"> and disputing </w:t>
            </w:r>
            <w:r w:rsidR="007A40A6">
              <w:rPr>
                <w:sz w:val="24"/>
                <w:szCs w:val="24"/>
              </w:rPr>
              <w:t xml:space="preserve">process or outcomes with </w:t>
            </w:r>
            <w:r w:rsidR="007A40A6">
              <w:rPr>
                <w:sz w:val="24"/>
                <w:szCs w:val="24"/>
              </w:rPr>
              <w:lastRenderedPageBreak/>
              <w:t xml:space="preserve">Local Authority and health professionals and </w:t>
            </w:r>
            <w:r>
              <w:rPr>
                <w:sz w:val="24"/>
                <w:szCs w:val="24"/>
              </w:rPr>
              <w:t xml:space="preserve">been able to collaborate with </w:t>
            </w:r>
            <w:r w:rsidR="007A40A6">
              <w:rPr>
                <w:sz w:val="24"/>
                <w:szCs w:val="24"/>
              </w:rPr>
              <w:t xml:space="preserve">everyone </w:t>
            </w:r>
            <w:r>
              <w:rPr>
                <w:sz w:val="24"/>
                <w:szCs w:val="24"/>
              </w:rPr>
              <w:t>pa</w:t>
            </w:r>
            <w:r w:rsidR="007A40A6">
              <w:rPr>
                <w:sz w:val="24"/>
                <w:szCs w:val="24"/>
              </w:rPr>
              <w:t>rtaking in the CHC documentation. As</w:t>
            </w:r>
            <w:r>
              <w:rPr>
                <w:sz w:val="24"/>
                <w:szCs w:val="24"/>
              </w:rPr>
              <w:t xml:space="preserve"> I still feel I would benef</w:t>
            </w:r>
            <w:r w:rsidR="007A40A6">
              <w:rPr>
                <w:sz w:val="24"/>
                <w:szCs w:val="24"/>
              </w:rPr>
              <w:t xml:space="preserve">it from the identified training I have requested a place on future training when it occurs. </w:t>
            </w:r>
          </w:p>
          <w:p w14:paraId="6F0353E7" w14:textId="77777777" w:rsidR="007A40A6" w:rsidRDefault="007A40A6">
            <w:pPr>
              <w:spacing w:line="360" w:lineRule="auto"/>
              <w:jc w:val="both"/>
              <w:rPr>
                <w:sz w:val="24"/>
                <w:szCs w:val="24"/>
              </w:rPr>
            </w:pPr>
          </w:p>
          <w:p w14:paraId="6DB6B4A2" w14:textId="77777777" w:rsidR="005E1CF2" w:rsidRDefault="00527869">
            <w:pPr>
              <w:spacing w:line="360" w:lineRule="auto"/>
              <w:jc w:val="both"/>
              <w:rPr>
                <w:sz w:val="24"/>
                <w:szCs w:val="24"/>
              </w:rPr>
            </w:pPr>
            <w:r>
              <w:rPr>
                <w:sz w:val="24"/>
                <w:szCs w:val="24"/>
              </w:rPr>
              <w:t xml:space="preserve">From qualifying to 3 years in practice I feel I have developed my communication and reflective skills transferring theory and knowledge into practice intervention. I am now able to recognise when self-care is needed and the triggers for me of social work burnout. Although at times my current role can be emotionally challenging, I have learnt to utilise both clinical and </w:t>
            </w:r>
            <w:r w:rsidRPr="007A40A6">
              <w:rPr>
                <w:sz w:val="24"/>
                <w:szCs w:val="24"/>
              </w:rPr>
              <w:t>management</w:t>
            </w:r>
            <w:r w:rsidR="007A40A6" w:rsidRPr="007A40A6">
              <w:rPr>
                <w:sz w:val="24"/>
                <w:szCs w:val="24"/>
              </w:rPr>
              <w:t xml:space="preserve"> </w:t>
            </w:r>
            <w:r w:rsidRPr="007A40A6">
              <w:rPr>
                <w:sz w:val="24"/>
                <w:szCs w:val="24"/>
              </w:rPr>
              <w:t>supervision</w:t>
            </w:r>
            <w:r>
              <w:rPr>
                <w:sz w:val="24"/>
                <w:szCs w:val="24"/>
              </w:rPr>
              <w:t xml:space="preserve"> </w:t>
            </w:r>
            <w:r w:rsidR="007A40A6">
              <w:rPr>
                <w:sz w:val="24"/>
                <w:szCs w:val="24"/>
              </w:rPr>
              <w:t>to manage this.</w:t>
            </w:r>
          </w:p>
          <w:p w14:paraId="153CA477" w14:textId="77777777" w:rsidR="005E1CF2" w:rsidRDefault="005E1CF2">
            <w:pPr>
              <w:spacing w:line="360" w:lineRule="auto"/>
              <w:jc w:val="both"/>
              <w:rPr>
                <w:sz w:val="24"/>
                <w:szCs w:val="24"/>
                <w:u w:val="single"/>
              </w:rPr>
            </w:pPr>
          </w:p>
          <w:p w14:paraId="527E1536" w14:textId="77777777" w:rsidR="005E1CF2" w:rsidRDefault="005E1CF2">
            <w:pPr>
              <w:spacing w:line="360" w:lineRule="auto"/>
              <w:jc w:val="both"/>
              <w:rPr>
                <w:sz w:val="24"/>
                <w:szCs w:val="24"/>
                <w:u w:val="single"/>
              </w:rPr>
            </w:pPr>
          </w:p>
          <w:p w14:paraId="4A00AA5C" w14:textId="77777777" w:rsidR="005E1CF2" w:rsidRDefault="00527869">
            <w:pPr>
              <w:spacing w:line="360" w:lineRule="auto"/>
              <w:jc w:val="both"/>
              <w:rPr>
                <w:sz w:val="24"/>
                <w:szCs w:val="24"/>
                <w:u w:val="single"/>
              </w:rPr>
            </w:pPr>
            <w:r>
              <w:rPr>
                <w:sz w:val="24"/>
                <w:szCs w:val="24"/>
                <w:u w:val="single"/>
              </w:rPr>
              <w:t xml:space="preserve">Plan for future professional development </w:t>
            </w:r>
          </w:p>
          <w:p w14:paraId="16945AEC" w14:textId="77777777" w:rsidR="005E1CF2" w:rsidRDefault="00527869">
            <w:pPr>
              <w:numPr>
                <w:ilvl w:val="0"/>
                <w:numId w:val="16"/>
              </w:numPr>
              <w:spacing w:line="360" w:lineRule="auto"/>
              <w:jc w:val="both"/>
              <w:rPr>
                <w:color w:val="FF0000"/>
                <w:sz w:val="24"/>
                <w:szCs w:val="24"/>
                <w:u w:val="single"/>
              </w:rPr>
            </w:pPr>
            <w:r>
              <w:rPr>
                <w:sz w:val="24"/>
                <w:szCs w:val="24"/>
              </w:rPr>
              <w:t xml:space="preserve">Continue to access formal supervision in terms of case management and professional development </w:t>
            </w:r>
            <w:r>
              <w:rPr>
                <w:color w:val="auto"/>
                <w:sz w:val="24"/>
                <w:szCs w:val="24"/>
              </w:rPr>
              <w:t>in order to ensure practice up to date, safe and effective to individuals accessing services</w:t>
            </w:r>
            <w:r w:rsidR="007A40A6">
              <w:rPr>
                <w:color w:val="auto"/>
                <w:sz w:val="24"/>
                <w:szCs w:val="24"/>
              </w:rPr>
              <w:t xml:space="preserve"> and for my own self-care</w:t>
            </w:r>
            <w:r>
              <w:rPr>
                <w:color w:val="auto"/>
                <w:sz w:val="24"/>
                <w:szCs w:val="24"/>
              </w:rPr>
              <w:t>.</w:t>
            </w:r>
          </w:p>
          <w:p w14:paraId="5470DEDC" w14:textId="77777777" w:rsidR="005E1CF2" w:rsidRDefault="00527869">
            <w:pPr>
              <w:numPr>
                <w:ilvl w:val="0"/>
                <w:numId w:val="16"/>
              </w:numPr>
              <w:spacing w:line="360" w:lineRule="auto"/>
              <w:jc w:val="both"/>
              <w:rPr>
                <w:i/>
                <w:sz w:val="24"/>
                <w:szCs w:val="24"/>
              </w:rPr>
            </w:pPr>
            <w:r>
              <w:rPr>
                <w:sz w:val="24"/>
                <w:szCs w:val="24"/>
              </w:rPr>
              <w:t>CHC - I will continue to explore appropriate training sessions for continued development.</w:t>
            </w:r>
          </w:p>
          <w:p w14:paraId="09227092" w14:textId="77777777" w:rsidR="005E1CF2" w:rsidRPr="007A40A6" w:rsidRDefault="00527869" w:rsidP="00AA6165">
            <w:pPr>
              <w:numPr>
                <w:ilvl w:val="0"/>
                <w:numId w:val="16"/>
              </w:numPr>
              <w:spacing w:line="360" w:lineRule="auto"/>
              <w:jc w:val="both"/>
              <w:rPr>
                <w:sz w:val="24"/>
                <w:szCs w:val="24"/>
              </w:rPr>
            </w:pPr>
            <w:r w:rsidRPr="007A40A6">
              <w:rPr>
                <w:iCs/>
                <w:color w:val="auto"/>
                <w:sz w:val="24"/>
                <w:szCs w:val="24"/>
              </w:rPr>
              <w:t>Time</w:t>
            </w:r>
            <w:r w:rsidR="007A40A6" w:rsidRPr="007A40A6">
              <w:rPr>
                <w:iCs/>
                <w:color w:val="auto"/>
                <w:sz w:val="24"/>
                <w:szCs w:val="24"/>
              </w:rPr>
              <w:t xml:space="preserve"> management and task prioritising which</w:t>
            </w:r>
            <w:r w:rsidRPr="007A40A6">
              <w:rPr>
                <w:iCs/>
                <w:color w:val="auto"/>
                <w:sz w:val="24"/>
                <w:szCs w:val="24"/>
              </w:rPr>
              <w:t xml:space="preserve"> will ensure input is focussed</w:t>
            </w:r>
            <w:r w:rsidR="007A40A6" w:rsidRPr="007A40A6">
              <w:rPr>
                <w:iCs/>
                <w:color w:val="auto"/>
                <w:sz w:val="24"/>
                <w:szCs w:val="24"/>
              </w:rPr>
              <w:t>.</w:t>
            </w:r>
            <w:r w:rsidR="006C7CA6">
              <w:rPr>
                <w:iCs/>
                <w:color w:val="auto"/>
                <w:sz w:val="24"/>
                <w:szCs w:val="24"/>
              </w:rPr>
              <w:t xml:space="preserve"> I recognise </w:t>
            </w:r>
            <w:r w:rsidR="007A40A6" w:rsidRPr="007A40A6">
              <w:rPr>
                <w:iCs/>
                <w:color w:val="auto"/>
                <w:sz w:val="24"/>
                <w:szCs w:val="24"/>
              </w:rPr>
              <w:t xml:space="preserve">when I </w:t>
            </w:r>
            <w:r w:rsidRPr="007A40A6">
              <w:rPr>
                <w:iCs/>
                <w:color w:val="auto"/>
                <w:sz w:val="24"/>
                <w:szCs w:val="24"/>
              </w:rPr>
              <w:t>have severa</w:t>
            </w:r>
            <w:r w:rsidR="007A40A6" w:rsidRPr="007A40A6">
              <w:rPr>
                <w:iCs/>
                <w:color w:val="auto"/>
                <w:sz w:val="24"/>
                <w:szCs w:val="24"/>
              </w:rPr>
              <w:t xml:space="preserve">l service development ideas I </w:t>
            </w:r>
            <w:r w:rsidRPr="007A40A6">
              <w:rPr>
                <w:iCs/>
                <w:color w:val="auto"/>
                <w:sz w:val="24"/>
                <w:szCs w:val="24"/>
              </w:rPr>
              <w:t>can lose focus of task in hand</w:t>
            </w:r>
            <w:r w:rsidR="007A40A6">
              <w:rPr>
                <w:iCs/>
                <w:color w:val="auto"/>
                <w:sz w:val="24"/>
                <w:szCs w:val="24"/>
              </w:rPr>
              <w:t>.</w:t>
            </w:r>
          </w:p>
          <w:p w14:paraId="094551EE" w14:textId="77777777" w:rsidR="007A40A6" w:rsidRPr="007A40A6" w:rsidRDefault="007A40A6" w:rsidP="007A40A6">
            <w:pPr>
              <w:spacing w:line="360" w:lineRule="auto"/>
              <w:ind w:left="720"/>
              <w:jc w:val="both"/>
              <w:rPr>
                <w:sz w:val="24"/>
                <w:szCs w:val="24"/>
              </w:rPr>
            </w:pPr>
          </w:p>
          <w:p w14:paraId="4364D67A" w14:textId="77777777" w:rsidR="005E1CF2" w:rsidRDefault="00527869" w:rsidP="00656037">
            <w:pPr>
              <w:ind w:left="720"/>
              <w:jc w:val="both"/>
              <w:rPr>
                <w:i/>
                <w:sz w:val="24"/>
                <w:szCs w:val="24"/>
              </w:rPr>
            </w:pPr>
            <w:r>
              <w:rPr>
                <w:i/>
                <w:sz w:val="24"/>
                <w:szCs w:val="24"/>
              </w:rPr>
              <w:t xml:space="preserve">800 words (+/- 10%: include your actual word count at the end of each section) </w:t>
            </w:r>
            <w:r w:rsidR="000C0B33" w:rsidRPr="000C0B33">
              <w:rPr>
                <w:i/>
                <w:sz w:val="24"/>
                <w:szCs w:val="24"/>
              </w:rPr>
              <w:t>880</w:t>
            </w:r>
          </w:p>
        </w:tc>
      </w:tr>
    </w:tbl>
    <w:p w14:paraId="1936C67A" w14:textId="77777777" w:rsidR="005E1CF2" w:rsidRDefault="005E1CF2">
      <w:pPr>
        <w:jc w:val="both"/>
        <w:rPr>
          <w:sz w:val="24"/>
          <w:szCs w:val="24"/>
        </w:rPr>
      </w:pPr>
    </w:p>
    <w:p w14:paraId="6568F183" w14:textId="77777777" w:rsidR="005E1CF2" w:rsidRDefault="005E1CF2">
      <w:pPr>
        <w:jc w:val="both"/>
        <w:rPr>
          <w:sz w:val="24"/>
          <w:szCs w:val="24"/>
        </w:rPr>
      </w:pPr>
    </w:p>
    <w:p w14:paraId="06061B77" w14:textId="77777777" w:rsidR="005E1CF2" w:rsidRDefault="005E1CF2">
      <w:pPr>
        <w:jc w:val="both"/>
        <w:rPr>
          <w:sz w:val="24"/>
          <w:szCs w:val="24"/>
        </w:rPr>
      </w:pPr>
    </w:p>
    <w:p w14:paraId="335854C9" w14:textId="77777777" w:rsidR="005E1CF2" w:rsidRDefault="00527869">
      <w:pPr>
        <w:jc w:val="both"/>
        <w:rPr>
          <w:sz w:val="24"/>
          <w:szCs w:val="24"/>
        </w:rPr>
      </w:pPr>
      <w:r>
        <w:rPr>
          <w:sz w:val="24"/>
          <w:szCs w:val="24"/>
        </w:rPr>
        <w:t xml:space="preserve">Please record in the table below the dates of each consolidation programme workshop you attended.  </w:t>
      </w:r>
    </w:p>
    <w:p w14:paraId="5EB97178" w14:textId="77777777" w:rsidR="005E1CF2" w:rsidRDefault="005E1CF2">
      <w:pPr>
        <w:jc w:val="both"/>
        <w:rPr>
          <w:sz w:val="24"/>
          <w:szCs w:val="24"/>
        </w:rPr>
      </w:pPr>
    </w:p>
    <w:tbl>
      <w:tblPr>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5039"/>
        <w:gridCol w:w="5031"/>
      </w:tblGrid>
      <w:tr w:rsidR="005E1CF2" w14:paraId="5D5CED13" w14:textId="77777777">
        <w:tc>
          <w:tcPr>
            <w:tcW w:w="5038" w:type="dxa"/>
            <w:tcBorders>
              <w:top w:val="single" w:sz="4" w:space="0" w:color="000000"/>
              <w:left w:val="single" w:sz="4" w:space="0" w:color="000000"/>
              <w:bottom w:val="single" w:sz="4" w:space="0" w:color="000000"/>
              <w:right w:val="single" w:sz="4" w:space="0" w:color="000000"/>
            </w:tcBorders>
            <w:shd w:val="clear" w:color="auto" w:fill="auto"/>
          </w:tcPr>
          <w:p w14:paraId="0B42E941" w14:textId="77777777" w:rsidR="005E1CF2" w:rsidRDefault="00527869">
            <w:pPr>
              <w:jc w:val="both"/>
              <w:rPr>
                <w:sz w:val="24"/>
                <w:szCs w:val="24"/>
              </w:rPr>
            </w:pPr>
            <w:r>
              <w:rPr>
                <w:sz w:val="24"/>
                <w:szCs w:val="24"/>
              </w:rPr>
              <w:t xml:space="preserve">Consolidation workshop </w:t>
            </w:r>
          </w:p>
        </w:tc>
        <w:tc>
          <w:tcPr>
            <w:tcW w:w="5031" w:type="dxa"/>
            <w:tcBorders>
              <w:top w:val="single" w:sz="4" w:space="0" w:color="000000"/>
              <w:left w:val="single" w:sz="4" w:space="0" w:color="000000"/>
              <w:bottom w:val="single" w:sz="4" w:space="0" w:color="000000"/>
              <w:right w:val="single" w:sz="4" w:space="0" w:color="000000"/>
            </w:tcBorders>
            <w:shd w:val="clear" w:color="auto" w:fill="auto"/>
          </w:tcPr>
          <w:p w14:paraId="20FB223B" w14:textId="77777777" w:rsidR="005E1CF2" w:rsidRDefault="00527869">
            <w:pPr>
              <w:jc w:val="both"/>
              <w:rPr>
                <w:sz w:val="24"/>
                <w:szCs w:val="24"/>
              </w:rPr>
            </w:pPr>
            <w:r>
              <w:rPr>
                <w:sz w:val="24"/>
                <w:szCs w:val="24"/>
              </w:rPr>
              <w:t xml:space="preserve">Date Attended  </w:t>
            </w:r>
          </w:p>
        </w:tc>
      </w:tr>
      <w:tr w:rsidR="005E1CF2" w14:paraId="3B5CE241" w14:textId="77777777">
        <w:tc>
          <w:tcPr>
            <w:tcW w:w="5038" w:type="dxa"/>
            <w:tcBorders>
              <w:top w:val="single" w:sz="4" w:space="0" w:color="000000"/>
              <w:left w:val="single" w:sz="4" w:space="0" w:color="000000"/>
              <w:bottom w:val="single" w:sz="4" w:space="0" w:color="000000"/>
              <w:right w:val="single" w:sz="4" w:space="0" w:color="000000"/>
            </w:tcBorders>
            <w:shd w:val="clear" w:color="auto" w:fill="auto"/>
          </w:tcPr>
          <w:p w14:paraId="50FFE238" w14:textId="77777777" w:rsidR="005E1CF2" w:rsidRDefault="00527869">
            <w:pPr>
              <w:jc w:val="both"/>
              <w:rPr>
                <w:sz w:val="24"/>
                <w:szCs w:val="24"/>
              </w:rPr>
            </w:pPr>
            <w:r>
              <w:rPr>
                <w:sz w:val="24"/>
                <w:szCs w:val="24"/>
              </w:rPr>
              <w:t>1</w:t>
            </w:r>
          </w:p>
        </w:tc>
        <w:tc>
          <w:tcPr>
            <w:tcW w:w="5031" w:type="dxa"/>
            <w:tcBorders>
              <w:top w:val="single" w:sz="4" w:space="0" w:color="000000"/>
              <w:left w:val="single" w:sz="4" w:space="0" w:color="000000"/>
              <w:bottom w:val="single" w:sz="4" w:space="0" w:color="000000"/>
              <w:right w:val="single" w:sz="4" w:space="0" w:color="000000"/>
            </w:tcBorders>
            <w:shd w:val="clear" w:color="auto" w:fill="auto"/>
          </w:tcPr>
          <w:p w14:paraId="039662E7" w14:textId="77777777" w:rsidR="005E1CF2" w:rsidRDefault="00527869">
            <w:pPr>
              <w:jc w:val="both"/>
              <w:rPr>
                <w:sz w:val="24"/>
                <w:szCs w:val="24"/>
              </w:rPr>
            </w:pPr>
            <w:r>
              <w:rPr>
                <w:sz w:val="24"/>
                <w:szCs w:val="24"/>
              </w:rPr>
              <w:t>12.11.2018</w:t>
            </w:r>
          </w:p>
        </w:tc>
      </w:tr>
      <w:tr w:rsidR="005E1CF2" w14:paraId="44C583E9" w14:textId="77777777">
        <w:tc>
          <w:tcPr>
            <w:tcW w:w="5038" w:type="dxa"/>
            <w:tcBorders>
              <w:top w:val="single" w:sz="4" w:space="0" w:color="000000"/>
              <w:left w:val="single" w:sz="4" w:space="0" w:color="000000"/>
              <w:bottom w:val="single" w:sz="4" w:space="0" w:color="000000"/>
              <w:right w:val="single" w:sz="4" w:space="0" w:color="000000"/>
            </w:tcBorders>
            <w:shd w:val="clear" w:color="auto" w:fill="auto"/>
          </w:tcPr>
          <w:p w14:paraId="7560A323" w14:textId="77777777" w:rsidR="005E1CF2" w:rsidRDefault="00527869">
            <w:pPr>
              <w:jc w:val="both"/>
              <w:rPr>
                <w:sz w:val="24"/>
                <w:szCs w:val="24"/>
              </w:rPr>
            </w:pPr>
            <w:r>
              <w:rPr>
                <w:sz w:val="24"/>
                <w:szCs w:val="24"/>
              </w:rPr>
              <w:t>2</w:t>
            </w:r>
          </w:p>
        </w:tc>
        <w:tc>
          <w:tcPr>
            <w:tcW w:w="5031" w:type="dxa"/>
            <w:tcBorders>
              <w:top w:val="single" w:sz="4" w:space="0" w:color="000000"/>
              <w:left w:val="single" w:sz="4" w:space="0" w:color="000000"/>
              <w:bottom w:val="single" w:sz="4" w:space="0" w:color="000000"/>
              <w:right w:val="single" w:sz="4" w:space="0" w:color="000000"/>
            </w:tcBorders>
            <w:shd w:val="clear" w:color="auto" w:fill="auto"/>
          </w:tcPr>
          <w:p w14:paraId="175F7984" w14:textId="77777777" w:rsidR="005E1CF2" w:rsidRDefault="00527869">
            <w:pPr>
              <w:jc w:val="both"/>
              <w:rPr>
                <w:sz w:val="24"/>
                <w:szCs w:val="24"/>
              </w:rPr>
            </w:pPr>
            <w:r>
              <w:rPr>
                <w:sz w:val="24"/>
                <w:szCs w:val="24"/>
              </w:rPr>
              <w:t>23.01.2019</w:t>
            </w:r>
          </w:p>
        </w:tc>
      </w:tr>
      <w:tr w:rsidR="005E1CF2" w14:paraId="1A09D278" w14:textId="77777777">
        <w:tc>
          <w:tcPr>
            <w:tcW w:w="5038" w:type="dxa"/>
            <w:tcBorders>
              <w:top w:val="single" w:sz="4" w:space="0" w:color="000000"/>
              <w:left w:val="single" w:sz="4" w:space="0" w:color="000000"/>
              <w:bottom w:val="single" w:sz="4" w:space="0" w:color="000000"/>
              <w:right w:val="single" w:sz="4" w:space="0" w:color="000000"/>
            </w:tcBorders>
            <w:shd w:val="clear" w:color="auto" w:fill="auto"/>
          </w:tcPr>
          <w:p w14:paraId="68625C02" w14:textId="77777777" w:rsidR="005E1CF2" w:rsidRDefault="00527869">
            <w:pPr>
              <w:jc w:val="both"/>
              <w:rPr>
                <w:sz w:val="24"/>
                <w:szCs w:val="24"/>
              </w:rPr>
            </w:pPr>
            <w:r>
              <w:rPr>
                <w:sz w:val="24"/>
                <w:szCs w:val="24"/>
              </w:rPr>
              <w:t>3</w:t>
            </w:r>
          </w:p>
        </w:tc>
        <w:tc>
          <w:tcPr>
            <w:tcW w:w="5031" w:type="dxa"/>
            <w:tcBorders>
              <w:top w:val="single" w:sz="4" w:space="0" w:color="000000"/>
              <w:left w:val="single" w:sz="4" w:space="0" w:color="000000"/>
              <w:bottom w:val="single" w:sz="4" w:space="0" w:color="000000"/>
              <w:right w:val="single" w:sz="4" w:space="0" w:color="000000"/>
            </w:tcBorders>
            <w:shd w:val="clear" w:color="auto" w:fill="auto"/>
          </w:tcPr>
          <w:p w14:paraId="207094D1" w14:textId="77777777" w:rsidR="005E1CF2" w:rsidRDefault="00527869">
            <w:pPr>
              <w:jc w:val="both"/>
              <w:rPr>
                <w:sz w:val="24"/>
                <w:szCs w:val="24"/>
              </w:rPr>
            </w:pPr>
            <w:r>
              <w:rPr>
                <w:sz w:val="24"/>
                <w:szCs w:val="24"/>
              </w:rPr>
              <w:t>06.03.2019</w:t>
            </w:r>
          </w:p>
        </w:tc>
      </w:tr>
      <w:tr w:rsidR="005E1CF2" w14:paraId="60AD8B25" w14:textId="77777777">
        <w:tc>
          <w:tcPr>
            <w:tcW w:w="5038" w:type="dxa"/>
            <w:tcBorders>
              <w:top w:val="single" w:sz="4" w:space="0" w:color="000000"/>
              <w:left w:val="single" w:sz="4" w:space="0" w:color="000000"/>
              <w:bottom w:val="single" w:sz="4" w:space="0" w:color="000000"/>
              <w:right w:val="single" w:sz="4" w:space="0" w:color="000000"/>
            </w:tcBorders>
            <w:shd w:val="clear" w:color="auto" w:fill="auto"/>
          </w:tcPr>
          <w:p w14:paraId="05DC1672" w14:textId="77777777" w:rsidR="005E1CF2" w:rsidRDefault="00527869">
            <w:pPr>
              <w:jc w:val="both"/>
              <w:rPr>
                <w:sz w:val="24"/>
                <w:szCs w:val="24"/>
              </w:rPr>
            </w:pPr>
            <w:r>
              <w:rPr>
                <w:sz w:val="24"/>
                <w:szCs w:val="24"/>
              </w:rPr>
              <w:t>4</w:t>
            </w:r>
          </w:p>
        </w:tc>
        <w:tc>
          <w:tcPr>
            <w:tcW w:w="5031" w:type="dxa"/>
            <w:tcBorders>
              <w:top w:val="single" w:sz="4" w:space="0" w:color="000000"/>
              <w:left w:val="single" w:sz="4" w:space="0" w:color="000000"/>
              <w:bottom w:val="single" w:sz="4" w:space="0" w:color="000000"/>
              <w:right w:val="single" w:sz="4" w:space="0" w:color="000000"/>
            </w:tcBorders>
            <w:shd w:val="clear" w:color="auto" w:fill="auto"/>
          </w:tcPr>
          <w:p w14:paraId="6755C683" w14:textId="77777777" w:rsidR="005E1CF2" w:rsidRDefault="00527869">
            <w:pPr>
              <w:jc w:val="both"/>
              <w:rPr>
                <w:sz w:val="24"/>
                <w:szCs w:val="24"/>
              </w:rPr>
            </w:pPr>
            <w:r>
              <w:rPr>
                <w:sz w:val="24"/>
                <w:szCs w:val="24"/>
              </w:rPr>
              <w:t>22.05.2019</w:t>
            </w:r>
          </w:p>
        </w:tc>
      </w:tr>
    </w:tbl>
    <w:p w14:paraId="7CBFF86F" w14:textId="77777777" w:rsidR="005E1CF2" w:rsidRDefault="005E1CF2">
      <w:pPr>
        <w:jc w:val="both"/>
        <w:rPr>
          <w:sz w:val="24"/>
          <w:szCs w:val="24"/>
        </w:rPr>
      </w:pPr>
    </w:p>
    <w:p w14:paraId="6BAAAD09" w14:textId="77777777" w:rsidR="005E1CF2" w:rsidRDefault="00527869">
      <w:pPr>
        <w:jc w:val="both"/>
        <w:rPr>
          <w:sz w:val="24"/>
          <w:szCs w:val="24"/>
        </w:rPr>
      </w:pPr>
      <w:r>
        <w:rPr>
          <w:sz w:val="24"/>
          <w:szCs w:val="24"/>
        </w:rPr>
        <w:t xml:space="preserve">Notes </w:t>
      </w:r>
    </w:p>
    <w:p w14:paraId="0DBD3612" w14:textId="77777777" w:rsidR="005E1CF2" w:rsidRDefault="005E1CF2">
      <w:pPr>
        <w:jc w:val="both"/>
        <w:rPr>
          <w:sz w:val="24"/>
          <w:szCs w:val="24"/>
        </w:rPr>
      </w:pPr>
    </w:p>
    <w:p w14:paraId="2ED0177F" w14:textId="77777777" w:rsidR="005E1CF2" w:rsidRDefault="005E1CF2">
      <w:pPr>
        <w:jc w:val="both"/>
        <w:rPr>
          <w:sz w:val="24"/>
          <w:szCs w:val="24"/>
        </w:rPr>
      </w:pPr>
    </w:p>
    <w:p w14:paraId="00223D81" w14:textId="77777777" w:rsidR="005E1CF2" w:rsidRDefault="005E1CF2">
      <w:pPr>
        <w:jc w:val="both"/>
        <w:rPr>
          <w:sz w:val="24"/>
          <w:szCs w:val="24"/>
        </w:rPr>
      </w:pPr>
    </w:p>
    <w:p w14:paraId="3C9E3396" w14:textId="77777777" w:rsidR="005E1CF2" w:rsidRDefault="005E1CF2">
      <w:pPr>
        <w:jc w:val="both"/>
        <w:rPr>
          <w:sz w:val="24"/>
          <w:szCs w:val="24"/>
        </w:rPr>
      </w:pPr>
    </w:p>
    <w:p w14:paraId="1C2DE467" w14:textId="77777777" w:rsidR="005E1CF2" w:rsidRDefault="005E1CF2">
      <w:pPr>
        <w:jc w:val="both"/>
        <w:rPr>
          <w:sz w:val="24"/>
          <w:szCs w:val="24"/>
        </w:rPr>
      </w:pPr>
    </w:p>
    <w:p w14:paraId="279FFC4A" w14:textId="77777777" w:rsidR="005E1CF2" w:rsidRDefault="005E1CF2">
      <w:pPr>
        <w:jc w:val="both"/>
        <w:rPr>
          <w:sz w:val="24"/>
          <w:szCs w:val="24"/>
        </w:rPr>
      </w:pPr>
    </w:p>
    <w:p w14:paraId="3F9E778D" w14:textId="77777777" w:rsidR="005E1CF2" w:rsidRDefault="005E1CF2">
      <w:pPr>
        <w:jc w:val="both"/>
        <w:rPr>
          <w:sz w:val="24"/>
          <w:szCs w:val="24"/>
        </w:rPr>
      </w:pPr>
    </w:p>
    <w:p w14:paraId="3D5D3FCE" w14:textId="77777777" w:rsidR="005E1CF2" w:rsidRDefault="005E1CF2">
      <w:pPr>
        <w:jc w:val="both"/>
        <w:rPr>
          <w:sz w:val="24"/>
          <w:szCs w:val="24"/>
        </w:rPr>
      </w:pPr>
    </w:p>
    <w:p w14:paraId="3D6584AC" w14:textId="77777777" w:rsidR="005E1CF2" w:rsidRDefault="005E1CF2">
      <w:pPr>
        <w:jc w:val="both"/>
        <w:rPr>
          <w:sz w:val="24"/>
          <w:szCs w:val="24"/>
        </w:rPr>
      </w:pPr>
    </w:p>
    <w:p w14:paraId="7A9F9538" w14:textId="77777777" w:rsidR="005E1CF2" w:rsidRDefault="005E1CF2">
      <w:pPr>
        <w:jc w:val="both"/>
        <w:rPr>
          <w:sz w:val="24"/>
          <w:szCs w:val="24"/>
        </w:rPr>
      </w:pPr>
    </w:p>
    <w:p w14:paraId="572C8445" w14:textId="77777777" w:rsidR="005E1CF2" w:rsidRDefault="005E1CF2">
      <w:pPr>
        <w:jc w:val="both"/>
        <w:rPr>
          <w:sz w:val="24"/>
          <w:szCs w:val="24"/>
        </w:rPr>
      </w:pPr>
    </w:p>
    <w:tbl>
      <w:tblPr>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070"/>
      </w:tblGrid>
      <w:tr w:rsidR="005E1CF2" w14:paraId="1940B7AC" w14:textId="77777777">
        <w:tc>
          <w:tcPr>
            <w:tcW w:w="10070" w:type="dxa"/>
            <w:tcBorders>
              <w:top w:val="single" w:sz="4" w:space="0" w:color="000000"/>
              <w:left w:val="single" w:sz="4" w:space="0" w:color="000000"/>
              <w:bottom w:val="single" w:sz="4" w:space="0" w:color="000000"/>
              <w:right w:val="single" w:sz="4" w:space="0" w:color="000000"/>
            </w:tcBorders>
            <w:shd w:val="clear" w:color="auto" w:fill="auto"/>
          </w:tcPr>
          <w:p w14:paraId="61DB3FE1" w14:textId="77777777" w:rsidR="005E1CF2" w:rsidRDefault="00527869">
            <w:pPr>
              <w:jc w:val="both"/>
              <w:rPr>
                <w:b/>
                <w:color w:val="auto"/>
                <w:sz w:val="24"/>
                <w:szCs w:val="24"/>
              </w:rPr>
            </w:pPr>
            <w:r>
              <w:rPr>
                <w:b/>
                <w:color w:val="auto"/>
                <w:sz w:val="24"/>
                <w:szCs w:val="24"/>
              </w:rPr>
              <w:t xml:space="preserve">Mentor’s comments </w:t>
            </w:r>
          </w:p>
          <w:p w14:paraId="332E7B66" w14:textId="77777777" w:rsidR="005E1CF2" w:rsidRDefault="005E1CF2">
            <w:pPr>
              <w:jc w:val="both"/>
              <w:rPr>
                <w:sz w:val="24"/>
                <w:szCs w:val="24"/>
              </w:rPr>
            </w:pPr>
          </w:p>
        </w:tc>
      </w:tr>
      <w:tr w:rsidR="005E1CF2" w14:paraId="0DF2FDF9" w14:textId="77777777">
        <w:tc>
          <w:tcPr>
            <w:tcW w:w="10070" w:type="dxa"/>
            <w:tcBorders>
              <w:top w:val="single" w:sz="4" w:space="0" w:color="000000"/>
              <w:left w:val="single" w:sz="4" w:space="0" w:color="000000"/>
              <w:bottom w:val="single" w:sz="4" w:space="0" w:color="000000"/>
              <w:right w:val="single" w:sz="4" w:space="0" w:color="000000"/>
            </w:tcBorders>
            <w:shd w:val="clear" w:color="auto" w:fill="auto"/>
          </w:tcPr>
          <w:p w14:paraId="62D2FD20" w14:textId="77777777" w:rsidR="005E1CF2" w:rsidRPr="00656037" w:rsidRDefault="00527869">
            <w:pPr>
              <w:jc w:val="both"/>
              <w:rPr>
                <w:color w:val="auto"/>
                <w:sz w:val="24"/>
                <w:szCs w:val="24"/>
              </w:rPr>
            </w:pPr>
            <w:r w:rsidRPr="00656037">
              <w:rPr>
                <w:color w:val="auto"/>
                <w:sz w:val="24"/>
                <w:szCs w:val="24"/>
              </w:rPr>
              <w:t>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w:t>
            </w:r>
          </w:p>
          <w:p w14:paraId="5345A4F1" w14:textId="77777777" w:rsidR="005E1CF2" w:rsidRDefault="005E1CF2">
            <w:pPr>
              <w:jc w:val="both"/>
              <w:rPr>
                <w:color w:val="auto"/>
                <w:sz w:val="24"/>
                <w:szCs w:val="24"/>
                <w:highlight w:val="yellow"/>
              </w:rPr>
            </w:pPr>
          </w:p>
          <w:p w14:paraId="31D5961B" w14:textId="77777777" w:rsidR="005E1CF2" w:rsidRPr="00656037" w:rsidRDefault="00527869" w:rsidP="00656037">
            <w:pPr>
              <w:overflowPunct/>
              <w:spacing w:line="360" w:lineRule="auto"/>
              <w:jc w:val="both"/>
              <w:textAlignment w:val="auto"/>
              <w:rPr>
                <w:rFonts w:eastAsia="Calibri"/>
                <w:sz w:val="24"/>
                <w:szCs w:val="24"/>
                <w:lang w:eastAsia="en-US"/>
              </w:rPr>
            </w:pPr>
            <w:r w:rsidRPr="00656037">
              <w:rPr>
                <w:rFonts w:eastAsia="Calibri"/>
                <w:color w:val="auto"/>
                <w:sz w:val="24"/>
                <w:szCs w:val="24"/>
                <w:lang w:eastAsia="en-US"/>
              </w:rPr>
              <w:t xml:space="preserve">The learner has definitely developed her analysis and reflective skills throughout this period in terms of using knowledge and evidence based practice to inform her own practice as well as critical reflection during supervision sessions. The learner had already developed a good skill set and knowledge base in children’s services and was keen, at the start of the start of CPEL, to develop this level of skill and knowledge into her work with adults at the hospice. The learner chose supervision and training as the main focus to do this which I felt was appropriate for her, as she is practitioner that likes time to reflect on her practice in order to build confidence in her decision making and collaborative working. At times in the past the learner has had a tendency to be over critical with herself during the reflection process but has begun to recognise that you can critically reflect without being self-critical, particularly when this impacts upon confidence levels. This is an area in which I feel much improvement has been made, which has allowed the learner to be more confident in her professional analysis, judgments and subsequent risk management and care planning. This has been particularly pertinent to the complex cases she has dealt with including safeguarding, capacity concerns and DoLS. </w:t>
            </w:r>
          </w:p>
          <w:p w14:paraId="69EC5A81" w14:textId="77777777" w:rsidR="005E1CF2" w:rsidRPr="00656037" w:rsidRDefault="005E1CF2" w:rsidP="00656037">
            <w:pPr>
              <w:overflowPunct/>
              <w:spacing w:line="360" w:lineRule="auto"/>
              <w:jc w:val="both"/>
              <w:textAlignment w:val="auto"/>
              <w:rPr>
                <w:rFonts w:eastAsia="Calibri"/>
                <w:color w:val="auto"/>
                <w:sz w:val="24"/>
                <w:szCs w:val="24"/>
                <w:lang w:eastAsia="en-US"/>
              </w:rPr>
            </w:pPr>
          </w:p>
          <w:p w14:paraId="2B58F8C2" w14:textId="77777777" w:rsidR="005E1CF2" w:rsidRPr="00656037" w:rsidRDefault="00527869" w:rsidP="00656037">
            <w:pPr>
              <w:overflowPunct/>
              <w:spacing w:line="360" w:lineRule="auto"/>
              <w:jc w:val="both"/>
              <w:textAlignment w:val="auto"/>
              <w:rPr>
                <w:rFonts w:eastAsia="Calibri"/>
                <w:color w:val="auto"/>
                <w:sz w:val="24"/>
                <w:szCs w:val="24"/>
                <w:lang w:eastAsia="en-US"/>
              </w:rPr>
            </w:pPr>
            <w:r w:rsidRPr="00656037">
              <w:rPr>
                <w:rFonts w:eastAsia="Calibri"/>
                <w:color w:val="auto"/>
                <w:sz w:val="24"/>
                <w:szCs w:val="24"/>
                <w:lang w:eastAsia="en-US"/>
              </w:rPr>
              <w:t>Despite already having very good communication and interpersonal</w:t>
            </w:r>
            <w:r w:rsidRPr="00656037">
              <w:rPr>
                <w:rFonts w:eastAsia="Calibri"/>
                <w:sz w:val="24"/>
                <w:szCs w:val="24"/>
                <w:lang w:eastAsia="en-US"/>
              </w:rPr>
              <w:t xml:space="preserve"> skills (people warm to the learner quickly allowing her to support them both practically and emotionally in the limited time scales we often work with at the hospice) the learner wanted to further develop this skill in the areas of death, dying and bereavement in order that she felt able to communicate effectively </w:t>
            </w:r>
            <w:r w:rsidRPr="00656037">
              <w:rPr>
                <w:rFonts w:eastAsia="Calibri"/>
                <w:sz w:val="24"/>
                <w:szCs w:val="24"/>
                <w:lang w:eastAsia="en-US"/>
              </w:rPr>
              <w:lastRenderedPageBreak/>
              <w:t xml:space="preserve">with the individuals and their families at the hospice. The palliative care course has definitely supported her with this and has further developed working relationships with other professionals by </w:t>
            </w:r>
            <w:r w:rsidRPr="00656037">
              <w:rPr>
                <w:rFonts w:eastAsia="Calibri"/>
                <w:color w:val="auto"/>
                <w:sz w:val="24"/>
                <w:szCs w:val="24"/>
                <w:lang w:eastAsia="en-US"/>
              </w:rPr>
              <w:t xml:space="preserve">networking during the 5 day course. This course has enabled the learner to be more confident in her decision making as a social worker in the palliative care arena, particularly with the more complex cases. </w:t>
            </w:r>
          </w:p>
          <w:p w14:paraId="0F4BE18D" w14:textId="77777777" w:rsidR="005E1CF2" w:rsidRPr="00656037" w:rsidRDefault="005E1CF2" w:rsidP="00656037">
            <w:pPr>
              <w:overflowPunct/>
              <w:spacing w:line="360" w:lineRule="auto"/>
              <w:jc w:val="both"/>
              <w:textAlignment w:val="auto"/>
              <w:rPr>
                <w:rFonts w:eastAsia="Calibri"/>
                <w:color w:val="auto"/>
                <w:sz w:val="24"/>
                <w:szCs w:val="24"/>
                <w:lang w:eastAsia="en-US"/>
              </w:rPr>
            </w:pPr>
          </w:p>
          <w:p w14:paraId="6D18A51A" w14:textId="77777777" w:rsidR="005E1CF2" w:rsidRPr="00656037" w:rsidRDefault="00527869" w:rsidP="00656037">
            <w:pPr>
              <w:overflowPunct/>
              <w:spacing w:line="360" w:lineRule="auto"/>
              <w:jc w:val="both"/>
              <w:textAlignment w:val="auto"/>
              <w:rPr>
                <w:rFonts w:eastAsia="Calibri"/>
                <w:color w:val="auto"/>
                <w:sz w:val="24"/>
                <w:szCs w:val="24"/>
                <w:lang w:eastAsia="en-US"/>
              </w:rPr>
            </w:pPr>
            <w:r w:rsidRPr="00656037">
              <w:rPr>
                <w:rFonts w:eastAsia="Calibri"/>
                <w:color w:val="auto"/>
                <w:sz w:val="24"/>
                <w:szCs w:val="24"/>
                <w:lang w:eastAsia="en-US"/>
              </w:rPr>
              <w:t xml:space="preserve">In terms of working within Wales the learner had a robust understanding of the legislation and framework pertinent to Children Services and has utilised her time effectively with her CPEL studies to ensure that her Adult Services legislation and frameworks were just as robust. This has included Adult Safeguarding and DoLS training.  She has become adept at understanding some of the differences with the English legislation and frameworks as we occasionally have individuals on our Inpatient Unit who need to be discharged back to England. In terms of the Welsh language, although the learner only has basic Welsh language skills, she is always motivated to use them where appropriate and is keen to develop this skill further. I have feedback from individuals and families that she works with stating how much they have appreciated this. </w:t>
            </w:r>
          </w:p>
          <w:p w14:paraId="6582D034" w14:textId="77777777" w:rsidR="005E1CF2" w:rsidRPr="00656037" w:rsidRDefault="005E1CF2" w:rsidP="00656037">
            <w:pPr>
              <w:spacing w:line="360" w:lineRule="auto"/>
              <w:jc w:val="both"/>
              <w:rPr>
                <w:color w:val="auto"/>
                <w:sz w:val="24"/>
                <w:szCs w:val="24"/>
                <w:highlight w:val="yellow"/>
              </w:rPr>
            </w:pPr>
          </w:p>
          <w:p w14:paraId="667A3B2C" w14:textId="77777777" w:rsidR="005E1CF2" w:rsidRPr="00656037" w:rsidRDefault="00527869" w:rsidP="00656037">
            <w:pPr>
              <w:spacing w:line="360" w:lineRule="auto"/>
              <w:jc w:val="both"/>
            </w:pPr>
            <w:r w:rsidRPr="00656037">
              <w:rPr>
                <w:rFonts w:eastAsia="Calibri"/>
                <w:color w:val="auto"/>
                <w:sz w:val="24"/>
                <w:szCs w:val="24"/>
                <w:lang w:eastAsia="en-US"/>
              </w:rPr>
              <w:t xml:space="preserve">Despite not being able to attend the CHC training, the learner has developed considerable in this area by research and liaising with other professional who had more knowledge than her in this area and I am really pleased with her tenacity in doing this. I think this links in well to the </w:t>
            </w:r>
            <w:r w:rsidRPr="00656037">
              <w:rPr>
                <w:b/>
                <w:i/>
                <w:color w:val="auto"/>
                <w:sz w:val="24"/>
                <w:szCs w:val="24"/>
                <w:lang w:eastAsia="en-US"/>
              </w:rPr>
              <w:t>COPP 6</w:t>
            </w:r>
            <w:r w:rsidRPr="00656037">
              <w:rPr>
                <w:rFonts w:eastAsia="Calibri"/>
                <w:color w:val="auto"/>
                <w:sz w:val="24"/>
                <w:szCs w:val="24"/>
                <w:lang w:eastAsia="en-US"/>
              </w:rPr>
              <w:t xml:space="preserve"> which is a real are of </w:t>
            </w:r>
            <w:r w:rsidRPr="00656037">
              <w:rPr>
                <w:color w:val="auto"/>
                <w:sz w:val="24"/>
                <w:szCs w:val="24"/>
                <w:lang w:eastAsia="en-US"/>
              </w:rPr>
              <w:t xml:space="preserve">real area of strength for this learner. In terms of all the Codes Of Practice the learner is passionate about adhering to these and this has been reflected back to me from other professionals both in the hospice setting and outside agencies and also from many of the individuals, families and carers that she has worked with at the hospice. </w:t>
            </w:r>
          </w:p>
          <w:p w14:paraId="7A3CF07B" w14:textId="77777777" w:rsidR="005E1CF2" w:rsidRPr="00656037" w:rsidRDefault="005E1CF2" w:rsidP="00656037">
            <w:pPr>
              <w:spacing w:line="360" w:lineRule="auto"/>
              <w:jc w:val="both"/>
              <w:rPr>
                <w:color w:val="auto"/>
                <w:sz w:val="24"/>
                <w:szCs w:val="24"/>
                <w:lang w:eastAsia="en-US"/>
              </w:rPr>
            </w:pPr>
          </w:p>
          <w:p w14:paraId="0EE2954C" w14:textId="77777777" w:rsidR="005E1CF2" w:rsidRDefault="00527869" w:rsidP="00656037">
            <w:pPr>
              <w:spacing w:line="360" w:lineRule="auto"/>
              <w:jc w:val="both"/>
            </w:pPr>
            <w:r w:rsidRPr="00656037">
              <w:rPr>
                <w:color w:val="auto"/>
                <w:sz w:val="24"/>
                <w:szCs w:val="24"/>
                <w:lang w:eastAsia="en-US"/>
              </w:rPr>
              <w:t>Moving forward the learner should continue to develop confidence in her practice as she makes further complex decisions within this MDT setting. She will be able to do this as she has identified above by continuing to use supervision and training as effectively as she does now. As also stated above, she must continue to focus in terms of time/task management to ensure she does not become overwhelmed by service delivery changes she is deve</w:t>
            </w:r>
            <w:r w:rsidR="00656037">
              <w:rPr>
                <w:color w:val="auto"/>
                <w:sz w:val="24"/>
                <w:szCs w:val="24"/>
                <w:lang w:eastAsia="en-US"/>
              </w:rPr>
              <w:t>loping and her own professional</w:t>
            </w:r>
            <w:r w:rsidRPr="00656037">
              <w:rPr>
                <w:color w:val="auto"/>
                <w:sz w:val="24"/>
                <w:szCs w:val="24"/>
                <w:lang w:eastAsia="en-US"/>
              </w:rPr>
              <w:t xml:space="preserve"> development goals. Alongside the very emotive work we undertake at </w:t>
            </w:r>
            <w:r w:rsidRPr="00656037">
              <w:rPr>
                <w:color w:val="auto"/>
                <w:sz w:val="24"/>
                <w:szCs w:val="24"/>
                <w:lang w:eastAsia="en-US"/>
              </w:rPr>
              <w:lastRenderedPageBreak/>
              <w:t xml:space="preserve">the hospice, taking on “too much” puts her at risk of burnout. However that said this only comes from a deep passion for social work and the people we work with, so although she still needs to develop her time management skills, I would not want this to be at the detriment of her passion for social work. </w:t>
            </w:r>
          </w:p>
          <w:p w14:paraId="25864CC4" w14:textId="77777777" w:rsidR="005E1CF2" w:rsidRDefault="005E1CF2">
            <w:pPr>
              <w:spacing w:line="360" w:lineRule="auto"/>
              <w:jc w:val="both"/>
              <w:rPr>
                <w:color w:val="auto"/>
                <w:sz w:val="24"/>
                <w:szCs w:val="24"/>
                <w:highlight w:val="yellow"/>
              </w:rPr>
            </w:pPr>
          </w:p>
          <w:p w14:paraId="2C3BD1F9" w14:textId="77777777" w:rsidR="005E1CF2" w:rsidRDefault="00527869">
            <w:pPr>
              <w:jc w:val="both"/>
              <w:rPr>
                <w:i/>
                <w:color w:val="auto"/>
                <w:sz w:val="24"/>
                <w:szCs w:val="24"/>
                <w:highlight w:val="yellow"/>
              </w:rPr>
            </w:pPr>
            <w:r>
              <w:rPr>
                <w:i/>
                <w:color w:val="auto"/>
                <w:sz w:val="24"/>
                <w:szCs w:val="24"/>
              </w:rPr>
              <w:t xml:space="preserve">                           </w:t>
            </w:r>
          </w:p>
        </w:tc>
      </w:tr>
    </w:tbl>
    <w:p w14:paraId="3E05FBFE" w14:textId="77777777" w:rsidR="005E1CF2" w:rsidRDefault="005E1CF2">
      <w:pPr>
        <w:jc w:val="both"/>
        <w:rPr>
          <w:sz w:val="24"/>
          <w:szCs w:val="24"/>
        </w:rPr>
      </w:pPr>
    </w:p>
    <w:p w14:paraId="06A12481" w14:textId="77777777" w:rsidR="005E1CF2" w:rsidRDefault="005E1CF2">
      <w:pPr>
        <w:jc w:val="both"/>
        <w:rPr>
          <w:sz w:val="24"/>
          <w:szCs w:val="24"/>
        </w:rPr>
      </w:pPr>
    </w:p>
    <w:p w14:paraId="6F022B8C" w14:textId="77777777" w:rsidR="005E1CF2" w:rsidRDefault="005E1CF2">
      <w:pPr>
        <w:jc w:val="both"/>
        <w:rPr>
          <w:sz w:val="24"/>
          <w:szCs w:val="24"/>
        </w:rPr>
      </w:pPr>
    </w:p>
    <w:p w14:paraId="414D8D06" w14:textId="77777777" w:rsidR="00441EE8" w:rsidRDefault="00441EE8">
      <w:pPr>
        <w:jc w:val="both"/>
        <w:rPr>
          <w:sz w:val="24"/>
          <w:szCs w:val="24"/>
        </w:rPr>
      </w:pPr>
    </w:p>
    <w:p w14:paraId="57280010" w14:textId="77777777" w:rsidR="00441EE8" w:rsidRDefault="00441EE8">
      <w:pPr>
        <w:jc w:val="both"/>
        <w:rPr>
          <w:sz w:val="24"/>
          <w:szCs w:val="24"/>
        </w:rPr>
      </w:pPr>
    </w:p>
    <w:p w14:paraId="34973A55" w14:textId="77777777" w:rsidR="00441EE8" w:rsidRDefault="00441EE8">
      <w:pPr>
        <w:jc w:val="both"/>
        <w:rPr>
          <w:sz w:val="24"/>
          <w:szCs w:val="24"/>
        </w:rPr>
      </w:pPr>
    </w:p>
    <w:p w14:paraId="28A5A486" w14:textId="77777777" w:rsidR="005E1CF2" w:rsidRDefault="005E1CF2">
      <w:pPr>
        <w:jc w:val="both"/>
        <w:rPr>
          <w:sz w:val="24"/>
          <w:szCs w:val="24"/>
        </w:rPr>
      </w:pPr>
    </w:p>
    <w:p w14:paraId="75A573C1" w14:textId="77777777" w:rsidR="005E1CF2" w:rsidRDefault="00527869">
      <w:pPr>
        <w:keepNext/>
        <w:spacing w:before="240" w:after="60"/>
        <w:jc w:val="center"/>
        <w:rPr>
          <w:b/>
          <w:sz w:val="24"/>
          <w:szCs w:val="24"/>
        </w:rPr>
      </w:pPr>
      <w:r>
        <w:rPr>
          <w:b/>
          <w:sz w:val="24"/>
          <w:szCs w:val="24"/>
        </w:rPr>
        <w:t>Section 7</w:t>
      </w:r>
    </w:p>
    <w:p w14:paraId="6756B377" w14:textId="77777777" w:rsidR="005E1CF2" w:rsidRDefault="00527869">
      <w:pPr>
        <w:keepNext/>
        <w:spacing w:before="240" w:after="60"/>
        <w:jc w:val="both"/>
        <w:rPr>
          <w:b/>
          <w:sz w:val="24"/>
          <w:szCs w:val="24"/>
        </w:rPr>
      </w:pPr>
      <w:r>
        <w:rPr>
          <w:b/>
          <w:sz w:val="24"/>
          <w:szCs w:val="24"/>
        </w:rPr>
        <w:t>Bibliography</w:t>
      </w:r>
    </w:p>
    <w:p w14:paraId="042FBBEB" w14:textId="77777777" w:rsidR="005E1CF2" w:rsidRDefault="00527869">
      <w:pPr>
        <w:keepNext/>
        <w:spacing w:before="240" w:after="60"/>
        <w:jc w:val="both"/>
        <w:rPr>
          <w:sz w:val="24"/>
          <w:szCs w:val="24"/>
        </w:rPr>
      </w:pPr>
      <w:r w:rsidRPr="008E5181">
        <w:rPr>
          <w:sz w:val="24"/>
          <w:szCs w:val="24"/>
        </w:rPr>
        <w:t>Information about referencing in written assignments and how to avoid plagiarism can be found on Moodle. It is important that you are aware of the importance of ensuring that the work submitted is your original work.</w:t>
      </w:r>
      <w:r>
        <w:rPr>
          <w:sz w:val="24"/>
          <w:szCs w:val="24"/>
        </w:rPr>
        <w:t xml:space="preserve">      </w:t>
      </w:r>
    </w:p>
    <w:p w14:paraId="3648D820" w14:textId="77777777" w:rsidR="005E1CF2" w:rsidRDefault="005E1CF2">
      <w:pPr>
        <w:overflowPunct/>
        <w:textAlignment w:val="auto"/>
        <w:rPr>
          <w:b/>
          <w:sz w:val="24"/>
          <w:szCs w:val="24"/>
        </w:rPr>
      </w:pPr>
    </w:p>
    <w:p w14:paraId="23980E7B" w14:textId="77777777" w:rsidR="005E1CF2" w:rsidRDefault="00527869">
      <w:pPr>
        <w:overflowPunct/>
        <w:textAlignment w:val="auto"/>
      </w:pPr>
      <w:r>
        <w:rPr>
          <w:sz w:val="24"/>
          <w:szCs w:val="24"/>
        </w:rPr>
        <w:t xml:space="preserve">ACT, (2016) Money Matters. (Online) Available at  </w:t>
      </w:r>
      <w:hyperlink r:id="rId10">
        <w:r>
          <w:rPr>
            <w:rStyle w:val="InternetLink"/>
            <w:sz w:val="24"/>
            <w:szCs w:val="24"/>
          </w:rPr>
          <w:t>https://www.oxfsn.org.uk/wp-content/uploads/2016/03/4-OxFSN-Money-Matters-2016-Ann-Craft-Trust.pdf</w:t>
        </w:r>
      </w:hyperlink>
      <w:r>
        <w:rPr>
          <w:sz w:val="24"/>
          <w:szCs w:val="24"/>
        </w:rPr>
        <w:t xml:space="preserve"> (Accessed 01.10.2019). </w:t>
      </w:r>
    </w:p>
    <w:p w14:paraId="1B7049C5" w14:textId="77777777" w:rsidR="005E1CF2" w:rsidRDefault="005E1CF2">
      <w:pPr>
        <w:overflowPunct/>
        <w:spacing w:after="160"/>
        <w:textAlignment w:val="auto"/>
        <w:rPr>
          <w:rFonts w:eastAsia="Calibri"/>
          <w:color w:val="auto"/>
          <w:sz w:val="24"/>
          <w:szCs w:val="24"/>
          <w:lang w:eastAsia="en-US"/>
        </w:rPr>
      </w:pPr>
    </w:p>
    <w:p w14:paraId="3DCAD02D" w14:textId="28B7FC58" w:rsidR="005E1CF2" w:rsidRDefault="00527869">
      <w:pPr>
        <w:overflowPunct/>
        <w:spacing w:after="160"/>
        <w:textAlignment w:val="auto"/>
        <w:rPr>
          <w:rFonts w:eastAsia="Calibri"/>
          <w:color w:val="auto"/>
          <w:sz w:val="24"/>
          <w:szCs w:val="24"/>
          <w:lang w:eastAsia="en-US"/>
        </w:rPr>
      </w:pPr>
      <w:r>
        <w:rPr>
          <w:rFonts w:eastAsia="Calibri"/>
          <w:color w:val="auto"/>
          <w:sz w:val="24"/>
          <w:szCs w:val="24"/>
          <w:lang w:eastAsia="en-US"/>
        </w:rPr>
        <w:t xml:space="preserve">Adams, R. </w:t>
      </w:r>
      <w:proofErr w:type="spellStart"/>
      <w:r>
        <w:rPr>
          <w:rFonts w:eastAsia="Calibri"/>
          <w:color w:val="auto"/>
          <w:sz w:val="24"/>
          <w:szCs w:val="24"/>
          <w:lang w:eastAsia="en-US"/>
        </w:rPr>
        <w:t>Dominelli</w:t>
      </w:r>
      <w:proofErr w:type="spellEnd"/>
      <w:r>
        <w:rPr>
          <w:rFonts w:eastAsia="Calibri"/>
          <w:color w:val="auto"/>
          <w:sz w:val="24"/>
          <w:szCs w:val="24"/>
          <w:lang w:eastAsia="en-US"/>
        </w:rPr>
        <w:t xml:space="preserve">, L. and Payne, M. (2009) </w:t>
      </w:r>
      <w:r>
        <w:rPr>
          <w:rFonts w:eastAsia="Calibri"/>
          <w:i/>
          <w:color w:val="auto"/>
          <w:sz w:val="24"/>
          <w:szCs w:val="24"/>
          <w:lang w:eastAsia="en-US"/>
        </w:rPr>
        <w:t>Critical Practice in Social Work,</w:t>
      </w:r>
      <w:r>
        <w:rPr>
          <w:rFonts w:eastAsia="Calibri"/>
          <w:color w:val="auto"/>
          <w:sz w:val="24"/>
          <w:szCs w:val="24"/>
          <w:lang w:eastAsia="en-US"/>
        </w:rPr>
        <w:t xml:space="preserve"> 2</w:t>
      </w:r>
      <w:r>
        <w:rPr>
          <w:rFonts w:eastAsia="Calibri"/>
          <w:color w:val="auto"/>
          <w:sz w:val="24"/>
          <w:szCs w:val="24"/>
          <w:vertAlign w:val="superscript"/>
          <w:lang w:eastAsia="en-US"/>
        </w:rPr>
        <w:t>nd</w:t>
      </w:r>
      <w:r>
        <w:rPr>
          <w:rFonts w:eastAsia="Calibri"/>
          <w:color w:val="auto"/>
          <w:sz w:val="24"/>
          <w:szCs w:val="24"/>
          <w:lang w:eastAsia="en-US"/>
        </w:rPr>
        <w:t xml:space="preserve"> Edition, Basingstoke: Palgrave Macmillan.</w:t>
      </w:r>
    </w:p>
    <w:p w14:paraId="2457DC5C" w14:textId="77777777" w:rsidR="007164B8" w:rsidRDefault="007164B8" w:rsidP="00880FA5">
      <w:pPr>
        <w:spacing w:line="360" w:lineRule="auto"/>
        <w:jc w:val="both"/>
        <w:rPr>
          <w:rFonts w:eastAsia="Calibri"/>
          <w:color w:val="auto"/>
          <w:sz w:val="24"/>
          <w:szCs w:val="24"/>
          <w:lang w:eastAsia="en-US"/>
        </w:rPr>
      </w:pPr>
    </w:p>
    <w:p w14:paraId="3E8D2161" w14:textId="677B51D7" w:rsidR="00880FA5" w:rsidRDefault="00880FA5" w:rsidP="00880FA5">
      <w:pPr>
        <w:spacing w:line="360" w:lineRule="auto"/>
        <w:jc w:val="both"/>
        <w:rPr>
          <w:sz w:val="24"/>
          <w:szCs w:val="24"/>
        </w:rPr>
      </w:pPr>
      <w:r>
        <w:rPr>
          <w:sz w:val="24"/>
          <w:szCs w:val="24"/>
        </w:rPr>
        <w:t xml:space="preserve">Adams, R., </w:t>
      </w:r>
      <w:proofErr w:type="spellStart"/>
      <w:r>
        <w:rPr>
          <w:sz w:val="24"/>
          <w:szCs w:val="24"/>
        </w:rPr>
        <w:t>Dominelli</w:t>
      </w:r>
      <w:proofErr w:type="spellEnd"/>
      <w:r>
        <w:rPr>
          <w:sz w:val="24"/>
          <w:szCs w:val="24"/>
        </w:rPr>
        <w:t xml:space="preserve">, L. </w:t>
      </w:r>
      <w:r w:rsidR="00A73F61">
        <w:rPr>
          <w:sz w:val="24"/>
          <w:szCs w:val="24"/>
        </w:rPr>
        <w:t>and</w:t>
      </w:r>
      <w:r>
        <w:rPr>
          <w:sz w:val="24"/>
          <w:szCs w:val="24"/>
        </w:rPr>
        <w:t xml:space="preserve"> Payne, M. (2002): </w:t>
      </w:r>
      <w:r w:rsidRPr="00617D7E">
        <w:rPr>
          <w:i/>
          <w:iCs/>
          <w:sz w:val="24"/>
          <w:szCs w:val="24"/>
        </w:rPr>
        <w:t>Critical Practice in Social Work</w:t>
      </w:r>
      <w:r>
        <w:rPr>
          <w:sz w:val="24"/>
          <w:szCs w:val="24"/>
        </w:rPr>
        <w:t xml:space="preserve">, </w:t>
      </w:r>
      <w:r w:rsidR="00B9001A">
        <w:rPr>
          <w:sz w:val="24"/>
          <w:szCs w:val="24"/>
        </w:rPr>
        <w:t>Basingstoke</w:t>
      </w:r>
      <w:r w:rsidR="009D4B8D">
        <w:rPr>
          <w:sz w:val="24"/>
          <w:szCs w:val="24"/>
        </w:rPr>
        <w:t>:</w:t>
      </w:r>
      <w:r w:rsidR="00B9001A">
        <w:rPr>
          <w:sz w:val="24"/>
          <w:szCs w:val="24"/>
        </w:rPr>
        <w:t xml:space="preserve"> </w:t>
      </w:r>
      <w:r>
        <w:rPr>
          <w:sz w:val="24"/>
          <w:szCs w:val="24"/>
        </w:rPr>
        <w:t>Palgrave Macmillan</w:t>
      </w:r>
      <w:r w:rsidR="009D4B8D">
        <w:rPr>
          <w:sz w:val="24"/>
          <w:szCs w:val="24"/>
        </w:rPr>
        <w:t>.</w:t>
      </w:r>
    </w:p>
    <w:p w14:paraId="28A11E5F" w14:textId="77777777" w:rsidR="005E1CF2" w:rsidRDefault="005E1CF2">
      <w:pPr>
        <w:jc w:val="both"/>
        <w:rPr>
          <w:b/>
          <w:sz w:val="24"/>
          <w:szCs w:val="24"/>
        </w:rPr>
      </w:pPr>
    </w:p>
    <w:p w14:paraId="4816FC0D" w14:textId="77777777" w:rsidR="005E1CF2" w:rsidRDefault="00527869">
      <w:pPr>
        <w:overflowPunct/>
        <w:jc w:val="both"/>
        <w:textAlignment w:val="auto"/>
        <w:rPr>
          <w:rFonts w:eastAsia="Calibri"/>
          <w:color w:val="auto"/>
          <w:sz w:val="24"/>
          <w:szCs w:val="24"/>
          <w:lang w:eastAsia="en-US"/>
        </w:rPr>
      </w:pPr>
      <w:r>
        <w:rPr>
          <w:rFonts w:eastAsia="Calibri"/>
          <w:color w:val="auto"/>
          <w:sz w:val="24"/>
          <w:szCs w:val="24"/>
          <w:lang w:eastAsia="en-US"/>
        </w:rPr>
        <w:t xml:space="preserve">All Wales Child Protection Procedures Review Group. (2008) </w:t>
      </w:r>
      <w:r>
        <w:rPr>
          <w:rFonts w:eastAsia="Calibri"/>
          <w:i/>
          <w:color w:val="auto"/>
          <w:sz w:val="24"/>
          <w:szCs w:val="24"/>
          <w:lang w:eastAsia="en-US"/>
        </w:rPr>
        <w:t>All Wales Child Protection Procedures</w:t>
      </w:r>
      <w:r>
        <w:rPr>
          <w:rFonts w:eastAsia="Calibri"/>
          <w:color w:val="auto"/>
          <w:sz w:val="24"/>
          <w:szCs w:val="24"/>
          <w:lang w:eastAsia="en-US"/>
        </w:rPr>
        <w:t>, Cardiff: Children in Wales.</w:t>
      </w:r>
    </w:p>
    <w:p w14:paraId="34D05AE3" w14:textId="77777777" w:rsidR="005E1CF2" w:rsidRDefault="005E1CF2">
      <w:pPr>
        <w:overflowPunct/>
        <w:textAlignment w:val="auto"/>
        <w:rPr>
          <w:color w:val="auto"/>
          <w:sz w:val="24"/>
          <w:szCs w:val="24"/>
          <w:lang w:eastAsia="en-US"/>
        </w:rPr>
      </w:pPr>
    </w:p>
    <w:p w14:paraId="383B79FA" w14:textId="77777777" w:rsidR="005E1CF2" w:rsidRDefault="005E1CF2">
      <w:pPr>
        <w:overflowPunct/>
        <w:textAlignment w:val="auto"/>
        <w:rPr>
          <w:color w:val="auto"/>
          <w:sz w:val="24"/>
          <w:szCs w:val="24"/>
          <w:lang w:eastAsia="en-US"/>
        </w:rPr>
      </w:pPr>
    </w:p>
    <w:p w14:paraId="5CC3388C" w14:textId="1402096B" w:rsidR="005E1CF2" w:rsidRDefault="00527869">
      <w:pPr>
        <w:overflowPunct/>
        <w:textAlignment w:val="auto"/>
        <w:rPr>
          <w:color w:val="auto"/>
          <w:sz w:val="24"/>
          <w:szCs w:val="24"/>
          <w:lang w:eastAsia="en-US"/>
        </w:rPr>
      </w:pPr>
      <w:r>
        <w:rPr>
          <w:color w:val="auto"/>
          <w:sz w:val="24"/>
          <w:szCs w:val="24"/>
          <w:lang w:eastAsia="en-US"/>
        </w:rPr>
        <w:t xml:space="preserve">Banks, S. (2006) </w:t>
      </w:r>
      <w:r>
        <w:rPr>
          <w:i/>
          <w:color w:val="auto"/>
          <w:sz w:val="24"/>
          <w:szCs w:val="24"/>
          <w:lang w:eastAsia="en-US"/>
        </w:rPr>
        <w:t>Ethics and Values in Social Work</w:t>
      </w:r>
      <w:r>
        <w:rPr>
          <w:color w:val="auto"/>
          <w:sz w:val="24"/>
          <w:szCs w:val="24"/>
          <w:lang w:eastAsia="en-US"/>
        </w:rPr>
        <w:t>, 3</w:t>
      </w:r>
      <w:r>
        <w:rPr>
          <w:color w:val="auto"/>
          <w:sz w:val="24"/>
          <w:szCs w:val="24"/>
          <w:vertAlign w:val="superscript"/>
          <w:lang w:eastAsia="en-US"/>
        </w:rPr>
        <w:t>rd</w:t>
      </w:r>
      <w:r>
        <w:rPr>
          <w:color w:val="auto"/>
          <w:sz w:val="24"/>
          <w:szCs w:val="24"/>
          <w:lang w:eastAsia="en-US"/>
        </w:rPr>
        <w:t xml:space="preserve"> Edition, Basingstoke: Palgrave Macmillan.</w:t>
      </w:r>
    </w:p>
    <w:p w14:paraId="2D300432" w14:textId="261DC017" w:rsidR="00E92116" w:rsidRDefault="00E92116">
      <w:pPr>
        <w:overflowPunct/>
        <w:textAlignment w:val="auto"/>
        <w:rPr>
          <w:color w:val="auto"/>
          <w:sz w:val="24"/>
          <w:szCs w:val="24"/>
          <w:lang w:eastAsia="en-US"/>
        </w:rPr>
      </w:pPr>
    </w:p>
    <w:p w14:paraId="485D2CB3" w14:textId="67803F87" w:rsidR="005E1CF2" w:rsidRDefault="00501F8F">
      <w:pPr>
        <w:overflowPunct/>
        <w:textAlignment w:val="auto"/>
        <w:rPr>
          <w:color w:val="auto"/>
          <w:sz w:val="24"/>
          <w:szCs w:val="24"/>
          <w:lang w:eastAsia="en-US"/>
        </w:rPr>
      </w:pPr>
      <w:r w:rsidRPr="00501F8F">
        <w:rPr>
          <w:color w:val="auto"/>
          <w:sz w:val="24"/>
          <w:szCs w:val="24"/>
          <w:lang w:eastAsia="en-US"/>
        </w:rPr>
        <w:t>Barker, R.L. (1995). The social work dictionary (3rd ed.). Washington, DC: NASW Press</w:t>
      </w:r>
    </w:p>
    <w:p w14:paraId="3988A0B3" w14:textId="77777777" w:rsidR="005E1CF2" w:rsidRDefault="00527869">
      <w:pPr>
        <w:overflowPunct/>
        <w:spacing w:after="160"/>
        <w:textAlignment w:val="auto"/>
        <w:rPr>
          <w:rFonts w:eastAsia="Calibri"/>
          <w:color w:val="auto"/>
          <w:sz w:val="24"/>
          <w:szCs w:val="24"/>
          <w:lang w:eastAsia="en-US"/>
        </w:rPr>
      </w:pPr>
      <w:r>
        <w:rPr>
          <w:rFonts w:eastAsia="Calibri"/>
          <w:color w:val="auto"/>
          <w:sz w:val="24"/>
          <w:szCs w:val="24"/>
          <w:lang w:eastAsia="en-US"/>
        </w:rPr>
        <w:lastRenderedPageBreak/>
        <w:t xml:space="preserve">Barry, M. (2001) </w:t>
      </w:r>
      <w:r>
        <w:rPr>
          <w:rFonts w:eastAsia="Calibri"/>
          <w:i/>
          <w:color w:val="auto"/>
          <w:sz w:val="24"/>
          <w:szCs w:val="24"/>
          <w:lang w:eastAsia="en-US"/>
        </w:rPr>
        <w:t>Young people’s views and experiences of growing up</w:t>
      </w:r>
      <w:r>
        <w:rPr>
          <w:rFonts w:eastAsia="Calibri"/>
          <w:color w:val="auto"/>
          <w:sz w:val="24"/>
          <w:szCs w:val="24"/>
          <w:lang w:eastAsia="en-US"/>
        </w:rPr>
        <w:t>. York. Joseph Rowntree</w:t>
      </w:r>
    </w:p>
    <w:p w14:paraId="4989CC6B" w14:textId="77777777" w:rsidR="005E1CF2" w:rsidRDefault="00527869">
      <w:pPr>
        <w:overflowPunct/>
        <w:spacing w:after="160"/>
        <w:textAlignment w:val="auto"/>
        <w:rPr>
          <w:rFonts w:eastAsia="Calibri"/>
          <w:color w:val="auto"/>
          <w:sz w:val="24"/>
          <w:szCs w:val="24"/>
          <w:lang w:eastAsia="en-US"/>
        </w:rPr>
      </w:pPr>
      <w:r>
        <w:rPr>
          <w:rFonts w:eastAsia="Calibri"/>
          <w:color w:val="auto"/>
          <w:sz w:val="24"/>
          <w:szCs w:val="24"/>
          <w:lang w:eastAsia="en-US"/>
        </w:rPr>
        <w:t xml:space="preserve">Bell, M. (2011) </w:t>
      </w:r>
      <w:r w:rsidRPr="0092320F">
        <w:rPr>
          <w:rFonts w:eastAsia="Calibri"/>
          <w:i/>
          <w:iCs/>
          <w:color w:val="auto"/>
          <w:sz w:val="24"/>
          <w:szCs w:val="24"/>
          <w:lang w:eastAsia="en-US"/>
        </w:rPr>
        <w:t>Promoting Children's Rights in Social Work and Social Care</w:t>
      </w:r>
      <w:r>
        <w:rPr>
          <w:rFonts w:eastAsia="Calibri"/>
          <w:color w:val="auto"/>
          <w:sz w:val="24"/>
          <w:szCs w:val="24"/>
          <w:lang w:eastAsia="en-US"/>
        </w:rPr>
        <w:t>: A Guide to Participatory Practice, London: Jessica Knightley Publications.</w:t>
      </w:r>
    </w:p>
    <w:p w14:paraId="4673F319" w14:textId="77777777" w:rsidR="005E1CF2" w:rsidRDefault="005E1CF2">
      <w:pPr>
        <w:overflowPunct/>
        <w:textAlignment w:val="auto"/>
        <w:rPr>
          <w:color w:val="auto"/>
          <w:sz w:val="24"/>
          <w:szCs w:val="24"/>
          <w:lang w:eastAsia="en-US"/>
        </w:rPr>
      </w:pPr>
    </w:p>
    <w:p w14:paraId="6941D1D5" w14:textId="77777777" w:rsidR="005E1CF2" w:rsidRDefault="00527869">
      <w:pPr>
        <w:overflowPunct/>
        <w:textAlignment w:val="auto"/>
        <w:rPr>
          <w:color w:val="auto"/>
          <w:sz w:val="24"/>
          <w:szCs w:val="24"/>
          <w:lang w:eastAsia="en-US"/>
        </w:rPr>
      </w:pPr>
      <w:proofErr w:type="spellStart"/>
      <w:r>
        <w:rPr>
          <w:color w:val="auto"/>
          <w:sz w:val="24"/>
          <w:szCs w:val="24"/>
          <w:lang w:eastAsia="en-US"/>
        </w:rPr>
        <w:t>Biestek</w:t>
      </w:r>
      <w:proofErr w:type="spellEnd"/>
      <w:r>
        <w:rPr>
          <w:color w:val="auto"/>
          <w:sz w:val="24"/>
          <w:szCs w:val="24"/>
          <w:lang w:eastAsia="en-US"/>
        </w:rPr>
        <w:t xml:space="preserve">, F. P. (1961) </w:t>
      </w:r>
      <w:r w:rsidRPr="0092320F">
        <w:rPr>
          <w:i/>
          <w:iCs/>
          <w:color w:val="auto"/>
          <w:sz w:val="24"/>
          <w:szCs w:val="24"/>
          <w:lang w:eastAsia="en-US"/>
        </w:rPr>
        <w:t>The Casework Relationship</w:t>
      </w:r>
      <w:r>
        <w:rPr>
          <w:color w:val="auto"/>
          <w:sz w:val="24"/>
          <w:szCs w:val="24"/>
          <w:lang w:eastAsia="en-US"/>
        </w:rPr>
        <w:t>, London, Allen and Unwin.</w:t>
      </w:r>
    </w:p>
    <w:p w14:paraId="1D1BCAB9" w14:textId="77777777" w:rsidR="005E1CF2" w:rsidRDefault="005E1CF2">
      <w:pPr>
        <w:overflowPunct/>
        <w:textAlignment w:val="auto"/>
        <w:rPr>
          <w:color w:val="auto"/>
          <w:sz w:val="24"/>
          <w:szCs w:val="24"/>
          <w:lang w:eastAsia="en-US"/>
        </w:rPr>
      </w:pPr>
    </w:p>
    <w:p w14:paraId="4E3CD5BA" w14:textId="77777777" w:rsidR="005E1CF2" w:rsidRDefault="00527869">
      <w:pPr>
        <w:overflowPunct/>
        <w:textAlignment w:val="auto"/>
        <w:rPr>
          <w:color w:val="auto"/>
          <w:sz w:val="24"/>
          <w:szCs w:val="24"/>
          <w:lang w:eastAsia="en-US"/>
        </w:rPr>
      </w:pPr>
      <w:r>
        <w:rPr>
          <w:color w:val="auto"/>
          <w:sz w:val="24"/>
          <w:szCs w:val="24"/>
          <w:lang w:eastAsia="en-US"/>
        </w:rPr>
        <w:t xml:space="preserve">Brammer, A. (2010) </w:t>
      </w:r>
      <w:r>
        <w:rPr>
          <w:i/>
          <w:color w:val="auto"/>
          <w:sz w:val="24"/>
          <w:szCs w:val="24"/>
          <w:lang w:eastAsia="en-US"/>
        </w:rPr>
        <w:t>Social Work Law</w:t>
      </w:r>
      <w:r>
        <w:rPr>
          <w:color w:val="auto"/>
          <w:sz w:val="24"/>
          <w:szCs w:val="24"/>
          <w:lang w:eastAsia="en-US"/>
        </w:rPr>
        <w:t>, 3</w:t>
      </w:r>
      <w:r>
        <w:rPr>
          <w:color w:val="auto"/>
          <w:sz w:val="24"/>
          <w:szCs w:val="24"/>
          <w:vertAlign w:val="superscript"/>
          <w:lang w:eastAsia="en-US"/>
        </w:rPr>
        <w:t>rd</w:t>
      </w:r>
      <w:r>
        <w:rPr>
          <w:color w:val="auto"/>
          <w:sz w:val="24"/>
          <w:szCs w:val="24"/>
          <w:lang w:eastAsia="en-US"/>
        </w:rPr>
        <w:t xml:space="preserve"> Edition, Essex: Pearson Education Limited.</w:t>
      </w:r>
    </w:p>
    <w:p w14:paraId="0EE01518" w14:textId="77777777" w:rsidR="005E1CF2" w:rsidRDefault="005E1CF2">
      <w:pPr>
        <w:overflowPunct/>
        <w:textAlignment w:val="auto"/>
        <w:rPr>
          <w:color w:val="auto"/>
          <w:sz w:val="24"/>
          <w:szCs w:val="24"/>
          <w:lang w:eastAsia="en-US"/>
        </w:rPr>
      </w:pPr>
    </w:p>
    <w:p w14:paraId="4595E900" w14:textId="77777777" w:rsidR="005E1CF2" w:rsidRDefault="00527869">
      <w:pPr>
        <w:overflowPunct/>
        <w:textAlignment w:val="auto"/>
        <w:rPr>
          <w:color w:val="auto"/>
          <w:sz w:val="24"/>
          <w:szCs w:val="24"/>
          <w:lang w:eastAsia="en-US"/>
        </w:rPr>
      </w:pPr>
      <w:r>
        <w:rPr>
          <w:color w:val="auto"/>
          <w:sz w:val="24"/>
          <w:szCs w:val="24"/>
          <w:lang w:eastAsia="en-US"/>
        </w:rPr>
        <w:t xml:space="preserve">Bransfield, F. and Beresford, P. (2006) </w:t>
      </w:r>
      <w:r w:rsidRPr="0092320F">
        <w:rPr>
          <w:i/>
          <w:iCs/>
          <w:color w:val="auto"/>
          <w:sz w:val="24"/>
          <w:szCs w:val="24"/>
          <w:lang w:eastAsia="en-US"/>
        </w:rPr>
        <w:t>Making User Involvement Work</w:t>
      </w:r>
      <w:r>
        <w:rPr>
          <w:color w:val="auto"/>
          <w:sz w:val="24"/>
          <w:szCs w:val="24"/>
          <w:lang w:eastAsia="en-US"/>
        </w:rPr>
        <w:t>: Supporting Service User Networking and Knowledge, York: Joseph Rowntree Foundation.</w:t>
      </w:r>
    </w:p>
    <w:p w14:paraId="23187015" w14:textId="77777777" w:rsidR="005E1CF2" w:rsidRDefault="005E1CF2">
      <w:pPr>
        <w:overflowPunct/>
        <w:textAlignment w:val="auto"/>
        <w:rPr>
          <w:color w:val="auto"/>
          <w:sz w:val="24"/>
          <w:szCs w:val="24"/>
          <w:lang w:eastAsia="en-US"/>
        </w:rPr>
      </w:pPr>
    </w:p>
    <w:p w14:paraId="7B908940" w14:textId="399D39C1" w:rsidR="005E1CF2" w:rsidRDefault="00527869">
      <w:pPr>
        <w:overflowPunct/>
        <w:textAlignment w:val="auto"/>
        <w:rPr>
          <w:rFonts w:eastAsia="MS Mincho"/>
          <w:color w:val="auto"/>
          <w:sz w:val="24"/>
          <w:szCs w:val="24"/>
        </w:rPr>
      </w:pPr>
      <w:r>
        <w:rPr>
          <w:color w:val="auto"/>
          <w:sz w:val="24"/>
          <w:szCs w:val="24"/>
          <w:lang w:eastAsia="en-US"/>
        </w:rPr>
        <w:t xml:space="preserve">BASW (2012) </w:t>
      </w:r>
      <w:r>
        <w:rPr>
          <w:i/>
          <w:color w:val="auto"/>
          <w:sz w:val="24"/>
          <w:szCs w:val="24"/>
          <w:lang w:eastAsia="en-US"/>
        </w:rPr>
        <w:t>Voices From the Frontline. Real Comments From Real Social Workers Who Responded to BASW's Survey, The State of Social Work 2012</w:t>
      </w:r>
      <w:r>
        <w:rPr>
          <w:rFonts w:eastAsia="MS Mincho"/>
          <w:bCs/>
          <w:sz w:val="24"/>
          <w:szCs w:val="24"/>
        </w:rPr>
        <w:t>. BASW, London</w:t>
      </w:r>
      <w:r w:rsidR="0092320F">
        <w:rPr>
          <w:rFonts w:eastAsia="MS Mincho"/>
          <w:bCs/>
          <w:sz w:val="24"/>
          <w:szCs w:val="24"/>
        </w:rPr>
        <w:t>.</w:t>
      </w:r>
    </w:p>
    <w:p w14:paraId="72EE6238" w14:textId="77777777" w:rsidR="005E1CF2" w:rsidRDefault="005E1CF2">
      <w:pPr>
        <w:overflowPunct/>
        <w:jc w:val="both"/>
        <w:textAlignment w:val="auto"/>
        <w:rPr>
          <w:rFonts w:eastAsia="MS Mincho"/>
          <w:color w:val="auto"/>
          <w:sz w:val="24"/>
          <w:szCs w:val="24"/>
          <w:lang w:eastAsia="en-US"/>
        </w:rPr>
      </w:pPr>
    </w:p>
    <w:p w14:paraId="3E3AF5DB"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BASW. (2012). </w:t>
      </w:r>
      <w:r>
        <w:rPr>
          <w:rFonts w:eastAsia="MS Mincho"/>
          <w:i/>
          <w:color w:val="auto"/>
          <w:sz w:val="24"/>
          <w:szCs w:val="24"/>
          <w:lang w:eastAsia="en-US"/>
        </w:rPr>
        <w:t xml:space="preserve">Code of ethics. </w:t>
      </w:r>
      <w:r>
        <w:rPr>
          <w:rFonts w:eastAsia="MS Mincho"/>
          <w:color w:val="auto"/>
          <w:sz w:val="24"/>
          <w:szCs w:val="24"/>
          <w:lang w:eastAsia="en-US"/>
        </w:rPr>
        <w:t xml:space="preserve">British Association of Social Work. Birmingham. </w:t>
      </w:r>
    </w:p>
    <w:p w14:paraId="76F6A19B" w14:textId="77777777" w:rsidR="005E1CF2" w:rsidRDefault="005E1CF2">
      <w:pPr>
        <w:overflowPunct/>
        <w:jc w:val="both"/>
        <w:textAlignment w:val="auto"/>
        <w:rPr>
          <w:rFonts w:eastAsia="MS Mincho"/>
          <w:color w:val="auto"/>
          <w:sz w:val="24"/>
          <w:szCs w:val="24"/>
          <w:lang w:eastAsia="en-US"/>
        </w:rPr>
      </w:pPr>
    </w:p>
    <w:p w14:paraId="6EA2A959" w14:textId="77777777" w:rsidR="005E1CF2" w:rsidRDefault="00527869">
      <w:pPr>
        <w:overflowPunct/>
        <w:jc w:val="both"/>
        <w:textAlignment w:val="auto"/>
        <w:rPr>
          <w:rFonts w:eastAsia="MS Mincho"/>
          <w:color w:val="auto"/>
          <w:sz w:val="24"/>
          <w:szCs w:val="24"/>
        </w:rPr>
      </w:pPr>
      <w:r>
        <w:rPr>
          <w:rFonts w:eastAsia="MS Mincho"/>
          <w:color w:val="auto"/>
          <w:sz w:val="24"/>
          <w:szCs w:val="24"/>
        </w:rPr>
        <w:t xml:space="preserve">BASW (2013) </w:t>
      </w:r>
      <w:r>
        <w:rPr>
          <w:rFonts w:eastAsia="MS Mincho"/>
          <w:i/>
          <w:color w:val="auto"/>
          <w:sz w:val="24"/>
          <w:szCs w:val="24"/>
        </w:rPr>
        <w:t>All Parties Parliamentary Group on Social Work 2013, Enquiry Into the State of Social Work Report</w:t>
      </w:r>
      <w:r>
        <w:rPr>
          <w:rFonts w:eastAsia="MS Mincho"/>
          <w:color w:val="auto"/>
          <w:sz w:val="24"/>
          <w:szCs w:val="24"/>
        </w:rPr>
        <w:t xml:space="preserve">. BASW, London </w:t>
      </w:r>
    </w:p>
    <w:p w14:paraId="7147A6DA" w14:textId="77777777" w:rsidR="005E1CF2" w:rsidRDefault="005E1CF2">
      <w:pPr>
        <w:overflowPunct/>
        <w:textAlignment w:val="auto"/>
        <w:rPr>
          <w:color w:val="auto"/>
          <w:sz w:val="24"/>
          <w:szCs w:val="24"/>
          <w:lang w:eastAsia="en-US"/>
        </w:rPr>
      </w:pPr>
    </w:p>
    <w:p w14:paraId="64D8EC35" w14:textId="77777777" w:rsidR="005E1CF2" w:rsidRDefault="00527869">
      <w:pPr>
        <w:overflowPunct/>
        <w:textAlignment w:val="auto"/>
        <w:rPr>
          <w:color w:val="auto"/>
          <w:sz w:val="24"/>
          <w:szCs w:val="24"/>
          <w:lang w:eastAsia="en-US"/>
        </w:rPr>
      </w:pPr>
      <w:r>
        <w:rPr>
          <w:color w:val="auto"/>
          <w:sz w:val="24"/>
          <w:szCs w:val="24"/>
          <w:lang w:eastAsia="en-US"/>
        </w:rPr>
        <w:t>Bowlby J. (1969).</w:t>
      </w:r>
      <w:r>
        <w:rPr>
          <w:i/>
          <w:iCs/>
          <w:color w:val="auto"/>
          <w:sz w:val="24"/>
          <w:szCs w:val="24"/>
          <w:lang w:eastAsia="en-US"/>
        </w:rPr>
        <w:t>. Attachment and Loss</w:t>
      </w:r>
      <w:r>
        <w:rPr>
          <w:color w:val="auto"/>
          <w:sz w:val="24"/>
          <w:szCs w:val="24"/>
          <w:lang w:eastAsia="en-US"/>
        </w:rPr>
        <w:t xml:space="preserve">: Vol. 1. Loss. New York: Basic </w:t>
      </w:r>
      <w:proofErr w:type="spellStart"/>
      <w:r>
        <w:rPr>
          <w:color w:val="auto"/>
          <w:sz w:val="24"/>
          <w:szCs w:val="24"/>
          <w:lang w:eastAsia="en-US"/>
        </w:rPr>
        <w:t>Booksli</w:t>
      </w:r>
      <w:proofErr w:type="spellEnd"/>
    </w:p>
    <w:p w14:paraId="70EAA68F" w14:textId="77777777" w:rsidR="005E1CF2" w:rsidRDefault="005E1CF2">
      <w:pPr>
        <w:overflowPunct/>
        <w:textAlignment w:val="auto"/>
        <w:rPr>
          <w:color w:val="auto"/>
          <w:sz w:val="24"/>
          <w:szCs w:val="24"/>
          <w:lang w:eastAsia="en-US"/>
        </w:rPr>
      </w:pPr>
    </w:p>
    <w:p w14:paraId="7504BF12" w14:textId="77777777" w:rsidR="005E1CF2" w:rsidRDefault="00527869">
      <w:pPr>
        <w:overflowPunct/>
        <w:textAlignment w:val="auto"/>
        <w:rPr>
          <w:color w:val="auto"/>
          <w:sz w:val="24"/>
          <w:szCs w:val="24"/>
          <w:lang w:eastAsia="en-US"/>
        </w:rPr>
      </w:pPr>
      <w:proofErr w:type="spellStart"/>
      <w:r>
        <w:rPr>
          <w:color w:val="auto"/>
          <w:sz w:val="24"/>
          <w:szCs w:val="24"/>
          <w:lang w:eastAsia="en-US"/>
        </w:rPr>
        <w:t>Brayne</w:t>
      </w:r>
      <w:proofErr w:type="spellEnd"/>
      <w:r>
        <w:rPr>
          <w:color w:val="auto"/>
          <w:sz w:val="24"/>
          <w:szCs w:val="24"/>
          <w:lang w:eastAsia="en-US"/>
        </w:rPr>
        <w:t>, H. and Carr, H. (2010</w:t>
      </w:r>
      <w:r>
        <w:rPr>
          <w:i/>
          <w:color w:val="auto"/>
          <w:sz w:val="24"/>
          <w:szCs w:val="24"/>
          <w:lang w:eastAsia="en-US"/>
        </w:rPr>
        <w:t>) Law for Social Workers</w:t>
      </w:r>
      <w:r>
        <w:rPr>
          <w:color w:val="auto"/>
          <w:sz w:val="24"/>
          <w:szCs w:val="24"/>
          <w:lang w:eastAsia="en-US"/>
        </w:rPr>
        <w:t>, 11</w:t>
      </w:r>
      <w:r>
        <w:rPr>
          <w:color w:val="auto"/>
          <w:sz w:val="24"/>
          <w:szCs w:val="24"/>
          <w:vertAlign w:val="superscript"/>
          <w:lang w:eastAsia="en-US"/>
        </w:rPr>
        <w:t>th</w:t>
      </w:r>
      <w:r>
        <w:rPr>
          <w:color w:val="auto"/>
          <w:sz w:val="24"/>
          <w:szCs w:val="24"/>
          <w:lang w:eastAsia="en-US"/>
        </w:rPr>
        <w:t xml:space="preserve"> Edition, Oxford: Oxford University Press.</w:t>
      </w:r>
    </w:p>
    <w:p w14:paraId="522310F2" w14:textId="77777777" w:rsidR="005E1CF2" w:rsidRDefault="005E1CF2">
      <w:pPr>
        <w:overflowPunct/>
        <w:textAlignment w:val="auto"/>
        <w:rPr>
          <w:color w:val="auto"/>
          <w:sz w:val="24"/>
          <w:szCs w:val="24"/>
          <w:lang w:eastAsia="en-US"/>
        </w:rPr>
      </w:pPr>
    </w:p>
    <w:p w14:paraId="264DF40D" w14:textId="0C10F73C" w:rsidR="005E1CF2" w:rsidRDefault="00527869">
      <w:pPr>
        <w:overflowPunct/>
        <w:textAlignment w:val="auto"/>
        <w:rPr>
          <w:color w:val="auto"/>
          <w:sz w:val="24"/>
          <w:szCs w:val="24"/>
          <w:lang w:eastAsia="en-US"/>
        </w:rPr>
      </w:pPr>
      <w:proofErr w:type="spellStart"/>
      <w:r>
        <w:rPr>
          <w:color w:val="auto"/>
          <w:sz w:val="24"/>
          <w:szCs w:val="24"/>
          <w:lang w:eastAsia="en-US"/>
        </w:rPr>
        <w:t>Braye</w:t>
      </w:r>
      <w:proofErr w:type="spellEnd"/>
      <w:r>
        <w:rPr>
          <w:color w:val="auto"/>
          <w:sz w:val="24"/>
          <w:szCs w:val="24"/>
          <w:lang w:eastAsia="en-US"/>
        </w:rPr>
        <w:t xml:space="preserve">, S. and Preston-Shoot, M. (2010) </w:t>
      </w:r>
      <w:r>
        <w:rPr>
          <w:i/>
          <w:color w:val="auto"/>
          <w:sz w:val="24"/>
          <w:szCs w:val="24"/>
          <w:lang w:eastAsia="en-US"/>
        </w:rPr>
        <w:t>Practising Social Work Law</w:t>
      </w:r>
      <w:r>
        <w:rPr>
          <w:color w:val="auto"/>
          <w:sz w:val="24"/>
          <w:szCs w:val="24"/>
          <w:lang w:eastAsia="en-US"/>
        </w:rPr>
        <w:t>, 3</w:t>
      </w:r>
      <w:r>
        <w:rPr>
          <w:color w:val="auto"/>
          <w:sz w:val="24"/>
          <w:szCs w:val="24"/>
          <w:vertAlign w:val="superscript"/>
          <w:lang w:eastAsia="en-US"/>
        </w:rPr>
        <w:t>rd</w:t>
      </w:r>
      <w:r>
        <w:rPr>
          <w:color w:val="auto"/>
          <w:sz w:val="24"/>
          <w:szCs w:val="24"/>
          <w:lang w:eastAsia="en-US"/>
        </w:rPr>
        <w:t xml:space="preserve"> Edition, Basingstoke: Palgrave Macmillan.</w:t>
      </w:r>
    </w:p>
    <w:p w14:paraId="5516B8A7" w14:textId="77777777" w:rsidR="003A2D9D" w:rsidRDefault="003A2D9D" w:rsidP="003A2D9D">
      <w:pPr>
        <w:autoSpaceDE w:val="0"/>
        <w:autoSpaceDN w:val="0"/>
        <w:adjustRightInd w:val="0"/>
        <w:spacing w:line="360" w:lineRule="auto"/>
        <w:jc w:val="both"/>
        <w:rPr>
          <w:sz w:val="24"/>
          <w:szCs w:val="24"/>
        </w:rPr>
      </w:pPr>
    </w:p>
    <w:p w14:paraId="19230A24" w14:textId="29ED3038" w:rsidR="003A2D9D" w:rsidRPr="003A2D9D" w:rsidRDefault="003A2D9D" w:rsidP="003A2D9D">
      <w:pPr>
        <w:autoSpaceDE w:val="0"/>
        <w:autoSpaceDN w:val="0"/>
        <w:adjustRightInd w:val="0"/>
        <w:spacing w:line="360" w:lineRule="auto"/>
        <w:jc w:val="both"/>
        <w:rPr>
          <w:sz w:val="24"/>
          <w:szCs w:val="24"/>
        </w:rPr>
      </w:pPr>
      <w:proofErr w:type="spellStart"/>
      <w:r w:rsidRPr="00DB730E">
        <w:rPr>
          <w:sz w:val="24"/>
          <w:szCs w:val="24"/>
        </w:rPr>
        <w:t>Brechin</w:t>
      </w:r>
      <w:proofErr w:type="spellEnd"/>
      <w:r w:rsidRPr="00DB730E">
        <w:rPr>
          <w:sz w:val="24"/>
          <w:szCs w:val="24"/>
        </w:rPr>
        <w:t xml:space="preserve">, A. Brown, H. &amp; </w:t>
      </w:r>
      <w:proofErr w:type="spellStart"/>
      <w:r w:rsidRPr="00DB730E">
        <w:rPr>
          <w:sz w:val="24"/>
          <w:szCs w:val="24"/>
        </w:rPr>
        <w:t>Eby</w:t>
      </w:r>
      <w:proofErr w:type="spellEnd"/>
      <w:r w:rsidRPr="00DB730E">
        <w:rPr>
          <w:sz w:val="24"/>
          <w:szCs w:val="24"/>
        </w:rPr>
        <w:t xml:space="preserve">, M.A. (2000) </w:t>
      </w:r>
      <w:r w:rsidRPr="00DB730E">
        <w:rPr>
          <w:i/>
          <w:sz w:val="24"/>
          <w:szCs w:val="24"/>
        </w:rPr>
        <w:t>Critical Practice in Health and Social Care</w:t>
      </w:r>
      <w:r w:rsidRPr="00DB730E">
        <w:rPr>
          <w:sz w:val="24"/>
          <w:szCs w:val="24"/>
        </w:rPr>
        <w:t>, London: Sage Publications.</w:t>
      </w:r>
    </w:p>
    <w:p w14:paraId="48A57539" w14:textId="2F923D77" w:rsidR="005E1CF2" w:rsidRDefault="00527869">
      <w:pPr>
        <w:overflowPunct/>
        <w:spacing w:after="160"/>
        <w:textAlignment w:val="auto"/>
        <w:rPr>
          <w:rFonts w:eastAsia="Calibri"/>
          <w:color w:val="auto"/>
          <w:sz w:val="24"/>
          <w:szCs w:val="24"/>
          <w:lang w:eastAsia="en-US"/>
        </w:rPr>
      </w:pPr>
      <w:r>
        <w:rPr>
          <w:rFonts w:eastAsia="Calibri"/>
          <w:color w:val="auto"/>
          <w:sz w:val="24"/>
          <w:szCs w:val="24"/>
          <w:lang w:eastAsia="en-US"/>
        </w:rPr>
        <w:t xml:space="preserve">British Journal of School Nursing. (2013) </w:t>
      </w:r>
      <w:r w:rsidRPr="00F74302">
        <w:rPr>
          <w:rFonts w:eastAsia="Calibri"/>
          <w:i/>
          <w:iCs/>
          <w:color w:val="auto"/>
          <w:sz w:val="24"/>
          <w:szCs w:val="24"/>
          <w:lang w:eastAsia="en-US"/>
        </w:rPr>
        <w:t>Understanding Attachment in abuse and neglect</w:t>
      </w:r>
      <w:r>
        <w:rPr>
          <w:rFonts w:eastAsia="Calibri"/>
          <w:color w:val="auto"/>
          <w:sz w:val="24"/>
          <w:szCs w:val="24"/>
          <w:lang w:eastAsia="en-US"/>
        </w:rPr>
        <w:t>: implications for child development. British Journal of School Nursing. Vol, 8, No, 6. Pp.290-295.</w:t>
      </w:r>
    </w:p>
    <w:p w14:paraId="1E02BB43" w14:textId="77777777" w:rsidR="005E1CF2" w:rsidRDefault="00527869">
      <w:pPr>
        <w:overflowPunct/>
        <w:spacing w:after="160"/>
        <w:textAlignment w:val="auto"/>
        <w:rPr>
          <w:rFonts w:eastAsia="Calibri"/>
          <w:bCs/>
          <w:color w:val="auto"/>
          <w:sz w:val="24"/>
          <w:szCs w:val="24"/>
          <w:lang w:eastAsia="en-US"/>
        </w:rPr>
      </w:pPr>
      <w:r>
        <w:rPr>
          <w:rFonts w:eastAsia="Calibri"/>
          <w:bCs/>
          <w:color w:val="auto"/>
          <w:sz w:val="24"/>
          <w:szCs w:val="24"/>
          <w:lang w:eastAsia="en-US"/>
        </w:rPr>
        <w:t xml:space="preserve">British Association of Social Workers. (2012) </w:t>
      </w:r>
      <w:r>
        <w:rPr>
          <w:rFonts w:eastAsia="Calibri"/>
          <w:bCs/>
          <w:i/>
          <w:color w:val="auto"/>
          <w:sz w:val="24"/>
          <w:szCs w:val="24"/>
          <w:lang w:eastAsia="en-US"/>
        </w:rPr>
        <w:t xml:space="preserve">The Code of Ethics for Social Work, </w:t>
      </w:r>
      <w:r>
        <w:rPr>
          <w:rFonts w:eastAsia="Calibri"/>
          <w:bCs/>
          <w:color w:val="auto"/>
          <w:sz w:val="24"/>
          <w:szCs w:val="24"/>
          <w:lang w:eastAsia="en-US"/>
        </w:rPr>
        <w:t>Birmingham: BASW.</w:t>
      </w:r>
    </w:p>
    <w:p w14:paraId="6EB01D11" w14:textId="7F6C57CE" w:rsidR="005E1CF2" w:rsidRDefault="00527869">
      <w:pPr>
        <w:overflowPunct/>
        <w:spacing w:after="160"/>
        <w:textAlignment w:val="auto"/>
        <w:rPr>
          <w:rFonts w:eastAsia="Calibri"/>
          <w:color w:val="auto"/>
          <w:sz w:val="24"/>
          <w:szCs w:val="24"/>
          <w:lang w:eastAsia="en-US"/>
        </w:rPr>
      </w:pPr>
      <w:r>
        <w:rPr>
          <w:rFonts w:eastAsia="Calibri"/>
          <w:color w:val="auto"/>
          <w:sz w:val="24"/>
          <w:szCs w:val="24"/>
          <w:lang w:eastAsia="en-US"/>
        </w:rPr>
        <w:t xml:space="preserve">Buchanan, J. (1983) </w:t>
      </w:r>
      <w:r>
        <w:rPr>
          <w:rFonts w:eastAsia="Calibri"/>
          <w:i/>
          <w:color w:val="auto"/>
          <w:sz w:val="24"/>
          <w:szCs w:val="24"/>
          <w:lang w:eastAsia="en-US"/>
        </w:rPr>
        <w:t>The Mobility of Disabled People in a Rural Environment,</w:t>
      </w:r>
      <w:r>
        <w:rPr>
          <w:rFonts w:eastAsia="Calibri"/>
          <w:color w:val="auto"/>
          <w:sz w:val="24"/>
          <w:szCs w:val="24"/>
          <w:lang w:eastAsia="en-US"/>
        </w:rPr>
        <w:t xml:space="preserve"> London: Royal Association for Disability and Rehabilitation </w:t>
      </w:r>
    </w:p>
    <w:p w14:paraId="6C540CB5" w14:textId="05344CDE" w:rsidR="004D6517" w:rsidRPr="004D6517" w:rsidRDefault="00527869" w:rsidP="004D6517">
      <w:pPr>
        <w:overflowPunct/>
        <w:spacing w:after="160"/>
        <w:textAlignment w:val="auto"/>
        <w:rPr>
          <w:rFonts w:eastAsia="Calibri"/>
          <w:color w:val="auto"/>
          <w:sz w:val="24"/>
          <w:szCs w:val="24"/>
          <w:lang w:eastAsia="en-US"/>
        </w:rPr>
      </w:pPr>
      <w:r>
        <w:rPr>
          <w:rFonts w:eastAsia="Calibri"/>
          <w:color w:val="auto"/>
          <w:sz w:val="24"/>
          <w:szCs w:val="24"/>
          <w:lang w:eastAsia="en-US"/>
        </w:rPr>
        <w:t xml:space="preserve">Butler, I. and </w:t>
      </w:r>
      <w:proofErr w:type="spellStart"/>
      <w:r>
        <w:rPr>
          <w:rFonts w:eastAsia="Calibri"/>
          <w:color w:val="auto"/>
          <w:sz w:val="24"/>
          <w:szCs w:val="24"/>
          <w:lang w:eastAsia="en-US"/>
        </w:rPr>
        <w:t>Hickman,C</w:t>
      </w:r>
      <w:proofErr w:type="spellEnd"/>
      <w:r>
        <w:rPr>
          <w:rFonts w:eastAsia="Calibri"/>
          <w:color w:val="auto"/>
          <w:sz w:val="24"/>
          <w:szCs w:val="24"/>
          <w:lang w:eastAsia="en-US"/>
        </w:rPr>
        <w:t xml:space="preserve">. (2011) </w:t>
      </w:r>
      <w:r>
        <w:rPr>
          <w:rFonts w:eastAsia="Calibri"/>
          <w:i/>
          <w:color w:val="auto"/>
          <w:sz w:val="24"/>
          <w:szCs w:val="24"/>
          <w:lang w:eastAsia="en-US"/>
        </w:rPr>
        <w:t>Social Work with Children and Families</w:t>
      </w:r>
      <w:r>
        <w:rPr>
          <w:rFonts w:eastAsia="Calibri"/>
          <w:color w:val="auto"/>
          <w:sz w:val="24"/>
          <w:szCs w:val="24"/>
          <w:lang w:eastAsia="en-US"/>
        </w:rPr>
        <w:t>, 3</w:t>
      </w:r>
      <w:r>
        <w:rPr>
          <w:rFonts w:eastAsia="Calibri"/>
          <w:color w:val="auto"/>
          <w:sz w:val="24"/>
          <w:szCs w:val="24"/>
          <w:vertAlign w:val="superscript"/>
          <w:lang w:eastAsia="en-US"/>
        </w:rPr>
        <w:t>rd</w:t>
      </w:r>
      <w:r>
        <w:rPr>
          <w:rFonts w:eastAsia="Calibri"/>
          <w:color w:val="auto"/>
          <w:sz w:val="24"/>
          <w:szCs w:val="24"/>
          <w:lang w:eastAsia="en-US"/>
        </w:rPr>
        <w:t xml:space="preserve"> Edition, </w:t>
      </w:r>
    </w:p>
    <w:p w14:paraId="0FB38BF1" w14:textId="77777777" w:rsidR="005E1CF2" w:rsidRDefault="00527869">
      <w:pPr>
        <w:overflowPunct/>
        <w:jc w:val="both"/>
        <w:textAlignment w:val="auto"/>
        <w:rPr>
          <w:rFonts w:eastAsia="MS Mincho"/>
          <w:color w:val="auto"/>
          <w:sz w:val="24"/>
          <w:szCs w:val="24"/>
          <w:lang w:val="en" w:eastAsia="en-US"/>
        </w:rPr>
      </w:pPr>
      <w:r>
        <w:rPr>
          <w:rFonts w:eastAsia="MS Mincho"/>
          <w:color w:val="auto"/>
          <w:sz w:val="24"/>
          <w:szCs w:val="24"/>
          <w:lang w:val="en" w:eastAsia="en-US"/>
        </w:rPr>
        <w:t xml:space="preserve">Care Council for Wales. (2002) </w:t>
      </w:r>
      <w:r>
        <w:rPr>
          <w:rFonts w:eastAsia="MS Mincho"/>
          <w:i/>
          <w:color w:val="auto"/>
          <w:sz w:val="24"/>
          <w:szCs w:val="24"/>
          <w:lang w:val="en" w:eastAsia="en-US"/>
        </w:rPr>
        <w:t>Codes of Practice for Social Care Workers,</w:t>
      </w:r>
      <w:r>
        <w:rPr>
          <w:rFonts w:eastAsia="MS Mincho"/>
          <w:color w:val="auto"/>
          <w:sz w:val="24"/>
          <w:szCs w:val="24"/>
          <w:lang w:val="en" w:eastAsia="en-US"/>
        </w:rPr>
        <w:t xml:space="preserve"> Cardiff: Care Council for Wales.</w:t>
      </w:r>
    </w:p>
    <w:p w14:paraId="760C43F6" w14:textId="77777777" w:rsidR="005E1CF2" w:rsidRDefault="005E1CF2">
      <w:pPr>
        <w:overflowPunct/>
        <w:jc w:val="both"/>
        <w:textAlignment w:val="auto"/>
        <w:rPr>
          <w:rFonts w:eastAsia="MS Mincho"/>
          <w:color w:val="auto"/>
          <w:sz w:val="24"/>
          <w:szCs w:val="24"/>
          <w:lang w:eastAsia="en-US"/>
        </w:rPr>
      </w:pPr>
    </w:p>
    <w:p w14:paraId="4F982309" w14:textId="1D7E217B"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lastRenderedPageBreak/>
        <w:t xml:space="preserve">Care Council for Wales (2015). </w:t>
      </w:r>
      <w:r>
        <w:rPr>
          <w:rFonts w:eastAsia="MS Mincho"/>
          <w:i/>
          <w:color w:val="auto"/>
          <w:sz w:val="24"/>
          <w:szCs w:val="24"/>
          <w:lang w:eastAsia="en-US"/>
        </w:rPr>
        <w:t xml:space="preserve">Code of practice for social care workers. </w:t>
      </w:r>
      <w:r w:rsidR="00361D0F">
        <w:rPr>
          <w:rFonts w:eastAsia="MS Mincho"/>
          <w:color w:val="auto"/>
          <w:sz w:val="24"/>
          <w:szCs w:val="24"/>
          <w:lang w:eastAsia="en-US"/>
        </w:rPr>
        <w:t>Cardiff</w:t>
      </w:r>
      <w:r w:rsidR="00361D0F">
        <w:rPr>
          <w:rFonts w:eastAsia="MS Mincho"/>
          <w:color w:val="auto"/>
          <w:sz w:val="24"/>
          <w:szCs w:val="24"/>
          <w:lang w:eastAsia="en-US"/>
        </w:rPr>
        <w:t xml:space="preserve">: </w:t>
      </w:r>
      <w:r>
        <w:rPr>
          <w:rFonts w:eastAsia="MS Mincho"/>
          <w:color w:val="auto"/>
          <w:sz w:val="24"/>
          <w:szCs w:val="24"/>
          <w:lang w:eastAsia="en-US"/>
        </w:rPr>
        <w:t>Care Council for Wales.</w:t>
      </w:r>
    </w:p>
    <w:p w14:paraId="1A84F50D" w14:textId="43C65ECD" w:rsidR="005E1CF2" w:rsidRPr="00444237" w:rsidRDefault="00444237">
      <w:pPr>
        <w:overflowPunct/>
        <w:jc w:val="both"/>
        <w:textAlignment w:val="auto"/>
        <w:rPr>
          <w:rFonts w:eastAsia="MS Mincho"/>
          <w:color w:val="auto"/>
          <w:sz w:val="24"/>
          <w:szCs w:val="24"/>
          <w:lang w:eastAsia="en-US"/>
        </w:rPr>
      </w:pPr>
      <w:hyperlink r:id="rId11" w:history="1">
        <w:r w:rsidRPr="00444237">
          <w:rPr>
            <w:rStyle w:val="Hyperlink"/>
            <w:rFonts w:eastAsia="MS Mincho"/>
            <w:color w:val="auto"/>
            <w:sz w:val="24"/>
            <w:szCs w:val="24"/>
            <w:u w:val="none"/>
            <w:lang w:eastAsia="en-US"/>
          </w:rPr>
          <w:t xml:space="preserve">Clark, </w:t>
        </w:r>
        <w:r>
          <w:rPr>
            <w:rStyle w:val="Hyperlink"/>
            <w:rFonts w:eastAsia="MS Mincho"/>
            <w:color w:val="auto"/>
            <w:sz w:val="24"/>
            <w:szCs w:val="24"/>
            <w:u w:val="none"/>
            <w:lang w:eastAsia="en-US"/>
          </w:rPr>
          <w:t xml:space="preserve">. </w:t>
        </w:r>
        <w:r w:rsidR="00FF1D3B">
          <w:rPr>
            <w:rStyle w:val="Hyperlink"/>
            <w:rFonts w:eastAsia="MS Mincho"/>
            <w:color w:val="auto"/>
            <w:sz w:val="24"/>
            <w:szCs w:val="24"/>
            <w:u w:val="none"/>
            <w:lang w:eastAsia="en-US"/>
          </w:rPr>
          <w:t>A</w:t>
        </w:r>
        <w:r w:rsidRPr="00444237">
          <w:rPr>
            <w:rStyle w:val="Hyperlink"/>
            <w:rFonts w:eastAsia="MS Mincho"/>
            <w:color w:val="auto"/>
            <w:sz w:val="24"/>
            <w:szCs w:val="24"/>
            <w:u w:val="none"/>
            <w:lang w:eastAsia="en-US"/>
          </w:rPr>
          <w:t>lison</w:t>
        </w:r>
      </w:hyperlink>
      <w:r w:rsidRPr="00444237">
        <w:rPr>
          <w:rFonts w:eastAsia="MS Mincho"/>
          <w:color w:val="auto"/>
          <w:sz w:val="24"/>
          <w:szCs w:val="24"/>
          <w:lang w:eastAsia="en-US"/>
        </w:rPr>
        <w:t> and Statham, J</w:t>
      </w:r>
      <w:r w:rsidR="00FF1D3B">
        <w:rPr>
          <w:rFonts w:eastAsia="MS Mincho"/>
          <w:color w:val="auto"/>
          <w:sz w:val="24"/>
          <w:szCs w:val="24"/>
          <w:lang w:eastAsia="en-US"/>
        </w:rPr>
        <w:t>.</w:t>
      </w:r>
      <w:r w:rsidRPr="00444237">
        <w:rPr>
          <w:rFonts w:eastAsia="MS Mincho"/>
          <w:color w:val="auto"/>
          <w:sz w:val="24"/>
          <w:szCs w:val="24"/>
          <w:lang w:eastAsia="en-US"/>
        </w:rPr>
        <w:t xml:space="preserve"> (2005). </w:t>
      </w:r>
      <w:r w:rsidRPr="00FF1D3B">
        <w:rPr>
          <w:rFonts w:eastAsia="MS Mincho"/>
          <w:i/>
          <w:iCs/>
          <w:color w:val="auto"/>
          <w:sz w:val="24"/>
          <w:szCs w:val="24"/>
          <w:lang w:eastAsia="en-US"/>
        </w:rPr>
        <w:t>Listening to young children</w:t>
      </w:r>
      <w:r w:rsidRPr="00444237">
        <w:rPr>
          <w:rFonts w:eastAsia="MS Mincho"/>
          <w:color w:val="auto"/>
          <w:sz w:val="24"/>
          <w:szCs w:val="24"/>
          <w:lang w:eastAsia="en-US"/>
        </w:rPr>
        <w:t>: experts in their own lives. </w:t>
      </w:r>
      <w:r w:rsidRPr="00444237">
        <w:rPr>
          <w:rFonts w:eastAsia="MS Mincho"/>
          <w:i/>
          <w:iCs/>
          <w:color w:val="auto"/>
          <w:sz w:val="24"/>
          <w:szCs w:val="24"/>
          <w:lang w:eastAsia="en-US"/>
        </w:rPr>
        <w:t>Adoption and Fostering</w:t>
      </w:r>
      <w:r w:rsidRPr="00444237">
        <w:rPr>
          <w:rFonts w:eastAsia="MS Mincho"/>
          <w:color w:val="auto"/>
          <w:sz w:val="24"/>
          <w:szCs w:val="24"/>
          <w:lang w:eastAsia="en-US"/>
        </w:rPr>
        <w:t>, 29(1) pp. 45–56.</w:t>
      </w:r>
    </w:p>
    <w:p w14:paraId="4EAD2DAD" w14:textId="77777777" w:rsidR="006A5931" w:rsidRDefault="006A5931">
      <w:pPr>
        <w:overflowPunct/>
        <w:jc w:val="both"/>
        <w:textAlignment w:val="auto"/>
        <w:rPr>
          <w:rFonts w:eastAsia="MS Mincho"/>
          <w:color w:val="auto"/>
          <w:sz w:val="24"/>
          <w:szCs w:val="24"/>
          <w:lang w:eastAsia="en-US"/>
        </w:rPr>
      </w:pPr>
    </w:p>
    <w:p w14:paraId="79B9B2F5" w14:textId="570C39C2" w:rsidR="005E1CF2" w:rsidRDefault="00527869">
      <w:pPr>
        <w:overflowPunct/>
        <w:spacing w:after="160"/>
        <w:textAlignment w:val="auto"/>
        <w:rPr>
          <w:rFonts w:eastAsia="Calibri"/>
          <w:color w:val="auto"/>
          <w:sz w:val="24"/>
          <w:szCs w:val="24"/>
          <w:lang w:eastAsia="en-US"/>
        </w:rPr>
      </w:pPr>
      <w:proofErr w:type="spellStart"/>
      <w:r>
        <w:rPr>
          <w:rFonts w:eastAsia="Calibri"/>
          <w:color w:val="auto"/>
          <w:sz w:val="24"/>
          <w:szCs w:val="24"/>
          <w:lang w:eastAsia="en-US"/>
        </w:rPr>
        <w:t>Cloke</w:t>
      </w:r>
      <w:proofErr w:type="spellEnd"/>
      <w:r>
        <w:rPr>
          <w:rFonts w:eastAsia="Calibri"/>
          <w:color w:val="auto"/>
          <w:sz w:val="24"/>
          <w:szCs w:val="24"/>
          <w:lang w:eastAsia="en-US"/>
        </w:rPr>
        <w:t xml:space="preserve">, P. </w:t>
      </w:r>
      <w:proofErr w:type="spellStart"/>
      <w:r>
        <w:rPr>
          <w:rFonts w:eastAsia="Calibri"/>
          <w:color w:val="auto"/>
          <w:sz w:val="24"/>
          <w:szCs w:val="24"/>
          <w:lang w:eastAsia="en-US"/>
        </w:rPr>
        <w:t>Milbourne</w:t>
      </w:r>
      <w:proofErr w:type="spellEnd"/>
      <w:r>
        <w:rPr>
          <w:rFonts w:eastAsia="Calibri"/>
          <w:color w:val="auto"/>
          <w:sz w:val="24"/>
          <w:szCs w:val="24"/>
          <w:lang w:eastAsia="en-US"/>
        </w:rPr>
        <w:t xml:space="preserve">, P. and Thomas, C. (1994) </w:t>
      </w:r>
      <w:r>
        <w:rPr>
          <w:rFonts w:eastAsia="Calibri"/>
          <w:i/>
          <w:color w:val="auto"/>
          <w:sz w:val="24"/>
          <w:szCs w:val="24"/>
          <w:lang w:eastAsia="en-US"/>
        </w:rPr>
        <w:t>Lifestyles in Rural England</w:t>
      </w:r>
      <w:r>
        <w:rPr>
          <w:rFonts w:eastAsia="Calibri"/>
          <w:color w:val="auto"/>
          <w:sz w:val="24"/>
          <w:szCs w:val="24"/>
          <w:lang w:eastAsia="en-US"/>
        </w:rPr>
        <w:t>, London: Rural Development Commission</w:t>
      </w:r>
    </w:p>
    <w:p w14:paraId="58456BD3"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Coffey, M. Samuel, V. Collins, S. and Morris, L. A. (2009). A comparative study of social work students in India and the UK. Stress, support and well-being. </w:t>
      </w:r>
      <w:r>
        <w:rPr>
          <w:rFonts w:eastAsia="MS Mincho"/>
          <w:i/>
          <w:color w:val="auto"/>
          <w:sz w:val="24"/>
          <w:szCs w:val="24"/>
          <w:lang w:eastAsia="en-US"/>
        </w:rPr>
        <w:t xml:space="preserve">British Journal of Social Work. </w:t>
      </w:r>
      <w:r>
        <w:rPr>
          <w:rFonts w:eastAsia="MS Mincho"/>
          <w:color w:val="auto"/>
          <w:sz w:val="24"/>
          <w:szCs w:val="24"/>
          <w:lang w:eastAsia="en-US"/>
        </w:rPr>
        <w:t xml:space="preserve">01:1093. </w:t>
      </w:r>
    </w:p>
    <w:p w14:paraId="7A46674C" w14:textId="77777777" w:rsidR="005E1CF2" w:rsidRDefault="005E1CF2">
      <w:pPr>
        <w:overflowPunct/>
        <w:jc w:val="both"/>
        <w:textAlignment w:val="auto"/>
        <w:rPr>
          <w:rFonts w:eastAsia="MS Mincho"/>
          <w:color w:val="auto"/>
          <w:sz w:val="24"/>
          <w:szCs w:val="24"/>
          <w:lang w:eastAsia="en-US"/>
        </w:rPr>
      </w:pPr>
    </w:p>
    <w:p w14:paraId="79F5D328"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Collins English Dictionary. (2003). Harper Collins Publishers. Glasgow. </w:t>
      </w:r>
    </w:p>
    <w:p w14:paraId="66B28BCE" w14:textId="77777777" w:rsidR="005E1CF2" w:rsidRDefault="005E1CF2">
      <w:pPr>
        <w:overflowPunct/>
        <w:jc w:val="both"/>
        <w:textAlignment w:val="auto"/>
        <w:rPr>
          <w:rFonts w:eastAsia="MS Mincho"/>
          <w:color w:val="auto"/>
          <w:sz w:val="24"/>
          <w:szCs w:val="24"/>
          <w:lang w:eastAsia="en-US"/>
        </w:rPr>
      </w:pPr>
    </w:p>
    <w:p w14:paraId="6AAA5BCA"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Coombe, C. (2014). </w:t>
      </w:r>
      <w:r>
        <w:rPr>
          <w:rFonts w:eastAsia="MS Mincho"/>
          <w:i/>
          <w:color w:val="auto"/>
          <w:sz w:val="24"/>
          <w:szCs w:val="24"/>
          <w:lang w:eastAsia="en-US"/>
        </w:rPr>
        <w:t xml:space="preserve">Introduction to Management. </w:t>
      </w:r>
      <w:r>
        <w:rPr>
          <w:rFonts w:eastAsia="MS Mincho"/>
          <w:color w:val="auto"/>
          <w:sz w:val="24"/>
          <w:szCs w:val="24"/>
          <w:lang w:eastAsia="en-US"/>
        </w:rPr>
        <w:t>Oxford University Press. Oxford.</w:t>
      </w:r>
    </w:p>
    <w:p w14:paraId="24903B30" w14:textId="77777777" w:rsidR="005E1CF2" w:rsidRDefault="005E1CF2">
      <w:pPr>
        <w:overflowPunct/>
        <w:jc w:val="both"/>
        <w:textAlignment w:val="auto"/>
        <w:rPr>
          <w:rFonts w:eastAsia="MS Mincho"/>
          <w:color w:val="auto"/>
          <w:sz w:val="24"/>
          <w:szCs w:val="24"/>
          <w:lang w:eastAsia="en-US"/>
        </w:rPr>
      </w:pPr>
    </w:p>
    <w:p w14:paraId="4C3B5C01" w14:textId="77777777" w:rsidR="005E1CF2" w:rsidRDefault="00527869">
      <w:pPr>
        <w:overflowPunct/>
        <w:jc w:val="both"/>
        <w:textAlignment w:val="auto"/>
      </w:pPr>
      <w:r>
        <w:rPr>
          <w:rFonts w:eastAsia="MS Mincho"/>
          <w:color w:val="auto"/>
          <w:sz w:val="24"/>
          <w:szCs w:val="24"/>
          <w:lang w:eastAsia="en-US"/>
        </w:rPr>
        <w:t xml:space="preserve">Community Care. (2018)  Guide to the law on deprivation of liberty of children. (Online) Available at </w:t>
      </w:r>
      <w:hyperlink r:id="rId12">
        <w:r>
          <w:rPr>
            <w:rStyle w:val="InternetLink"/>
            <w:rFonts w:eastAsia="MS Mincho"/>
            <w:sz w:val="24"/>
            <w:szCs w:val="24"/>
            <w:lang w:eastAsia="en-US"/>
          </w:rPr>
          <w:t>https://www.communitycare.co.uk/2016/07/14/guide-law-deprivation-liberty-children/</w:t>
        </w:r>
      </w:hyperlink>
      <w:r>
        <w:rPr>
          <w:rFonts w:eastAsia="MS Mincho"/>
          <w:color w:val="auto"/>
          <w:sz w:val="24"/>
          <w:szCs w:val="24"/>
          <w:lang w:eastAsia="en-US"/>
        </w:rPr>
        <w:t xml:space="preserve"> (accessed 25.07.2019)</w:t>
      </w:r>
    </w:p>
    <w:p w14:paraId="1C457BB7" w14:textId="77777777" w:rsidR="005E1CF2" w:rsidRDefault="005E1CF2">
      <w:pPr>
        <w:overflowPunct/>
        <w:jc w:val="both"/>
        <w:textAlignment w:val="auto"/>
        <w:rPr>
          <w:rFonts w:eastAsia="MS Mincho"/>
          <w:color w:val="auto"/>
          <w:sz w:val="24"/>
          <w:szCs w:val="24"/>
          <w:lang w:eastAsia="en-US"/>
        </w:rPr>
      </w:pPr>
    </w:p>
    <w:p w14:paraId="30A7DDCB" w14:textId="77777777" w:rsidR="005E1CF2" w:rsidRDefault="00527869">
      <w:pPr>
        <w:overflowPunct/>
        <w:jc w:val="both"/>
        <w:textAlignment w:val="auto"/>
      </w:pPr>
      <w:r>
        <w:rPr>
          <w:rFonts w:eastAsia="MS Mincho"/>
          <w:color w:val="auto"/>
          <w:sz w:val="24"/>
          <w:szCs w:val="24"/>
          <w:lang w:eastAsia="en-US"/>
        </w:rPr>
        <w:t xml:space="preserve">Community Care. (2011).  Defining social work’s unique contribution. (Online) Available at </w:t>
      </w:r>
      <w:hyperlink r:id="rId13">
        <w:r>
          <w:rPr>
            <w:rStyle w:val="InternetLink"/>
            <w:rFonts w:eastAsia="MS Mincho"/>
            <w:sz w:val="24"/>
            <w:szCs w:val="24"/>
            <w:lang w:eastAsia="en-US"/>
          </w:rPr>
          <w:t>https://www.communitycare.co.uk/2011/05/20/defining-social-works-unique-contribution/</w:t>
        </w:r>
      </w:hyperlink>
      <w:r>
        <w:rPr>
          <w:rFonts w:eastAsia="MS Mincho"/>
          <w:color w:val="auto"/>
          <w:sz w:val="24"/>
          <w:szCs w:val="24"/>
          <w:lang w:eastAsia="en-US"/>
        </w:rPr>
        <w:t xml:space="preserve"> (Accessed 15.05.2019)</w:t>
      </w:r>
    </w:p>
    <w:p w14:paraId="32F48512" w14:textId="77777777" w:rsidR="005E1CF2" w:rsidRDefault="005E1CF2">
      <w:pPr>
        <w:overflowPunct/>
        <w:jc w:val="both"/>
        <w:textAlignment w:val="auto"/>
        <w:rPr>
          <w:rFonts w:eastAsia="MS Mincho"/>
          <w:color w:val="auto"/>
          <w:sz w:val="24"/>
          <w:szCs w:val="24"/>
          <w:lang w:eastAsia="en-US"/>
        </w:rPr>
      </w:pPr>
    </w:p>
    <w:p w14:paraId="69A1D296" w14:textId="2DEE4A05" w:rsidR="005E1CF2" w:rsidRDefault="00861F28">
      <w:pPr>
        <w:overflowPunct/>
        <w:jc w:val="both"/>
        <w:textAlignment w:val="auto"/>
        <w:rPr>
          <w:color w:val="auto"/>
          <w:sz w:val="24"/>
          <w:szCs w:val="24"/>
          <w:lang w:val="en-US"/>
        </w:rPr>
      </w:pPr>
      <w:r w:rsidRPr="004225BC">
        <w:rPr>
          <w:color w:val="auto"/>
          <w:sz w:val="24"/>
          <w:szCs w:val="24"/>
          <w:lang w:val="en-US"/>
        </w:rPr>
        <w:t xml:space="preserve">Cournoyer, </w:t>
      </w:r>
      <w:r w:rsidR="0003585E" w:rsidRPr="004225BC">
        <w:rPr>
          <w:color w:val="auto"/>
          <w:sz w:val="24"/>
          <w:szCs w:val="24"/>
          <w:lang w:val="en-US"/>
        </w:rPr>
        <w:t>B. (</w:t>
      </w:r>
      <w:r w:rsidRPr="004225BC">
        <w:rPr>
          <w:color w:val="auto"/>
          <w:sz w:val="24"/>
          <w:szCs w:val="24"/>
          <w:lang w:val="en-US"/>
        </w:rPr>
        <w:t>2011</w:t>
      </w:r>
      <w:r w:rsidR="0003585E" w:rsidRPr="004225BC">
        <w:rPr>
          <w:color w:val="auto"/>
          <w:sz w:val="24"/>
          <w:szCs w:val="24"/>
          <w:lang w:val="en-US"/>
        </w:rPr>
        <w:t>)</w:t>
      </w:r>
      <w:r w:rsidR="00EC1878" w:rsidRPr="004225BC">
        <w:rPr>
          <w:color w:val="auto"/>
          <w:sz w:val="24"/>
          <w:szCs w:val="24"/>
          <w:lang w:val="en-US"/>
        </w:rPr>
        <w:t>.</w:t>
      </w:r>
      <w:r w:rsidR="0003585E">
        <w:rPr>
          <w:color w:val="auto"/>
          <w:sz w:val="24"/>
          <w:szCs w:val="24"/>
          <w:lang w:val="en-US"/>
        </w:rPr>
        <w:t xml:space="preserve"> </w:t>
      </w:r>
      <w:r w:rsidR="001867C8" w:rsidRPr="001867C8">
        <w:rPr>
          <w:i/>
          <w:iCs/>
          <w:color w:val="auto"/>
          <w:sz w:val="24"/>
          <w:szCs w:val="24"/>
          <w:lang w:val="en-US"/>
        </w:rPr>
        <w:t>The Social Work Skills Handbook</w:t>
      </w:r>
      <w:r w:rsidR="001867C8">
        <w:rPr>
          <w:color w:val="auto"/>
          <w:sz w:val="24"/>
          <w:szCs w:val="24"/>
          <w:lang w:val="en-US"/>
        </w:rPr>
        <w:t xml:space="preserve">. </w:t>
      </w:r>
      <w:r w:rsidR="004225BC">
        <w:rPr>
          <w:color w:val="auto"/>
          <w:sz w:val="24"/>
          <w:szCs w:val="24"/>
          <w:lang w:val="en-US"/>
        </w:rPr>
        <w:t>Boston. Cengage Learning.</w:t>
      </w:r>
    </w:p>
    <w:p w14:paraId="08085562" w14:textId="42C0552A" w:rsidR="00641CED" w:rsidRDefault="00641CED">
      <w:pPr>
        <w:overflowPunct/>
        <w:jc w:val="both"/>
        <w:textAlignment w:val="auto"/>
        <w:rPr>
          <w:color w:val="auto"/>
          <w:sz w:val="24"/>
          <w:szCs w:val="24"/>
          <w:lang w:val="en-US"/>
        </w:rPr>
      </w:pPr>
    </w:p>
    <w:p w14:paraId="678FFE71" w14:textId="2BEEADF2" w:rsidR="00641CED" w:rsidRDefault="00641CED">
      <w:pPr>
        <w:overflowPunct/>
        <w:jc w:val="both"/>
        <w:textAlignment w:val="auto"/>
        <w:rPr>
          <w:rFonts w:eastAsia="MS Mincho"/>
          <w:color w:val="auto"/>
          <w:sz w:val="24"/>
          <w:szCs w:val="24"/>
          <w:lang w:eastAsia="en-US"/>
        </w:rPr>
      </w:pPr>
      <w:r w:rsidRPr="00D2702C">
        <w:rPr>
          <w:sz w:val="24"/>
          <w:szCs w:val="24"/>
        </w:rPr>
        <w:t>Covell</w:t>
      </w:r>
      <w:r w:rsidR="00BF3A57" w:rsidRPr="00D2702C">
        <w:rPr>
          <w:sz w:val="24"/>
          <w:szCs w:val="24"/>
        </w:rPr>
        <w:t>, K</w:t>
      </w:r>
      <w:r w:rsidR="00D2702C" w:rsidRPr="00D2702C">
        <w:rPr>
          <w:sz w:val="24"/>
          <w:szCs w:val="24"/>
        </w:rPr>
        <w:t>.</w:t>
      </w:r>
      <w:r w:rsidRPr="00D2702C">
        <w:rPr>
          <w:sz w:val="24"/>
          <w:szCs w:val="24"/>
        </w:rPr>
        <w:t xml:space="preserve"> and Howe</w:t>
      </w:r>
      <w:r w:rsidR="00D2702C" w:rsidRPr="00D2702C">
        <w:rPr>
          <w:sz w:val="24"/>
          <w:szCs w:val="24"/>
        </w:rPr>
        <w:t>, B.</w:t>
      </w:r>
      <w:r w:rsidRPr="00D2702C">
        <w:rPr>
          <w:sz w:val="24"/>
          <w:szCs w:val="24"/>
        </w:rPr>
        <w:t xml:space="preserve"> (2007)</w:t>
      </w:r>
      <w:r w:rsidR="00EC1878" w:rsidRPr="00D2702C">
        <w:rPr>
          <w:sz w:val="24"/>
          <w:szCs w:val="24"/>
        </w:rPr>
        <w:t>.</w:t>
      </w:r>
      <w:r w:rsidR="001C5A7E" w:rsidRPr="00D2702C">
        <w:rPr>
          <w:sz w:val="24"/>
          <w:szCs w:val="24"/>
        </w:rPr>
        <w:t xml:space="preserve"> </w:t>
      </w:r>
      <w:r w:rsidR="00BF3A57" w:rsidRPr="00D2702C">
        <w:rPr>
          <w:sz w:val="24"/>
          <w:szCs w:val="24"/>
        </w:rPr>
        <w:t>Children, Families and Violence: Challenges for Children's Rights, London, Jessica Kingsley Publishers, 2007, pp. 288,</w:t>
      </w:r>
    </w:p>
    <w:p w14:paraId="64E56CA8" w14:textId="77777777" w:rsidR="00861F28" w:rsidRDefault="00861F28">
      <w:pPr>
        <w:overflowPunct/>
        <w:jc w:val="both"/>
        <w:textAlignment w:val="auto"/>
        <w:rPr>
          <w:rFonts w:eastAsia="MS Mincho"/>
          <w:color w:val="auto"/>
          <w:sz w:val="24"/>
          <w:szCs w:val="24"/>
          <w:lang w:eastAsia="en-US"/>
        </w:rPr>
      </w:pPr>
    </w:p>
    <w:p w14:paraId="0018B68A" w14:textId="5F6C2C40"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Crawford, K and Walker, J. </w:t>
      </w:r>
      <w:r w:rsidR="00EC1878">
        <w:rPr>
          <w:rFonts w:eastAsia="MS Mincho"/>
          <w:color w:val="auto"/>
          <w:sz w:val="24"/>
          <w:szCs w:val="24"/>
          <w:lang w:eastAsia="en-US"/>
        </w:rPr>
        <w:t>(</w:t>
      </w:r>
      <w:r>
        <w:rPr>
          <w:rFonts w:eastAsia="MS Mincho"/>
          <w:color w:val="auto"/>
          <w:sz w:val="24"/>
          <w:szCs w:val="24"/>
          <w:lang w:eastAsia="en-US"/>
        </w:rPr>
        <w:t>2010</w:t>
      </w:r>
      <w:r w:rsidR="00EC1878">
        <w:rPr>
          <w:rFonts w:eastAsia="MS Mincho"/>
          <w:color w:val="auto"/>
          <w:sz w:val="24"/>
          <w:szCs w:val="24"/>
          <w:lang w:eastAsia="en-US"/>
        </w:rPr>
        <w:t>)</w:t>
      </w:r>
      <w:r>
        <w:rPr>
          <w:rFonts w:eastAsia="MS Mincho"/>
          <w:color w:val="auto"/>
          <w:sz w:val="24"/>
          <w:szCs w:val="24"/>
          <w:lang w:eastAsia="en-US"/>
        </w:rPr>
        <w:t xml:space="preserve">. </w:t>
      </w:r>
      <w:r w:rsidRPr="002B33FE">
        <w:rPr>
          <w:rFonts w:eastAsia="MS Mincho"/>
          <w:i/>
          <w:iCs/>
          <w:color w:val="auto"/>
          <w:sz w:val="24"/>
          <w:szCs w:val="24"/>
          <w:lang w:eastAsia="en-US"/>
        </w:rPr>
        <w:t>Social Work and Human Development</w:t>
      </w:r>
      <w:r>
        <w:rPr>
          <w:rFonts w:eastAsia="MS Mincho"/>
          <w:color w:val="auto"/>
          <w:sz w:val="24"/>
          <w:szCs w:val="24"/>
          <w:lang w:eastAsia="en-US"/>
        </w:rPr>
        <w:t>. 3rd ed. Exeter: Learning Matters.</w:t>
      </w:r>
    </w:p>
    <w:p w14:paraId="4F1F6AC7" w14:textId="77777777" w:rsidR="005E1CF2" w:rsidRDefault="005E1CF2">
      <w:pPr>
        <w:overflowPunct/>
        <w:jc w:val="both"/>
        <w:textAlignment w:val="auto"/>
        <w:rPr>
          <w:rFonts w:eastAsia="MS Mincho"/>
          <w:color w:val="auto"/>
          <w:sz w:val="24"/>
          <w:szCs w:val="24"/>
          <w:lang w:eastAsia="en-US"/>
        </w:rPr>
      </w:pPr>
    </w:p>
    <w:p w14:paraId="0350394D"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Daniel, B. </w:t>
      </w:r>
      <w:proofErr w:type="spellStart"/>
      <w:r>
        <w:rPr>
          <w:rFonts w:eastAsia="MS Mincho"/>
          <w:color w:val="auto"/>
          <w:sz w:val="24"/>
          <w:szCs w:val="24"/>
          <w:lang w:eastAsia="en-US"/>
        </w:rPr>
        <w:t>Wassell</w:t>
      </w:r>
      <w:proofErr w:type="spellEnd"/>
      <w:r>
        <w:rPr>
          <w:rFonts w:eastAsia="MS Mincho"/>
          <w:color w:val="auto"/>
          <w:sz w:val="24"/>
          <w:szCs w:val="24"/>
          <w:lang w:eastAsia="en-US"/>
        </w:rPr>
        <w:t xml:space="preserve">, S. and Gilligan, R. (2010) </w:t>
      </w:r>
      <w:r w:rsidRPr="002B33FE">
        <w:rPr>
          <w:rFonts w:eastAsia="MS Mincho"/>
          <w:i/>
          <w:iCs/>
          <w:color w:val="auto"/>
          <w:sz w:val="24"/>
          <w:szCs w:val="24"/>
          <w:lang w:eastAsia="en-US"/>
        </w:rPr>
        <w:t>Child Development for Child Care and Protection Workers</w:t>
      </w:r>
      <w:r>
        <w:rPr>
          <w:rFonts w:eastAsia="MS Mincho"/>
          <w:color w:val="auto"/>
          <w:sz w:val="24"/>
          <w:szCs w:val="24"/>
          <w:lang w:eastAsia="en-US"/>
        </w:rPr>
        <w:t xml:space="preserve">, 2nd edition, London: Jessica Kingsley Publishers. </w:t>
      </w:r>
    </w:p>
    <w:p w14:paraId="37B2FA64" w14:textId="77777777" w:rsidR="005E1CF2" w:rsidRDefault="005E1CF2">
      <w:pPr>
        <w:overflowPunct/>
        <w:jc w:val="both"/>
        <w:textAlignment w:val="auto"/>
        <w:rPr>
          <w:rFonts w:eastAsia="MS Mincho"/>
          <w:color w:val="auto"/>
          <w:sz w:val="24"/>
          <w:szCs w:val="24"/>
          <w:lang w:eastAsia="en-US"/>
        </w:rPr>
      </w:pPr>
    </w:p>
    <w:p w14:paraId="53EA7DA3"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Davies, M. (2012) Social Work with Children and Families, Basingstoke: Palgrave Macmillan.</w:t>
      </w:r>
    </w:p>
    <w:p w14:paraId="65E2AD34" w14:textId="77777777" w:rsidR="005E1CF2" w:rsidRDefault="005E1CF2">
      <w:pPr>
        <w:overflowPunct/>
        <w:jc w:val="both"/>
        <w:textAlignment w:val="auto"/>
        <w:rPr>
          <w:rFonts w:eastAsia="MS Mincho"/>
          <w:color w:val="auto"/>
          <w:sz w:val="24"/>
          <w:szCs w:val="24"/>
          <w:lang w:eastAsia="en-US"/>
        </w:rPr>
      </w:pPr>
    </w:p>
    <w:p w14:paraId="441B9FAC"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Davies, M. (2013) The Blackwell Companion to Social Work, 4th Edition, West Sussex: Wiley Blackwell</w:t>
      </w:r>
    </w:p>
    <w:p w14:paraId="72C96605" w14:textId="77777777" w:rsidR="005E1CF2" w:rsidRDefault="005E1CF2">
      <w:pPr>
        <w:overflowPunct/>
        <w:jc w:val="both"/>
        <w:textAlignment w:val="auto"/>
        <w:rPr>
          <w:rFonts w:eastAsia="MS Mincho"/>
          <w:color w:val="auto"/>
          <w:sz w:val="24"/>
          <w:szCs w:val="24"/>
          <w:lang w:eastAsia="en-US"/>
        </w:rPr>
      </w:pPr>
    </w:p>
    <w:p w14:paraId="335BB42B"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Dearden, C. and Becker, S. (2000) Young Carer’s Transitions into Adulthood. York, Joseph Rowntree Foundation</w:t>
      </w:r>
    </w:p>
    <w:p w14:paraId="601BB441" w14:textId="77777777" w:rsidR="005E1CF2" w:rsidRDefault="005E1CF2">
      <w:pPr>
        <w:overflowPunct/>
        <w:jc w:val="both"/>
        <w:textAlignment w:val="auto"/>
        <w:rPr>
          <w:rFonts w:eastAsia="MS Mincho"/>
          <w:color w:val="auto"/>
          <w:sz w:val="24"/>
          <w:szCs w:val="24"/>
          <w:lang w:eastAsia="en-US"/>
        </w:rPr>
      </w:pPr>
    </w:p>
    <w:p w14:paraId="21DF0B44" w14:textId="254D3A56" w:rsidR="005E1CF2" w:rsidRDefault="00527869">
      <w:pPr>
        <w:overflowPunct/>
        <w:textAlignment w:val="auto"/>
      </w:pPr>
      <w:r>
        <w:rPr>
          <w:sz w:val="24"/>
          <w:szCs w:val="24"/>
        </w:rPr>
        <w:t xml:space="preserve">Deprivation of Liberty Safeguards – </w:t>
      </w:r>
      <w:r w:rsidR="000B344B">
        <w:rPr>
          <w:sz w:val="24"/>
          <w:szCs w:val="24"/>
        </w:rPr>
        <w:t>(online)</w:t>
      </w:r>
      <w:r w:rsidR="000975F2">
        <w:rPr>
          <w:sz w:val="24"/>
          <w:szCs w:val="24"/>
        </w:rPr>
        <w:t xml:space="preserve"> </w:t>
      </w:r>
      <w:r>
        <w:rPr>
          <w:sz w:val="24"/>
          <w:szCs w:val="24"/>
        </w:rPr>
        <w:t xml:space="preserve">available at </w:t>
      </w:r>
      <w:hyperlink r:id="rId14">
        <w:r>
          <w:rPr>
            <w:rStyle w:val="InternetLink"/>
            <w:sz w:val="24"/>
            <w:szCs w:val="24"/>
          </w:rPr>
          <w:t>https://www.scie.org.uk/mca/dols</w:t>
        </w:r>
      </w:hyperlink>
      <w:r>
        <w:rPr>
          <w:sz w:val="24"/>
          <w:szCs w:val="24"/>
        </w:rPr>
        <w:t xml:space="preserve"> Accessed (30.09.2019)</w:t>
      </w:r>
    </w:p>
    <w:p w14:paraId="04BFE787" w14:textId="77777777" w:rsidR="005E1CF2" w:rsidRDefault="005E1CF2">
      <w:pPr>
        <w:overflowPunct/>
        <w:textAlignment w:val="auto"/>
        <w:rPr>
          <w:rFonts w:eastAsia="MS Mincho"/>
          <w:color w:val="auto"/>
          <w:sz w:val="24"/>
          <w:szCs w:val="24"/>
        </w:rPr>
      </w:pPr>
    </w:p>
    <w:p w14:paraId="4541084B" w14:textId="77777777" w:rsidR="00F31379" w:rsidRDefault="00F31379">
      <w:pPr>
        <w:overflowPunct/>
        <w:jc w:val="both"/>
        <w:textAlignment w:val="auto"/>
        <w:rPr>
          <w:rFonts w:eastAsia="MS Mincho"/>
          <w:color w:val="auto"/>
          <w:sz w:val="24"/>
          <w:szCs w:val="24"/>
          <w:lang w:eastAsia="en-US"/>
        </w:rPr>
      </w:pPr>
    </w:p>
    <w:p w14:paraId="610C6258" w14:textId="3943A7BB" w:rsidR="00F31379" w:rsidRDefault="00021622">
      <w:pPr>
        <w:overflowPunct/>
        <w:jc w:val="both"/>
        <w:textAlignment w:val="auto"/>
        <w:rPr>
          <w:rFonts w:eastAsia="MS Mincho"/>
          <w:i/>
          <w:iCs/>
          <w:color w:val="auto"/>
          <w:sz w:val="24"/>
          <w:szCs w:val="24"/>
          <w:lang w:eastAsia="en-US"/>
        </w:rPr>
      </w:pPr>
      <w:r w:rsidRPr="00F606E7">
        <w:rPr>
          <w:rFonts w:eastAsia="MS Mincho"/>
          <w:i/>
          <w:iCs/>
          <w:color w:val="auto"/>
          <w:sz w:val="24"/>
          <w:szCs w:val="24"/>
          <w:lang w:eastAsia="en-US"/>
        </w:rPr>
        <w:lastRenderedPageBreak/>
        <w:t>Doel</w:t>
      </w:r>
      <w:r w:rsidR="009F12A6">
        <w:rPr>
          <w:rFonts w:eastAsia="MS Mincho"/>
          <w:i/>
          <w:iCs/>
          <w:color w:val="auto"/>
          <w:sz w:val="24"/>
          <w:szCs w:val="24"/>
          <w:lang w:eastAsia="en-US"/>
        </w:rPr>
        <w:t>, M.</w:t>
      </w:r>
      <w:r w:rsidRPr="00F606E7">
        <w:rPr>
          <w:rFonts w:eastAsia="MS Mincho"/>
          <w:i/>
          <w:iCs/>
          <w:color w:val="auto"/>
          <w:sz w:val="24"/>
          <w:szCs w:val="24"/>
          <w:lang w:eastAsia="en-US"/>
        </w:rPr>
        <w:t xml:space="preserve"> (1991)</w:t>
      </w:r>
      <w:r w:rsidR="009F12A6">
        <w:rPr>
          <w:rFonts w:eastAsia="MS Mincho"/>
          <w:i/>
          <w:iCs/>
          <w:color w:val="auto"/>
          <w:sz w:val="24"/>
          <w:szCs w:val="24"/>
          <w:lang w:eastAsia="en-US"/>
        </w:rPr>
        <w:t xml:space="preserve">. Task </w:t>
      </w:r>
      <w:r w:rsidR="00F27C29">
        <w:rPr>
          <w:rFonts w:eastAsia="MS Mincho"/>
          <w:i/>
          <w:iCs/>
          <w:color w:val="auto"/>
          <w:sz w:val="24"/>
          <w:szCs w:val="24"/>
          <w:lang w:eastAsia="en-US"/>
        </w:rPr>
        <w:t xml:space="preserve">Centred Social Work. </w:t>
      </w:r>
      <w:r w:rsidR="00BC1E46">
        <w:rPr>
          <w:rFonts w:eastAsia="MS Mincho"/>
          <w:i/>
          <w:iCs/>
          <w:color w:val="auto"/>
          <w:sz w:val="24"/>
          <w:szCs w:val="24"/>
          <w:lang w:eastAsia="en-US"/>
        </w:rPr>
        <w:t>Routledge</w:t>
      </w:r>
      <w:r w:rsidR="00786FB1">
        <w:rPr>
          <w:rFonts w:eastAsia="MS Mincho"/>
          <w:i/>
          <w:iCs/>
          <w:color w:val="auto"/>
          <w:sz w:val="24"/>
          <w:szCs w:val="24"/>
          <w:lang w:eastAsia="en-US"/>
        </w:rPr>
        <w:t>. Ashgate Publishing</w:t>
      </w:r>
    </w:p>
    <w:p w14:paraId="58B2ACE3" w14:textId="77777777" w:rsidR="000975F2" w:rsidRDefault="000975F2">
      <w:pPr>
        <w:overflowPunct/>
        <w:jc w:val="both"/>
        <w:textAlignment w:val="auto"/>
        <w:rPr>
          <w:rFonts w:eastAsia="MS Mincho"/>
          <w:color w:val="auto"/>
          <w:sz w:val="24"/>
          <w:szCs w:val="24"/>
          <w:lang w:eastAsia="en-US"/>
        </w:rPr>
      </w:pPr>
    </w:p>
    <w:p w14:paraId="5121E5E2" w14:textId="6AE7FE1C" w:rsidR="005E1CF2" w:rsidRDefault="00527869">
      <w:pPr>
        <w:overflowPunct/>
        <w:jc w:val="both"/>
        <w:textAlignment w:val="auto"/>
        <w:rPr>
          <w:rFonts w:eastAsia="MS Mincho"/>
          <w:color w:val="auto"/>
          <w:sz w:val="24"/>
          <w:szCs w:val="24"/>
          <w:lang w:eastAsia="en-US"/>
        </w:rPr>
      </w:pPr>
      <w:proofErr w:type="spellStart"/>
      <w:r>
        <w:rPr>
          <w:rFonts w:eastAsia="MS Mincho"/>
          <w:color w:val="auto"/>
          <w:sz w:val="24"/>
          <w:szCs w:val="24"/>
          <w:lang w:eastAsia="en-US"/>
        </w:rPr>
        <w:t>Dominelli</w:t>
      </w:r>
      <w:proofErr w:type="spellEnd"/>
      <w:r>
        <w:rPr>
          <w:rFonts w:eastAsia="MS Mincho"/>
          <w:color w:val="auto"/>
          <w:sz w:val="24"/>
          <w:szCs w:val="24"/>
          <w:lang w:eastAsia="en-US"/>
        </w:rPr>
        <w:t xml:space="preserve">, L. (2002). </w:t>
      </w:r>
      <w:r>
        <w:rPr>
          <w:rFonts w:eastAsia="MS Mincho"/>
          <w:i/>
          <w:color w:val="auto"/>
          <w:sz w:val="24"/>
          <w:szCs w:val="24"/>
          <w:lang w:eastAsia="en-US"/>
        </w:rPr>
        <w:t xml:space="preserve">Anti-Oppressive social work theory and practice. </w:t>
      </w:r>
      <w:r>
        <w:rPr>
          <w:rFonts w:eastAsia="MS Mincho"/>
          <w:color w:val="auto"/>
          <w:sz w:val="24"/>
          <w:szCs w:val="24"/>
          <w:lang w:eastAsia="en-US"/>
        </w:rPr>
        <w:t xml:space="preserve">Palgrave Macmillan. Essex. </w:t>
      </w:r>
    </w:p>
    <w:p w14:paraId="029514A9" w14:textId="77777777" w:rsidR="005E1CF2" w:rsidRDefault="005E1CF2">
      <w:pPr>
        <w:overflowPunct/>
        <w:jc w:val="both"/>
        <w:textAlignment w:val="auto"/>
        <w:rPr>
          <w:rFonts w:eastAsia="MS Mincho"/>
          <w:color w:val="auto"/>
          <w:sz w:val="24"/>
          <w:szCs w:val="24"/>
          <w:lang w:eastAsia="en-US"/>
        </w:rPr>
      </w:pPr>
    </w:p>
    <w:p w14:paraId="2C46373E"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Every Child Matters. (2007). London. </w:t>
      </w:r>
    </w:p>
    <w:p w14:paraId="6B304D20" w14:textId="77777777" w:rsidR="005E1CF2" w:rsidRDefault="005E1CF2">
      <w:pPr>
        <w:overflowPunct/>
        <w:textAlignment w:val="auto"/>
        <w:rPr>
          <w:rFonts w:eastAsia="MS Mincho"/>
          <w:color w:val="auto"/>
          <w:sz w:val="24"/>
          <w:szCs w:val="24"/>
        </w:rPr>
      </w:pPr>
    </w:p>
    <w:p w14:paraId="370BB984" w14:textId="77777777" w:rsidR="005E1CF2" w:rsidRDefault="00527869">
      <w:pPr>
        <w:overflowPunct/>
        <w:textAlignment w:val="auto"/>
        <w:rPr>
          <w:rFonts w:eastAsia="MS Mincho"/>
          <w:color w:val="auto"/>
          <w:sz w:val="24"/>
          <w:szCs w:val="24"/>
        </w:rPr>
      </w:pPr>
      <w:r>
        <w:rPr>
          <w:rFonts w:eastAsia="MS Mincho"/>
          <w:color w:val="auto"/>
          <w:sz w:val="24"/>
          <w:szCs w:val="24"/>
        </w:rPr>
        <w:t xml:space="preserve">Freidman, B. &amp; Neuman, K. M., 2011. </w:t>
      </w:r>
      <w:r w:rsidRPr="00F606E7">
        <w:rPr>
          <w:rFonts w:eastAsia="MS Mincho"/>
          <w:i/>
          <w:iCs/>
          <w:color w:val="auto"/>
          <w:sz w:val="24"/>
          <w:szCs w:val="24"/>
        </w:rPr>
        <w:t>Systems Theory</w:t>
      </w:r>
      <w:r>
        <w:rPr>
          <w:rFonts w:eastAsia="MS Mincho"/>
          <w:color w:val="auto"/>
          <w:sz w:val="24"/>
          <w:szCs w:val="24"/>
        </w:rPr>
        <w:t xml:space="preserve">. In: J. M. </w:t>
      </w:r>
      <w:proofErr w:type="spellStart"/>
      <w:r>
        <w:rPr>
          <w:rFonts w:eastAsia="MS Mincho"/>
          <w:color w:val="auto"/>
          <w:sz w:val="24"/>
          <w:szCs w:val="24"/>
        </w:rPr>
        <w:t>Brandell</w:t>
      </w:r>
      <w:proofErr w:type="spellEnd"/>
      <w:r>
        <w:rPr>
          <w:rFonts w:eastAsia="MS Mincho"/>
          <w:color w:val="auto"/>
          <w:sz w:val="24"/>
          <w:szCs w:val="24"/>
        </w:rPr>
        <w:t>, ed. Theory and Practice in Clinical Social Work. London: Sage Publications, pp. 3-20.</w:t>
      </w:r>
    </w:p>
    <w:p w14:paraId="57D8BE37" w14:textId="77777777" w:rsidR="005E1CF2" w:rsidRDefault="005E1CF2">
      <w:pPr>
        <w:overflowPunct/>
        <w:textAlignment w:val="auto"/>
        <w:rPr>
          <w:rFonts w:eastAsia="MS Mincho"/>
          <w:color w:val="auto"/>
          <w:sz w:val="24"/>
          <w:szCs w:val="24"/>
        </w:rPr>
      </w:pPr>
    </w:p>
    <w:p w14:paraId="310625D7" w14:textId="77777777" w:rsidR="005E1CF2" w:rsidRDefault="00527869">
      <w:pPr>
        <w:overflowPunct/>
        <w:textAlignment w:val="auto"/>
        <w:rPr>
          <w:rFonts w:eastAsia="MS Mincho"/>
          <w:color w:val="auto"/>
          <w:sz w:val="24"/>
          <w:szCs w:val="24"/>
        </w:rPr>
      </w:pPr>
      <w:r>
        <w:rPr>
          <w:rFonts w:eastAsia="MS Mincho"/>
          <w:color w:val="auto"/>
          <w:sz w:val="24"/>
          <w:szCs w:val="24"/>
        </w:rPr>
        <w:t xml:space="preserve">Forsyth, D. K. (1990). </w:t>
      </w:r>
      <w:r>
        <w:rPr>
          <w:rFonts w:eastAsia="MS Mincho"/>
          <w:i/>
          <w:color w:val="auto"/>
          <w:sz w:val="24"/>
          <w:szCs w:val="24"/>
        </w:rPr>
        <w:t xml:space="preserve">Group Dynamics. </w:t>
      </w:r>
      <w:r>
        <w:rPr>
          <w:rFonts w:eastAsia="MS Mincho"/>
          <w:color w:val="auto"/>
          <w:sz w:val="24"/>
          <w:szCs w:val="24"/>
        </w:rPr>
        <w:t xml:space="preserve">Cole Publishing. Pacific Coast. </w:t>
      </w:r>
    </w:p>
    <w:p w14:paraId="53E6651F" w14:textId="77777777" w:rsidR="005E1CF2" w:rsidRDefault="005E1CF2">
      <w:pPr>
        <w:overflowPunct/>
        <w:textAlignment w:val="auto"/>
        <w:rPr>
          <w:rFonts w:eastAsia="MS Mincho"/>
          <w:color w:val="auto"/>
          <w:sz w:val="24"/>
          <w:szCs w:val="24"/>
        </w:rPr>
      </w:pPr>
    </w:p>
    <w:p w14:paraId="48C2430F" w14:textId="77777777" w:rsidR="005E1CF2" w:rsidRDefault="00527869">
      <w:pPr>
        <w:overflowPunct/>
        <w:textAlignment w:val="auto"/>
        <w:rPr>
          <w:rFonts w:eastAsia="MS Mincho"/>
          <w:color w:val="auto"/>
          <w:sz w:val="24"/>
          <w:szCs w:val="24"/>
        </w:rPr>
      </w:pPr>
      <w:r>
        <w:rPr>
          <w:rFonts w:eastAsia="MS Mincho"/>
          <w:color w:val="auto"/>
          <w:sz w:val="24"/>
          <w:szCs w:val="24"/>
        </w:rPr>
        <w:t xml:space="preserve">Gillies, V. (2011). From function to competence: engaging with the new politics of family. </w:t>
      </w:r>
      <w:r>
        <w:rPr>
          <w:rFonts w:eastAsia="MS Mincho"/>
          <w:i/>
          <w:color w:val="auto"/>
          <w:sz w:val="24"/>
          <w:szCs w:val="24"/>
        </w:rPr>
        <w:t xml:space="preserve">Sociological Research. 16(4), 11. </w:t>
      </w:r>
    </w:p>
    <w:p w14:paraId="5F936665" w14:textId="77777777" w:rsidR="005E1CF2" w:rsidRDefault="005E1CF2">
      <w:pPr>
        <w:overflowPunct/>
        <w:textAlignment w:val="auto"/>
        <w:rPr>
          <w:rFonts w:eastAsia="MS Mincho"/>
          <w:color w:val="auto"/>
          <w:sz w:val="24"/>
          <w:szCs w:val="24"/>
        </w:rPr>
      </w:pPr>
    </w:p>
    <w:p w14:paraId="6F77B4F7" w14:textId="27E32193" w:rsidR="00E84DC1" w:rsidRDefault="00861F28" w:rsidP="00E84DC1">
      <w:pPr>
        <w:overflowPunct/>
        <w:jc w:val="both"/>
        <w:textAlignment w:val="auto"/>
        <w:rPr>
          <w:rFonts w:eastAsia="MS Mincho"/>
          <w:color w:val="auto"/>
          <w:sz w:val="24"/>
          <w:szCs w:val="24"/>
          <w:lang w:eastAsia="en-US"/>
        </w:rPr>
      </w:pPr>
      <w:r w:rsidRPr="00E84DC1">
        <w:rPr>
          <w:sz w:val="24"/>
          <w:szCs w:val="24"/>
        </w:rPr>
        <w:t xml:space="preserve">Golan, </w:t>
      </w:r>
      <w:r w:rsidR="00E84DC1" w:rsidRPr="00E84DC1">
        <w:rPr>
          <w:sz w:val="24"/>
          <w:szCs w:val="24"/>
        </w:rPr>
        <w:t>(</w:t>
      </w:r>
      <w:r w:rsidRPr="00E84DC1">
        <w:rPr>
          <w:sz w:val="24"/>
          <w:szCs w:val="24"/>
        </w:rPr>
        <w:t>1974</w:t>
      </w:r>
      <w:r w:rsidR="00E84DC1" w:rsidRPr="00E84DC1">
        <w:rPr>
          <w:sz w:val="24"/>
          <w:szCs w:val="24"/>
        </w:rPr>
        <w:t>)</w:t>
      </w:r>
      <w:r w:rsidR="00E84DC1">
        <w:rPr>
          <w:sz w:val="24"/>
          <w:szCs w:val="24"/>
        </w:rPr>
        <w:t xml:space="preserve"> Cited in; </w:t>
      </w:r>
      <w:r w:rsidR="00E84DC1">
        <w:rPr>
          <w:rFonts w:eastAsia="MS Mincho"/>
          <w:color w:val="auto"/>
          <w:sz w:val="24"/>
          <w:szCs w:val="24"/>
          <w:lang w:eastAsia="en-US"/>
        </w:rPr>
        <w:t xml:space="preserve">Maclean, S. &amp; Harrison, R. (2009) Theory &amp; Practice: </w:t>
      </w:r>
      <w:r w:rsidR="00E84DC1" w:rsidRPr="00EA64F0">
        <w:rPr>
          <w:rFonts w:eastAsia="MS Mincho"/>
          <w:i/>
          <w:iCs/>
          <w:color w:val="auto"/>
          <w:sz w:val="24"/>
          <w:szCs w:val="24"/>
          <w:lang w:eastAsia="en-US"/>
        </w:rPr>
        <w:t>A Straightforward Guide for Social Work Students</w:t>
      </w:r>
      <w:r w:rsidR="00E84DC1">
        <w:rPr>
          <w:rFonts w:eastAsia="MS Mincho"/>
          <w:color w:val="auto"/>
          <w:sz w:val="24"/>
          <w:szCs w:val="24"/>
          <w:lang w:eastAsia="en-US"/>
        </w:rPr>
        <w:t xml:space="preserve">, </w:t>
      </w:r>
      <w:proofErr w:type="spellStart"/>
      <w:r w:rsidR="00E84DC1">
        <w:rPr>
          <w:rFonts w:eastAsia="MS Mincho"/>
          <w:color w:val="auto"/>
          <w:sz w:val="24"/>
          <w:szCs w:val="24"/>
          <w:lang w:eastAsia="en-US"/>
        </w:rPr>
        <w:t>Kirwin</w:t>
      </w:r>
      <w:proofErr w:type="spellEnd"/>
      <w:r w:rsidR="00E84DC1">
        <w:rPr>
          <w:rFonts w:eastAsia="MS Mincho"/>
          <w:color w:val="auto"/>
          <w:sz w:val="24"/>
          <w:szCs w:val="24"/>
          <w:lang w:eastAsia="en-US"/>
        </w:rPr>
        <w:t xml:space="preserve"> Maclean Associates, Ltd, Rugeley</w:t>
      </w:r>
      <w:r w:rsidR="00847BBC">
        <w:rPr>
          <w:rFonts w:eastAsia="MS Mincho"/>
          <w:color w:val="auto"/>
          <w:sz w:val="24"/>
          <w:szCs w:val="24"/>
          <w:lang w:eastAsia="en-US"/>
        </w:rPr>
        <w:t>.</w:t>
      </w:r>
    </w:p>
    <w:p w14:paraId="42697F84" w14:textId="644DCD68" w:rsidR="00847BBC" w:rsidRDefault="00847BBC" w:rsidP="00E84DC1">
      <w:pPr>
        <w:overflowPunct/>
        <w:jc w:val="both"/>
        <w:textAlignment w:val="auto"/>
        <w:rPr>
          <w:rFonts w:eastAsia="MS Mincho"/>
          <w:color w:val="auto"/>
          <w:sz w:val="24"/>
          <w:szCs w:val="24"/>
          <w:lang w:eastAsia="en-US"/>
        </w:rPr>
      </w:pPr>
    </w:p>
    <w:p w14:paraId="17CE028C" w14:textId="58753711" w:rsidR="00847BBC" w:rsidRDefault="00847BBC" w:rsidP="00847BBC">
      <w:pPr>
        <w:overflowPunct/>
        <w:jc w:val="both"/>
        <w:textAlignment w:val="auto"/>
        <w:rPr>
          <w:rFonts w:eastAsia="MS Mincho"/>
          <w:color w:val="auto"/>
          <w:sz w:val="24"/>
          <w:szCs w:val="24"/>
          <w:lang w:eastAsia="en-US"/>
        </w:rPr>
      </w:pPr>
      <w:r w:rsidRPr="00847BBC">
        <w:rPr>
          <w:rFonts w:eastAsia="MS Mincho"/>
          <w:color w:val="auto"/>
          <w:sz w:val="24"/>
          <w:szCs w:val="24"/>
          <w:lang w:eastAsia="en-US"/>
        </w:rPr>
        <w:t xml:space="preserve">Grant, L., and </w:t>
      </w:r>
      <w:proofErr w:type="spellStart"/>
      <w:r w:rsidRPr="00847BBC">
        <w:rPr>
          <w:rFonts w:eastAsia="MS Mincho"/>
          <w:color w:val="auto"/>
          <w:sz w:val="24"/>
          <w:szCs w:val="24"/>
          <w:lang w:eastAsia="en-US"/>
        </w:rPr>
        <w:t>Kinman</w:t>
      </w:r>
      <w:proofErr w:type="spellEnd"/>
      <w:r w:rsidRPr="00847BBC">
        <w:rPr>
          <w:rFonts w:eastAsia="MS Mincho"/>
          <w:color w:val="auto"/>
          <w:sz w:val="24"/>
          <w:szCs w:val="24"/>
          <w:lang w:eastAsia="en-US"/>
        </w:rPr>
        <w:t xml:space="preserve">, G. (2012) </w:t>
      </w:r>
      <w:r w:rsidRPr="00847BBC">
        <w:rPr>
          <w:rFonts w:eastAsia="MS Mincho"/>
          <w:i/>
          <w:iCs/>
          <w:color w:val="auto"/>
          <w:sz w:val="24"/>
          <w:szCs w:val="24"/>
          <w:lang w:eastAsia="en-US"/>
        </w:rPr>
        <w:t>Enhancing Wellbeing in Social Work Students</w:t>
      </w:r>
      <w:r w:rsidRPr="00847BBC">
        <w:rPr>
          <w:rFonts w:eastAsia="MS Mincho"/>
          <w:color w:val="auto"/>
          <w:sz w:val="24"/>
          <w:szCs w:val="24"/>
          <w:lang w:eastAsia="en-US"/>
        </w:rPr>
        <w:t xml:space="preserve">: Building Resilience </w:t>
      </w:r>
      <w:proofErr w:type="spellStart"/>
      <w:r w:rsidRPr="00847BBC">
        <w:rPr>
          <w:rFonts w:eastAsia="MS Mincho"/>
          <w:color w:val="auto"/>
          <w:sz w:val="24"/>
          <w:szCs w:val="24"/>
          <w:lang w:eastAsia="en-US"/>
        </w:rPr>
        <w:t>inthe</w:t>
      </w:r>
      <w:proofErr w:type="spellEnd"/>
      <w:r w:rsidRPr="00847BBC">
        <w:rPr>
          <w:rFonts w:eastAsia="MS Mincho"/>
          <w:color w:val="auto"/>
          <w:sz w:val="24"/>
          <w:szCs w:val="24"/>
          <w:lang w:eastAsia="en-US"/>
        </w:rPr>
        <w:t xml:space="preserve"> Next Generation. Social Work Education. 31, 5, 605 – 621.</w:t>
      </w:r>
    </w:p>
    <w:p w14:paraId="23CE7E9D" w14:textId="77777777" w:rsidR="002960D9" w:rsidRDefault="002960D9" w:rsidP="00847BBC">
      <w:pPr>
        <w:overflowPunct/>
        <w:jc w:val="both"/>
        <w:textAlignment w:val="auto"/>
        <w:rPr>
          <w:rFonts w:eastAsia="MS Mincho"/>
          <w:color w:val="auto"/>
          <w:sz w:val="24"/>
          <w:szCs w:val="24"/>
          <w:lang w:eastAsia="en-US"/>
        </w:rPr>
      </w:pPr>
    </w:p>
    <w:p w14:paraId="05194CA7" w14:textId="43DC150B" w:rsidR="002960D9" w:rsidRDefault="002960D9" w:rsidP="00847BBC">
      <w:pPr>
        <w:overflowPunct/>
        <w:jc w:val="both"/>
        <w:textAlignment w:val="auto"/>
        <w:rPr>
          <w:rFonts w:eastAsia="MS Mincho"/>
          <w:color w:val="auto"/>
          <w:sz w:val="24"/>
          <w:szCs w:val="24"/>
          <w:lang w:eastAsia="en-US"/>
        </w:rPr>
      </w:pPr>
      <w:r w:rsidRPr="002960D9">
        <w:rPr>
          <w:rFonts w:eastAsia="MS Mincho"/>
          <w:color w:val="auto"/>
          <w:sz w:val="24"/>
          <w:szCs w:val="24"/>
          <w:lang w:eastAsia="en-US"/>
        </w:rPr>
        <w:t xml:space="preserve">Handley, G &amp; Doyle, C. (2012) </w:t>
      </w:r>
      <w:r w:rsidRPr="002960D9">
        <w:rPr>
          <w:rFonts w:eastAsia="MS Mincho"/>
          <w:i/>
          <w:iCs/>
          <w:color w:val="auto"/>
          <w:sz w:val="24"/>
          <w:szCs w:val="24"/>
          <w:lang w:eastAsia="en-US"/>
        </w:rPr>
        <w:t>Ascertaining the Wishes and Feelings of Young Children</w:t>
      </w:r>
      <w:r w:rsidRPr="002960D9">
        <w:rPr>
          <w:rFonts w:eastAsia="MS Mincho"/>
          <w:color w:val="auto"/>
          <w:sz w:val="24"/>
          <w:szCs w:val="24"/>
          <w:lang w:eastAsia="en-US"/>
        </w:rPr>
        <w:t>: Social Workers’ Perspectives on Skills and Training.  Child and Family Social Work, Vol 19, pp 443–454</w:t>
      </w:r>
      <w:r>
        <w:rPr>
          <w:rFonts w:eastAsia="MS Mincho"/>
          <w:color w:val="auto"/>
          <w:sz w:val="24"/>
          <w:szCs w:val="24"/>
          <w:lang w:eastAsia="en-US"/>
        </w:rPr>
        <w:t>.</w:t>
      </w:r>
    </w:p>
    <w:p w14:paraId="33AA02F5" w14:textId="77777777" w:rsidR="00861F28" w:rsidRDefault="00861F28">
      <w:pPr>
        <w:overflowPunct/>
        <w:textAlignment w:val="auto"/>
        <w:rPr>
          <w:rFonts w:eastAsia="MS Mincho"/>
          <w:color w:val="auto"/>
          <w:sz w:val="24"/>
          <w:szCs w:val="24"/>
        </w:rPr>
      </w:pPr>
    </w:p>
    <w:p w14:paraId="34CC29A0" w14:textId="74EC98AC" w:rsidR="005E1CF2" w:rsidRDefault="00527869">
      <w:pPr>
        <w:overflowPunct/>
        <w:textAlignment w:val="auto"/>
        <w:rPr>
          <w:rFonts w:eastAsia="MS Mincho"/>
          <w:color w:val="auto"/>
          <w:sz w:val="24"/>
          <w:szCs w:val="24"/>
        </w:rPr>
      </w:pPr>
      <w:r>
        <w:rPr>
          <w:rFonts w:eastAsia="MS Mincho"/>
          <w:color w:val="auto"/>
          <w:sz w:val="24"/>
          <w:szCs w:val="24"/>
        </w:rPr>
        <w:t xml:space="preserve">Haslam, S.A (2004). </w:t>
      </w:r>
      <w:r>
        <w:rPr>
          <w:rFonts w:eastAsia="MS Mincho"/>
          <w:i/>
          <w:color w:val="auto"/>
          <w:sz w:val="24"/>
          <w:szCs w:val="24"/>
        </w:rPr>
        <w:t>Psychology in organisations: The social identity approach.</w:t>
      </w:r>
      <w:r>
        <w:rPr>
          <w:rFonts w:eastAsia="MS Mincho"/>
          <w:color w:val="auto"/>
          <w:sz w:val="24"/>
          <w:szCs w:val="24"/>
        </w:rPr>
        <w:t xml:space="preserve"> Sage publications London. </w:t>
      </w:r>
    </w:p>
    <w:p w14:paraId="1765BF69" w14:textId="77777777" w:rsidR="005E1CF2" w:rsidRDefault="005E1CF2">
      <w:pPr>
        <w:overflowPunct/>
        <w:textAlignment w:val="auto"/>
        <w:rPr>
          <w:rFonts w:eastAsia="MS Mincho"/>
          <w:color w:val="auto"/>
          <w:sz w:val="24"/>
          <w:szCs w:val="24"/>
        </w:rPr>
      </w:pPr>
    </w:p>
    <w:p w14:paraId="356CE248" w14:textId="77777777" w:rsidR="005E1CF2" w:rsidRDefault="00527869">
      <w:pPr>
        <w:overflowPunct/>
        <w:textAlignment w:val="auto"/>
        <w:rPr>
          <w:rFonts w:eastAsia="MS Mincho"/>
          <w:i/>
          <w:color w:val="auto"/>
          <w:sz w:val="24"/>
          <w:szCs w:val="24"/>
        </w:rPr>
      </w:pPr>
      <w:r>
        <w:rPr>
          <w:rFonts w:eastAsia="MS Mincho"/>
          <w:color w:val="auto"/>
          <w:sz w:val="24"/>
          <w:szCs w:val="24"/>
        </w:rPr>
        <w:t xml:space="preserve">Haslam, S,. </w:t>
      </w:r>
      <w:proofErr w:type="spellStart"/>
      <w:r>
        <w:rPr>
          <w:rFonts w:eastAsia="MS Mincho"/>
          <w:color w:val="auto"/>
          <w:sz w:val="24"/>
          <w:szCs w:val="24"/>
        </w:rPr>
        <w:t>Eggins</w:t>
      </w:r>
      <w:proofErr w:type="spellEnd"/>
      <w:r>
        <w:rPr>
          <w:rFonts w:eastAsia="MS Mincho"/>
          <w:color w:val="auto"/>
          <w:sz w:val="24"/>
          <w:szCs w:val="24"/>
        </w:rPr>
        <w:t xml:space="preserve">, A &amp; Reynolds, K (2003) </w:t>
      </w:r>
      <w:r>
        <w:rPr>
          <w:rFonts w:eastAsia="MS Mincho"/>
          <w:i/>
          <w:color w:val="auto"/>
          <w:sz w:val="24"/>
          <w:szCs w:val="24"/>
        </w:rPr>
        <w:t xml:space="preserve">The </w:t>
      </w:r>
      <w:proofErr w:type="spellStart"/>
      <w:r>
        <w:rPr>
          <w:rFonts w:eastAsia="MS Mincho"/>
          <w:i/>
          <w:color w:val="auto"/>
          <w:sz w:val="24"/>
          <w:szCs w:val="24"/>
        </w:rPr>
        <w:t>ASPIRe</w:t>
      </w:r>
      <w:proofErr w:type="spellEnd"/>
      <w:r>
        <w:rPr>
          <w:rFonts w:eastAsia="MS Mincho"/>
          <w:i/>
          <w:color w:val="auto"/>
          <w:sz w:val="24"/>
          <w:szCs w:val="24"/>
        </w:rPr>
        <w:t xml:space="preserve"> model: Actualizing Social and Personal Identity Resources to Enhance Organizational Outcomes. </w:t>
      </w:r>
      <w:r>
        <w:rPr>
          <w:rFonts w:eastAsia="MS Mincho"/>
          <w:color w:val="auto"/>
          <w:sz w:val="24"/>
          <w:szCs w:val="24"/>
        </w:rPr>
        <w:t>Journal of</w:t>
      </w:r>
      <w:r>
        <w:rPr>
          <w:rFonts w:eastAsia="MS Mincho"/>
          <w:i/>
          <w:iCs/>
          <w:color w:val="auto"/>
          <w:sz w:val="24"/>
          <w:szCs w:val="24"/>
        </w:rPr>
        <w:t xml:space="preserve"> </w:t>
      </w:r>
      <w:r>
        <w:rPr>
          <w:rFonts w:eastAsia="MS Mincho"/>
          <w:iCs/>
          <w:color w:val="auto"/>
          <w:sz w:val="24"/>
          <w:szCs w:val="24"/>
        </w:rPr>
        <w:t>Occupational Organisational Psychology</w:t>
      </w:r>
      <w:r>
        <w:rPr>
          <w:rFonts w:eastAsia="MS Mincho"/>
          <w:i/>
          <w:iCs/>
          <w:color w:val="auto"/>
          <w:sz w:val="24"/>
          <w:szCs w:val="24"/>
        </w:rPr>
        <w:t xml:space="preserve">. </w:t>
      </w:r>
      <w:r>
        <w:rPr>
          <w:rFonts w:eastAsia="MS Mincho"/>
          <w:color w:val="auto"/>
          <w:sz w:val="24"/>
          <w:szCs w:val="24"/>
        </w:rPr>
        <w:t>76(1) 83–113.</w:t>
      </w:r>
    </w:p>
    <w:p w14:paraId="079D45E0" w14:textId="77777777" w:rsidR="00370CAA" w:rsidRDefault="00370CAA">
      <w:pPr>
        <w:overflowPunct/>
        <w:jc w:val="both"/>
        <w:textAlignment w:val="auto"/>
        <w:rPr>
          <w:rFonts w:eastAsia="MS Mincho"/>
          <w:color w:val="auto"/>
          <w:sz w:val="24"/>
          <w:szCs w:val="24"/>
        </w:rPr>
      </w:pPr>
    </w:p>
    <w:p w14:paraId="7B9A0FA0" w14:textId="3AB68872" w:rsidR="005E1CF2" w:rsidRDefault="00527869">
      <w:pPr>
        <w:overflowPunct/>
        <w:jc w:val="both"/>
        <w:textAlignment w:val="auto"/>
        <w:rPr>
          <w:rFonts w:eastAsia="MS Mincho"/>
          <w:color w:val="auto"/>
          <w:sz w:val="24"/>
          <w:szCs w:val="24"/>
        </w:rPr>
      </w:pPr>
      <w:proofErr w:type="spellStart"/>
      <w:r>
        <w:rPr>
          <w:rFonts w:eastAsia="MS Mincho"/>
          <w:color w:val="auto"/>
          <w:sz w:val="24"/>
          <w:szCs w:val="24"/>
        </w:rPr>
        <w:t>Heel,J</w:t>
      </w:r>
      <w:proofErr w:type="spellEnd"/>
      <w:r>
        <w:rPr>
          <w:rFonts w:eastAsia="MS Mincho"/>
          <w:color w:val="auto"/>
          <w:sz w:val="24"/>
          <w:szCs w:val="24"/>
        </w:rPr>
        <w:t xml:space="preserve"> (2006) </w:t>
      </w:r>
      <w:r>
        <w:rPr>
          <w:rFonts w:eastAsia="MS Mincho"/>
          <w:i/>
          <w:color w:val="auto"/>
          <w:sz w:val="24"/>
          <w:szCs w:val="24"/>
        </w:rPr>
        <w:t>Workplace Interactions That Facilitate or Impede Reflective Practice</w:t>
      </w:r>
      <w:r>
        <w:rPr>
          <w:rFonts w:eastAsia="MS Mincho"/>
          <w:color w:val="auto"/>
          <w:sz w:val="24"/>
          <w:szCs w:val="24"/>
        </w:rPr>
        <w:t>. Journal of Health Management, Vol.8, P.1-10</w:t>
      </w:r>
    </w:p>
    <w:p w14:paraId="605655A6" w14:textId="77777777" w:rsidR="005E1CF2" w:rsidRDefault="005E1CF2">
      <w:pPr>
        <w:overflowPunct/>
        <w:textAlignment w:val="auto"/>
        <w:rPr>
          <w:rFonts w:eastAsia="MS Mincho"/>
          <w:color w:val="auto"/>
          <w:sz w:val="24"/>
          <w:szCs w:val="24"/>
        </w:rPr>
      </w:pPr>
    </w:p>
    <w:p w14:paraId="6B20AA21" w14:textId="77777777" w:rsidR="005E1CF2" w:rsidRDefault="00527869">
      <w:pPr>
        <w:overflowPunct/>
        <w:textAlignment w:val="auto"/>
        <w:rPr>
          <w:rFonts w:eastAsia="MS Mincho"/>
          <w:color w:val="auto"/>
          <w:sz w:val="24"/>
          <w:szCs w:val="24"/>
        </w:rPr>
      </w:pPr>
      <w:r>
        <w:rPr>
          <w:rFonts w:eastAsia="MS Mincho"/>
          <w:color w:val="auto"/>
          <w:sz w:val="24"/>
          <w:szCs w:val="24"/>
        </w:rPr>
        <w:t xml:space="preserve">Heller, R. (1997). </w:t>
      </w:r>
      <w:r>
        <w:rPr>
          <w:rFonts w:eastAsia="MS Mincho"/>
          <w:i/>
          <w:color w:val="auto"/>
          <w:sz w:val="24"/>
          <w:szCs w:val="24"/>
        </w:rPr>
        <w:t xml:space="preserve">In search of European excellence. </w:t>
      </w:r>
      <w:r>
        <w:rPr>
          <w:rFonts w:eastAsia="MS Mincho"/>
          <w:color w:val="auto"/>
          <w:sz w:val="24"/>
          <w:szCs w:val="24"/>
        </w:rPr>
        <w:t xml:space="preserve">Harper Collins. London. </w:t>
      </w:r>
    </w:p>
    <w:p w14:paraId="6B1DA7F3" w14:textId="77777777" w:rsidR="005E1CF2" w:rsidRDefault="005E1CF2">
      <w:pPr>
        <w:overflowPunct/>
        <w:textAlignment w:val="auto"/>
        <w:rPr>
          <w:rFonts w:eastAsia="MS Mincho"/>
          <w:color w:val="auto"/>
          <w:sz w:val="24"/>
          <w:szCs w:val="24"/>
        </w:rPr>
      </w:pPr>
    </w:p>
    <w:p w14:paraId="6BC10C7C" w14:textId="77777777" w:rsidR="005E1CF2" w:rsidRDefault="00527869">
      <w:pPr>
        <w:overflowPunct/>
        <w:textAlignment w:val="auto"/>
        <w:rPr>
          <w:rFonts w:eastAsia="MS Mincho"/>
          <w:color w:val="auto"/>
          <w:sz w:val="24"/>
          <w:szCs w:val="24"/>
        </w:rPr>
      </w:pPr>
      <w:r>
        <w:rPr>
          <w:rFonts w:eastAsia="MS Mincho"/>
          <w:color w:val="auto"/>
          <w:sz w:val="24"/>
          <w:szCs w:val="24"/>
        </w:rPr>
        <w:t xml:space="preserve">Horne, M. (1999). </w:t>
      </w:r>
      <w:r>
        <w:rPr>
          <w:rFonts w:eastAsia="MS Mincho"/>
          <w:i/>
          <w:color w:val="auto"/>
          <w:sz w:val="24"/>
          <w:szCs w:val="24"/>
        </w:rPr>
        <w:t xml:space="preserve">Values in social work. </w:t>
      </w:r>
      <w:r>
        <w:rPr>
          <w:rFonts w:eastAsia="MS Mincho"/>
          <w:color w:val="auto"/>
          <w:sz w:val="24"/>
          <w:szCs w:val="24"/>
        </w:rPr>
        <w:t xml:space="preserve">Ashgate. Aldershot. </w:t>
      </w:r>
    </w:p>
    <w:p w14:paraId="6808F0F3" w14:textId="77777777" w:rsidR="005E1CF2" w:rsidRDefault="005E1CF2">
      <w:pPr>
        <w:overflowPunct/>
        <w:textAlignment w:val="auto"/>
        <w:rPr>
          <w:rFonts w:eastAsia="MS Mincho"/>
          <w:color w:val="auto"/>
          <w:sz w:val="24"/>
          <w:szCs w:val="24"/>
        </w:rPr>
      </w:pPr>
    </w:p>
    <w:p w14:paraId="3A107684" w14:textId="77777777" w:rsidR="005E1CF2" w:rsidRDefault="00527869">
      <w:pPr>
        <w:overflowPunct/>
        <w:spacing w:after="160"/>
        <w:textAlignment w:val="auto"/>
        <w:rPr>
          <w:rFonts w:eastAsia="Calibri"/>
          <w:color w:val="auto"/>
          <w:sz w:val="24"/>
          <w:szCs w:val="24"/>
          <w:lang w:eastAsia="en-US"/>
        </w:rPr>
      </w:pPr>
      <w:r>
        <w:rPr>
          <w:rFonts w:eastAsia="Calibri"/>
          <w:color w:val="auto"/>
          <w:sz w:val="24"/>
          <w:szCs w:val="24"/>
          <w:lang w:eastAsia="en-US"/>
        </w:rPr>
        <w:t>Horwath, J. (2009), The Child’s World. London: Jessica Kingsley Publishers.</w:t>
      </w:r>
    </w:p>
    <w:p w14:paraId="13A91AEF" w14:textId="3AA1B002" w:rsidR="005E1CF2" w:rsidRDefault="00527869">
      <w:pPr>
        <w:overflowPunct/>
        <w:spacing w:after="160"/>
        <w:textAlignment w:val="auto"/>
        <w:rPr>
          <w:rFonts w:eastAsia="Calibri"/>
          <w:color w:val="auto"/>
          <w:sz w:val="24"/>
          <w:szCs w:val="24"/>
          <w:lang w:eastAsia="en-US"/>
        </w:rPr>
      </w:pPr>
      <w:r>
        <w:rPr>
          <w:rFonts w:eastAsia="Calibri"/>
          <w:color w:val="auto"/>
          <w:sz w:val="24"/>
          <w:szCs w:val="24"/>
          <w:lang w:eastAsia="en-US"/>
        </w:rPr>
        <w:t xml:space="preserve">Howe, D. 2009. </w:t>
      </w:r>
      <w:r>
        <w:rPr>
          <w:rFonts w:eastAsia="Calibri"/>
          <w:i/>
          <w:iCs/>
          <w:color w:val="auto"/>
          <w:sz w:val="24"/>
          <w:szCs w:val="24"/>
          <w:lang w:eastAsia="en-US"/>
        </w:rPr>
        <w:t>A Brief Introduction to Social Work Theory</w:t>
      </w:r>
      <w:r>
        <w:rPr>
          <w:rFonts w:eastAsia="Calibri"/>
          <w:color w:val="auto"/>
          <w:sz w:val="24"/>
          <w:szCs w:val="24"/>
          <w:lang w:eastAsia="en-US"/>
        </w:rPr>
        <w:t xml:space="preserve">. </w:t>
      </w:r>
      <w:proofErr w:type="spellStart"/>
      <w:r>
        <w:rPr>
          <w:rFonts w:eastAsia="Calibri"/>
          <w:color w:val="auto"/>
          <w:sz w:val="24"/>
          <w:szCs w:val="24"/>
          <w:lang w:eastAsia="en-US"/>
        </w:rPr>
        <w:t>Hou</w:t>
      </w:r>
      <w:r w:rsidR="003F1904">
        <w:rPr>
          <w:rFonts w:eastAsia="Calibri"/>
          <w:color w:val="auto"/>
          <w:sz w:val="24"/>
          <w:szCs w:val="24"/>
          <w:lang w:eastAsia="en-US"/>
        </w:rPr>
        <w:t>n</w:t>
      </w:r>
      <w:r>
        <w:rPr>
          <w:rFonts w:eastAsia="Calibri"/>
          <w:color w:val="auto"/>
          <w:sz w:val="24"/>
          <w:szCs w:val="24"/>
          <w:lang w:eastAsia="en-US"/>
        </w:rPr>
        <w:t>dmills</w:t>
      </w:r>
      <w:proofErr w:type="spellEnd"/>
      <w:r>
        <w:rPr>
          <w:rFonts w:eastAsia="Calibri"/>
          <w:color w:val="auto"/>
          <w:sz w:val="24"/>
          <w:szCs w:val="24"/>
          <w:lang w:eastAsia="en-US"/>
        </w:rPr>
        <w:t>: Palgrave</w:t>
      </w:r>
    </w:p>
    <w:p w14:paraId="597AF6AC" w14:textId="77777777" w:rsidR="005E1CF2" w:rsidRDefault="005E1CF2">
      <w:pPr>
        <w:overflowPunct/>
        <w:textAlignment w:val="auto"/>
        <w:rPr>
          <w:rFonts w:eastAsia="MS Mincho"/>
          <w:color w:val="auto"/>
          <w:sz w:val="24"/>
          <w:szCs w:val="24"/>
        </w:rPr>
      </w:pPr>
    </w:p>
    <w:p w14:paraId="5D5618FF" w14:textId="77777777" w:rsidR="005E1CF2" w:rsidRDefault="00FA4BDB">
      <w:pPr>
        <w:overflowPunct/>
        <w:textAlignment w:val="auto"/>
      </w:pPr>
      <w:hyperlink r:id="rId15">
        <w:r w:rsidR="00527869">
          <w:rPr>
            <w:rStyle w:val="InternetLink"/>
            <w:sz w:val="24"/>
            <w:szCs w:val="24"/>
          </w:rPr>
          <w:t>https://www.gov.uk/government/publications/deprivation-of-liberty-safeguards-forms-and-guidance</w:t>
        </w:r>
      </w:hyperlink>
      <w:r w:rsidR="00527869">
        <w:rPr>
          <w:sz w:val="24"/>
          <w:szCs w:val="24"/>
        </w:rPr>
        <w:t xml:space="preserve"> (Accessed 05.10.2019)</w:t>
      </w:r>
    </w:p>
    <w:p w14:paraId="4B09D9C9" w14:textId="77777777" w:rsidR="005E1CF2" w:rsidRDefault="005E1CF2">
      <w:pPr>
        <w:overflowPunct/>
        <w:textAlignment w:val="auto"/>
        <w:rPr>
          <w:rFonts w:eastAsia="MS Mincho"/>
          <w:color w:val="auto"/>
          <w:sz w:val="24"/>
          <w:szCs w:val="24"/>
        </w:rPr>
      </w:pPr>
    </w:p>
    <w:p w14:paraId="53F4C41E" w14:textId="77777777" w:rsidR="005E1CF2" w:rsidRDefault="00527869">
      <w:pPr>
        <w:overflowPunct/>
        <w:textAlignment w:val="auto"/>
        <w:rPr>
          <w:rFonts w:eastAsia="MS Mincho"/>
          <w:color w:val="auto"/>
          <w:sz w:val="24"/>
          <w:szCs w:val="24"/>
        </w:rPr>
      </w:pPr>
      <w:r>
        <w:rPr>
          <w:rFonts w:eastAsia="MS Mincho"/>
          <w:color w:val="auto"/>
          <w:sz w:val="24"/>
          <w:szCs w:val="24"/>
        </w:rPr>
        <w:lastRenderedPageBreak/>
        <w:t>http://wimd.wales.gov.uk/geography/la/W06000005?lang=en#&amp;min=0&amp;max=10&amp;domain=overall (accessed 16.09.2019)</w:t>
      </w:r>
    </w:p>
    <w:p w14:paraId="70149367" w14:textId="77777777" w:rsidR="005E1CF2" w:rsidRDefault="005E1CF2">
      <w:pPr>
        <w:overflowPunct/>
        <w:textAlignment w:val="auto"/>
        <w:rPr>
          <w:rFonts w:eastAsia="MS Mincho"/>
          <w:color w:val="auto"/>
          <w:sz w:val="24"/>
          <w:szCs w:val="24"/>
        </w:rPr>
      </w:pPr>
    </w:p>
    <w:p w14:paraId="6067D4D2" w14:textId="77777777" w:rsidR="005E1CF2" w:rsidRDefault="005E1CF2">
      <w:pPr>
        <w:overflowPunct/>
        <w:textAlignment w:val="auto"/>
        <w:rPr>
          <w:rFonts w:eastAsia="MS Mincho"/>
          <w:color w:val="auto"/>
          <w:sz w:val="24"/>
          <w:szCs w:val="24"/>
        </w:rPr>
      </w:pPr>
    </w:p>
    <w:p w14:paraId="0A5C669E" w14:textId="77777777" w:rsidR="005E1CF2" w:rsidRDefault="00527869">
      <w:pPr>
        <w:overflowPunct/>
        <w:textAlignment w:val="auto"/>
        <w:rPr>
          <w:rFonts w:eastAsia="MS Mincho"/>
          <w:color w:val="auto"/>
          <w:sz w:val="24"/>
          <w:szCs w:val="24"/>
        </w:rPr>
      </w:pPr>
      <w:proofErr w:type="spellStart"/>
      <w:r>
        <w:rPr>
          <w:rFonts w:eastAsia="MS Mincho"/>
          <w:color w:val="auto"/>
          <w:sz w:val="24"/>
          <w:szCs w:val="24"/>
        </w:rPr>
        <w:t>Karnofsky</w:t>
      </w:r>
      <w:proofErr w:type="spellEnd"/>
      <w:r>
        <w:rPr>
          <w:rFonts w:eastAsia="MS Mincho"/>
          <w:color w:val="auto"/>
          <w:sz w:val="24"/>
          <w:szCs w:val="24"/>
        </w:rPr>
        <w:t xml:space="preserve"> D, </w:t>
      </w:r>
      <w:proofErr w:type="spellStart"/>
      <w:r>
        <w:rPr>
          <w:rFonts w:eastAsia="MS Mincho"/>
          <w:color w:val="auto"/>
          <w:sz w:val="24"/>
          <w:szCs w:val="24"/>
        </w:rPr>
        <w:t>Abelmann</w:t>
      </w:r>
      <w:proofErr w:type="spellEnd"/>
      <w:r>
        <w:rPr>
          <w:rFonts w:eastAsia="MS Mincho"/>
          <w:color w:val="auto"/>
          <w:sz w:val="24"/>
          <w:szCs w:val="24"/>
        </w:rPr>
        <w:t xml:space="preserve"> W, Craver L, </w:t>
      </w:r>
      <w:proofErr w:type="spellStart"/>
      <w:r>
        <w:rPr>
          <w:rFonts w:eastAsia="MS Mincho"/>
          <w:color w:val="auto"/>
          <w:sz w:val="24"/>
          <w:szCs w:val="24"/>
        </w:rPr>
        <w:t>Burchenal</w:t>
      </w:r>
      <w:proofErr w:type="spellEnd"/>
      <w:r>
        <w:rPr>
          <w:rFonts w:eastAsia="MS Mincho"/>
          <w:color w:val="auto"/>
          <w:sz w:val="24"/>
          <w:szCs w:val="24"/>
        </w:rPr>
        <w:t xml:space="preserve"> J: </w:t>
      </w:r>
      <w:r w:rsidRPr="001F15A3">
        <w:rPr>
          <w:rFonts w:eastAsia="MS Mincho"/>
          <w:i/>
          <w:iCs/>
          <w:color w:val="auto"/>
          <w:sz w:val="24"/>
          <w:szCs w:val="24"/>
        </w:rPr>
        <w:t>The use of nitrogen mustard in the palliative treatment of cancer</w:t>
      </w:r>
      <w:r>
        <w:rPr>
          <w:rFonts w:eastAsia="MS Mincho"/>
          <w:color w:val="auto"/>
          <w:sz w:val="24"/>
          <w:szCs w:val="24"/>
        </w:rPr>
        <w:t>. Cancer. 1948, 1: 634-656.</w:t>
      </w:r>
    </w:p>
    <w:p w14:paraId="15D96536" w14:textId="77777777" w:rsidR="005E1CF2" w:rsidRDefault="005E1CF2">
      <w:pPr>
        <w:overflowPunct/>
        <w:textAlignment w:val="auto"/>
        <w:rPr>
          <w:rFonts w:eastAsia="MS Mincho"/>
          <w:color w:val="auto"/>
          <w:sz w:val="24"/>
          <w:szCs w:val="24"/>
        </w:rPr>
      </w:pPr>
    </w:p>
    <w:p w14:paraId="21BDF42E" w14:textId="77777777" w:rsidR="00F318FC" w:rsidRDefault="00F318FC" w:rsidP="00F318FC">
      <w:pPr>
        <w:overflowPunct/>
        <w:jc w:val="both"/>
        <w:textAlignment w:val="auto"/>
        <w:rPr>
          <w:rFonts w:eastAsia="Calibri"/>
          <w:sz w:val="24"/>
          <w:szCs w:val="24"/>
          <w:lang w:eastAsia="en-US"/>
        </w:rPr>
      </w:pPr>
      <w:r>
        <w:rPr>
          <w:rFonts w:eastAsia="Calibri"/>
          <w:color w:val="auto"/>
          <w:sz w:val="24"/>
          <w:szCs w:val="24"/>
          <w:lang w:eastAsia="en-US"/>
        </w:rPr>
        <w:t>Kinney, M. (2009) Being Assessed under the 1983 Mental Health Act—Can</w:t>
      </w:r>
      <w:r>
        <w:rPr>
          <w:rFonts w:eastAsia="Calibri"/>
          <w:sz w:val="24"/>
          <w:szCs w:val="24"/>
          <w:lang w:eastAsia="en-US"/>
        </w:rPr>
        <w:t xml:space="preserve"> </w:t>
      </w:r>
      <w:r>
        <w:rPr>
          <w:rFonts w:eastAsia="Calibri"/>
          <w:color w:val="auto"/>
          <w:sz w:val="24"/>
          <w:szCs w:val="24"/>
          <w:lang w:eastAsia="en-US"/>
        </w:rPr>
        <w:t xml:space="preserve">it Ever be Ethical?, </w:t>
      </w:r>
      <w:r>
        <w:rPr>
          <w:rFonts w:eastAsia="Calibri"/>
          <w:i/>
          <w:color w:val="auto"/>
          <w:sz w:val="24"/>
          <w:szCs w:val="24"/>
          <w:lang w:eastAsia="en-US"/>
        </w:rPr>
        <w:t>Journal of Ethics and Social Welfare</w:t>
      </w:r>
      <w:r>
        <w:rPr>
          <w:rFonts w:eastAsia="Calibri"/>
          <w:color w:val="auto"/>
          <w:sz w:val="24"/>
          <w:szCs w:val="24"/>
          <w:lang w:eastAsia="en-US"/>
        </w:rPr>
        <w:t xml:space="preserve">, 3 (3), pp 329-336. </w:t>
      </w:r>
    </w:p>
    <w:p w14:paraId="5557BB6C" w14:textId="77777777" w:rsidR="00F318FC" w:rsidRDefault="00F318FC">
      <w:pPr>
        <w:overflowPunct/>
        <w:textAlignment w:val="auto"/>
        <w:rPr>
          <w:sz w:val="24"/>
          <w:szCs w:val="24"/>
          <w:highlight w:val="cyan"/>
          <w:lang w:val="en-US"/>
        </w:rPr>
      </w:pPr>
    </w:p>
    <w:p w14:paraId="16F2F2EB" w14:textId="2BBF9FC8" w:rsidR="004231A5" w:rsidRDefault="004231A5">
      <w:pPr>
        <w:overflowPunct/>
        <w:textAlignment w:val="auto"/>
        <w:rPr>
          <w:sz w:val="24"/>
          <w:szCs w:val="24"/>
          <w:lang w:val="en-US"/>
        </w:rPr>
      </w:pPr>
      <w:r w:rsidRPr="000F7A6D">
        <w:rPr>
          <w:sz w:val="24"/>
          <w:szCs w:val="24"/>
          <w:lang w:val="en-US"/>
        </w:rPr>
        <w:t xml:space="preserve">Kitchener </w:t>
      </w:r>
      <w:r w:rsidR="000F7A6D">
        <w:rPr>
          <w:sz w:val="24"/>
          <w:szCs w:val="24"/>
          <w:lang w:val="en-US"/>
        </w:rPr>
        <w:t>and</w:t>
      </w:r>
      <w:r w:rsidRPr="000F7A6D">
        <w:rPr>
          <w:sz w:val="24"/>
          <w:szCs w:val="24"/>
          <w:lang w:val="en-US"/>
        </w:rPr>
        <w:t xml:space="preserve"> </w:t>
      </w:r>
      <w:proofErr w:type="spellStart"/>
      <w:r w:rsidRPr="000F7A6D">
        <w:rPr>
          <w:sz w:val="24"/>
          <w:szCs w:val="24"/>
          <w:lang w:val="en-US"/>
        </w:rPr>
        <w:t>Jorm</w:t>
      </w:r>
      <w:proofErr w:type="spellEnd"/>
      <w:r w:rsidRPr="000F7A6D">
        <w:rPr>
          <w:sz w:val="24"/>
          <w:szCs w:val="24"/>
          <w:lang w:val="en-US"/>
        </w:rPr>
        <w:t>, 2007</w:t>
      </w:r>
      <w:bookmarkStart w:id="0" w:name="_GoBack"/>
      <w:bookmarkEnd w:id="0"/>
      <w:r w:rsidRPr="000F7A6D">
        <w:rPr>
          <w:sz w:val="24"/>
          <w:szCs w:val="24"/>
          <w:lang w:val="en-US"/>
        </w:rPr>
        <w:t>.</w:t>
      </w:r>
      <w:r w:rsidR="000F7A6D">
        <w:rPr>
          <w:sz w:val="24"/>
          <w:szCs w:val="24"/>
          <w:lang w:val="en-US"/>
        </w:rPr>
        <w:t xml:space="preserve"> </w:t>
      </w:r>
      <w:r w:rsidR="000F7A6D" w:rsidRPr="000F7A6D">
        <w:rPr>
          <w:sz w:val="24"/>
          <w:szCs w:val="24"/>
          <w:lang w:val="en-US"/>
        </w:rPr>
        <w:t>Mental health first aid training for the public: evaluation of effects on knowledge, attitudes and helping behavior.</w:t>
      </w:r>
    </w:p>
    <w:p w14:paraId="308221F1" w14:textId="0B5CE51C" w:rsidR="009F7934" w:rsidRDefault="009F7934">
      <w:pPr>
        <w:overflowPunct/>
        <w:textAlignment w:val="auto"/>
        <w:rPr>
          <w:sz w:val="24"/>
          <w:szCs w:val="24"/>
          <w:lang w:val="en-US"/>
        </w:rPr>
      </w:pPr>
    </w:p>
    <w:p w14:paraId="0BF9E99F" w14:textId="5D7D495F" w:rsidR="004231A5" w:rsidRPr="009F7934" w:rsidRDefault="009F7934" w:rsidP="009F7934">
      <w:pPr>
        <w:overflowPunct/>
        <w:spacing w:after="200"/>
        <w:jc w:val="both"/>
        <w:textAlignment w:val="auto"/>
        <w:rPr>
          <w:color w:val="auto"/>
          <w:sz w:val="24"/>
          <w:szCs w:val="24"/>
        </w:rPr>
      </w:pPr>
      <w:proofErr w:type="spellStart"/>
      <w:r>
        <w:rPr>
          <w:color w:val="auto"/>
          <w:sz w:val="24"/>
          <w:szCs w:val="24"/>
        </w:rPr>
        <w:t>Koprowska</w:t>
      </w:r>
      <w:proofErr w:type="spellEnd"/>
      <w:r>
        <w:rPr>
          <w:color w:val="auto"/>
          <w:sz w:val="24"/>
          <w:szCs w:val="24"/>
        </w:rPr>
        <w:t xml:space="preserve">, J. 2005. </w:t>
      </w:r>
      <w:r>
        <w:rPr>
          <w:i/>
          <w:color w:val="auto"/>
          <w:sz w:val="24"/>
          <w:szCs w:val="24"/>
        </w:rPr>
        <w:t>Communication and Interpretation Skills in Social Work.</w:t>
      </w:r>
      <w:r>
        <w:rPr>
          <w:color w:val="auto"/>
          <w:sz w:val="24"/>
          <w:szCs w:val="24"/>
        </w:rPr>
        <w:t xml:space="preserve"> 2nd ed. Exeter: Learning Matters.</w:t>
      </w:r>
    </w:p>
    <w:p w14:paraId="500C89BB" w14:textId="068F88D2" w:rsidR="005E1CF2" w:rsidRDefault="00527869">
      <w:pPr>
        <w:overflowPunct/>
        <w:textAlignment w:val="auto"/>
        <w:rPr>
          <w:rFonts w:eastAsia="MS Mincho"/>
          <w:color w:val="auto"/>
          <w:sz w:val="24"/>
          <w:szCs w:val="24"/>
        </w:rPr>
      </w:pPr>
      <w:r>
        <w:rPr>
          <w:rFonts w:eastAsia="MS Mincho"/>
          <w:color w:val="auto"/>
          <w:sz w:val="24"/>
          <w:szCs w:val="24"/>
        </w:rPr>
        <w:t xml:space="preserve">Krieger, D (1975). </w:t>
      </w:r>
      <w:r w:rsidRPr="00621046">
        <w:rPr>
          <w:rFonts w:eastAsia="MS Mincho"/>
          <w:i/>
          <w:iCs/>
          <w:color w:val="auto"/>
          <w:sz w:val="24"/>
          <w:szCs w:val="24"/>
        </w:rPr>
        <w:t>Therapeutic touch: The imprimatur of nursing</w:t>
      </w:r>
      <w:r>
        <w:rPr>
          <w:rFonts w:eastAsia="MS Mincho"/>
          <w:color w:val="auto"/>
          <w:sz w:val="24"/>
          <w:szCs w:val="24"/>
        </w:rPr>
        <w:t>. The American Journal of Nursing. 75 (5): 784–7</w:t>
      </w:r>
    </w:p>
    <w:p w14:paraId="67676CF8" w14:textId="77777777" w:rsidR="005E1CF2" w:rsidRDefault="005E1CF2">
      <w:pPr>
        <w:overflowPunct/>
        <w:jc w:val="both"/>
        <w:textAlignment w:val="auto"/>
        <w:rPr>
          <w:rFonts w:eastAsia="MS Mincho"/>
          <w:color w:val="auto"/>
          <w:sz w:val="24"/>
          <w:szCs w:val="24"/>
        </w:rPr>
      </w:pPr>
    </w:p>
    <w:p w14:paraId="05CC6374" w14:textId="77777777" w:rsidR="005E1CF2" w:rsidRDefault="00527869">
      <w:pPr>
        <w:overflowPunct/>
        <w:textAlignment w:val="auto"/>
        <w:rPr>
          <w:color w:val="auto"/>
          <w:sz w:val="24"/>
          <w:szCs w:val="24"/>
          <w:lang w:eastAsia="en-US"/>
        </w:rPr>
      </w:pPr>
      <w:r>
        <w:rPr>
          <w:color w:val="auto"/>
          <w:sz w:val="24"/>
          <w:szCs w:val="24"/>
          <w:lang w:eastAsia="en-US"/>
        </w:rPr>
        <w:t xml:space="preserve">Laming (2009) </w:t>
      </w:r>
      <w:r>
        <w:rPr>
          <w:i/>
          <w:color w:val="auto"/>
          <w:sz w:val="24"/>
          <w:szCs w:val="24"/>
          <w:lang w:eastAsia="en-US"/>
        </w:rPr>
        <w:t>The Protection of Children in England: A Progress Report</w:t>
      </w:r>
      <w:r>
        <w:rPr>
          <w:color w:val="auto"/>
          <w:sz w:val="24"/>
          <w:szCs w:val="24"/>
          <w:lang w:eastAsia="en-US"/>
        </w:rPr>
        <w:t xml:space="preserve">. The Stationary Office, London  </w:t>
      </w:r>
    </w:p>
    <w:p w14:paraId="0D100833" w14:textId="77777777" w:rsidR="005E1CF2" w:rsidRDefault="005E1CF2">
      <w:pPr>
        <w:overflowPunct/>
        <w:jc w:val="both"/>
        <w:textAlignment w:val="auto"/>
        <w:rPr>
          <w:rFonts w:eastAsia="MS Mincho"/>
          <w:color w:val="auto"/>
          <w:sz w:val="24"/>
          <w:szCs w:val="24"/>
          <w:lang w:eastAsia="en-US"/>
        </w:rPr>
      </w:pPr>
    </w:p>
    <w:p w14:paraId="3B1742B3" w14:textId="27C55900"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Lewin, K. (1951). </w:t>
      </w:r>
      <w:r>
        <w:rPr>
          <w:rFonts w:eastAsia="MS Mincho"/>
          <w:i/>
          <w:color w:val="auto"/>
          <w:sz w:val="24"/>
          <w:szCs w:val="24"/>
          <w:lang w:eastAsia="en-US"/>
        </w:rPr>
        <w:t xml:space="preserve">Field theory in social science. </w:t>
      </w:r>
      <w:r>
        <w:rPr>
          <w:rFonts w:eastAsia="MS Mincho"/>
          <w:color w:val="auto"/>
          <w:sz w:val="24"/>
          <w:szCs w:val="24"/>
          <w:lang w:eastAsia="en-US"/>
        </w:rPr>
        <w:t xml:space="preserve">Harper and Row. Essex. </w:t>
      </w:r>
    </w:p>
    <w:p w14:paraId="58F42D0A" w14:textId="2A70C2E2" w:rsidR="002A7156" w:rsidRDefault="002A7156">
      <w:pPr>
        <w:overflowPunct/>
        <w:jc w:val="both"/>
        <w:textAlignment w:val="auto"/>
        <w:rPr>
          <w:rFonts w:eastAsia="MS Mincho"/>
          <w:color w:val="auto"/>
          <w:sz w:val="24"/>
          <w:szCs w:val="24"/>
          <w:lang w:eastAsia="en-US"/>
        </w:rPr>
      </w:pPr>
    </w:p>
    <w:p w14:paraId="379798EF" w14:textId="77777777" w:rsidR="002A7156" w:rsidRDefault="002A7156" w:rsidP="002A7156">
      <w:pPr>
        <w:overflowPunct/>
        <w:spacing w:after="160"/>
        <w:jc w:val="both"/>
        <w:textAlignment w:val="auto"/>
        <w:rPr>
          <w:rFonts w:eastAsia="Calibri"/>
          <w:color w:val="auto"/>
          <w:sz w:val="24"/>
          <w:szCs w:val="24"/>
          <w:lang w:eastAsia="en-US"/>
        </w:rPr>
      </w:pPr>
      <w:r>
        <w:rPr>
          <w:rFonts w:eastAsia="Calibri"/>
          <w:color w:val="auto"/>
          <w:sz w:val="24"/>
          <w:szCs w:val="24"/>
          <w:lang w:eastAsia="en-US"/>
        </w:rPr>
        <w:t xml:space="preserve">Lishman, J (1994). </w:t>
      </w:r>
      <w:r w:rsidRPr="003B725A">
        <w:rPr>
          <w:rFonts w:eastAsia="Calibri"/>
          <w:i/>
          <w:iCs/>
          <w:color w:val="auto"/>
          <w:sz w:val="24"/>
          <w:szCs w:val="24"/>
          <w:lang w:eastAsia="en-US"/>
        </w:rPr>
        <w:t>Communication in Social Work</w:t>
      </w:r>
      <w:r>
        <w:rPr>
          <w:rFonts w:eastAsia="Calibri"/>
          <w:color w:val="auto"/>
          <w:sz w:val="24"/>
          <w:szCs w:val="24"/>
          <w:lang w:eastAsia="en-US"/>
        </w:rPr>
        <w:t>. BASW: London</w:t>
      </w:r>
    </w:p>
    <w:p w14:paraId="4DD2DC5E" w14:textId="77777777" w:rsidR="002A7156" w:rsidRDefault="002A7156" w:rsidP="002A7156">
      <w:pPr>
        <w:overflowPunct/>
        <w:spacing w:after="160"/>
        <w:jc w:val="both"/>
        <w:textAlignment w:val="auto"/>
        <w:rPr>
          <w:rFonts w:eastAsia="Calibri"/>
          <w:color w:val="auto"/>
          <w:sz w:val="24"/>
          <w:szCs w:val="24"/>
          <w:lang w:eastAsia="en-US"/>
        </w:rPr>
      </w:pPr>
      <w:r>
        <w:rPr>
          <w:rFonts w:eastAsia="Calibri"/>
          <w:color w:val="auto"/>
          <w:sz w:val="24"/>
          <w:szCs w:val="24"/>
          <w:lang w:eastAsia="en-US"/>
        </w:rPr>
        <w:t xml:space="preserve">Lishman, M and </w:t>
      </w:r>
      <w:proofErr w:type="spellStart"/>
      <w:r>
        <w:rPr>
          <w:rFonts w:eastAsia="Calibri"/>
          <w:color w:val="auto"/>
          <w:sz w:val="24"/>
          <w:szCs w:val="24"/>
          <w:lang w:eastAsia="en-US"/>
        </w:rPr>
        <w:t>Postle</w:t>
      </w:r>
      <w:proofErr w:type="spellEnd"/>
      <w:r>
        <w:rPr>
          <w:rFonts w:eastAsia="Calibri"/>
          <w:color w:val="auto"/>
          <w:sz w:val="24"/>
          <w:szCs w:val="24"/>
          <w:lang w:eastAsia="en-US"/>
        </w:rPr>
        <w:t xml:space="preserve">, K. 2007. </w:t>
      </w:r>
      <w:r>
        <w:rPr>
          <w:rFonts w:eastAsia="Calibri"/>
          <w:i/>
          <w:color w:val="auto"/>
          <w:sz w:val="24"/>
          <w:szCs w:val="24"/>
          <w:lang w:eastAsia="en-US"/>
        </w:rPr>
        <w:t>Communication in Social Work</w:t>
      </w:r>
      <w:r>
        <w:rPr>
          <w:rFonts w:eastAsia="Calibri"/>
          <w:color w:val="auto"/>
          <w:sz w:val="24"/>
          <w:szCs w:val="24"/>
          <w:lang w:eastAsia="en-US"/>
        </w:rPr>
        <w:t>. Basingstoke: Palgrave Macmillan.</w:t>
      </w:r>
    </w:p>
    <w:p w14:paraId="2CFC6EB9"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Maclean, S. &amp; Harrison, R. (2009) Theory &amp; Practice: </w:t>
      </w:r>
      <w:r w:rsidRPr="00EA64F0">
        <w:rPr>
          <w:rFonts w:eastAsia="MS Mincho"/>
          <w:i/>
          <w:iCs/>
          <w:color w:val="auto"/>
          <w:sz w:val="24"/>
          <w:szCs w:val="24"/>
          <w:lang w:eastAsia="en-US"/>
        </w:rPr>
        <w:t>A Straightforward Guide for Social Work Students</w:t>
      </w:r>
      <w:r>
        <w:rPr>
          <w:rFonts w:eastAsia="MS Mincho"/>
          <w:color w:val="auto"/>
          <w:sz w:val="24"/>
          <w:szCs w:val="24"/>
          <w:lang w:eastAsia="en-US"/>
        </w:rPr>
        <w:t xml:space="preserve">, </w:t>
      </w:r>
      <w:proofErr w:type="spellStart"/>
      <w:r>
        <w:rPr>
          <w:rFonts w:eastAsia="MS Mincho"/>
          <w:color w:val="auto"/>
          <w:sz w:val="24"/>
          <w:szCs w:val="24"/>
          <w:lang w:eastAsia="en-US"/>
        </w:rPr>
        <w:t>Kirwin</w:t>
      </w:r>
      <w:proofErr w:type="spellEnd"/>
      <w:r>
        <w:rPr>
          <w:rFonts w:eastAsia="MS Mincho"/>
          <w:color w:val="auto"/>
          <w:sz w:val="24"/>
          <w:szCs w:val="24"/>
          <w:lang w:eastAsia="en-US"/>
        </w:rPr>
        <w:t xml:space="preserve"> Maclean Associates, Ltd, Rugeley;</w:t>
      </w:r>
    </w:p>
    <w:p w14:paraId="6B308AEB" w14:textId="77777777" w:rsidR="005E1CF2" w:rsidRDefault="005E1CF2">
      <w:pPr>
        <w:overflowPunct/>
        <w:jc w:val="both"/>
        <w:textAlignment w:val="auto"/>
        <w:rPr>
          <w:rFonts w:eastAsia="MS Mincho"/>
          <w:color w:val="auto"/>
          <w:sz w:val="24"/>
          <w:szCs w:val="24"/>
          <w:lang w:eastAsia="en-US"/>
        </w:rPr>
      </w:pPr>
    </w:p>
    <w:p w14:paraId="404E3FCC" w14:textId="77777777" w:rsidR="005E1CF2" w:rsidRDefault="00527869">
      <w:pPr>
        <w:overflowPunct/>
        <w:textAlignment w:val="auto"/>
        <w:rPr>
          <w:rFonts w:eastAsia="MS Mincho"/>
          <w:bCs/>
          <w:sz w:val="24"/>
          <w:szCs w:val="24"/>
        </w:rPr>
      </w:pPr>
      <w:r>
        <w:rPr>
          <w:rFonts w:eastAsia="MS Mincho"/>
          <w:sz w:val="24"/>
          <w:szCs w:val="24"/>
        </w:rPr>
        <w:t xml:space="preserve">McDougall, L (2012) </w:t>
      </w:r>
      <w:r>
        <w:rPr>
          <w:rFonts w:eastAsia="MS Mincho"/>
          <w:i/>
          <w:sz w:val="24"/>
          <w:szCs w:val="24"/>
        </w:rPr>
        <w:t xml:space="preserve">Health and Employment Briefing:  </w:t>
      </w:r>
      <w:r>
        <w:rPr>
          <w:rFonts w:eastAsia="MS Mincho"/>
          <w:bCs/>
          <w:i/>
          <w:sz w:val="24"/>
          <w:szCs w:val="24"/>
        </w:rPr>
        <w:t xml:space="preserve">How Working Environments Affect Health. </w:t>
      </w:r>
      <w:r>
        <w:rPr>
          <w:rFonts w:eastAsia="MS Mincho"/>
          <w:bCs/>
          <w:sz w:val="24"/>
          <w:szCs w:val="24"/>
        </w:rPr>
        <w:t>Bristol City Council, Bristol</w:t>
      </w:r>
    </w:p>
    <w:p w14:paraId="14F25AA4" w14:textId="77777777" w:rsidR="005E1CF2" w:rsidRDefault="005E1CF2">
      <w:pPr>
        <w:overflowPunct/>
        <w:jc w:val="both"/>
        <w:textAlignment w:val="auto"/>
        <w:rPr>
          <w:rFonts w:eastAsia="MS Mincho"/>
          <w:color w:val="auto"/>
          <w:sz w:val="24"/>
          <w:szCs w:val="24"/>
          <w:lang w:eastAsia="en-US"/>
        </w:rPr>
      </w:pPr>
    </w:p>
    <w:p w14:paraId="308BFDC7" w14:textId="54B8F2F9"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Meehan, T. (2001).  </w:t>
      </w:r>
      <w:r w:rsidR="00EA64F0">
        <w:rPr>
          <w:rFonts w:eastAsia="MS Mincho"/>
          <w:color w:val="auto"/>
          <w:sz w:val="24"/>
          <w:szCs w:val="24"/>
          <w:lang w:eastAsia="en-US"/>
        </w:rPr>
        <w:t>Therapeutic</w:t>
      </w:r>
      <w:r>
        <w:rPr>
          <w:rFonts w:eastAsia="MS Mincho"/>
          <w:color w:val="auto"/>
          <w:sz w:val="24"/>
          <w:szCs w:val="24"/>
          <w:lang w:eastAsia="en-US"/>
        </w:rPr>
        <w:t xml:space="preserve"> Touch as a Nursing Intervention. Journal of advanced nursing. </w:t>
      </w:r>
    </w:p>
    <w:p w14:paraId="40864612" w14:textId="77777777" w:rsidR="005E1CF2" w:rsidRDefault="005E1CF2">
      <w:pPr>
        <w:overflowPunct/>
        <w:textAlignment w:val="auto"/>
        <w:rPr>
          <w:rFonts w:eastAsia="MS Mincho"/>
          <w:bCs/>
          <w:sz w:val="24"/>
          <w:szCs w:val="24"/>
        </w:rPr>
      </w:pPr>
    </w:p>
    <w:p w14:paraId="7FA2488E" w14:textId="77777777" w:rsidR="008D7770" w:rsidRDefault="008D7770" w:rsidP="008D7770">
      <w:pPr>
        <w:overflowPunct/>
        <w:jc w:val="both"/>
        <w:textAlignment w:val="auto"/>
        <w:rPr>
          <w:sz w:val="24"/>
          <w:szCs w:val="24"/>
        </w:rPr>
      </w:pPr>
      <w:proofErr w:type="spellStart"/>
      <w:r>
        <w:rPr>
          <w:sz w:val="24"/>
          <w:szCs w:val="24"/>
        </w:rPr>
        <w:t>Melhelm</w:t>
      </w:r>
      <w:proofErr w:type="spellEnd"/>
      <w:r>
        <w:rPr>
          <w:sz w:val="24"/>
          <w:szCs w:val="24"/>
        </w:rPr>
        <w:t xml:space="preserve">, N. et al., 2011. Grief in Children and Adolescents Bereaved by Sudden Parental Death. Arch Gen Psychology, pp. 911-919. </w:t>
      </w:r>
    </w:p>
    <w:p w14:paraId="6A4438F7" w14:textId="26A2EBA1" w:rsidR="008D7770" w:rsidRPr="008D7770" w:rsidRDefault="002A7156" w:rsidP="008D7770">
      <w:pPr>
        <w:overflowPunct/>
        <w:spacing w:after="160"/>
        <w:textAlignment w:val="auto"/>
        <w:rPr>
          <w:rFonts w:eastAsia="Calibri"/>
          <w:color w:val="auto"/>
          <w:sz w:val="24"/>
          <w:szCs w:val="24"/>
          <w:lang w:eastAsia="en-US"/>
        </w:rPr>
      </w:pPr>
      <w:r>
        <w:rPr>
          <w:rFonts w:eastAsia="Calibri"/>
          <w:color w:val="auto"/>
          <w:sz w:val="24"/>
          <w:szCs w:val="24"/>
          <w:lang w:eastAsia="en-US"/>
        </w:rPr>
        <w:t xml:space="preserve">Milner, J. and O’Byrne, P. (2002), Assessment in Social Work, 2nd ed., Basingstoke: Palgrave Macmillan. </w:t>
      </w:r>
    </w:p>
    <w:p w14:paraId="0F6DDB91" w14:textId="63675720" w:rsidR="00075C3D" w:rsidRDefault="008D7770" w:rsidP="00C15214">
      <w:pPr>
        <w:overflowPunct/>
        <w:jc w:val="both"/>
        <w:textAlignment w:val="auto"/>
        <w:rPr>
          <w:sz w:val="24"/>
          <w:szCs w:val="24"/>
        </w:rPr>
      </w:pPr>
      <w:r>
        <w:rPr>
          <w:sz w:val="24"/>
          <w:szCs w:val="24"/>
        </w:rPr>
        <w:t xml:space="preserve">Morris, K., 2009. Family-based social work. In: R. Adams, L. </w:t>
      </w:r>
      <w:proofErr w:type="spellStart"/>
      <w:r>
        <w:rPr>
          <w:sz w:val="24"/>
          <w:szCs w:val="24"/>
        </w:rPr>
        <w:t>Dominelli</w:t>
      </w:r>
      <w:proofErr w:type="spellEnd"/>
      <w:r>
        <w:rPr>
          <w:sz w:val="24"/>
          <w:szCs w:val="24"/>
        </w:rPr>
        <w:t xml:space="preserve"> &amp; M. Payne, eds. Critical Practice in Social Work. Basingstoke: Palgrave Macmillan, pp. 280-286. </w:t>
      </w:r>
    </w:p>
    <w:p w14:paraId="0E86451D" w14:textId="77777777" w:rsidR="00C15214" w:rsidRPr="00C15214" w:rsidRDefault="00C15214" w:rsidP="00C15214">
      <w:pPr>
        <w:overflowPunct/>
        <w:jc w:val="both"/>
        <w:textAlignment w:val="auto"/>
        <w:rPr>
          <w:sz w:val="24"/>
          <w:szCs w:val="24"/>
        </w:rPr>
      </w:pPr>
    </w:p>
    <w:p w14:paraId="4844F6F5" w14:textId="6017E30A" w:rsidR="002A7156" w:rsidRDefault="00527869">
      <w:pPr>
        <w:overflowPunct/>
        <w:spacing w:after="160" w:line="360" w:lineRule="auto"/>
        <w:jc w:val="both"/>
        <w:textAlignment w:val="auto"/>
        <w:rPr>
          <w:rFonts w:eastAsia="Calibri"/>
          <w:color w:val="auto"/>
          <w:sz w:val="24"/>
          <w:szCs w:val="24"/>
          <w:lang w:eastAsia="en-US"/>
        </w:rPr>
      </w:pPr>
      <w:r>
        <w:rPr>
          <w:rFonts w:eastAsia="Calibri"/>
          <w:color w:val="auto"/>
          <w:sz w:val="24"/>
          <w:szCs w:val="24"/>
          <w:lang w:eastAsia="en-US"/>
        </w:rPr>
        <w:t>Munro, E. (2011) </w:t>
      </w:r>
      <w:r>
        <w:rPr>
          <w:rFonts w:eastAsia="Calibri"/>
          <w:bCs/>
          <w:i/>
          <w:color w:val="auto"/>
          <w:sz w:val="24"/>
          <w:szCs w:val="24"/>
          <w:lang w:eastAsia="en-US"/>
        </w:rPr>
        <w:t xml:space="preserve">The Munro Review of Child Protection: Final Report: A Child-Centred System, </w:t>
      </w:r>
      <w:r>
        <w:rPr>
          <w:rFonts w:eastAsia="Calibri"/>
          <w:color w:val="auto"/>
          <w:sz w:val="24"/>
          <w:szCs w:val="24"/>
          <w:lang w:eastAsia="en-US"/>
        </w:rPr>
        <w:t>Norwich: The Stationery Office.</w:t>
      </w:r>
    </w:p>
    <w:p w14:paraId="45227BB6" w14:textId="77777777" w:rsidR="005E1CF2" w:rsidRDefault="00527869">
      <w:pPr>
        <w:overflowPunct/>
        <w:spacing w:after="160" w:line="360" w:lineRule="auto"/>
        <w:jc w:val="both"/>
        <w:textAlignment w:val="auto"/>
        <w:rPr>
          <w:rFonts w:eastAsia="Calibri"/>
          <w:color w:val="auto"/>
          <w:sz w:val="24"/>
          <w:szCs w:val="24"/>
          <w:lang w:eastAsia="en-US"/>
        </w:rPr>
      </w:pPr>
      <w:r>
        <w:rPr>
          <w:rFonts w:eastAsia="Calibri"/>
          <w:color w:val="auto"/>
          <w:sz w:val="24"/>
          <w:szCs w:val="24"/>
          <w:lang w:eastAsia="en-US"/>
        </w:rPr>
        <w:lastRenderedPageBreak/>
        <w:t xml:space="preserve">Munro, E. (1996) Avoidable and Unavoidable Mistakes in Child Protection Work, </w:t>
      </w:r>
      <w:r>
        <w:rPr>
          <w:rFonts w:eastAsia="Calibri"/>
          <w:i/>
          <w:color w:val="auto"/>
          <w:sz w:val="24"/>
          <w:szCs w:val="24"/>
          <w:lang w:eastAsia="en-US"/>
        </w:rPr>
        <w:t>British Journal of Social Work</w:t>
      </w:r>
      <w:r>
        <w:rPr>
          <w:rFonts w:eastAsia="Calibri"/>
          <w:color w:val="auto"/>
          <w:sz w:val="24"/>
          <w:szCs w:val="24"/>
          <w:lang w:eastAsia="en-US"/>
        </w:rPr>
        <w:t>, 26 (6), pp. 793-808.</w:t>
      </w:r>
    </w:p>
    <w:p w14:paraId="56F0C391" w14:textId="77777777" w:rsidR="005E1CF2" w:rsidRDefault="00527869">
      <w:pPr>
        <w:overflowPunct/>
        <w:spacing w:after="160" w:line="360" w:lineRule="auto"/>
        <w:jc w:val="both"/>
        <w:textAlignment w:val="auto"/>
        <w:rPr>
          <w:rFonts w:eastAsia="Calibri"/>
          <w:color w:val="auto"/>
          <w:sz w:val="24"/>
          <w:szCs w:val="24"/>
          <w:lang w:eastAsia="en-US"/>
        </w:rPr>
      </w:pPr>
      <w:r>
        <w:rPr>
          <w:rFonts w:eastAsia="Calibri"/>
          <w:bCs/>
          <w:color w:val="auto"/>
          <w:sz w:val="24"/>
          <w:szCs w:val="24"/>
          <w:lang w:eastAsia="en-US"/>
        </w:rPr>
        <w:t>Munro, E. (1998)</w:t>
      </w:r>
      <w:r>
        <w:rPr>
          <w:rFonts w:eastAsia="Calibri"/>
          <w:color w:val="auto"/>
          <w:sz w:val="24"/>
          <w:szCs w:val="24"/>
          <w:lang w:eastAsia="en-US"/>
        </w:rPr>
        <w:t xml:space="preserve"> ‘Improving Social Workers' Knowledge Base in Child Protection Work’,</w:t>
      </w:r>
      <w:r>
        <w:rPr>
          <w:rFonts w:eastAsia="Calibri"/>
          <w:i/>
          <w:iCs/>
          <w:color w:val="auto"/>
          <w:sz w:val="24"/>
          <w:szCs w:val="24"/>
          <w:lang w:eastAsia="en-US"/>
        </w:rPr>
        <w:t xml:space="preserve"> British Journal of Social Work, </w:t>
      </w:r>
      <w:r>
        <w:rPr>
          <w:rFonts w:eastAsia="Calibri"/>
          <w:color w:val="auto"/>
          <w:sz w:val="24"/>
          <w:szCs w:val="24"/>
          <w:lang w:eastAsia="en-US"/>
        </w:rPr>
        <w:t>28 (1), pp. 89-105.</w:t>
      </w:r>
    </w:p>
    <w:p w14:paraId="6D8B7255" w14:textId="77777777" w:rsidR="005E1CF2" w:rsidRDefault="00527869">
      <w:pPr>
        <w:overflowPunct/>
        <w:textAlignment w:val="auto"/>
      </w:pPr>
      <w:proofErr w:type="spellStart"/>
      <w:r>
        <w:rPr>
          <w:rFonts w:eastAsia="MS Mincho"/>
          <w:bCs/>
          <w:sz w:val="24"/>
          <w:szCs w:val="24"/>
        </w:rPr>
        <w:t>Mwy</w:t>
      </w:r>
      <w:proofErr w:type="spellEnd"/>
      <w:r>
        <w:rPr>
          <w:rFonts w:eastAsia="MS Mincho"/>
          <w:bCs/>
          <w:sz w:val="24"/>
          <w:szCs w:val="24"/>
        </w:rPr>
        <w:t xml:space="preserve"> Na </w:t>
      </w:r>
      <w:proofErr w:type="spellStart"/>
      <w:r>
        <w:rPr>
          <w:rFonts w:eastAsia="MS Mincho"/>
          <w:bCs/>
          <w:sz w:val="24"/>
          <w:szCs w:val="24"/>
        </w:rPr>
        <w:t>Garlau</w:t>
      </w:r>
      <w:proofErr w:type="spellEnd"/>
      <w:r>
        <w:rPr>
          <w:rFonts w:eastAsia="MS Mincho"/>
          <w:bCs/>
          <w:sz w:val="24"/>
          <w:szCs w:val="24"/>
        </w:rPr>
        <w:t xml:space="preserve"> – </w:t>
      </w:r>
      <w:proofErr w:type="spellStart"/>
      <w:r>
        <w:rPr>
          <w:rFonts w:eastAsia="MS Mincho"/>
          <w:bCs/>
          <w:sz w:val="24"/>
          <w:szCs w:val="24"/>
        </w:rPr>
        <w:t>Gwenan</w:t>
      </w:r>
      <w:proofErr w:type="spellEnd"/>
      <w:r>
        <w:rPr>
          <w:rFonts w:eastAsia="MS Mincho"/>
          <w:bCs/>
          <w:sz w:val="24"/>
          <w:szCs w:val="24"/>
        </w:rPr>
        <w:t xml:space="preserve"> </w:t>
      </w:r>
      <w:proofErr w:type="spellStart"/>
      <w:r>
        <w:rPr>
          <w:rFonts w:eastAsia="MS Mincho"/>
          <w:bCs/>
          <w:sz w:val="24"/>
          <w:szCs w:val="24"/>
        </w:rPr>
        <w:t>Prysor</w:t>
      </w:r>
      <w:proofErr w:type="spellEnd"/>
      <w:r>
        <w:rPr>
          <w:rFonts w:eastAsia="MS Mincho"/>
          <w:bCs/>
          <w:sz w:val="24"/>
          <w:szCs w:val="24"/>
        </w:rPr>
        <w:t xml:space="preserve"> (2012)  </w:t>
      </w:r>
      <w:proofErr w:type="spellStart"/>
      <w:r>
        <w:rPr>
          <w:rFonts w:eastAsia="MS Mincho"/>
          <w:bCs/>
          <w:sz w:val="24"/>
          <w:szCs w:val="24"/>
        </w:rPr>
        <w:t>Youtube</w:t>
      </w:r>
      <w:proofErr w:type="spellEnd"/>
      <w:r>
        <w:rPr>
          <w:rFonts w:eastAsia="MS Mincho"/>
          <w:bCs/>
          <w:sz w:val="24"/>
          <w:szCs w:val="24"/>
        </w:rPr>
        <w:t xml:space="preserve"> video, Added by Welsh Government. Available at </w:t>
      </w:r>
      <w:hyperlink r:id="rId16">
        <w:r>
          <w:rPr>
            <w:rStyle w:val="ListLabel42"/>
          </w:rPr>
          <w:t>https://www.youtube.com/watch?v=qS-9F_qqOXo</w:t>
        </w:r>
      </w:hyperlink>
      <w:r>
        <w:rPr>
          <w:rFonts w:eastAsia="Calibri"/>
          <w:color w:val="auto"/>
          <w:sz w:val="24"/>
          <w:szCs w:val="24"/>
          <w:lang w:eastAsia="en-US"/>
        </w:rPr>
        <w:t xml:space="preserve"> (accessed on 10.08.2019)</w:t>
      </w:r>
    </w:p>
    <w:p w14:paraId="19AE0CDC" w14:textId="77777777" w:rsidR="005E1CF2" w:rsidRDefault="005E1CF2">
      <w:pPr>
        <w:overflowPunct/>
        <w:textAlignment w:val="auto"/>
        <w:rPr>
          <w:rFonts w:eastAsia="MS Mincho"/>
          <w:bCs/>
          <w:sz w:val="24"/>
          <w:szCs w:val="24"/>
        </w:rPr>
      </w:pPr>
    </w:p>
    <w:p w14:paraId="1F039E81" w14:textId="77777777" w:rsidR="00F318FC" w:rsidRDefault="00F318FC" w:rsidP="00F318FC">
      <w:pPr>
        <w:overflowPunct/>
        <w:jc w:val="both"/>
        <w:textAlignment w:val="auto"/>
        <w:rPr>
          <w:rFonts w:eastAsia="Calibri"/>
          <w:bCs/>
          <w:sz w:val="24"/>
          <w:szCs w:val="24"/>
          <w:lang w:eastAsia="en-US"/>
        </w:rPr>
      </w:pPr>
      <w:r>
        <w:rPr>
          <w:rFonts w:eastAsia="Calibri"/>
          <w:iCs/>
          <w:sz w:val="24"/>
          <w:szCs w:val="24"/>
          <w:lang w:eastAsia="en-US"/>
        </w:rPr>
        <w:t>National Assembly for Wales (2001)</w:t>
      </w:r>
      <w:r>
        <w:rPr>
          <w:rFonts w:eastAsia="Calibri"/>
          <w:i/>
          <w:iCs/>
          <w:sz w:val="24"/>
          <w:szCs w:val="24"/>
          <w:lang w:eastAsia="en-US"/>
        </w:rPr>
        <w:t xml:space="preserve"> </w:t>
      </w:r>
      <w:r>
        <w:rPr>
          <w:rFonts w:eastAsia="Calibri"/>
          <w:bCs/>
          <w:i/>
          <w:sz w:val="24"/>
          <w:szCs w:val="24"/>
          <w:lang w:eastAsia="en-US"/>
        </w:rPr>
        <w:t>Framework for the Assessment of Children in Need and</w:t>
      </w:r>
      <w:r>
        <w:rPr>
          <w:rFonts w:eastAsia="Calibri"/>
          <w:i/>
          <w:iCs/>
          <w:sz w:val="24"/>
          <w:szCs w:val="24"/>
          <w:lang w:eastAsia="en-US"/>
        </w:rPr>
        <w:t xml:space="preserve"> </w:t>
      </w:r>
      <w:r>
        <w:rPr>
          <w:rFonts w:eastAsia="Calibri"/>
          <w:bCs/>
          <w:i/>
          <w:sz w:val="24"/>
          <w:szCs w:val="24"/>
          <w:lang w:eastAsia="en-US"/>
        </w:rPr>
        <w:t>their Families</w:t>
      </w:r>
      <w:r>
        <w:rPr>
          <w:rFonts w:eastAsia="Calibri"/>
          <w:bCs/>
          <w:sz w:val="24"/>
          <w:szCs w:val="24"/>
          <w:lang w:eastAsia="en-US"/>
        </w:rPr>
        <w:t>, London: The Stationary Office.</w:t>
      </w:r>
    </w:p>
    <w:p w14:paraId="68019024" w14:textId="77777777" w:rsidR="00F318FC" w:rsidRDefault="00F318FC">
      <w:pPr>
        <w:overflowPunct/>
        <w:textAlignment w:val="auto"/>
        <w:rPr>
          <w:rFonts w:eastAsia="MS Mincho"/>
          <w:bCs/>
          <w:sz w:val="24"/>
          <w:szCs w:val="24"/>
        </w:rPr>
      </w:pPr>
    </w:p>
    <w:p w14:paraId="77A8FB1C" w14:textId="77777777" w:rsidR="00C15214" w:rsidRDefault="00C15214" w:rsidP="00C15214">
      <w:pPr>
        <w:overflowPunct/>
        <w:spacing w:after="160"/>
        <w:textAlignment w:val="auto"/>
        <w:rPr>
          <w:rFonts w:eastAsia="Calibri"/>
          <w:color w:val="auto"/>
          <w:sz w:val="24"/>
          <w:szCs w:val="24"/>
          <w:lang w:eastAsia="en-US"/>
        </w:rPr>
      </w:pPr>
      <w:r>
        <w:rPr>
          <w:rFonts w:eastAsia="Calibri"/>
          <w:color w:val="auto"/>
          <w:sz w:val="24"/>
          <w:szCs w:val="24"/>
          <w:lang w:eastAsia="en-US"/>
        </w:rPr>
        <w:t xml:space="preserve">New Policy Institute. (2013) </w:t>
      </w:r>
      <w:r>
        <w:rPr>
          <w:rFonts w:eastAsia="Calibri"/>
          <w:i/>
          <w:color w:val="auto"/>
          <w:sz w:val="24"/>
          <w:szCs w:val="24"/>
          <w:lang w:eastAsia="en-US"/>
        </w:rPr>
        <w:t>Monitoring Poverty and Social Exclusion in Wales 2013</w:t>
      </w:r>
      <w:r>
        <w:rPr>
          <w:rFonts w:eastAsia="Calibri"/>
          <w:color w:val="auto"/>
          <w:sz w:val="24"/>
          <w:szCs w:val="24"/>
          <w:lang w:eastAsia="en-US"/>
        </w:rPr>
        <w:t>, York: Joseph Rowntree Foundation.</w:t>
      </w:r>
    </w:p>
    <w:p w14:paraId="45300FA4" w14:textId="03B9E280" w:rsidR="005E1CF2" w:rsidRDefault="00527869">
      <w:pPr>
        <w:overflowPunct/>
        <w:textAlignment w:val="auto"/>
        <w:rPr>
          <w:rFonts w:eastAsia="MS Mincho"/>
          <w:bCs/>
          <w:sz w:val="24"/>
          <w:szCs w:val="24"/>
        </w:rPr>
      </w:pPr>
      <w:r>
        <w:rPr>
          <w:rFonts w:eastAsia="MS Mincho"/>
          <w:bCs/>
          <w:sz w:val="24"/>
          <w:szCs w:val="24"/>
        </w:rPr>
        <w:t>O’Brian, J. Lyle, C. O’Brien, L (1998) Person Centred Planning, Inclusion Press</w:t>
      </w:r>
    </w:p>
    <w:p w14:paraId="5FD4D780" w14:textId="77777777" w:rsidR="005E1CF2" w:rsidRDefault="005E1CF2">
      <w:pPr>
        <w:overflowPunct/>
        <w:textAlignment w:val="auto"/>
        <w:rPr>
          <w:rFonts w:eastAsia="MS Mincho"/>
          <w:bCs/>
          <w:sz w:val="24"/>
          <w:szCs w:val="24"/>
        </w:rPr>
      </w:pPr>
    </w:p>
    <w:p w14:paraId="035C29F0" w14:textId="77777777" w:rsidR="005E1CF2" w:rsidRDefault="00527869">
      <w:pPr>
        <w:jc w:val="both"/>
        <w:rPr>
          <w:sz w:val="24"/>
          <w:szCs w:val="24"/>
        </w:rPr>
      </w:pPr>
      <w:r>
        <w:rPr>
          <w:sz w:val="24"/>
          <w:szCs w:val="24"/>
        </w:rPr>
        <w:t xml:space="preserve">Oko, J. (2008) </w:t>
      </w:r>
      <w:r>
        <w:rPr>
          <w:i/>
          <w:sz w:val="24"/>
          <w:szCs w:val="24"/>
        </w:rPr>
        <w:t>Understanding and Using Theory in Social Work</w:t>
      </w:r>
      <w:r>
        <w:rPr>
          <w:sz w:val="24"/>
          <w:szCs w:val="24"/>
        </w:rPr>
        <w:t>, 2</w:t>
      </w:r>
      <w:r>
        <w:rPr>
          <w:sz w:val="24"/>
          <w:szCs w:val="24"/>
          <w:vertAlign w:val="superscript"/>
        </w:rPr>
        <w:t>nd</w:t>
      </w:r>
      <w:r>
        <w:rPr>
          <w:sz w:val="24"/>
          <w:szCs w:val="24"/>
        </w:rPr>
        <w:t xml:space="preserve"> Edition, Exeter: Learning Matters.</w:t>
      </w:r>
    </w:p>
    <w:p w14:paraId="01C186E7" w14:textId="77777777" w:rsidR="005E1CF2" w:rsidRDefault="005E1CF2">
      <w:pPr>
        <w:overflowPunct/>
        <w:jc w:val="both"/>
        <w:textAlignment w:val="auto"/>
        <w:rPr>
          <w:rFonts w:eastAsia="MS Mincho"/>
          <w:color w:val="auto"/>
          <w:sz w:val="24"/>
          <w:szCs w:val="24"/>
          <w:lang w:eastAsia="en-US"/>
        </w:rPr>
      </w:pPr>
    </w:p>
    <w:p w14:paraId="045F9765" w14:textId="77777777" w:rsidR="009D097F" w:rsidRDefault="009D097F" w:rsidP="009D097F">
      <w:pPr>
        <w:spacing w:line="360" w:lineRule="auto"/>
        <w:jc w:val="both"/>
        <w:rPr>
          <w:sz w:val="24"/>
          <w:szCs w:val="24"/>
        </w:rPr>
      </w:pPr>
      <w:r>
        <w:rPr>
          <w:sz w:val="24"/>
          <w:szCs w:val="24"/>
        </w:rPr>
        <w:t xml:space="preserve">Parker &amp; Bradley (2009): </w:t>
      </w:r>
      <w:r w:rsidRPr="009D097F">
        <w:rPr>
          <w:i/>
          <w:iCs/>
          <w:sz w:val="24"/>
          <w:szCs w:val="24"/>
        </w:rPr>
        <w:t>Social Work Practice: Assessment, Planning, Intervention and Reviewing</w:t>
      </w:r>
      <w:r>
        <w:rPr>
          <w:sz w:val="24"/>
          <w:szCs w:val="24"/>
        </w:rPr>
        <w:t>, Learning Matters, Exeter;</w:t>
      </w:r>
    </w:p>
    <w:p w14:paraId="7860ED8F"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Parrott, L. (2010). </w:t>
      </w:r>
      <w:r>
        <w:rPr>
          <w:rFonts w:eastAsia="MS Mincho"/>
          <w:i/>
          <w:color w:val="auto"/>
          <w:sz w:val="24"/>
          <w:szCs w:val="24"/>
          <w:lang w:eastAsia="en-US"/>
        </w:rPr>
        <w:t xml:space="preserve">Values and Ethics in Social Work Practice. </w:t>
      </w:r>
      <w:r>
        <w:rPr>
          <w:rFonts w:eastAsia="MS Mincho"/>
          <w:color w:val="auto"/>
          <w:sz w:val="24"/>
          <w:szCs w:val="24"/>
          <w:lang w:eastAsia="en-US"/>
        </w:rPr>
        <w:t xml:space="preserve">Learning matters. Essex. </w:t>
      </w:r>
    </w:p>
    <w:p w14:paraId="265AE87C" w14:textId="77777777" w:rsidR="005E1CF2" w:rsidRDefault="005E1CF2">
      <w:pPr>
        <w:overflowPunct/>
        <w:jc w:val="both"/>
        <w:textAlignment w:val="auto"/>
        <w:rPr>
          <w:rFonts w:eastAsia="MS Mincho"/>
          <w:color w:val="auto"/>
          <w:sz w:val="24"/>
          <w:szCs w:val="24"/>
          <w:lang w:eastAsia="en-US"/>
        </w:rPr>
      </w:pPr>
    </w:p>
    <w:p w14:paraId="7C352BF4" w14:textId="77777777" w:rsidR="00F318FC" w:rsidRDefault="00F318FC" w:rsidP="00F318FC">
      <w:pPr>
        <w:overflowPunct/>
        <w:jc w:val="both"/>
        <w:textAlignment w:val="auto"/>
        <w:rPr>
          <w:sz w:val="24"/>
          <w:szCs w:val="24"/>
        </w:rPr>
      </w:pPr>
      <w:r>
        <w:rPr>
          <w:sz w:val="24"/>
          <w:szCs w:val="24"/>
        </w:rPr>
        <w:t>Payne (2005)</w:t>
      </w:r>
    </w:p>
    <w:p w14:paraId="1EE42FC5" w14:textId="77777777" w:rsidR="00F318FC" w:rsidRDefault="00F318FC" w:rsidP="00F318FC">
      <w:pPr>
        <w:overflowPunct/>
        <w:jc w:val="both"/>
        <w:textAlignment w:val="auto"/>
        <w:rPr>
          <w:sz w:val="24"/>
          <w:szCs w:val="24"/>
        </w:rPr>
      </w:pPr>
    </w:p>
    <w:p w14:paraId="3309636C" w14:textId="77777777" w:rsidR="00F318FC" w:rsidRDefault="00F318FC" w:rsidP="00F318FC">
      <w:pPr>
        <w:overflowPunct/>
        <w:jc w:val="both"/>
        <w:textAlignment w:val="auto"/>
        <w:rPr>
          <w:sz w:val="24"/>
          <w:szCs w:val="24"/>
        </w:rPr>
      </w:pPr>
      <w:r>
        <w:rPr>
          <w:sz w:val="24"/>
          <w:szCs w:val="24"/>
        </w:rPr>
        <w:t xml:space="preserve">Payne, M., 2014. Modern Social Work Theory and Practice. 4th ed. Basingstoke: Palgrave Macmillan. </w:t>
      </w:r>
    </w:p>
    <w:p w14:paraId="068A2189" w14:textId="77777777" w:rsidR="00F318FC" w:rsidRDefault="00F318FC">
      <w:pPr>
        <w:overflowPunct/>
        <w:jc w:val="both"/>
        <w:textAlignment w:val="auto"/>
        <w:rPr>
          <w:rFonts w:eastAsia="MS Mincho"/>
          <w:color w:val="auto"/>
          <w:sz w:val="24"/>
          <w:szCs w:val="24"/>
          <w:lang w:eastAsia="en-US"/>
        </w:rPr>
      </w:pPr>
    </w:p>
    <w:p w14:paraId="5F047492" w14:textId="0378A562" w:rsidR="00F318FC" w:rsidRDefault="00F318FC">
      <w:pPr>
        <w:overflowPunct/>
        <w:jc w:val="both"/>
        <w:textAlignment w:val="auto"/>
        <w:rPr>
          <w:rFonts w:eastAsia="MS Mincho"/>
          <w:color w:val="auto"/>
          <w:sz w:val="24"/>
          <w:szCs w:val="24"/>
          <w:lang w:eastAsia="en-US"/>
        </w:rPr>
      </w:pPr>
      <w:r>
        <w:rPr>
          <w:color w:val="auto"/>
          <w:sz w:val="24"/>
          <w:szCs w:val="24"/>
        </w:rPr>
        <w:t xml:space="preserve">Pritchard, C. (2006) </w:t>
      </w:r>
      <w:r>
        <w:rPr>
          <w:i/>
          <w:color w:val="auto"/>
          <w:sz w:val="24"/>
          <w:szCs w:val="24"/>
        </w:rPr>
        <w:t>Mental Health Social Work: Evidence-Based Practice</w:t>
      </w:r>
      <w:r>
        <w:rPr>
          <w:color w:val="auto"/>
          <w:sz w:val="24"/>
          <w:szCs w:val="24"/>
        </w:rPr>
        <w:t>, Oxon: Routledge.</w:t>
      </w:r>
    </w:p>
    <w:p w14:paraId="136ACE4A" w14:textId="77777777" w:rsidR="00F318FC" w:rsidRDefault="00F318FC">
      <w:pPr>
        <w:overflowPunct/>
        <w:jc w:val="both"/>
        <w:textAlignment w:val="auto"/>
        <w:rPr>
          <w:rFonts w:eastAsia="MS Mincho"/>
          <w:color w:val="auto"/>
          <w:sz w:val="24"/>
          <w:szCs w:val="24"/>
          <w:lang w:eastAsia="en-US"/>
        </w:rPr>
      </w:pPr>
    </w:p>
    <w:p w14:paraId="08959FD0" w14:textId="48F8FF66" w:rsidR="005E1CF2" w:rsidRDefault="00527869">
      <w:pPr>
        <w:overflowPunct/>
        <w:jc w:val="both"/>
        <w:textAlignment w:val="auto"/>
        <w:rPr>
          <w:rFonts w:eastAsia="MS Mincho"/>
          <w:color w:val="auto"/>
          <w:sz w:val="24"/>
          <w:szCs w:val="24"/>
          <w:lang w:eastAsia="en-US"/>
        </w:rPr>
      </w:pPr>
      <w:proofErr w:type="spellStart"/>
      <w:r>
        <w:rPr>
          <w:rFonts w:eastAsia="MS Mincho"/>
          <w:color w:val="auto"/>
          <w:sz w:val="24"/>
          <w:szCs w:val="24"/>
          <w:lang w:eastAsia="en-US"/>
        </w:rPr>
        <w:t>Reupert</w:t>
      </w:r>
      <w:proofErr w:type="spellEnd"/>
      <w:r>
        <w:rPr>
          <w:rFonts w:eastAsia="MS Mincho"/>
          <w:color w:val="auto"/>
          <w:sz w:val="24"/>
          <w:szCs w:val="24"/>
          <w:lang w:eastAsia="en-US"/>
        </w:rPr>
        <w:t xml:space="preserve">, A. and </w:t>
      </w:r>
      <w:proofErr w:type="spellStart"/>
      <w:r>
        <w:rPr>
          <w:rFonts w:eastAsia="MS Mincho"/>
          <w:color w:val="auto"/>
          <w:sz w:val="24"/>
          <w:szCs w:val="24"/>
          <w:lang w:eastAsia="en-US"/>
        </w:rPr>
        <w:t>Maybery</w:t>
      </w:r>
      <w:proofErr w:type="spellEnd"/>
      <w:r>
        <w:rPr>
          <w:rFonts w:eastAsia="MS Mincho"/>
          <w:color w:val="auto"/>
          <w:sz w:val="24"/>
          <w:szCs w:val="24"/>
          <w:lang w:eastAsia="en-US"/>
        </w:rPr>
        <w:t xml:space="preserve">, D. (2007) ‘Families affected by parental mental illness; A </w:t>
      </w:r>
      <w:proofErr w:type="spellStart"/>
      <w:r>
        <w:rPr>
          <w:rFonts w:eastAsia="MS Mincho"/>
          <w:color w:val="auto"/>
          <w:sz w:val="24"/>
          <w:szCs w:val="24"/>
          <w:lang w:eastAsia="en-US"/>
        </w:rPr>
        <w:t>multiperspective</w:t>
      </w:r>
      <w:proofErr w:type="spellEnd"/>
      <w:r>
        <w:rPr>
          <w:rFonts w:eastAsia="MS Mincho"/>
          <w:color w:val="auto"/>
          <w:sz w:val="24"/>
          <w:szCs w:val="24"/>
          <w:lang w:eastAsia="en-US"/>
        </w:rPr>
        <w:t xml:space="preserve"> account of issues and interventions.’ American Journal of Orthopsychiatry 77, 3, 362–369.</w:t>
      </w:r>
    </w:p>
    <w:p w14:paraId="6F209BF7" w14:textId="77777777" w:rsidR="005E1CF2" w:rsidRDefault="005E1CF2">
      <w:pPr>
        <w:overflowPunct/>
        <w:jc w:val="both"/>
        <w:textAlignment w:val="auto"/>
        <w:rPr>
          <w:rFonts w:eastAsia="MS Mincho"/>
          <w:color w:val="auto"/>
          <w:sz w:val="24"/>
          <w:szCs w:val="24"/>
          <w:lang w:eastAsia="en-US"/>
        </w:rPr>
      </w:pPr>
    </w:p>
    <w:p w14:paraId="36BF06CC" w14:textId="77777777" w:rsidR="00B715ED" w:rsidRDefault="00B715ED" w:rsidP="00B715ED">
      <w:pPr>
        <w:spacing w:line="360" w:lineRule="auto"/>
        <w:rPr>
          <w:sz w:val="24"/>
          <w:szCs w:val="24"/>
        </w:rPr>
      </w:pPr>
      <w:r>
        <w:rPr>
          <w:sz w:val="24"/>
          <w:szCs w:val="24"/>
        </w:rPr>
        <w:t xml:space="preserve">Ruch, G. (2005): </w:t>
      </w:r>
      <w:r w:rsidRPr="00642EFA">
        <w:rPr>
          <w:i/>
          <w:iCs/>
          <w:sz w:val="24"/>
          <w:szCs w:val="24"/>
        </w:rPr>
        <w:t>Relationship-based Practice and Reflective Practice</w:t>
      </w:r>
      <w:r>
        <w:rPr>
          <w:sz w:val="24"/>
          <w:szCs w:val="24"/>
        </w:rPr>
        <w:t xml:space="preserve">: Holistic Approaches to Contemporary Child Care Social Work, </w:t>
      </w:r>
      <w:r w:rsidRPr="00E43F7F">
        <w:rPr>
          <w:i/>
          <w:sz w:val="24"/>
          <w:szCs w:val="24"/>
        </w:rPr>
        <w:t>Child &amp; Family Social Work</w:t>
      </w:r>
      <w:r>
        <w:rPr>
          <w:sz w:val="24"/>
          <w:szCs w:val="24"/>
        </w:rPr>
        <w:t>, Vol 10(2), pp111-123;</w:t>
      </w:r>
    </w:p>
    <w:p w14:paraId="12331CE8" w14:textId="77777777" w:rsidR="00AA4EA4" w:rsidRDefault="00AA4EA4">
      <w:pPr>
        <w:overflowPunct/>
        <w:jc w:val="both"/>
        <w:textAlignment w:val="auto"/>
        <w:rPr>
          <w:rFonts w:eastAsia="MS Mincho"/>
          <w:color w:val="auto"/>
          <w:sz w:val="24"/>
          <w:szCs w:val="24"/>
          <w:lang w:eastAsia="en-US"/>
        </w:rPr>
      </w:pPr>
    </w:p>
    <w:p w14:paraId="510C55C8" w14:textId="6725B3F0"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Schein, E. H. (1997). </w:t>
      </w:r>
      <w:r>
        <w:rPr>
          <w:rFonts w:eastAsia="MS Mincho"/>
          <w:i/>
          <w:color w:val="auto"/>
          <w:sz w:val="24"/>
          <w:szCs w:val="24"/>
          <w:lang w:eastAsia="en-US"/>
        </w:rPr>
        <w:t xml:space="preserve">Organisational leadership and culture. </w:t>
      </w:r>
      <w:r>
        <w:rPr>
          <w:rFonts w:eastAsia="MS Mincho"/>
          <w:color w:val="auto"/>
          <w:sz w:val="24"/>
          <w:szCs w:val="24"/>
          <w:lang w:eastAsia="en-US"/>
        </w:rPr>
        <w:t xml:space="preserve">Jossey Boss. San Francisco. </w:t>
      </w:r>
    </w:p>
    <w:p w14:paraId="2C74E690" w14:textId="1BBDFD21" w:rsidR="004C6BF0" w:rsidRDefault="004C6BF0">
      <w:pPr>
        <w:overflowPunct/>
        <w:jc w:val="both"/>
        <w:textAlignment w:val="auto"/>
        <w:rPr>
          <w:rFonts w:eastAsia="MS Mincho"/>
          <w:color w:val="auto"/>
          <w:sz w:val="24"/>
          <w:szCs w:val="24"/>
          <w:lang w:eastAsia="en-US"/>
        </w:rPr>
      </w:pPr>
    </w:p>
    <w:p w14:paraId="3ECDFD8A" w14:textId="1E9ECA81" w:rsidR="00642EFA" w:rsidRDefault="00642EFA" w:rsidP="00642EFA">
      <w:pPr>
        <w:spacing w:line="360" w:lineRule="auto"/>
        <w:rPr>
          <w:sz w:val="24"/>
          <w:szCs w:val="24"/>
        </w:rPr>
      </w:pPr>
      <w:r>
        <w:rPr>
          <w:sz w:val="24"/>
          <w:szCs w:val="24"/>
        </w:rPr>
        <w:t xml:space="preserve">Schon, D. (1983): </w:t>
      </w:r>
      <w:r w:rsidRPr="00642EFA">
        <w:rPr>
          <w:i/>
          <w:iCs/>
          <w:sz w:val="24"/>
          <w:szCs w:val="24"/>
        </w:rPr>
        <w:t>The Reflective Practitioner: How Professionals Think in Action</w:t>
      </w:r>
      <w:r>
        <w:rPr>
          <w:sz w:val="24"/>
          <w:szCs w:val="24"/>
        </w:rPr>
        <w:t>, Temple Smith, London;</w:t>
      </w:r>
    </w:p>
    <w:p w14:paraId="6890E54A" w14:textId="0173F101" w:rsidR="00642EFA" w:rsidRDefault="00642EFA" w:rsidP="00642EFA">
      <w:pPr>
        <w:spacing w:line="360" w:lineRule="auto"/>
        <w:rPr>
          <w:sz w:val="24"/>
          <w:szCs w:val="24"/>
        </w:rPr>
      </w:pPr>
      <w:r>
        <w:rPr>
          <w:sz w:val="24"/>
          <w:szCs w:val="24"/>
        </w:rPr>
        <w:t xml:space="preserve">Schon, D. (1987): </w:t>
      </w:r>
      <w:r w:rsidRPr="00642EFA">
        <w:rPr>
          <w:i/>
          <w:iCs/>
          <w:sz w:val="24"/>
          <w:szCs w:val="24"/>
        </w:rPr>
        <w:t>Educating the Reflective Practitioner</w:t>
      </w:r>
      <w:r>
        <w:rPr>
          <w:sz w:val="24"/>
          <w:szCs w:val="24"/>
        </w:rPr>
        <w:t>, Temple Smith, London;</w:t>
      </w:r>
    </w:p>
    <w:p w14:paraId="6143A7A8" w14:textId="77777777" w:rsidR="005E1CF2" w:rsidRDefault="005E1CF2">
      <w:pPr>
        <w:overflowPunct/>
        <w:jc w:val="both"/>
        <w:textAlignment w:val="auto"/>
        <w:rPr>
          <w:color w:val="auto"/>
          <w:sz w:val="24"/>
          <w:szCs w:val="24"/>
          <w:lang w:eastAsia="en-US"/>
        </w:rPr>
      </w:pPr>
    </w:p>
    <w:p w14:paraId="32AA1E0E" w14:textId="77777777" w:rsidR="00AE6C08" w:rsidRDefault="00AE6C08">
      <w:pPr>
        <w:overflowPunct/>
        <w:jc w:val="both"/>
        <w:textAlignment w:val="auto"/>
        <w:rPr>
          <w:color w:val="auto"/>
          <w:sz w:val="24"/>
          <w:szCs w:val="24"/>
          <w:lang w:eastAsia="en-US"/>
        </w:rPr>
      </w:pPr>
    </w:p>
    <w:p w14:paraId="20CA1483" w14:textId="5B76677B" w:rsidR="00AE6C08" w:rsidRDefault="00AE6C08" w:rsidP="00AE6C08">
      <w:pPr>
        <w:overflowPunct/>
        <w:jc w:val="both"/>
        <w:textAlignment w:val="auto"/>
        <w:rPr>
          <w:sz w:val="24"/>
          <w:szCs w:val="24"/>
        </w:rPr>
      </w:pPr>
      <w:r>
        <w:rPr>
          <w:sz w:val="24"/>
          <w:szCs w:val="24"/>
        </w:rPr>
        <w:t xml:space="preserve">SCIE. Overview of communication skills in social work. [Online] Available at: www.scie.org.uk </w:t>
      </w:r>
      <w:r>
        <w:rPr>
          <w:sz w:val="24"/>
          <w:szCs w:val="24"/>
        </w:rPr>
        <w:t>(</w:t>
      </w:r>
      <w:r>
        <w:rPr>
          <w:sz w:val="24"/>
          <w:szCs w:val="24"/>
        </w:rPr>
        <w:t>Accessed 08th January 2019</w:t>
      </w:r>
      <w:r>
        <w:rPr>
          <w:sz w:val="24"/>
          <w:szCs w:val="24"/>
        </w:rPr>
        <w:t>)</w:t>
      </w:r>
      <w:r>
        <w:rPr>
          <w:sz w:val="24"/>
          <w:szCs w:val="24"/>
        </w:rPr>
        <w:t xml:space="preserve">. </w:t>
      </w:r>
    </w:p>
    <w:p w14:paraId="0381BA1D" w14:textId="77777777" w:rsidR="00AE6C08" w:rsidRDefault="00AE6C08" w:rsidP="00AE6C08">
      <w:pPr>
        <w:overflowPunct/>
        <w:jc w:val="both"/>
        <w:textAlignment w:val="auto"/>
        <w:rPr>
          <w:sz w:val="24"/>
          <w:szCs w:val="24"/>
        </w:rPr>
      </w:pPr>
    </w:p>
    <w:p w14:paraId="22CD99D1" w14:textId="77777777" w:rsidR="00AE6C08" w:rsidRDefault="00AE6C08" w:rsidP="00AE6C08">
      <w:pPr>
        <w:overflowPunct/>
        <w:jc w:val="both"/>
        <w:textAlignment w:val="auto"/>
      </w:pPr>
      <w:r>
        <w:rPr>
          <w:rFonts w:eastAsia="Calibri"/>
          <w:color w:val="auto"/>
          <w:sz w:val="24"/>
          <w:szCs w:val="24"/>
          <w:lang w:eastAsia="en-US"/>
        </w:rPr>
        <w:t xml:space="preserve">SCIE. Types and indicators of Abuse  (Online) Available at; </w:t>
      </w:r>
      <w:hyperlink r:id="rId17">
        <w:r>
          <w:rPr>
            <w:rStyle w:val="ListLabel42"/>
          </w:rPr>
          <w:t>https://www.scie.org.uk/safeguarding/adults/introduction/types-and-indicators-of-abuse</w:t>
        </w:r>
      </w:hyperlink>
      <w:r>
        <w:rPr>
          <w:rFonts w:eastAsia="Calibri"/>
          <w:color w:val="auto"/>
          <w:sz w:val="24"/>
          <w:szCs w:val="24"/>
          <w:lang w:eastAsia="en-US"/>
        </w:rPr>
        <w:t xml:space="preserve"> (accessed 06.09.2019).</w:t>
      </w:r>
    </w:p>
    <w:p w14:paraId="67256615" w14:textId="77777777" w:rsidR="00AE6C08" w:rsidRDefault="00AE6C08">
      <w:pPr>
        <w:overflowPunct/>
        <w:jc w:val="both"/>
        <w:textAlignment w:val="auto"/>
        <w:rPr>
          <w:color w:val="auto"/>
          <w:sz w:val="24"/>
          <w:szCs w:val="24"/>
          <w:lang w:eastAsia="en-US"/>
        </w:rPr>
      </w:pPr>
    </w:p>
    <w:p w14:paraId="7B83B53D" w14:textId="434FCAD7" w:rsidR="005E1CF2" w:rsidRDefault="00527869">
      <w:pPr>
        <w:overflowPunct/>
        <w:jc w:val="both"/>
        <w:textAlignment w:val="auto"/>
        <w:rPr>
          <w:color w:val="auto"/>
          <w:sz w:val="24"/>
          <w:szCs w:val="24"/>
          <w:lang w:eastAsia="en-US"/>
        </w:rPr>
      </w:pPr>
      <w:proofErr w:type="spellStart"/>
      <w:r>
        <w:rPr>
          <w:color w:val="auto"/>
          <w:sz w:val="24"/>
          <w:szCs w:val="24"/>
          <w:lang w:eastAsia="en-US"/>
        </w:rPr>
        <w:t>Smale</w:t>
      </w:r>
      <w:proofErr w:type="spellEnd"/>
      <w:r>
        <w:rPr>
          <w:color w:val="auto"/>
          <w:sz w:val="24"/>
          <w:szCs w:val="24"/>
          <w:lang w:eastAsia="en-US"/>
        </w:rPr>
        <w:t>, G.,</w:t>
      </w:r>
      <w:proofErr w:type="spellStart"/>
      <w:r>
        <w:rPr>
          <w:color w:val="auto"/>
          <w:sz w:val="24"/>
          <w:szCs w:val="24"/>
          <w:lang w:eastAsia="en-US"/>
        </w:rPr>
        <w:t>Tuson</w:t>
      </w:r>
      <w:proofErr w:type="spellEnd"/>
      <w:r>
        <w:rPr>
          <w:color w:val="auto"/>
          <w:sz w:val="24"/>
          <w:szCs w:val="24"/>
          <w:lang w:eastAsia="en-US"/>
        </w:rPr>
        <w:t>, G.,</w:t>
      </w:r>
      <w:proofErr w:type="spellStart"/>
      <w:r>
        <w:rPr>
          <w:color w:val="auto"/>
          <w:sz w:val="24"/>
          <w:szCs w:val="24"/>
          <w:lang w:eastAsia="en-US"/>
        </w:rPr>
        <w:t>Biehal</w:t>
      </w:r>
      <w:proofErr w:type="spellEnd"/>
      <w:r>
        <w:rPr>
          <w:color w:val="auto"/>
          <w:sz w:val="24"/>
          <w:szCs w:val="24"/>
          <w:lang w:eastAsia="en-US"/>
        </w:rPr>
        <w:t xml:space="preserve">, N &amp; Marsh, P (1993) </w:t>
      </w:r>
      <w:r>
        <w:rPr>
          <w:i/>
          <w:color w:val="auto"/>
          <w:sz w:val="24"/>
          <w:szCs w:val="24"/>
          <w:lang w:eastAsia="en-US"/>
        </w:rPr>
        <w:t>Empowerment, Assessment, Care Management and the Skilled Worker</w:t>
      </w:r>
      <w:r>
        <w:rPr>
          <w:color w:val="auto"/>
          <w:sz w:val="24"/>
          <w:szCs w:val="24"/>
          <w:lang w:eastAsia="en-US"/>
        </w:rPr>
        <w:t>. HMSO, London</w:t>
      </w:r>
    </w:p>
    <w:p w14:paraId="06CCE3DE" w14:textId="77777777" w:rsidR="005E1CF2" w:rsidRDefault="005E1CF2">
      <w:pPr>
        <w:overflowPunct/>
        <w:textAlignment w:val="auto"/>
        <w:rPr>
          <w:rFonts w:eastAsia="MS Mincho"/>
          <w:color w:val="auto"/>
          <w:sz w:val="24"/>
          <w:szCs w:val="24"/>
        </w:rPr>
      </w:pPr>
    </w:p>
    <w:p w14:paraId="7D4E751D" w14:textId="034C28A9" w:rsidR="005E1CF2" w:rsidRDefault="00527869">
      <w:pPr>
        <w:overflowPunct/>
        <w:textAlignment w:val="auto"/>
        <w:rPr>
          <w:rFonts w:eastAsia="MS Mincho"/>
          <w:color w:val="auto"/>
          <w:sz w:val="24"/>
          <w:szCs w:val="24"/>
        </w:rPr>
      </w:pPr>
      <w:r>
        <w:rPr>
          <w:rFonts w:eastAsia="MS Mincho"/>
          <w:color w:val="auto"/>
          <w:sz w:val="24"/>
          <w:szCs w:val="24"/>
        </w:rPr>
        <w:t xml:space="preserve">Social Service and Well-being </w:t>
      </w:r>
      <w:r w:rsidR="00642EFA">
        <w:rPr>
          <w:rFonts w:eastAsia="MS Mincho"/>
          <w:color w:val="auto"/>
          <w:sz w:val="24"/>
          <w:szCs w:val="24"/>
        </w:rPr>
        <w:t xml:space="preserve">(Wales) </w:t>
      </w:r>
      <w:r>
        <w:rPr>
          <w:rFonts w:eastAsia="MS Mincho"/>
          <w:color w:val="auto"/>
          <w:sz w:val="24"/>
          <w:szCs w:val="24"/>
        </w:rPr>
        <w:t>Act 2014, Cardiff: HMSO</w:t>
      </w:r>
    </w:p>
    <w:p w14:paraId="45EFE5F3" w14:textId="77777777" w:rsidR="005E1CF2" w:rsidRDefault="005E1CF2">
      <w:pPr>
        <w:overflowPunct/>
        <w:textAlignment w:val="auto"/>
        <w:rPr>
          <w:rFonts w:eastAsia="MS Mincho"/>
          <w:color w:val="auto"/>
          <w:sz w:val="24"/>
          <w:szCs w:val="24"/>
        </w:rPr>
      </w:pPr>
    </w:p>
    <w:p w14:paraId="1F558467" w14:textId="77777777" w:rsidR="005E1CF2" w:rsidRDefault="00527869">
      <w:pPr>
        <w:overflowPunct/>
        <w:textAlignment w:val="auto"/>
        <w:rPr>
          <w:rFonts w:eastAsia="MS Mincho"/>
          <w:color w:val="auto"/>
          <w:sz w:val="24"/>
          <w:szCs w:val="24"/>
        </w:rPr>
      </w:pPr>
      <w:r>
        <w:rPr>
          <w:rFonts w:eastAsia="MS Mincho"/>
          <w:color w:val="auto"/>
          <w:sz w:val="24"/>
          <w:szCs w:val="24"/>
        </w:rPr>
        <w:t xml:space="preserve">Social Services Inspectorate Wales. (1999) </w:t>
      </w:r>
      <w:r>
        <w:rPr>
          <w:rFonts w:eastAsia="MS Mincho"/>
          <w:i/>
          <w:color w:val="auto"/>
          <w:sz w:val="24"/>
          <w:szCs w:val="24"/>
        </w:rPr>
        <w:t>Care in the Country- Inspection of Community Care Services in Rural Areas</w:t>
      </w:r>
      <w:r>
        <w:rPr>
          <w:rFonts w:eastAsia="MS Mincho"/>
          <w:color w:val="auto"/>
          <w:sz w:val="24"/>
          <w:szCs w:val="24"/>
        </w:rPr>
        <w:t xml:space="preserve">, Cardiff: </w:t>
      </w:r>
    </w:p>
    <w:p w14:paraId="2EC53730" w14:textId="77777777" w:rsidR="005E1CF2" w:rsidRDefault="005E1CF2">
      <w:pPr>
        <w:overflowPunct/>
        <w:textAlignment w:val="auto"/>
        <w:rPr>
          <w:rFonts w:eastAsia="MS Mincho"/>
          <w:color w:val="auto"/>
          <w:sz w:val="24"/>
          <w:szCs w:val="24"/>
        </w:rPr>
      </w:pPr>
    </w:p>
    <w:p w14:paraId="5EE3091F" w14:textId="77777777" w:rsidR="005E1CF2" w:rsidRDefault="00527869">
      <w:pPr>
        <w:overflowPunct/>
        <w:textAlignment w:val="auto"/>
        <w:rPr>
          <w:rFonts w:eastAsia="MS Mincho"/>
          <w:i/>
          <w:color w:val="auto"/>
          <w:sz w:val="24"/>
          <w:szCs w:val="24"/>
        </w:rPr>
      </w:pPr>
      <w:r>
        <w:rPr>
          <w:rFonts w:eastAsia="MS Mincho"/>
          <w:color w:val="auto"/>
          <w:sz w:val="24"/>
          <w:szCs w:val="24"/>
        </w:rPr>
        <w:t xml:space="preserve">Social Work Task Force (2009) </w:t>
      </w:r>
      <w:r>
        <w:rPr>
          <w:rFonts w:eastAsia="MS Mincho"/>
          <w:i/>
          <w:color w:val="auto"/>
          <w:sz w:val="24"/>
          <w:szCs w:val="24"/>
        </w:rPr>
        <w:t xml:space="preserve">Building a Safe Confident Future. The Final Report </w:t>
      </w:r>
    </w:p>
    <w:p w14:paraId="46E1DE8D" w14:textId="77777777" w:rsidR="005E1CF2" w:rsidRDefault="005E1CF2">
      <w:pPr>
        <w:overflowPunct/>
        <w:textAlignment w:val="auto"/>
        <w:rPr>
          <w:rFonts w:eastAsia="MS Mincho"/>
          <w:i/>
          <w:color w:val="auto"/>
          <w:sz w:val="24"/>
          <w:szCs w:val="24"/>
        </w:rPr>
      </w:pPr>
    </w:p>
    <w:p w14:paraId="62239D77" w14:textId="77777777" w:rsidR="005E1CF2" w:rsidRDefault="00527869">
      <w:pPr>
        <w:overflowPunct/>
        <w:textAlignment w:val="auto"/>
        <w:rPr>
          <w:rFonts w:eastAsia="MS Mincho"/>
          <w:color w:val="auto"/>
          <w:sz w:val="24"/>
          <w:szCs w:val="24"/>
        </w:rPr>
      </w:pPr>
      <w:r>
        <w:rPr>
          <w:rFonts w:eastAsia="MS Mincho"/>
          <w:i/>
          <w:color w:val="auto"/>
          <w:sz w:val="24"/>
          <w:szCs w:val="24"/>
        </w:rPr>
        <w:t>Social Work Task Force: November 2009</w:t>
      </w:r>
      <w:r>
        <w:rPr>
          <w:rFonts w:eastAsia="MS Mincho"/>
          <w:color w:val="auto"/>
          <w:sz w:val="24"/>
          <w:szCs w:val="24"/>
        </w:rPr>
        <w:t>. Social Work Task Force, London.</w:t>
      </w:r>
    </w:p>
    <w:p w14:paraId="0B5CBAB2" w14:textId="77777777" w:rsidR="005E1CF2" w:rsidRDefault="005E1CF2">
      <w:pPr>
        <w:overflowPunct/>
        <w:jc w:val="both"/>
        <w:textAlignment w:val="auto"/>
        <w:rPr>
          <w:rFonts w:eastAsia="MS Mincho"/>
          <w:color w:val="auto"/>
          <w:sz w:val="24"/>
          <w:szCs w:val="24"/>
          <w:lang w:eastAsia="en-US"/>
        </w:rPr>
      </w:pPr>
    </w:p>
    <w:p w14:paraId="2C5248E0" w14:textId="77777777" w:rsidR="00F318FC" w:rsidRDefault="00F318FC" w:rsidP="00F318FC">
      <w:pPr>
        <w:overflowPunct/>
        <w:jc w:val="both"/>
        <w:textAlignment w:val="auto"/>
        <w:rPr>
          <w:rFonts w:eastAsia="Calibri"/>
          <w:color w:val="auto"/>
          <w:sz w:val="24"/>
          <w:szCs w:val="24"/>
          <w:lang w:eastAsia="en-US"/>
        </w:rPr>
      </w:pPr>
      <w:r>
        <w:rPr>
          <w:rFonts w:eastAsia="Calibri"/>
          <w:color w:val="auto"/>
          <w:sz w:val="24"/>
          <w:szCs w:val="24"/>
          <w:lang w:eastAsia="en-US"/>
        </w:rPr>
        <w:t xml:space="preserve">Stanley, N. and Cox, C. (2011) </w:t>
      </w:r>
      <w:r>
        <w:rPr>
          <w:rFonts w:eastAsia="Calibri"/>
          <w:i/>
          <w:color w:val="auto"/>
          <w:sz w:val="24"/>
          <w:szCs w:val="24"/>
          <w:lang w:eastAsia="en-US"/>
        </w:rPr>
        <w:t>Parental mental health and child welfare: reviews of policy and professional education</w:t>
      </w:r>
      <w:r>
        <w:rPr>
          <w:rFonts w:eastAsia="Calibri"/>
          <w:color w:val="auto"/>
          <w:sz w:val="24"/>
          <w:szCs w:val="24"/>
          <w:lang w:eastAsia="en-US"/>
        </w:rPr>
        <w:t>, London: Social Care Institute for Excellence.</w:t>
      </w:r>
    </w:p>
    <w:p w14:paraId="71B79EC1" w14:textId="77777777" w:rsidR="00F318FC" w:rsidRDefault="00F318FC">
      <w:pPr>
        <w:overflowPunct/>
        <w:jc w:val="both"/>
        <w:textAlignment w:val="auto"/>
        <w:rPr>
          <w:rFonts w:eastAsia="MS Mincho"/>
          <w:color w:val="auto"/>
          <w:sz w:val="24"/>
          <w:szCs w:val="24"/>
          <w:lang w:eastAsia="en-US"/>
        </w:rPr>
      </w:pPr>
    </w:p>
    <w:p w14:paraId="7F72F7AE" w14:textId="62A42B80"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Sudbury, J. 2010. </w:t>
      </w:r>
      <w:r>
        <w:rPr>
          <w:rFonts w:eastAsia="MS Mincho"/>
          <w:i/>
          <w:color w:val="auto"/>
          <w:sz w:val="24"/>
          <w:szCs w:val="24"/>
          <w:lang w:eastAsia="en-US"/>
        </w:rPr>
        <w:t>Human Growth and Development. London</w:t>
      </w:r>
      <w:r>
        <w:rPr>
          <w:rFonts w:eastAsia="MS Mincho"/>
          <w:color w:val="auto"/>
          <w:sz w:val="24"/>
          <w:szCs w:val="24"/>
          <w:lang w:eastAsia="en-US"/>
        </w:rPr>
        <w:t xml:space="preserve">: Taylor &amp; Francis. </w:t>
      </w:r>
    </w:p>
    <w:p w14:paraId="58534562" w14:textId="77777777" w:rsidR="005E1CF2" w:rsidRDefault="005E1CF2">
      <w:pPr>
        <w:overflowPunct/>
        <w:jc w:val="both"/>
        <w:textAlignment w:val="auto"/>
        <w:rPr>
          <w:rFonts w:eastAsia="MS Mincho"/>
          <w:color w:val="auto"/>
          <w:sz w:val="24"/>
          <w:szCs w:val="24"/>
          <w:lang w:eastAsia="en-US"/>
        </w:rPr>
      </w:pPr>
    </w:p>
    <w:p w14:paraId="2A6F2537" w14:textId="77777777" w:rsidR="00F451E7" w:rsidRDefault="00F451E7" w:rsidP="00F451E7">
      <w:pPr>
        <w:spacing w:line="360" w:lineRule="auto"/>
        <w:rPr>
          <w:sz w:val="24"/>
          <w:szCs w:val="24"/>
        </w:rPr>
      </w:pPr>
      <w:r>
        <w:rPr>
          <w:sz w:val="24"/>
          <w:szCs w:val="24"/>
        </w:rPr>
        <w:t xml:space="preserve">Tate, S.  Sills, M. (2004): </w:t>
      </w:r>
      <w:r w:rsidRPr="00F451E7">
        <w:rPr>
          <w:i/>
          <w:iCs/>
          <w:sz w:val="24"/>
          <w:szCs w:val="24"/>
        </w:rPr>
        <w:t>The Development of Critical Reflection in the Health Professions</w:t>
      </w:r>
      <w:r>
        <w:rPr>
          <w:sz w:val="24"/>
          <w:szCs w:val="24"/>
        </w:rPr>
        <w:t>, Higher Education Academy, London;</w:t>
      </w:r>
    </w:p>
    <w:p w14:paraId="3AAB051B" w14:textId="77777777" w:rsidR="00FE5A4F" w:rsidRDefault="00FE5A4F">
      <w:pPr>
        <w:overflowPunct/>
        <w:jc w:val="both"/>
        <w:textAlignment w:val="auto"/>
        <w:rPr>
          <w:rFonts w:eastAsia="MS Mincho"/>
          <w:color w:val="auto"/>
          <w:sz w:val="24"/>
          <w:szCs w:val="24"/>
          <w:lang w:eastAsia="en-US"/>
        </w:rPr>
      </w:pPr>
    </w:p>
    <w:p w14:paraId="516514F0" w14:textId="77777777" w:rsidR="00870600" w:rsidRPr="00F4690B" w:rsidRDefault="00870600" w:rsidP="00870600">
      <w:pPr>
        <w:spacing w:line="360" w:lineRule="auto"/>
        <w:jc w:val="both"/>
        <w:rPr>
          <w:rFonts w:eastAsiaTheme="minorHAnsi"/>
          <w:sz w:val="24"/>
          <w:szCs w:val="24"/>
        </w:rPr>
      </w:pPr>
      <w:r w:rsidRPr="00F4690B">
        <w:rPr>
          <w:rFonts w:eastAsiaTheme="minorHAnsi"/>
          <w:sz w:val="24"/>
          <w:szCs w:val="24"/>
        </w:rPr>
        <w:t>Thomas, N &amp; O'Kane, C. (1999), Children's Participation In Reviews And Planning Meetings. Child and Family Social Work, Volume 4, pp. 221-230.</w:t>
      </w:r>
    </w:p>
    <w:p w14:paraId="3B0FA193" w14:textId="77777777" w:rsidR="00870600" w:rsidRDefault="00870600">
      <w:pPr>
        <w:overflowPunct/>
        <w:jc w:val="both"/>
        <w:textAlignment w:val="auto"/>
        <w:rPr>
          <w:rFonts w:eastAsia="MS Mincho"/>
          <w:color w:val="auto"/>
          <w:sz w:val="24"/>
          <w:szCs w:val="24"/>
          <w:lang w:eastAsia="en-US"/>
        </w:rPr>
      </w:pPr>
    </w:p>
    <w:p w14:paraId="0D999B45" w14:textId="03A0635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Thompson, N. (2010). </w:t>
      </w:r>
      <w:r>
        <w:rPr>
          <w:rFonts w:eastAsia="MS Mincho"/>
          <w:i/>
          <w:color w:val="auto"/>
          <w:sz w:val="24"/>
          <w:szCs w:val="24"/>
          <w:lang w:eastAsia="en-US"/>
        </w:rPr>
        <w:t xml:space="preserve">Theorising Social work practice. </w:t>
      </w:r>
      <w:r>
        <w:rPr>
          <w:rFonts w:eastAsia="MS Mincho"/>
          <w:color w:val="auto"/>
          <w:sz w:val="24"/>
          <w:szCs w:val="24"/>
          <w:lang w:eastAsia="en-US"/>
        </w:rPr>
        <w:t xml:space="preserve">Palgrave Macmillan. New York. </w:t>
      </w:r>
    </w:p>
    <w:p w14:paraId="58E65CC3" w14:textId="77777777" w:rsidR="005E1CF2" w:rsidRDefault="005E1CF2">
      <w:pPr>
        <w:overflowPunct/>
        <w:jc w:val="both"/>
        <w:textAlignment w:val="auto"/>
        <w:rPr>
          <w:rFonts w:eastAsia="MS Mincho"/>
          <w:color w:val="auto"/>
          <w:sz w:val="24"/>
          <w:szCs w:val="24"/>
          <w:lang w:eastAsia="en-US"/>
        </w:rPr>
      </w:pPr>
    </w:p>
    <w:p w14:paraId="1881959C"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Thompson, N. (2006), Anti-Discriminatory Practice, 4th ed. Basingstoke: Palgrave </w:t>
      </w:r>
      <w:proofErr w:type="spellStart"/>
      <w:r>
        <w:rPr>
          <w:rFonts w:eastAsia="MS Mincho"/>
          <w:color w:val="auto"/>
          <w:sz w:val="24"/>
          <w:szCs w:val="24"/>
          <w:lang w:eastAsia="en-US"/>
        </w:rPr>
        <w:t>Macmillian</w:t>
      </w:r>
      <w:proofErr w:type="spellEnd"/>
      <w:r>
        <w:rPr>
          <w:rFonts w:eastAsia="MS Mincho"/>
          <w:color w:val="auto"/>
          <w:sz w:val="24"/>
          <w:szCs w:val="24"/>
          <w:lang w:eastAsia="en-US"/>
        </w:rPr>
        <w:t>.</w:t>
      </w:r>
    </w:p>
    <w:p w14:paraId="3E55434F" w14:textId="77777777" w:rsidR="005E1CF2" w:rsidRDefault="005E1CF2">
      <w:pPr>
        <w:overflowPunct/>
        <w:jc w:val="both"/>
        <w:textAlignment w:val="auto"/>
        <w:rPr>
          <w:rFonts w:eastAsia="MS Mincho"/>
          <w:color w:val="auto"/>
          <w:sz w:val="24"/>
          <w:szCs w:val="24"/>
          <w:lang w:eastAsia="en-US"/>
        </w:rPr>
      </w:pPr>
    </w:p>
    <w:p w14:paraId="68040C08"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Thompson, N. and Thompson, S. (2008). </w:t>
      </w:r>
      <w:r>
        <w:rPr>
          <w:rFonts w:eastAsia="MS Mincho"/>
          <w:i/>
          <w:color w:val="auto"/>
          <w:sz w:val="24"/>
          <w:szCs w:val="24"/>
          <w:lang w:eastAsia="en-US"/>
        </w:rPr>
        <w:t xml:space="preserve">Critically reflective practitioner. </w:t>
      </w:r>
      <w:r>
        <w:rPr>
          <w:rFonts w:eastAsia="MS Mincho"/>
          <w:color w:val="auto"/>
          <w:sz w:val="24"/>
          <w:szCs w:val="24"/>
          <w:lang w:eastAsia="en-US"/>
        </w:rPr>
        <w:t xml:space="preserve">Palgrave Macmillan. Essex. </w:t>
      </w:r>
    </w:p>
    <w:p w14:paraId="7E4E830B" w14:textId="77777777" w:rsidR="005E1CF2" w:rsidRDefault="005E1CF2">
      <w:pPr>
        <w:overflowPunct/>
        <w:jc w:val="both"/>
        <w:textAlignment w:val="auto"/>
        <w:rPr>
          <w:rFonts w:eastAsia="MS Mincho"/>
          <w:color w:val="auto"/>
          <w:sz w:val="24"/>
          <w:szCs w:val="24"/>
          <w:lang w:eastAsia="en-US"/>
        </w:rPr>
      </w:pPr>
    </w:p>
    <w:p w14:paraId="25062BAB" w14:textId="77777777" w:rsidR="005E1CF2" w:rsidRDefault="00527869">
      <w:pPr>
        <w:overflowPunct/>
        <w:jc w:val="both"/>
        <w:textAlignment w:val="auto"/>
        <w:rPr>
          <w:color w:val="auto"/>
          <w:sz w:val="24"/>
          <w:szCs w:val="24"/>
        </w:rPr>
      </w:pPr>
      <w:r>
        <w:rPr>
          <w:color w:val="auto"/>
          <w:sz w:val="24"/>
          <w:szCs w:val="24"/>
        </w:rPr>
        <w:t xml:space="preserve">Thompson, N. (1997) </w:t>
      </w:r>
      <w:r>
        <w:rPr>
          <w:i/>
          <w:color w:val="auto"/>
          <w:sz w:val="24"/>
          <w:szCs w:val="24"/>
        </w:rPr>
        <w:t>Anti-Discriminatory Practice</w:t>
      </w:r>
      <w:r>
        <w:rPr>
          <w:color w:val="auto"/>
          <w:sz w:val="24"/>
          <w:szCs w:val="24"/>
        </w:rPr>
        <w:t>, 2</w:t>
      </w:r>
      <w:r>
        <w:rPr>
          <w:color w:val="auto"/>
          <w:sz w:val="24"/>
          <w:szCs w:val="24"/>
          <w:vertAlign w:val="superscript"/>
        </w:rPr>
        <w:t>nd</w:t>
      </w:r>
      <w:r>
        <w:rPr>
          <w:color w:val="auto"/>
          <w:sz w:val="24"/>
          <w:szCs w:val="24"/>
        </w:rPr>
        <w:t xml:space="preserve"> Edition, Basingstoke: Macmillan Press.</w:t>
      </w:r>
    </w:p>
    <w:p w14:paraId="2EAA600A" w14:textId="77777777" w:rsidR="005E1CF2" w:rsidRDefault="005E1CF2">
      <w:pPr>
        <w:overflowPunct/>
        <w:jc w:val="both"/>
        <w:textAlignment w:val="auto"/>
        <w:rPr>
          <w:rFonts w:eastAsia="MS Mincho"/>
          <w:color w:val="auto"/>
          <w:sz w:val="24"/>
          <w:szCs w:val="24"/>
          <w:lang w:eastAsia="en-US"/>
        </w:rPr>
      </w:pPr>
    </w:p>
    <w:p w14:paraId="59333E31"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Tuckman, B. (1965). Developmental sequence in small groups. </w:t>
      </w:r>
      <w:r>
        <w:rPr>
          <w:rFonts w:eastAsia="MS Mincho"/>
          <w:i/>
          <w:color w:val="auto"/>
          <w:sz w:val="24"/>
          <w:szCs w:val="24"/>
          <w:lang w:eastAsia="en-US"/>
        </w:rPr>
        <w:t xml:space="preserve">Psychological Bulletin, </w:t>
      </w:r>
      <w:r>
        <w:rPr>
          <w:rFonts w:eastAsia="MS Mincho"/>
          <w:color w:val="auto"/>
          <w:sz w:val="24"/>
          <w:szCs w:val="24"/>
          <w:lang w:eastAsia="en-US"/>
        </w:rPr>
        <w:t>63: 384-399.</w:t>
      </w:r>
    </w:p>
    <w:p w14:paraId="1DE5C07C" w14:textId="77777777" w:rsidR="005E1CF2" w:rsidRDefault="005E1CF2">
      <w:pPr>
        <w:overflowPunct/>
        <w:jc w:val="both"/>
        <w:textAlignment w:val="auto"/>
        <w:rPr>
          <w:rFonts w:eastAsia="MS Mincho"/>
          <w:color w:val="auto"/>
          <w:sz w:val="24"/>
          <w:szCs w:val="24"/>
          <w:lang w:eastAsia="en-US"/>
        </w:rPr>
      </w:pPr>
    </w:p>
    <w:p w14:paraId="121610FE"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lastRenderedPageBreak/>
        <w:t xml:space="preserve">Tuckman, B. and Jenson, M.A. (1977). Stages of small group development revisited. </w:t>
      </w:r>
      <w:r>
        <w:rPr>
          <w:rFonts w:eastAsia="MS Mincho"/>
          <w:i/>
          <w:color w:val="auto"/>
          <w:sz w:val="24"/>
          <w:szCs w:val="24"/>
          <w:lang w:eastAsia="en-US"/>
        </w:rPr>
        <w:t xml:space="preserve">Group and Organisational Studies. </w:t>
      </w:r>
      <w:r>
        <w:rPr>
          <w:rFonts w:eastAsia="MS Mincho"/>
          <w:color w:val="auto"/>
          <w:sz w:val="24"/>
          <w:szCs w:val="24"/>
          <w:lang w:eastAsia="en-US"/>
        </w:rPr>
        <w:t>2: 419-427.</w:t>
      </w:r>
    </w:p>
    <w:p w14:paraId="73969FBC" w14:textId="77777777" w:rsidR="005E1CF2" w:rsidRDefault="005E1CF2">
      <w:pPr>
        <w:overflowPunct/>
        <w:jc w:val="both"/>
        <w:textAlignment w:val="auto"/>
        <w:rPr>
          <w:rFonts w:eastAsia="MS Mincho"/>
          <w:color w:val="auto"/>
          <w:sz w:val="24"/>
          <w:szCs w:val="24"/>
          <w:lang w:eastAsia="en-US"/>
        </w:rPr>
      </w:pPr>
    </w:p>
    <w:p w14:paraId="747AE9BA" w14:textId="011A3DA1" w:rsidR="005E1CF2" w:rsidRDefault="00527869">
      <w:pPr>
        <w:overflowPunct/>
        <w:jc w:val="both"/>
        <w:textAlignment w:val="auto"/>
        <w:rPr>
          <w:color w:val="auto"/>
          <w:sz w:val="24"/>
          <w:szCs w:val="24"/>
          <w:lang w:val="en"/>
        </w:rPr>
      </w:pPr>
      <w:proofErr w:type="spellStart"/>
      <w:r>
        <w:rPr>
          <w:color w:val="auto"/>
          <w:sz w:val="24"/>
          <w:szCs w:val="24"/>
          <w:lang w:val="en"/>
        </w:rPr>
        <w:t>Tunnard</w:t>
      </w:r>
      <w:proofErr w:type="spellEnd"/>
      <w:r>
        <w:rPr>
          <w:color w:val="auto"/>
          <w:sz w:val="24"/>
          <w:szCs w:val="24"/>
          <w:lang w:val="en"/>
        </w:rPr>
        <w:t xml:space="preserve">, J. (2004) </w:t>
      </w:r>
      <w:r>
        <w:rPr>
          <w:i/>
          <w:color w:val="auto"/>
          <w:sz w:val="24"/>
          <w:szCs w:val="24"/>
          <w:lang w:val="en"/>
        </w:rPr>
        <w:t>Parental mental health problems:</w:t>
      </w:r>
      <w:r w:rsidR="0043755B">
        <w:rPr>
          <w:i/>
          <w:color w:val="auto"/>
          <w:sz w:val="24"/>
          <w:szCs w:val="24"/>
          <w:lang w:val="en"/>
        </w:rPr>
        <w:t xml:space="preserve"> </w:t>
      </w:r>
      <w:r>
        <w:rPr>
          <w:i/>
          <w:color w:val="auto"/>
          <w:sz w:val="24"/>
          <w:szCs w:val="24"/>
          <w:lang w:val="en"/>
        </w:rPr>
        <w:t>messages from research, policy and practice</w:t>
      </w:r>
      <w:r>
        <w:rPr>
          <w:color w:val="auto"/>
          <w:sz w:val="24"/>
          <w:szCs w:val="24"/>
          <w:lang w:val="en"/>
        </w:rPr>
        <w:t>, Devon: Research in Practice.</w:t>
      </w:r>
    </w:p>
    <w:p w14:paraId="6CCB7D23" w14:textId="77777777" w:rsidR="005E1CF2" w:rsidRDefault="005E1CF2">
      <w:pPr>
        <w:overflowPunct/>
        <w:jc w:val="both"/>
        <w:textAlignment w:val="auto"/>
        <w:rPr>
          <w:rFonts w:eastAsia="MS Mincho"/>
          <w:color w:val="auto"/>
          <w:sz w:val="24"/>
          <w:szCs w:val="24"/>
          <w:lang w:eastAsia="en-US"/>
        </w:rPr>
      </w:pPr>
    </w:p>
    <w:p w14:paraId="558C9915"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United Nations. (1989) Convention on the Rights of the Child, Geneva: United Nations.</w:t>
      </w:r>
    </w:p>
    <w:p w14:paraId="0DD98DBA" w14:textId="77777777" w:rsidR="005E1CF2" w:rsidRDefault="005E1CF2">
      <w:pPr>
        <w:overflowPunct/>
        <w:jc w:val="both"/>
        <w:textAlignment w:val="auto"/>
        <w:rPr>
          <w:rFonts w:eastAsia="MS Mincho"/>
          <w:color w:val="auto"/>
          <w:sz w:val="24"/>
          <w:szCs w:val="24"/>
          <w:lang w:eastAsia="en-US"/>
        </w:rPr>
      </w:pPr>
    </w:p>
    <w:p w14:paraId="6E1EDCE7"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Unwin, P. and Hogg, R. (2012) </w:t>
      </w:r>
      <w:r w:rsidRPr="0043755B">
        <w:rPr>
          <w:rFonts w:eastAsia="MS Mincho"/>
          <w:i/>
          <w:iCs/>
          <w:color w:val="auto"/>
          <w:sz w:val="24"/>
          <w:szCs w:val="24"/>
          <w:lang w:eastAsia="en-US"/>
        </w:rPr>
        <w:t>Effective Social Work with Children and Families</w:t>
      </w:r>
      <w:r>
        <w:rPr>
          <w:rFonts w:eastAsia="MS Mincho"/>
          <w:color w:val="auto"/>
          <w:sz w:val="24"/>
          <w:szCs w:val="24"/>
          <w:lang w:eastAsia="en-US"/>
        </w:rPr>
        <w:t>: A Skills Handbook, London: Sage Publications.</w:t>
      </w:r>
    </w:p>
    <w:p w14:paraId="310D7CEF" w14:textId="77777777" w:rsidR="005E1CF2" w:rsidRDefault="005E1CF2">
      <w:pPr>
        <w:overflowPunct/>
        <w:jc w:val="both"/>
        <w:textAlignment w:val="auto"/>
        <w:rPr>
          <w:rFonts w:eastAsia="MS Mincho"/>
          <w:color w:val="auto"/>
          <w:sz w:val="24"/>
          <w:szCs w:val="24"/>
          <w:lang w:eastAsia="en-US"/>
        </w:rPr>
      </w:pPr>
    </w:p>
    <w:p w14:paraId="6D7EAFC4"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Van Dick, R. (2004). My job is my castle: identification in organisation contexts. </w:t>
      </w:r>
      <w:r>
        <w:rPr>
          <w:rFonts w:eastAsia="MS Mincho"/>
          <w:i/>
          <w:color w:val="auto"/>
          <w:sz w:val="24"/>
          <w:szCs w:val="24"/>
          <w:lang w:eastAsia="en-US"/>
        </w:rPr>
        <w:t xml:space="preserve">International review of industrial organic psychology. </w:t>
      </w:r>
      <w:r>
        <w:rPr>
          <w:rFonts w:eastAsia="MS Mincho"/>
          <w:color w:val="auto"/>
          <w:sz w:val="24"/>
          <w:szCs w:val="24"/>
          <w:lang w:eastAsia="en-US"/>
        </w:rPr>
        <w:t>Volume 19: 171-204.</w:t>
      </w:r>
    </w:p>
    <w:p w14:paraId="3029F554" w14:textId="77777777" w:rsidR="005E1CF2" w:rsidRDefault="005E1CF2">
      <w:pPr>
        <w:overflowPunct/>
        <w:jc w:val="both"/>
        <w:textAlignment w:val="auto"/>
        <w:rPr>
          <w:rFonts w:eastAsia="MS Mincho"/>
          <w:color w:val="auto"/>
          <w:sz w:val="24"/>
          <w:szCs w:val="24"/>
          <w:lang w:eastAsia="en-US"/>
        </w:rPr>
      </w:pPr>
    </w:p>
    <w:p w14:paraId="54B56C8F"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Van </w:t>
      </w:r>
      <w:proofErr w:type="spellStart"/>
      <w:r>
        <w:rPr>
          <w:rFonts w:eastAsia="MS Mincho"/>
          <w:color w:val="auto"/>
          <w:sz w:val="24"/>
          <w:szCs w:val="24"/>
          <w:lang w:eastAsia="en-US"/>
        </w:rPr>
        <w:t>Knippenburg</w:t>
      </w:r>
      <w:proofErr w:type="spellEnd"/>
      <w:r>
        <w:rPr>
          <w:rFonts w:eastAsia="MS Mincho"/>
          <w:color w:val="auto"/>
          <w:sz w:val="24"/>
          <w:szCs w:val="24"/>
          <w:lang w:eastAsia="en-US"/>
        </w:rPr>
        <w:t xml:space="preserve">, B. and Van. </w:t>
      </w:r>
      <w:proofErr w:type="spellStart"/>
      <w:r>
        <w:rPr>
          <w:rFonts w:eastAsia="MS Mincho"/>
          <w:color w:val="auto"/>
          <w:sz w:val="24"/>
          <w:szCs w:val="24"/>
          <w:lang w:eastAsia="en-US"/>
        </w:rPr>
        <w:t>Knippenburg</w:t>
      </w:r>
      <w:proofErr w:type="spellEnd"/>
      <w:r>
        <w:rPr>
          <w:rFonts w:eastAsia="MS Mincho"/>
          <w:color w:val="auto"/>
          <w:sz w:val="24"/>
          <w:szCs w:val="24"/>
          <w:lang w:eastAsia="en-US"/>
        </w:rPr>
        <w:t xml:space="preserve">, D. (2004). </w:t>
      </w:r>
      <w:r>
        <w:rPr>
          <w:rFonts w:eastAsia="MS Mincho"/>
          <w:i/>
          <w:color w:val="auto"/>
          <w:sz w:val="24"/>
          <w:szCs w:val="24"/>
          <w:lang w:eastAsia="en-US"/>
        </w:rPr>
        <w:t xml:space="preserve">Employee uncertainty during organisational change: A self-construct perspective. </w:t>
      </w:r>
      <w:r>
        <w:rPr>
          <w:rFonts w:eastAsia="MS Mincho"/>
          <w:color w:val="auto"/>
          <w:sz w:val="24"/>
          <w:szCs w:val="24"/>
          <w:lang w:eastAsia="en-US"/>
        </w:rPr>
        <w:t xml:space="preserve">Academy of Management. New Orleans. </w:t>
      </w:r>
    </w:p>
    <w:p w14:paraId="4F128A02" w14:textId="77777777" w:rsidR="005E1CF2" w:rsidRDefault="005E1CF2">
      <w:pPr>
        <w:overflowPunct/>
        <w:jc w:val="both"/>
        <w:textAlignment w:val="auto"/>
        <w:rPr>
          <w:rFonts w:eastAsia="MS Mincho"/>
          <w:color w:val="auto"/>
          <w:sz w:val="24"/>
          <w:szCs w:val="24"/>
          <w:lang w:eastAsia="en-US"/>
        </w:rPr>
      </w:pPr>
    </w:p>
    <w:p w14:paraId="15454353"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Vardy, P and Grosch, P (1994) </w:t>
      </w:r>
      <w:r>
        <w:rPr>
          <w:rFonts w:eastAsia="MS Mincho"/>
          <w:i/>
          <w:iCs/>
          <w:color w:val="auto"/>
          <w:sz w:val="24"/>
          <w:szCs w:val="24"/>
          <w:lang w:eastAsia="en-US"/>
        </w:rPr>
        <w:t>The Puzzle of Ethics</w:t>
      </w:r>
      <w:r>
        <w:rPr>
          <w:rFonts w:eastAsia="MS Mincho"/>
          <w:color w:val="auto"/>
          <w:sz w:val="24"/>
          <w:szCs w:val="24"/>
          <w:lang w:eastAsia="en-US"/>
        </w:rPr>
        <w:t>, London, Fount.</w:t>
      </w:r>
    </w:p>
    <w:p w14:paraId="01BB9F61" w14:textId="77777777" w:rsidR="005E1CF2" w:rsidRDefault="005E1CF2">
      <w:pPr>
        <w:overflowPunct/>
        <w:textAlignment w:val="auto"/>
        <w:rPr>
          <w:rFonts w:eastAsia="MS Mincho"/>
          <w:color w:val="auto"/>
          <w:sz w:val="24"/>
          <w:szCs w:val="24"/>
        </w:rPr>
      </w:pPr>
    </w:p>
    <w:p w14:paraId="15DE003E" w14:textId="77777777" w:rsidR="005E1CF2" w:rsidRDefault="00527869">
      <w:pPr>
        <w:overflowPunct/>
        <w:textAlignment w:val="auto"/>
        <w:rPr>
          <w:rFonts w:eastAsia="MS Mincho"/>
          <w:sz w:val="24"/>
          <w:szCs w:val="24"/>
        </w:rPr>
      </w:pPr>
      <w:r>
        <w:rPr>
          <w:rFonts w:eastAsia="MS Mincho"/>
          <w:sz w:val="24"/>
          <w:szCs w:val="24"/>
        </w:rPr>
        <w:t xml:space="preserve">Wales, N. A. f. 2012. </w:t>
      </w:r>
      <w:r>
        <w:rPr>
          <w:rFonts w:eastAsia="MS Mincho"/>
          <w:i/>
          <w:iCs/>
          <w:sz w:val="24"/>
          <w:szCs w:val="24"/>
        </w:rPr>
        <w:t>Strengthening Welsh Language in healthcare</w:t>
      </w:r>
      <w:r>
        <w:rPr>
          <w:rFonts w:eastAsia="MS Mincho"/>
          <w:sz w:val="24"/>
          <w:szCs w:val="24"/>
        </w:rPr>
        <w:t>, Wales: Welsh Government.</w:t>
      </w:r>
    </w:p>
    <w:p w14:paraId="00BC0041" w14:textId="77777777" w:rsidR="005E1CF2" w:rsidRDefault="005E1CF2">
      <w:pPr>
        <w:overflowPunct/>
        <w:textAlignment w:val="auto"/>
        <w:rPr>
          <w:rFonts w:eastAsia="MS Mincho"/>
          <w:sz w:val="24"/>
          <w:szCs w:val="24"/>
        </w:rPr>
      </w:pPr>
    </w:p>
    <w:p w14:paraId="47626ACB" w14:textId="77777777" w:rsidR="005E1CF2" w:rsidRDefault="00527869">
      <w:pPr>
        <w:overflowPunct/>
        <w:textAlignment w:val="auto"/>
        <w:rPr>
          <w:rFonts w:eastAsia="MS Mincho"/>
          <w:color w:val="auto"/>
          <w:sz w:val="24"/>
          <w:szCs w:val="24"/>
        </w:rPr>
      </w:pPr>
      <w:r>
        <w:rPr>
          <w:rFonts w:eastAsia="MS Mincho"/>
          <w:sz w:val="24"/>
          <w:szCs w:val="24"/>
        </w:rPr>
        <w:t>Welsh Assembly Government (2013)</w:t>
      </w:r>
      <w:r>
        <w:rPr>
          <w:rFonts w:eastAsia="MS Mincho"/>
          <w:color w:val="auto"/>
          <w:sz w:val="24"/>
          <w:szCs w:val="24"/>
        </w:rPr>
        <w:t xml:space="preserve"> </w:t>
      </w:r>
      <w:r>
        <w:rPr>
          <w:rFonts w:eastAsia="MS Mincho"/>
          <w:i/>
          <w:sz w:val="24"/>
          <w:szCs w:val="24"/>
        </w:rPr>
        <w:t xml:space="preserve">Investing-to-Save 4: </w:t>
      </w:r>
      <w:r>
        <w:rPr>
          <w:rFonts w:eastAsia="MS Mincho"/>
          <w:i/>
          <w:color w:val="auto"/>
          <w:sz w:val="24"/>
          <w:szCs w:val="24"/>
        </w:rPr>
        <w:t>Short-term investment for long-term benefit</w:t>
      </w:r>
      <w:r>
        <w:rPr>
          <w:rFonts w:eastAsia="MS Mincho"/>
          <w:color w:val="auto"/>
          <w:sz w:val="24"/>
          <w:szCs w:val="24"/>
        </w:rPr>
        <w:t>. WAG, Cardiff.</w:t>
      </w:r>
    </w:p>
    <w:p w14:paraId="25A7DBE5" w14:textId="77777777" w:rsidR="005E1CF2" w:rsidRDefault="005E1CF2">
      <w:pPr>
        <w:overflowPunct/>
        <w:textAlignment w:val="auto"/>
        <w:rPr>
          <w:rFonts w:eastAsia="MS Mincho"/>
          <w:color w:val="auto"/>
          <w:sz w:val="24"/>
          <w:szCs w:val="24"/>
        </w:rPr>
      </w:pPr>
    </w:p>
    <w:p w14:paraId="33AB9F95" w14:textId="77777777" w:rsidR="005E1CF2" w:rsidRDefault="00527869">
      <w:pPr>
        <w:overflowPunct/>
        <w:textAlignment w:val="auto"/>
        <w:rPr>
          <w:rFonts w:eastAsia="MS Mincho"/>
          <w:sz w:val="24"/>
          <w:szCs w:val="24"/>
          <w:lang w:eastAsia="en-US"/>
        </w:rPr>
      </w:pPr>
      <w:r>
        <w:rPr>
          <w:rFonts w:eastAsia="MS Mincho"/>
          <w:color w:val="auto"/>
          <w:sz w:val="24"/>
          <w:szCs w:val="24"/>
        </w:rPr>
        <w:t xml:space="preserve">Welsh Assembly Government (2005) </w:t>
      </w:r>
      <w:r>
        <w:rPr>
          <w:rFonts w:eastAsia="MS Mincho"/>
          <w:i/>
          <w:color w:val="auto"/>
          <w:sz w:val="24"/>
          <w:szCs w:val="24"/>
        </w:rPr>
        <w:t>Tackling Domestic Abuse: The All Wales National Strategy</w:t>
      </w:r>
      <w:r>
        <w:rPr>
          <w:rFonts w:eastAsia="MS Mincho"/>
          <w:color w:val="auto"/>
          <w:sz w:val="24"/>
          <w:szCs w:val="24"/>
        </w:rPr>
        <w:t>. WAG, Cardiff</w:t>
      </w:r>
    </w:p>
    <w:p w14:paraId="5A15E43B" w14:textId="77777777" w:rsidR="005E1CF2" w:rsidRDefault="005E1CF2">
      <w:pPr>
        <w:overflowPunct/>
        <w:textAlignment w:val="auto"/>
        <w:rPr>
          <w:rFonts w:eastAsia="MS Mincho"/>
          <w:color w:val="auto"/>
          <w:sz w:val="24"/>
          <w:szCs w:val="24"/>
        </w:rPr>
      </w:pPr>
    </w:p>
    <w:p w14:paraId="14E181C1" w14:textId="77777777" w:rsidR="005E1CF2" w:rsidRDefault="00527869">
      <w:pPr>
        <w:overflowPunct/>
        <w:textAlignment w:val="auto"/>
        <w:rPr>
          <w:rFonts w:eastAsia="MS Mincho"/>
          <w:color w:val="auto"/>
          <w:sz w:val="24"/>
          <w:szCs w:val="24"/>
        </w:rPr>
      </w:pPr>
      <w:r>
        <w:rPr>
          <w:rFonts w:eastAsia="MS Mincho"/>
          <w:color w:val="auto"/>
          <w:sz w:val="24"/>
          <w:szCs w:val="24"/>
        </w:rPr>
        <w:t xml:space="preserve">Welsh Assembly Government (2008) </w:t>
      </w:r>
      <w:r>
        <w:rPr>
          <w:rFonts w:eastAsia="MS Mincho"/>
          <w:i/>
          <w:color w:val="auto"/>
          <w:sz w:val="24"/>
          <w:szCs w:val="24"/>
        </w:rPr>
        <w:t>The All Wales Child Protection Procedures 2008</w:t>
      </w:r>
      <w:r>
        <w:rPr>
          <w:rFonts w:eastAsia="MS Mincho"/>
          <w:color w:val="auto"/>
          <w:sz w:val="24"/>
          <w:szCs w:val="24"/>
        </w:rPr>
        <w:t xml:space="preserve">. Welsh Assembly Government, Cardiff.  </w:t>
      </w:r>
    </w:p>
    <w:p w14:paraId="7462CC6F" w14:textId="77777777" w:rsidR="005E1CF2" w:rsidRDefault="005E1CF2">
      <w:pPr>
        <w:overflowPunct/>
        <w:textAlignment w:val="auto"/>
        <w:rPr>
          <w:rFonts w:eastAsia="MS Mincho"/>
          <w:color w:val="auto"/>
          <w:sz w:val="24"/>
          <w:szCs w:val="24"/>
        </w:rPr>
      </w:pPr>
    </w:p>
    <w:p w14:paraId="0D49BC82" w14:textId="77777777" w:rsidR="005E1CF2" w:rsidRDefault="00527869">
      <w:pPr>
        <w:overflowPunct/>
        <w:textAlignment w:val="auto"/>
      </w:pPr>
      <w:r>
        <w:rPr>
          <w:rFonts w:eastAsia="MS Mincho"/>
          <w:bCs/>
          <w:color w:val="auto"/>
          <w:sz w:val="24"/>
          <w:szCs w:val="24"/>
        </w:rPr>
        <w:t xml:space="preserve">Welsh Assembly Government (2014) Continuing Health Care, The National Framework for Implementation in Wales (online), Available at </w:t>
      </w:r>
      <w:hyperlink r:id="rId18">
        <w:r>
          <w:rPr>
            <w:rStyle w:val="ListLabel43"/>
          </w:rPr>
          <w:t>https://gweddill.gov.wales/docs/dhss/publications/140630frameworken.pdf</w:t>
        </w:r>
      </w:hyperlink>
      <w:r>
        <w:rPr>
          <w:rFonts w:ascii="Calibri" w:eastAsia="Calibri" w:hAnsi="Calibri" w:cs="Times New Roman"/>
          <w:color w:val="auto"/>
          <w:sz w:val="22"/>
          <w:szCs w:val="22"/>
          <w:lang w:eastAsia="en-US"/>
        </w:rPr>
        <w:t xml:space="preserve"> </w:t>
      </w:r>
      <w:r>
        <w:rPr>
          <w:rFonts w:eastAsia="Calibri"/>
          <w:color w:val="auto"/>
          <w:sz w:val="24"/>
          <w:szCs w:val="24"/>
          <w:lang w:eastAsia="en-US"/>
        </w:rPr>
        <w:t>(accessed 26.09.2019)</w:t>
      </w:r>
    </w:p>
    <w:p w14:paraId="60D17634" w14:textId="77777777" w:rsidR="005E1CF2" w:rsidRDefault="005E1CF2">
      <w:pPr>
        <w:overflowPunct/>
        <w:textAlignment w:val="auto"/>
        <w:rPr>
          <w:rFonts w:eastAsia="MS Mincho"/>
          <w:bCs/>
          <w:color w:val="auto"/>
          <w:sz w:val="24"/>
          <w:szCs w:val="24"/>
        </w:rPr>
      </w:pPr>
    </w:p>
    <w:p w14:paraId="5EB0A4D2" w14:textId="77777777" w:rsidR="005E1CF2" w:rsidRDefault="00527869">
      <w:pPr>
        <w:overflowPunct/>
        <w:textAlignment w:val="auto"/>
        <w:rPr>
          <w:rFonts w:eastAsia="MS Mincho"/>
          <w:color w:val="auto"/>
          <w:sz w:val="24"/>
          <w:szCs w:val="24"/>
        </w:rPr>
      </w:pPr>
      <w:r>
        <w:rPr>
          <w:rFonts w:eastAsia="MS Mincho"/>
          <w:bCs/>
          <w:color w:val="auto"/>
          <w:sz w:val="24"/>
          <w:szCs w:val="24"/>
        </w:rPr>
        <w:t>Welsh Assembly Government. (2005)</w:t>
      </w:r>
      <w:r>
        <w:rPr>
          <w:rFonts w:eastAsia="MS Mincho"/>
          <w:color w:val="auto"/>
          <w:sz w:val="24"/>
          <w:szCs w:val="24"/>
        </w:rPr>
        <w:t xml:space="preserve"> </w:t>
      </w:r>
      <w:r>
        <w:rPr>
          <w:rFonts w:eastAsia="MS Mincho"/>
          <w:i/>
          <w:color w:val="auto"/>
          <w:sz w:val="24"/>
          <w:szCs w:val="24"/>
        </w:rPr>
        <w:t>Parenting Action Plan: supporting mothers, fathers and carers with raising children in Wales</w:t>
      </w:r>
      <w:r>
        <w:rPr>
          <w:rFonts w:eastAsia="MS Mincho"/>
          <w:color w:val="auto"/>
          <w:sz w:val="24"/>
          <w:szCs w:val="24"/>
        </w:rPr>
        <w:t>, Cardiff: Welsh Assembly Government.</w:t>
      </w:r>
    </w:p>
    <w:p w14:paraId="39AFF6C3" w14:textId="77777777" w:rsidR="005E1CF2" w:rsidRDefault="005E1CF2">
      <w:pPr>
        <w:overflowPunct/>
        <w:textAlignment w:val="auto"/>
        <w:rPr>
          <w:rFonts w:eastAsia="MS Mincho"/>
          <w:color w:val="auto"/>
          <w:sz w:val="24"/>
          <w:szCs w:val="24"/>
        </w:rPr>
      </w:pPr>
    </w:p>
    <w:p w14:paraId="2E9A74F3" w14:textId="48905A73" w:rsidR="005E1CF2" w:rsidRDefault="00527869">
      <w:pPr>
        <w:overflowPunct/>
        <w:textAlignment w:val="auto"/>
        <w:rPr>
          <w:rFonts w:eastAsia="MS Mincho"/>
          <w:color w:val="auto"/>
          <w:sz w:val="24"/>
          <w:szCs w:val="24"/>
        </w:rPr>
      </w:pPr>
      <w:r>
        <w:rPr>
          <w:rFonts w:eastAsia="MS Mincho"/>
          <w:color w:val="auto"/>
          <w:sz w:val="24"/>
          <w:szCs w:val="24"/>
        </w:rPr>
        <w:t xml:space="preserve">Welsh Assembly Government. (2010) </w:t>
      </w:r>
      <w:r>
        <w:rPr>
          <w:rFonts w:eastAsia="MS Mincho"/>
          <w:i/>
          <w:color w:val="auto"/>
          <w:sz w:val="24"/>
          <w:szCs w:val="24"/>
        </w:rPr>
        <w:t>Integrated Family Support Services Statutory Guidance and Regulations</w:t>
      </w:r>
      <w:r>
        <w:rPr>
          <w:rFonts w:eastAsia="MS Mincho"/>
          <w:color w:val="auto"/>
          <w:sz w:val="24"/>
          <w:szCs w:val="24"/>
        </w:rPr>
        <w:t>, Cardiff: Welsh Assembly Government.</w:t>
      </w:r>
    </w:p>
    <w:p w14:paraId="64EAC06C" w14:textId="1CE4D67D" w:rsidR="00F318FC" w:rsidRDefault="00F318FC">
      <w:pPr>
        <w:overflowPunct/>
        <w:textAlignment w:val="auto"/>
        <w:rPr>
          <w:rFonts w:eastAsia="MS Mincho"/>
          <w:color w:val="auto"/>
          <w:sz w:val="24"/>
          <w:szCs w:val="24"/>
        </w:rPr>
      </w:pPr>
    </w:p>
    <w:p w14:paraId="6D527E38" w14:textId="77777777" w:rsidR="00F318FC" w:rsidRDefault="00F318FC" w:rsidP="00F318FC">
      <w:pPr>
        <w:overflowPunct/>
        <w:jc w:val="both"/>
        <w:textAlignment w:val="auto"/>
        <w:rPr>
          <w:sz w:val="24"/>
          <w:szCs w:val="24"/>
          <w:lang w:val="en"/>
        </w:rPr>
      </w:pPr>
      <w:r>
        <w:rPr>
          <w:sz w:val="24"/>
          <w:szCs w:val="24"/>
          <w:lang w:val="en"/>
        </w:rPr>
        <w:t xml:space="preserve">Welsh Assembly Government. (2004) </w:t>
      </w:r>
      <w:r>
        <w:rPr>
          <w:i/>
          <w:sz w:val="24"/>
          <w:szCs w:val="24"/>
          <w:lang w:val="en"/>
        </w:rPr>
        <w:t>Children and Young People: Rights to Action</w:t>
      </w:r>
      <w:r>
        <w:rPr>
          <w:sz w:val="24"/>
          <w:szCs w:val="24"/>
          <w:lang w:val="en"/>
        </w:rPr>
        <w:t>, Cardiff: Welsh Assembly Government.</w:t>
      </w:r>
    </w:p>
    <w:p w14:paraId="10C11545" w14:textId="77777777" w:rsidR="00F318FC" w:rsidRDefault="00F318FC" w:rsidP="00F318FC">
      <w:pPr>
        <w:overflowPunct/>
        <w:jc w:val="both"/>
        <w:textAlignment w:val="auto"/>
        <w:rPr>
          <w:sz w:val="24"/>
          <w:szCs w:val="24"/>
          <w:lang w:val="en"/>
        </w:rPr>
      </w:pPr>
    </w:p>
    <w:p w14:paraId="5A59B355" w14:textId="77777777" w:rsidR="00F318FC" w:rsidRDefault="00F318FC" w:rsidP="00F318FC">
      <w:pPr>
        <w:overflowPunct/>
        <w:jc w:val="both"/>
        <w:textAlignment w:val="auto"/>
        <w:rPr>
          <w:sz w:val="24"/>
          <w:szCs w:val="24"/>
          <w:lang w:val="en"/>
        </w:rPr>
      </w:pPr>
      <w:r>
        <w:rPr>
          <w:sz w:val="24"/>
          <w:szCs w:val="24"/>
          <w:lang w:val="en"/>
        </w:rPr>
        <w:t xml:space="preserve">Welsh Assembly Government. (2008) </w:t>
      </w:r>
      <w:r>
        <w:rPr>
          <w:i/>
          <w:sz w:val="24"/>
          <w:szCs w:val="24"/>
          <w:lang w:val="en"/>
        </w:rPr>
        <w:t>Mental Health Act 1983 Code of Practice for Wales</w:t>
      </w:r>
      <w:r>
        <w:rPr>
          <w:sz w:val="24"/>
          <w:szCs w:val="24"/>
          <w:lang w:val="en"/>
        </w:rPr>
        <w:t>, Cardiff: Welsh Assembly Government.</w:t>
      </w:r>
    </w:p>
    <w:p w14:paraId="3E41B7B8" w14:textId="77777777" w:rsidR="00F318FC" w:rsidRDefault="00F318FC" w:rsidP="00F318FC">
      <w:pPr>
        <w:overflowPunct/>
        <w:jc w:val="both"/>
        <w:textAlignment w:val="auto"/>
        <w:rPr>
          <w:sz w:val="24"/>
          <w:szCs w:val="24"/>
          <w:lang w:val="en"/>
        </w:rPr>
      </w:pPr>
    </w:p>
    <w:p w14:paraId="7A31E0A3" w14:textId="77777777" w:rsidR="00F318FC" w:rsidRDefault="00F318FC" w:rsidP="00F318FC">
      <w:pPr>
        <w:overflowPunct/>
        <w:jc w:val="both"/>
        <w:textAlignment w:val="auto"/>
        <w:rPr>
          <w:color w:val="auto"/>
          <w:sz w:val="24"/>
          <w:szCs w:val="24"/>
        </w:rPr>
      </w:pPr>
      <w:r>
        <w:rPr>
          <w:sz w:val="24"/>
          <w:szCs w:val="24"/>
          <w:lang w:val="en"/>
        </w:rPr>
        <w:t xml:space="preserve">Welsh Assembly Government. (2010) </w:t>
      </w:r>
      <w:r>
        <w:rPr>
          <w:i/>
          <w:color w:val="auto"/>
          <w:sz w:val="24"/>
          <w:szCs w:val="24"/>
        </w:rPr>
        <w:t>The Sexual Health and Wellbeing Action Plan For Wales</w:t>
      </w:r>
      <w:r>
        <w:rPr>
          <w:color w:val="auto"/>
          <w:sz w:val="24"/>
          <w:szCs w:val="24"/>
        </w:rPr>
        <w:t>, Cardiff: Welsh Assembly Government.</w:t>
      </w:r>
    </w:p>
    <w:p w14:paraId="6683C267" w14:textId="77777777" w:rsidR="00F318FC" w:rsidRDefault="00F318FC" w:rsidP="00F318FC">
      <w:pPr>
        <w:overflowPunct/>
        <w:jc w:val="both"/>
        <w:textAlignment w:val="auto"/>
        <w:rPr>
          <w:color w:val="auto"/>
          <w:sz w:val="24"/>
          <w:szCs w:val="24"/>
        </w:rPr>
      </w:pPr>
    </w:p>
    <w:p w14:paraId="67C5C68D" w14:textId="77777777" w:rsidR="00F318FC" w:rsidRDefault="00F318FC" w:rsidP="00F318FC">
      <w:pPr>
        <w:overflowPunct/>
        <w:jc w:val="both"/>
        <w:textAlignment w:val="auto"/>
        <w:rPr>
          <w:color w:val="auto"/>
          <w:sz w:val="24"/>
          <w:szCs w:val="24"/>
        </w:rPr>
      </w:pPr>
      <w:r>
        <w:rPr>
          <w:color w:val="auto"/>
          <w:sz w:val="24"/>
          <w:szCs w:val="24"/>
        </w:rPr>
        <w:t>Welsh Gov., 2014. Welsh Index of Multiple Deprivation Executive Summary, Cardiff:</w:t>
      </w:r>
    </w:p>
    <w:p w14:paraId="76856D82" w14:textId="77777777" w:rsidR="005E1CF2" w:rsidRDefault="005E1CF2">
      <w:pPr>
        <w:overflowPunct/>
        <w:textAlignment w:val="auto"/>
        <w:rPr>
          <w:rFonts w:eastAsia="MS Mincho"/>
          <w:color w:val="auto"/>
          <w:sz w:val="24"/>
          <w:szCs w:val="24"/>
        </w:rPr>
      </w:pPr>
    </w:p>
    <w:p w14:paraId="77C70F41" w14:textId="77777777" w:rsidR="005E1CF2" w:rsidRDefault="00527869">
      <w:pPr>
        <w:overflowPunct/>
        <w:jc w:val="both"/>
        <w:textAlignment w:val="auto"/>
      </w:pPr>
      <w:proofErr w:type="spellStart"/>
      <w:r>
        <w:rPr>
          <w:sz w:val="24"/>
          <w:szCs w:val="24"/>
        </w:rPr>
        <w:t>Womans</w:t>
      </w:r>
      <w:proofErr w:type="spellEnd"/>
      <w:r>
        <w:rPr>
          <w:sz w:val="24"/>
          <w:szCs w:val="24"/>
        </w:rPr>
        <w:t xml:space="preserve"> Aid, 2015 Online. Available at </w:t>
      </w:r>
      <w:hyperlink r:id="rId19">
        <w:r>
          <w:rPr>
            <w:rStyle w:val="InternetLink"/>
            <w:sz w:val="24"/>
            <w:szCs w:val="24"/>
          </w:rPr>
          <w:t>https://www.womensaid.org.uk/information-support/what-is-domestic-abuse/financial-abuse/</w:t>
        </w:r>
      </w:hyperlink>
      <w:r>
        <w:rPr>
          <w:sz w:val="24"/>
          <w:szCs w:val="24"/>
        </w:rPr>
        <w:t xml:space="preserve"> (accessed on 18.08.2019)</w:t>
      </w:r>
    </w:p>
    <w:p w14:paraId="2AA13AB5" w14:textId="77777777" w:rsidR="005E1CF2" w:rsidRDefault="005E1CF2">
      <w:pPr>
        <w:overflowPunct/>
        <w:jc w:val="both"/>
        <w:textAlignment w:val="auto"/>
        <w:rPr>
          <w:rFonts w:eastAsia="MS Mincho"/>
          <w:color w:val="auto"/>
          <w:sz w:val="24"/>
          <w:szCs w:val="24"/>
          <w:lang w:eastAsia="en-US"/>
        </w:rPr>
      </w:pPr>
    </w:p>
    <w:p w14:paraId="0656029B"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 xml:space="preserve">Worrall, L. and Cooper, C.L. (1997). </w:t>
      </w:r>
      <w:r>
        <w:rPr>
          <w:rFonts w:eastAsia="MS Mincho"/>
          <w:i/>
          <w:color w:val="auto"/>
          <w:sz w:val="24"/>
          <w:szCs w:val="24"/>
          <w:lang w:eastAsia="en-US"/>
        </w:rPr>
        <w:t xml:space="preserve">The quality of management. </w:t>
      </w:r>
      <w:r>
        <w:rPr>
          <w:rFonts w:eastAsia="MS Mincho"/>
          <w:color w:val="auto"/>
          <w:sz w:val="24"/>
          <w:szCs w:val="24"/>
          <w:lang w:eastAsia="en-US"/>
        </w:rPr>
        <w:t>The Institute of Management. London.</w:t>
      </w:r>
    </w:p>
    <w:p w14:paraId="2CAEA769" w14:textId="77777777" w:rsidR="005E1CF2" w:rsidRDefault="005E1CF2">
      <w:pPr>
        <w:overflowPunct/>
        <w:jc w:val="both"/>
        <w:textAlignment w:val="auto"/>
        <w:rPr>
          <w:rFonts w:eastAsia="MS Mincho"/>
          <w:color w:val="auto"/>
          <w:sz w:val="24"/>
          <w:szCs w:val="24"/>
          <w:lang w:eastAsia="en-US"/>
        </w:rPr>
      </w:pPr>
    </w:p>
    <w:p w14:paraId="43593C57"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XXX Hospice. (2019). Adult Safeguarding Policy.X.X Hospice</w:t>
      </w:r>
    </w:p>
    <w:p w14:paraId="516C9D3C" w14:textId="77777777" w:rsidR="005E1CF2" w:rsidRDefault="005E1CF2">
      <w:pPr>
        <w:overflowPunct/>
        <w:jc w:val="both"/>
        <w:textAlignment w:val="auto"/>
        <w:rPr>
          <w:rFonts w:eastAsia="MS Mincho"/>
          <w:color w:val="auto"/>
          <w:sz w:val="24"/>
          <w:szCs w:val="24"/>
          <w:lang w:eastAsia="en-US"/>
        </w:rPr>
      </w:pPr>
    </w:p>
    <w:p w14:paraId="4ED8F983" w14:textId="77777777" w:rsidR="005E1CF2" w:rsidRDefault="00527869">
      <w:pPr>
        <w:overflowPunct/>
        <w:jc w:val="both"/>
        <w:textAlignment w:val="auto"/>
        <w:rPr>
          <w:color w:val="auto"/>
          <w:sz w:val="24"/>
          <w:szCs w:val="24"/>
          <w:lang w:eastAsia="en-US"/>
        </w:rPr>
      </w:pPr>
      <w:r>
        <w:rPr>
          <w:rFonts w:eastAsia="MS Mincho"/>
          <w:color w:val="auto"/>
          <w:sz w:val="24"/>
          <w:szCs w:val="24"/>
          <w:lang w:eastAsia="en-US"/>
        </w:rPr>
        <w:t>XXX Hospice. (2019). Children Safeguarding Policy.X.X Hospice</w:t>
      </w:r>
    </w:p>
    <w:p w14:paraId="74E8F3F3" w14:textId="77777777" w:rsidR="005E1CF2" w:rsidRDefault="005E1CF2">
      <w:pPr>
        <w:overflowPunct/>
        <w:jc w:val="both"/>
        <w:textAlignment w:val="auto"/>
        <w:rPr>
          <w:color w:val="auto"/>
          <w:sz w:val="24"/>
          <w:szCs w:val="24"/>
          <w:lang w:eastAsia="en-US"/>
        </w:rPr>
      </w:pPr>
    </w:p>
    <w:p w14:paraId="27E3978E" w14:textId="77777777" w:rsidR="005E1CF2" w:rsidRDefault="00527869">
      <w:pPr>
        <w:overflowPunct/>
        <w:jc w:val="both"/>
        <w:textAlignment w:val="auto"/>
        <w:rPr>
          <w:rFonts w:eastAsia="MS Mincho"/>
          <w:color w:val="auto"/>
          <w:sz w:val="24"/>
          <w:szCs w:val="24"/>
          <w:lang w:eastAsia="en-US"/>
        </w:rPr>
      </w:pPr>
      <w:r>
        <w:rPr>
          <w:rFonts w:eastAsia="MS Mincho"/>
          <w:color w:val="auto"/>
          <w:sz w:val="24"/>
          <w:szCs w:val="24"/>
          <w:lang w:eastAsia="en-US"/>
        </w:rPr>
        <w:t>XXX Hospice. (2018). Deprivation of Liberty Safeguarding Policy.X.X Hospice</w:t>
      </w:r>
    </w:p>
    <w:p w14:paraId="6139FA2D" w14:textId="77777777" w:rsidR="005E1CF2" w:rsidRDefault="005E1CF2">
      <w:pPr>
        <w:overflowPunct/>
        <w:jc w:val="both"/>
        <w:textAlignment w:val="auto"/>
        <w:rPr>
          <w:rFonts w:eastAsia="MS Mincho"/>
          <w:color w:val="auto"/>
          <w:sz w:val="24"/>
          <w:szCs w:val="24"/>
          <w:lang w:eastAsia="en-US"/>
        </w:rPr>
      </w:pPr>
    </w:p>
    <w:p w14:paraId="083F7727" w14:textId="58747FD4" w:rsidR="005E1CF2" w:rsidRDefault="00527869">
      <w:pPr>
        <w:overflowPunct/>
        <w:jc w:val="both"/>
        <w:textAlignment w:val="auto"/>
        <w:rPr>
          <w:color w:val="auto"/>
          <w:sz w:val="24"/>
          <w:szCs w:val="24"/>
          <w:lang w:eastAsia="en-US"/>
        </w:rPr>
      </w:pPr>
      <w:r>
        <w:rPr>
          <w:rFonts w:eastAsia="MS Mincho"/>
          <w:color w:val="auto"/>
          <w:sz w:val="24"/>
          <w:szCs w:val="24"/>
          <w:lang w:eastAsia="en-US"/>
        </w:rPr>
        <w:t>XXX Local Authority (2018) Criminal investigation within Safeguarding Enquiries. X.</w:t>
      </w:r>
      <w:r w:rsidR="00FC6B2E">
        <w:rPr>
          <w:rFonts w:eastAsia="MS Mincho"/>
          <w:color w:val="auto"/>
          <w:sz w:val="24"/>
          <w:szCs w:val="24"/>
          <w:lang w:eastAsia="en-US"/>
        </w:rPr>
        <w:t xml:space="preserve"> X</w:t>
      </w:r>
      <w:r>
        <w:rPr>
          <w:rFonts w:eastAsia="MS Mincho"/>
          <w:color w:val="auto"/>
          <w:sz w:val="24"/>
          <w:szCs w:val="24"/>
          <w:lang w:eastAsia="en-US"/>
        </w:rPr>
        <w:t xml:space="preserve"> </w:t>
      </w:r>
    </w:p>
    <w:p w14:paraId="58663038" w14:textId="77777777" w:rsidR="005E1CF2" w:rsidRDefault="005E1CF2">
      <w:pPr>
        <w:jc w:val="both"/>
        <w:rPr>
          <w:b/>
          <w:sz w:val="24"/>
          <w:szCs w:val="24"/>
        </w:rPr>
      </w:pPr>
    </w:p>
    <w:p w14:paraId="6354A99C" w14:textId="77777777" w:rsidR="005E1CF2" w:rsidRDefault="00527869">
      <w:pPr>
        <w:overflowPunct/>
        <w:jc w:val="both"/>
        <w:textAlignment w:val="auto"/>
        <w:rPr>
          <w:sz w:val="24"/>
          <w:szCs w:val="24"/>
          <w:u w:val="single"/>
          <w:lang w:val="en"/>
        </w:rPr>
      </w:pPr>
      <w:r>
        <w:rPr>
          <w:sz w:val="24"/>
          <w:szCs w:val="24"/>
          <w:u w:val="single"/>
          <w:lang w:val="en"/>
        </w:rPr>
        <w:t>Legislation</w:t>
      </w:r>
    </w:p>
    <w:p w14:paraId="41FBBAA3" w14:textId="77777777" w:rsidR="005E1CF2" w:rsidRDefault="005E1CF2">
      <w:pPr>
        <w:overflowPunct/>
        <w:jc w:val="both"/>
        <w:textAlignment w:val="auto"/>
        <w:rPr>
          <w:color w:val="auto"/>
          <w:sz w:val="24"/>
          <w:szCs w:val="24"/>
        </w:rPr>
      </w:pPr>
    </w:p>
    <w:p w14:paraId="7133C771" w14:textId="77777777" w:rsidR="005E1CF2" w:rsidRDefault="00527869">
      <w:pPr>
        <w:overflowPunct/>
        <w:jc w:val="both"/>
        <w:textAlignment w:val="auto"/>
        <w:rPr>
          <w:color w:val="auto"/>
          <w:sz w:val="24"/>
          <w:szCs w:val="24"/>
        </w:rPr>
      </w:pPr>
      <w:r>
        <w:rPr>
          <w:color w:val="auto"/>
          <w:sz w:val="24"/>
          <w:szCs w:val="24"/>
        </w:rPr>
        <w:t>Adoption and Children Act 2002. (c.38), London: HMSO</w:t>
      </w:r>
    </w:p>
    <w:p w14:paraId="6A773E26" w14:textId="77777777" w:rsidR="005E1CF2" w:rsidRDefault="005E1CF2">
      <w:pPr>
        <w:overflowPunct/>
        <w:jc w:val="both"/>
        <w:textAlignment w:val="auto"/>
        <w:rPr>
          <w:color w:val="auto"/>
          <w:sz w:val="24"/>
          <w:szCs w:val="24"/>
        </w:rPr>
      </w:pPr>
    </w:p>
    <w:p w14:paraId="7B981AA2" w14:textId="77777777" w:rsidR="005E1CF2" w:rsidRDefault="00527869">
      <w:pPr>
        <w:overflowPunct/>
        <w:jc w:val="both"/>
        <w:textAlignment w:val="auto"/>
        <w:rPr>
          <w:color w:val="auto"/>
          <w:sz w:val="24"/>
          <w:szCs w:val="24"/>
        </w:rPr>
      </w:pPr>
      <w:r>
        <w:rPr>
          <w:color w:val="auto"/>
          <w:sz w:val="24"/>
          <w:szCs w:val="24"/>
        </w:rPr>
        <w:t>Carers and Disabled Children Act 2000. (c.16), London: HMSO</w:t>
      </w:r>
    </w:p>
    <w:p w14:paraId="1542A919" w14:textId="77777777" w:rsidR="005E1CF2" w:rsidRDefault="005E1CF2">
      <w:pPr>
        <w:overflowPunct/>
        <w:jc w:val="both"/>
        <w:textAlignment w:val="auto"/>
        <w:rPr>
          <w:color w:val="auto"/>
          <w:sz w:val="24"/>
          <w:szCs w:val="24"/>
        </w:rPr>
      </w:pPr>
    </w:p>
    <w:p w14:paraId="395DDB74" w14:textId="77777777" w:rsidR="005E1CF2" w:rsidRDefault="00527869">
      <w:pPr>
        <w:overflowPunct/>
        <w:jc w:val="both"/>
        <w:textAlignment w:val="auto"/>
        <w:rPr>
          <w:color w:val="auto"/>
          <w:sz w:val="24"/>
          <w:szCs w:val="24"/>
        </w:rPr>
      </w:pPr>
      <w:r>
        <w:rPr>
          <w:color w:val="auto"/>
          <w:sz w:val="24"/>
          <w:szCs w:val="24"/>
        </w:rPr>
        <w:t>Carers Equal Opportunities Act 2004. (c.15), London: HMSO</w:t>
      </w:r>
    </w:p>
    <w:p w14:paraId="60B8D3E5" w14:textId="77777777" w:rsidR="005E1CF2" w:rsidRDefault="005E1CF2">
      <w:pPr>
        <w:overflowPunct/>
        <w:jc w:val="both"/>
        <w:textAlignment w:val="auto"/>
        <w:rPr>
          <w:color w:val="auto"/>
          <w:sz w:val="24"/>
          <w:szCs w:val="24"/>
        </w:rPr>
      </w:pPr>
    </w:p>
    <w:p w14:paraId="2DA5E178" w14:textId="77777777" w:rsidR="005E1CF2" w:rsidRDefault="00527869">
      <w:pPr>
        <w:overflowPunct/>
        <w:jc w:val="both"/>
        <w:textAlignment w:val="auto"/>
        <w:rPr>
          <w:color w:val="auto"/>
          <w:sz w:val="24"/>
          <w:szCs w:val="24"/>
        </w:rPr>
      </w:pPr>
      <w:r>
        <w:rPr>
          <w:color w:val="auto"/>
          <w:sz w:val="24"/>
          <w:szCs w:val="24"/>
        </w:rPr>
        <w:t>Carers Recognition and Services Act 1995. (c.12), London: HMSO</w:t>
      </w:r>
    </w:p>
    <w:p w14:paraId="4FC773F0" w14:textId="77777777" w:rsidR="005E1CF2" w:rsidRDefault="005E1CF2">
      <w:pPr>
        <w:overflowPunct/>
        <w:jc w:val="both"/>
        <w:textAlignment w:val="auto"/>
        <w:rPr>
          <w:color w:val="auto"/>
          <w:sz w:val="24"/>
          <w:szCs w:val="24"/>
        </w:rPr>
      </w:pPr>
    </w:p>
    <w:p w14:paraId="31B792A2" w14:textId="77777777" w:rsidR="005E1CF2" w:rsidRDefault="00527869">
      <w:pPr>
        <w:overflowPunct/>
        <w:jc w:val="both"/>
        <w:textAlignment w:val="auto"/>
        <w:rPr>
          <w:color w:val="auto"/>
          <w:sz w:val="24"/>
          <w:szCs w:val="24"/>
        </w:rPr>
      </w:pPr>
      <w:r>
        <w:rPr>
          <w:color w:val="auto"/>
          <w:sz w:val="24"/>
          <w:szCs w:val="24"/>
        </w:rPr>
        <w:t>Children Act 1989. (c.41), London: HMSO</w:t>
      </w:r>
    </w:p>
    <w:p w14:paraId="6A811F86" w14:textId="77777777" w:rsidR="005E1CF2" w:rsidRDefault="005E1CF2">
      <w:pPr>
        <w:overflowPunct/>
        <w:jc w:val="both"/>
        <w:textAlignment w:val="auto"/>
        <w:rPr>
          <w:color w:val="auto"/>
          <w:sz w:val="24"/>
          <w:szCs w:val="24"/>
        </w:rPr>
      </w:pPr>
    </w:p>
    <w:p w14:paraId="76A34D3D" w14:textId="77777777" w:rsidR="005E1CF2" w:rsidRDefault="00527869">
      <w:pPr>
        <w:overflowPunct/>
        <w:jc w:val="both"/>
        <w:textAlignment w:val="auto"/>
        <w:rPr>
          <w:color w:val="auto"/>
          <w:sz w:val="24"/>
          <w:szCs w:val="24"/>
        </w:rPr>
      </w:pPr>
      <w:r>
        <w:rPr>
          <w:color w:val="auto"/>
          <w:sz w:val="24"/>
          <w:szCs w:val="24"/>
        </w:rPr>
        <w:t>Children Act 2004. (c.31), London: HMSO</w:t>
      </w:r>
    </w:p>
    <w:p w14:paraId="71D71D23" w14:textId="77777777" w:rsidR="005E1CF2" w:rsidRDefault="005E1CF2">
      <w:pPr>
        <w:overflowPunct/>
        <w:jc w:val="both"/>
        <w:textAlignment w:val="auto"/>
        <w:rPr>
          <w:color w:val="auto"/>
          <w:sz w:val="24"/>
          <w:szCs w:val="24"/>
        </w:rPr>
      </w:pPr>
    </w:p>
    <w:p w14:paraId="6485AAD8" w14:textId="77777777" w:rsidR="005E1CF2" w:rsidRDefault="00527869">
      <w:pPr>
        <w:overflowPunct/>
        <w:jc w:val="both"/>
        <w:textAlignment w:val="auto"/>
        <w:rPr>
          <w:color w:val="auto"/>
          <w:sz w:val="24"/>
          <w:szCs w:val="24"/>
        </w:rPr>
      </w:pPr>
      <w:r>
        <w:rPr>
          <w:color w:val="auto"/>
          <w:sz w:val="24"/>
          <w:szCs w:val="24"/>
        </w:rPr>
        <w:t>Human Rights Act 1998. (c.42), London: HMSO</w:t>
      </w:r>
    </w:p>
    <w:p w14:paraId="76F8064B" w14:textId="77777777" w:rsidR="005E1CF2" w:rsidRDefault="005E1CF2">
      <w:pPr>
        <w:overflowPunct/>
        <w:jc w:val="both"/>
        <w:textAlignment w:val="auto"/>
        <w:rPr>
          <w:color w:val="auto"/>
          <w:sz w:val="24"/>
          <w:szCs w:val="24"/>
        </w:rPr>
      </w:pPr>
    </w:p>
    <w:p w14:paraId="241665AE" w14:textId="77777777" w:rsidR="005E1CF2" w:rsidRDefault="00527869">
      <w:pPr>
        <w:overflowPunct/>
        <w:jc w:val="both"/>
        <w:textAlignment w:val="auto"/>
        <w:rPr>
          <w:color w:val="auto"/>
          <w:sz w:val="24"/>
          <w:szCs w:val="24"/>
        </w:rPr>
      </w:pPr>
      <w:r>
        <w:rPr>
          <w:color w:val="auto"/>
          <w:sz w:val="24"/>
          <w:szCs w:val="24"/>
        </w:rPr>
        <w:t xml:space="preserve">Mental Capacity Act 2005. London HMSO </w:t>
      </w:r>
    </w:p>
    <w:p w14:paraId="0A479690" w14:textId="77777777" w:rsidR="005E1CF2" w:rsidRDefault="005E1CF2">
      <w:pPr>
        <w:overflowPunct/>
        <w:jc w:val="both"/>
        <w:textAlignment w:val="auto"/>
        <w:rPr>
          <w:color w:val="auto"/>
          <w:sz w:val="24"/>
          <w:szCs w:val="24"/>
        </w:rPr>
      </w:pPr>
    </w:p>
    <w:p w14:paraId="7767B753" w14:textId="77777777" w:rsidR="005E1CF2" w:rsidRDefault="00527869">
      <w:pPr>
        <w:overflowPunct/>
        <w:jc w:val="both"/>
        <w:textAlignment w:val="auto"/>
        <w:rPr>
          <w:color w:val="auto"/>
          <w:sz w:val="24"/>
          <w:szCs w:val="24"/>
        </w:rPr>
      </w:pPr>
      <w:r>
        <w:rPr>
          <w:color w:val="auto"/>
          <w:sz w:val="24"/>
          <w:szCs w:val="24"/>
        </w:rPr>
        <w:t>Mental Health Act 1983. (c.20), London: HMSO</w:t>
      </w:r>
    </w:p>
    <w:p w14:paraId="60F0E103" w14:textId="77777777" w:rsidR="005E1CF2" w:rsidRDefault="005E1CF2">
      <w:pPr>
        <w:overflowPunct/>
        <w:jc w:val="both"/>
        <w:textAlignment w:val="auto"/>
        <w:rPr>
          <w:color w:val="auto"/>
          <w:sz w:val="24"/>
          <w:szCs w:val="24"/>
        </w:rPr>
      </w:pPr>
    </w:p>
    <w:p w14:paraId="13F525A8" w14:textId="77777777" w:rsidR="005E1CF2" w:rsidRDefault="00527869">
      <w:pPr>
        <w:overflowPunct/>
        <w:jc w:val="both"/>
        <w:textAlignment w:val="auto"/>
        <w:rPr>
          <w:color w:val="auto"/>
          <w:sz w:val="24"/>
          <w:szCs w:val="24"/>
        </w:rPr>
      </w:pPr>
      <w:r>
        <w:rPr>
          <w:color w:val="auto"/>
          <w:sz w:val="24"/>
          <w:szCs w:val="24"/>
        </w:rPr>
        <w:t>Mental Health Act 2007. (c.12), London: HMSO</w:t>
      </w:r>
    </w:p>
    <w:p w14:paraId="3EB25148" w14:textId="77777777" w:rsidR="005E1CF2" w:rsidRDefault="005E1CF2">
      <w:pPr>
        <w:overflowPunct/>
        <w:jc w:val="both"/>
        <w:textAlignment w:val="auto"/>
        <w:rPr>
          <w:color w:val="auto"/>
          <w:sz w:val="24"/>
          <w:szCs w:val="24"/>
        </w:rPr>
      </w:pPr>
    </w:p>
    <w:p w14:paraId="59E51A49" w14:textId="77777777" w:rsidR="005E1CF2" w:rsidRDefault="00527869">
      <w:pPr>
        <w:overflowPunct/>
        <w:jc w:val="both"/>
        <w:textAlignment w:val="auto"/>
        <w:rPr>
          <w:color w:val="auto"/>
          <w:sz w:val="24"/>
          <w:szCs w:val="24"/>
        </w:rPr>
      </w:pPr>
      <w:r>
        <w:rPr>
          <w:color w:val="auto"/>
          <w:sz w:val="24"/>
          <w:szCs w:val="24"/>
        </w:rPr>
        <w:t>Mental Health (Wales) Measure 2010, Cardiff: National Assembly for Wales</w:t>
      </w:r>
    </w:p>
    <w:p w14:paraId="452E4846" w14:textId="77777777" w:rsidR="005E1CF2" w:rsidRDefault="005E1CF2">
      <w:pPr>
        <w:overflowPunct/>
        <w:jc w:val="both"/>
        <w:textAlignment w:val="auto"/>
        <w:rPr>
          <w:color w:val="auto"/>
          <w:sz w:val="24"/>
          <w:szCs w:val="24"/>
        </w:rPr>
      </w:pPr>
    </w:p>
    <w:p w14:paraId="1B977289" w14:textId="77777777" w:rsidR="005E1CF2" w:rsidRDefault="00527869">
      <w:pPr>
        <w:overflowPunct/>
        <w:jc w:val="both"/>
        <w:textAlignment w:val="auto"/>
        <w:rPr>
          <w:color w:val="auto"/>
          <w:sz w:val="24"/>
          <w:szCs w:val="24"/>
        </w:rPr>
      </w:pPr>
      <w:r>
        <w:rPr>
          <w:color w:val="auto"/>
          <w:sz w:val="24"/>
          <w:szCs w:val="24"/>
        </w:rPr>
        <w:t>Sexual Offences Act 2003. (c.42), London: HMSO</w:t>
      </w:r>
    </w:p>
    <w:p w14:paraId="1C11A1BA" w14:textId="77777777" w:rsidR="005E1CF2" w:rsidRDefault="005E1CF2">
      <w:pPr>
        <w:overflowPunct/>
        <w:jc w:val="both"/>
        <w:textAlignment w:val="auto"/>
        <w:rPr>
          <w:color w:val="auto"/>
          <w:sz w:val="24"/>
          <w:szCs w:val="24"/>
        </w:rPr>
      </w:pPr>
    </w:p>
    <w:p w14:paraId="6B7619A2" w14:textId="77777777" w:rsidR="005E1CF2" w:rsidRDefault="00527869">
      <w:pPr>
        <w:overflowPunct/>
        <w:jc w:val="both"/>
        <w:textAlignment w:val="auto"/>
        <w:rPr>
          <w:color w:val="auto"/>
          <w:sz w:val="24"/>
          <w:szCs w:val="24"/>
        </w:rPr>
      </w:pPr>
      <w:r>
        <w:rPr>
          <w:color w:val="auto"/>
          <w:sz w:val="24"/>
          <w:szCs w:val="24"/>
        </w:rPr>
        <w:lastRenderedPageBreak/>
        <w:t>Social Services Wellbeing (Wales) Act (2014). Cardiff; National Assembly for Wales</w:t>
      </w:r>
    </w:p>
    <w:p w14:paraId="2CC25D7B" w14:textId="77777777" w:rsidR="005E1CF2" w:rsidRDefault="005E1CF2">
      <w:pPr>
        <w:jc w:val="both"/>
        <w:rPr>
          <w:b/>
          <w:sz w:val="24"/>
          <w:szCs w:val="24"/>
        </w:rPr>
      </w:pPr>
    </w:p>
    <w:p w14:paraId="3788F474" w14:textId="77777777" w:rsidR="005E1CF2" w:rsidRDefault="005E1CF2">
      <w:pPr>
        <w:jc w:val="both"/>
        <w:rPr>
          <w:b/>
          <w:sz w:val="24"/>
          <w:szCs w:val="24"/>
        </w:rPr>
      </w:pPr>
    </w:p>
    <w:p w14:paraId="1C16C588" w14:textId="77777777" w:rsidR="005E1CF2" w:rsidRDefault="00527869">
      <w:pPr>
        <w:overflowPunct/>
        <w:jc w:val="both"/>
        <w:textAlignment w:val="auto"/>
        <w:rPr>
          <w:color w:val="auto"/>
          <w:sz w:val="24"/>
          <w:szCs w:val="24"/>
          <w:u w:val="single"/>
        </w:rPr>
      </w:pPr>
      <w:r>
        <w:rPr>
          <w:color w:val="auto"/>
          <w:sz w:val="24"/>
          <w:szCs w:val="24"/>
          <w:u w:val="single"/>
        </w:rPr>
        <w:t>Case Law</w:t>
      </w:r>
    </w:p>
    <w:p w14:paraId="30A4BF82" w14:textId="77777777" w:rsidR="00656037" w:rsidRDefault="00656037">
      <w:pPr>
        <w:overflowPunct/>
        <w:jc w:val="both"/>
        <w:textAlignment w:val="auto"/>
        <w:rPr>
          <w:color w:val="auto"/>
          <w:sz w:val="24"/>
          <w:szCs w:val="24"/>
          <w:u w:val="single"/>
        </w:rPr>
      </w:pPr>
    </w:p>
    <w:p w14:paraId="3B53B48B" w14:textId="77777777" w:rsidR="005E1CF2" w:rsidRDefault="00527869">
      <w:pPr>
        <w:overflowPunct/>
        <w:jc w:val="both"/>
        <w:textAlignment w:val="auto"/>
        <w:rPr>
          <w:color w:val="auto"/>
          <w:sz w:val="24"/>
          <w:szCs w:val="24"/>
        </w:rPr>
      </w:pPr>
      <w:r>
        <w:rPr>
          <w:color w:val="auto"/>
          <w:sz w:val="24"/>
          <w:szCs w:val="24"/>
        </w:rPr>
        <w:t>Birmingham City Council v D [2016]</w:t>
      </w:r>
    </w:p>
    <w:p w14:paraId="15421BEE" w14:textId="77777777" w:rsidR="005E1CF2" w:rsidRDefault="005E1CF2">
      <w:pPr>
        <w:overflowPunct/>
        <w:jc w:val="both"/>
        <w:textAlignment w:val="auto"/>
        <w:rPr>
          <w:color w:val="auto"/>
          <w:sz w:val="24"/>
          <w:szCs w:val="24"/>
        </w:rPr>
      </w:pPr>
    </w:p>
    <w:p w14:paraId="24362E5D" w14:textId="77777777" w:rsidR="005E1CF2" w:rsidRDefault="00527869">
      <w:pPr>
        <w:overflowPunct/>
        <w:jc w:val="both"/>
        <w:textAlignment w:val="auto"/>
        <w:rPr>
          <w:color w:val="auto"/>
          <w:sz w:val="24"/>
          <w:szCs w:val="24"/>
        </w:rPr>
      </w:pPr>
      <w:r>
        <w:rPr>
          <w:color w:val="auto"/>
          <w:sz w:val="24"/>
          <w:szCs w:val="24"/>
        </w:rPr>
        <w:t>Coughlan V North &amp; East Devon Health Authority [1999]</w:t>
      </w:r>
    </w:p>
    <w:p w14:paraId="4D9D6267" w14:textId="77777777" w:rsidR="005E1CF2" w:rsidRDefault="005E1CF2">
      <w:pPr>
        <w:overflowPunct/>
        <w:jc w:val="both"/>
        <w:textAlignment w:val="auto"/>
        <w:rPr>
          <w:color w:val="auto"/>
          <w:sz w:val="24"/>
          <w:szCs w:val="24"/>
        </w:rPr>
      </w:pPr>
    </w:p>
    <w:p w14:paraId="29D4E13C" w14:textId="77777777" w:rsidR="005E1CF2" w:rsidRDefault="00527869">
      <w:pPr>
        <w:overflowPunct/>
        <w:jc w:val="both"/>
        <w:textAlignment w:val="auto"/>
        <w:rPr>
          <w:color w:val="auto"/>
          <w:sz w:val="24"/>
          <w:szCs w:val="24"/>
        </w:rPr>
      </w:pPr>
      <w:r>
        <w:rPr>
          <w:color w:val="auto"/>
          <w:sz w:val="24"/>
          <w:szCs w:val="24"/>
        </w:rPr>
        <w:t>Gillick v West Norfolk and Wisbech Area Health Authority [1986]</w:t>
      </w:r>
    </w:p>
    <w:p w14:paraId="66D19023" w14:textId="77777777" w:rsidR="005E1CF2" w:rsidRDefault="005E1CF2">
      <w:pPr>
        <w:overflowPunct/>
        <w:jc w:val="both"/>
        <w:textAlignment w:val="auto"/>
        <w:rPr>
          <w:color w:val="auto"/>
          <w:sz w:val="24"/>
          <w:szCs w:val="24"/>
        </w:rPr>
      </w:pPr>
    </w:p>
    <w:p w14:paraId="10938AA6" w14:textId="77777777" w:rsidR="005E1CF2" w:rsidRDefault="00527869">
      <w:pPr>
        <w:overflowPunct/>
        <w:jc w:val="both"/>
        <w:textAlignment w:val="auto"/>
        <w:rPr>
          <w:color w:val="auto"/>
          <w:sz w:val="24"/>
          <w:szCs w:val="24"/>
        </w:rPr>
      </w:pPr>
      <w:r>
        <w:rPr>
          <w:color w:val="auto"/>
          <w:sz w:val="24"/>
          <w:szCs w:val="24"/>
        </w:rPr>
        <w:t>Grogan V Bexley NHS Trust [2006]</w:t>
      </w:r>
    </w:p>
    <w:p w14:paraId="073AC66B" w14:textId="77777777" w:rsidR="005E1CF2" w:rsidRDefault="005E1CF2">
      <w:pPr>
        <w:overflowPunct/>
        <w:jc w:val="both"/>
        <w:textAlignment w:val="auto"/>
        <w:rPr>
          <w:color w:val="auto"/>
          <w:sz w:val="24"/>
          <w:szCs w:val="24"/>
        </w:rPr>
      </w:pPr>
    </w:p>
    <w:p w14:paraId="74DAAE9D" w14:textId="77777777" w:rsidR="005E1CF2" w:rsidRDefault="005E1CF2">
      <w:pPr>
        <w:overflowPunct/>
        <w:jc w:val="both"/>
        <w:textAlignment w:val="auto"/>
        <w:rPr>
          <w:color w:val="auto"/>
          <w:sz w:val="24"/>
          <w:szCs w:val="24"/>
        </w:rPr>
      </w:pPr>
    </w:p>
    <w:p w14:paraId="0469C2A3" w14:textId="77777777" w:rsidR="005E1CF2" w:rsidRDefault="00527869">
      <w:pPr>
        <w:overflowPunct/>
        <w:textAlignment w:val="auto"/>
        <w:rPr>
          <w:b/>
          <w:sz w:val="24"/>
          <w:szCs w:val="24"/>
        </w:rPr>
      </w:pPr>
      <w:r>
        <w:br w:type="page"/>
      </w:r>
    </w:p>
    <w:p w14:paraId="685C9598" w14:textId="77777777" w:rsidR="005E1CF2" w:rsidRDefault="005E1CF2">
      <w:pPr>
        <w:jc w:val="both"/>
        <w:rPr>
          <w:b/>
          <w:sz w:val="24"/>
          <w:szCs w:val="24"/>
        </w:rPr>
      </w:pPr>
    </w:p>
    <w:p w14:paraId="42E3D2C4" w14:textId="77777777" w:rsidR="005E1CF2" w:rsidRDefault="005E1CF2">
      <w:pPr>
        <w:jc w:val="both"/>
        <w:rPr>
          <w:b/>
          <w:sz w:val="24"/>
          <w:szCs w:val="24"/>
        </w:rPr>
      </w:pPr>
    </w:p>
    <w:p w14:paraId="39198E48" w14:textId="77777777" w:rsidR="005E1CF2" w:rsidRDefault="005E1CF2">
      <w:pPr>
        <w:jc w:val="both"/>
        <w:rPr>
          <w:b/>
          <w:sz w:val="24"/>
          <w:szCs w:val="24"/>
        </w:rPr>
      </w:pPr>
    </w:p>
    <w:p w14:paraId="24743B45" w14:textId="77777777" w:rsidR="005E1CF2" w:rsidRDefault="00527869">
      <w:pPr>
        <w:keepNext/>
        <w:jc w:val="center"/>
        <w:rPr>
          <w:b/>
          <w:sz w:val="24"/>
          <w:szCs w:val="24"/>
        </w:rPr>
      </w:pPr>
      <w:r>
        <w:rPr>
          <w:b/>
          <w:sz w:val="24"/>
          <w:szCs w:val="24"/>
        </w:rPr>
        <w:t>Section 8</w:t>
      </w:r>
    </w:p>
    <w:p w14:paraId="1A129B1D" w14:textId="77777777" w:rsidR="005E1CF2" w:rsidRDefault="005E1CF2">
      <w:pPr>
        <w:keepNext/>
        <w:jc w:val="center"/>
        <w:rPr>
          <w:b/>
          <w:sz w:val="24"/>
          <w:szCs w:val="24"/>
        </w:rPr>
      </w:pPr>
    </w:p>
    <w:p w14:paraId="56D5613B" w14:textId="77777777" w:rsidR="005E1CF2" w:rsidRDefault="00527869">
      <w:pPr>
        <w:keepNext/>
        <w:rPr>
          <w:b/>
          <w:sz w:val="24"/>
          <w:szCs w:val="24"/>
        </w:rPr>
      </w:pPr>
      <w:r>
        <w:rPr>
          <w:b/>
          <w:color w:val="auto"/>
          <w:sz w:val="24"/>
          <w:szCs w:val="24"/>
        </w:rPr>
        <w:t>Learner details, Signatures and Line manager verification</w:t>
      </w:r>
    </w:p>
    <w:p w14:paraId="52FFE907" w14:textId="77777777" w:rsidR="005E1CF2" w:rsidRDefault="005E1CF2">
      <w:pPr>
        <w:keepNext/>
        <w:jc w:val="center"/>
        <w:rPr>
          <w:b/>
          <w:sz w:val="24"/>
          <w:szCs w:val="24"/>
        </w:rPr>
      </w:pPr>
    </w:p>
    <w:p w14:paraId="3E9B8E28" w14:textId="77777777" w:rsidR="005E1CF2" w:rsidRDefault="00527869">
      <w:pPr>
        <w:overflowPunct/>
        <w:jc w:val="both"/>
        <w:textAlignment w:val="auto"/>
        <w:rPr>
          <w:b/>
          <w:color w:val="auto"/>
          <w:sz w:val="24"/>
          <w:szCs w:val="24"/>
        </w:rPr>
      </w:pPr>
      <w:r>
        <w:rPr>
          <w:b/>
          <w:color w:val="auto"/>
          <w:sz w:val="24"/>
          <w:szCs w:val="24"/>
        </w:rPr>
        <w:t>It is the learner’s responsibility to ensure that their university learner number is correctly inserted wherever requested within the portfolio</w:t>
      </w:r>
    </w:p>
    <w:p w14:paraId="70A95B7C" w14:textId="77777777" w:rsidR="005E1CF2" w:rsidRDefault="005E1CF2">
      <w:pPr>
        <w:keepNext/>
        <w:rPr>
          <w:b/>
          <w:sz w:val="24"/>
          <w:szCs w:val="24"/>
        </w:rPr>
      </w:pPr>
    </w:p>
    <w:p w14:paraId="2C27A4C6" w14:textId="77777777" w:rsidR="005E1CF2" w:rsidRDefault="00527869">
      <w:pPr>
        <w:ind w:right="180"/>
        <w:jc w:val="both"/>
        <w:rPr>
          <w:b/>
          <w:sz w:val="24"/>
          <w:szCs w:val="24"/>
        </w:rPr>
      </w:pPr>
      <w:r>
        <w:rPr>
          <w:b/>
          <w:sz w:val="24"/>
          <w:szCs w:val="24"/>
        </w:rPr>
        <w:t xml:space="preserve">Learner Details </w:t>
      </w:r>
    </w:p>
    <w:p w14:paraId="07E91C2C" w14:textId="77777777" w:rsidR="005E1CF2" w:rsidRDefault="00527869">
      <w:pPr>
        <w:ind w:right="180"/>
        <w:jc w:val="both"/>
        <w:rPr>
          <w:sz w:val="24"/>
          <w:szCs w:val="24"/>
        </w:rPr>
      </w:pPr>
      <w:r>
        <w:rPr>
          <w:sz w:val="24"/>
          <w:szCs w:val="24"/>
        </w:rPr>
        <w:t xml:space="preserve">(NB it is essential that you inform your Workforce Development/Training Unit </w:t>
      </w:r>
      <w:r>
        <w:rPr>
          <w:b/>
          <w:sz w:val="24"/>
          <w:szCs w:val="24"/>
        </w:rPr>
        <w:t>and</w:t>
      </w:r>
      <w:r>
        <w:rPr>
          <w:sz w:val="24"/>
          <w:szCs w:val="24"/>
        </w:rPr>
        <w:t xml:space="preserve"> the University of Wales Trinity Saint David if your name or your address for correspondence changes).</w:t>
      </w:r>
    </w:p>
    <w:p w14:paraId="14EA681A" w14:textId="77777777" w:rsidR="005E1CF2" w:rsidRDefault="005E1CF2">
      <w:pPr>
        <w:ind w:right="180"/>
        <w:jc w:val="both"/>
        <w:rPr>
          <w:b/>
          <w:sz w:val="24"/>
          <w:szCs w:val="24"/>
        </w:rPr>
      </w:pPr>
    </w:p>
    <w:p w14:paraId="7FA8760C"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 xml:space="preserve">1. Name of Learner: Lesley Chambers </w:t>
      </w:r>
    </w:p>
    <w:p w14:paraId="7CC5AAEF"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463B8756"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2. Learner’s University Number: 1811112</w:t>
      </w:r>
    </w:p>
    <w:p w14:paraId="74C3D976"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187A814D"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Address for Correspondence:</w:t>
      </w:r>
    </w:p>
    <w:p w14:paraId="2EBF1D26"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74CDFACA"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7 Bryn Felin</w:t>
      </w:r>
    </w:p>
    <w:p w14:paraId="1D1B1C3C"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 xml:space="preserve">Pentre </w:t>
      </w:r>
      <w:proofErr w:type="spellStart"/>
      <w:r>
        <w:rPr>
          <w:b/>
          <w:sz w:val="24"/>
          <w:szCs w:val="24"/>
        </w:rPr>
        <w:t>Halkyn</w:t>
      </w:r>
      <w:proofErr w:type="spellEnd"/>
    </w:p>
    <w:p w14:paraId="3416DF39"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Flintshire</w:t>
      </w:r>
    </w:p>
    <w:p w14:paraId="6C7E54BD"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CH88JU</w:t>
      </w:r>
    </w:p>
    <w:p w14:paraId="4585B7FE"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35F06351"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Telephone: 07584301618</w:t>
      </w:r>
    </w:p>
    <w:p w14:paraId="621EDE4F"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55436C44" w14:textId="77777777" w:rsidR="005E1CF2" w:rsidRDefault="00527869">
      <w:pPr>
        <w:pBdr>
          <w:top w:val="single" w:sz="6" w:space="1" w:color="000000"/>
          <w:left w:val="single" w:sz="6" w:space="1" w:color="000000"/>
          <w:bottom w:val="single" w:sz="6" w:space="1" w:color="000000"/>
          <w:right w:val="single" w:sz="6" w:space="1" w:color="000000"/>
        </w:pBdr>
        <w:jc w:val="both"/>
      </w:pPr>
      <w:r>
        <w:rPr>
          <w:b/>
          <w:sz w:val="24"/>
          <w:szCs w:val="24"/>
        </w:rPr>
        <w:t xml:space="preserve">E-mail: </w:t>
      </w:r>
      <w:hyperlink r:id="rId20">
        <w:r>
          <w:rPr>
            <w:rStyle w:val="InternetLink"/>
            <w:b/>
            <w:sz w:val="24"/>
            <w:szCs w:val="24"/>
          </w:rPr>
          <w:t>Les87holl@aol.com</w:t>
        </w:r>
      </w:hyperlink>
      <w:r>
        <w:rPr>
          <w:b/>
          <w:sz w:val="24"/>
          <w:szCs w:val="24"/>
        </w:rPr>
        <w:t xml:space="preserve"> </w:t>
      </w:r>
    </w:p>
    <w:p w14:paraId="169D584E"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2D515585" w14:textId="77777777" w:rsidR="001752B9" w:rsidRDefault="00527869">
      <w:pPr>
        <w:pBdr>
          <w:top w:val="single" w:sz="6" w:space="1" w:color="000000"/>
          <w:left w:val="single" w:sz="6" w:space="1" w:color="000000"/>
          <w:bottom w:val="single" w:sz="6" w:space="1" w:color="000000"/>
          <w:right w:val="single" w:sz="6" w:space="1" w:color="000000"/>
        </w:pBdr>
        <w:jc w:val="both"/>
        <w:rPr>
          <w:b/>
          <w:sz w:val="24"/>
          <w:szCs w:val="24"/>
        </w:rPr>
      </w:pPr>
      <w:r w:rsidRPr="001752B9">
        <w:rPr>
          <w:b/>
          <w:sz w:val="24"/>
          <w:szCs w:val="24"/>
        </w:rPr>
        <w:t xml:space="preserve">Date of Professional Qualification: </w:t>
      </w:r>
      <w:r w:rsidR="008155FE" w:rsidRPr="001752B9">
        <w:rPr>
          <w:b/>
          <w:sz w:val="24"/>
          <w:szCs w:val="24"/>
        </w:rPr>
        <w:t xml:space="preserve"> </w:t>
      </w:r>
    </w:p>
    <w:p w14:paraId="244A971A" w14:textId="77777777" w:rsidR="005E1CF2" w:rsidRPr="001752B9" w:rsidRDefault="008155FE">
      <w:pPr>
        <w:pBdr>
          <w:top w:val="single" w:sz="6" w:space="1" w:color="000000"/>
          <w:left w:val="single" w:sz="6" w:space="1" w:color="000000"/>
          <w:bottom w:val="single" w:sz="6" w:space="1" w:color="000000"/>
          <w:right w:val="single" w:sz="6" w:space="1" w:color="000000"/>
        </w:pBdr>
        <w:jc w:val="both"/>
        <w:rPr>
          <w:b/>
          <w:sz w:val="24"/>
          <w:szCs w:val="24"/>
        </w:rPr>
      </w:pPr>
      <w:r w:rsidRPr="001752B9">
        <w:rPr>
          <w:b/>
          <w:sz w:val="24"/>
          <w:szCs w:val="24"/>
        </w:rPr>
        <w:t>BA (hons) Social Work September 2016</w:t>
      </w:r>
    </w:p>
    <w:p w14:paraId="5C93745F" w14:textId="77777777" w:rsidR="005E1CF2" w:rsidRPr="001752B9"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1FE435A2" w14:textId="77777777" w:rsidR="005E1CF2" w:rsidRPr="001752B9"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10EA4885" w14:textId="77777777" w:rsidR="001752B9" w:rsidRDefault="00527869">
      <w:pPr>
        <w:pBdr>
          <w:top w:val="single" w:sz="6" w:space="1" w:color="000000"/>
          <w:left w:val="single" w:sz="6" w:space="1" w:color="000000"/>
          <w:bottom w:val="single" w:sz="6" w:space="1" w:color="000000"/>
          <w:right w:val="single" w:sz="6" w:space="1" w:color="000000"/>
        </w:pBdr>
        <w:jc w:val="both"/>
        <w:rPr>
          <w:b/>
          <w:sz w:val="24"/>
          <w:szCs w:val="24"/>
        </w:rPr>
      </w:pPr>
      <w:r w:rsidRPr="001752B9">
        <w:rPr>
          <w:b/>
          <w:sz w:val="24"/>
          <w:szCs w:val="24"/>
        </w:rPr>
        <w:t>Date of registration with Social Care Wales:</w:t>
      </w:r>
      <w:r w:rsidR="008155FE" w:rsidRPr="001752B9">
        <w:rPr>
          <w:b/>
          <w:sz w:val="24"/>
          <w:szCs w:val="24"/>
        </w:rPr>
        <w:t xml:space="preserve"> </w:t>
      </w:r>
    </w:p>
    <w:p w14:paraId="06ECC06E" w14:textId="77777777" w:rsidR="001752B9" w:rsidRPr="001752B9" w:rsidRDefault="001752B9">
      <w:pPr>
        <w:pBdr>
          <w:top w:val="single" w:sz="6" w:space="1" w:color="000000"/>
          <w:left w:val="single" w:sz="6" w:space="1" w:color="000000"/>
          <w:bottom w:val="single" w:sz="6" w:space="1" w:color="000000"/>
          <w:right w:val="single" w:sz="6" w:space="1" w:color="000000"/>
        </w:pBdr>
        <w:jc w:val="both"/>
        <w:rPr>
          <w:b/>
          <w:sz w:val="24"/>
          <w:szCs w:val="24"/>
        </w:rPr>
      </w:pPr>
    </w:p>
    <w:p w14:paraId="439EF295" w14:textId="77777777" w:rsidR="001752B9" w:rsidRPr="001752B9" w:rsidRDefault="001752B9">
      <w:pPr>
        <w:pBdr>
          <w:top w:val="single" w:sz="6" w:space="1" w:color="000000"/>
          <w:left w:val="single" w:sz="6" w:space="1" w:color="000000"/>
          <w:bottom w:val="single" w:sz="6" w:space="1" w:color="000000"/>
          <w:right w:val="single" w:sz="6" w:space="1" w:color="000000"/>
        </w:pBdr>
        <w:jc w:val="both"/>
        <w:rPr>
          <w:b/>
          <w:sz w:val="24"/>
          <w:szCs w:val="24"/>
        </w:rPr>
      </w:pPr>
      <w:r w:rsidRPr="001752B9">
        <w:rPr>
          <w:b/>
          <w:sz w:val="24"/>
          <w:szCs w:val="24"/>
        </w:rPr>
        <w:t>Student SW registration - 2013-2016</w:t>
      </w:r>
    </w:p>
    <w:p w14:paraId="43CD27EE" w14:textId="77777777" w:rsidR="001752B9" w:rsidRPr="001752B9" w:rsidRDefault="001752B9">
      <w:pPr>
        <w:pBdr>
          <w:top w:val="single" w:sz="6" w:space="1" w:color="000000"/>
          <w:left w:val="single" w:sz="6" w:space="1" w:color="000000"/>
          <w:bottom w:val="single" w:sz="6" w:space="1" w:color="000000"/>
          <w:right w:val="single" w:sz="6" w:space="1" w:color="000000"/>
        </w:pBdr>
        <w:jc w:val="both"/>
        <w:rPr>
          <w:b/>
          <w:sz w:val="24"/>
          <w:szCs w:val="24"/>
        </w:rPr>
      </w:pPr>
      <w:r w:rsidRPr="001752B9">
        <w:rPr>
          <w:b/>
          <w:sz w:val="24"/>
          <w:szCs w:val="24"/>
        </w:rPr>
        <w:t>Qualified Social Work registration 2016 - 2019</w:t>
      </w:r>
    </w:p>
    <w:p w14:paraId="30819B38" w14:textId="77777777" w:rsidR="005E1CF2" w:rsidRDefault="001752B9">
      <w:pPr>
        <w:pBdr>
          <w:top w:val="single" w:sz="6" w:space="1" w:color="000000"/>
          <w:left w:val="single" w:sz="6" w:space="1" w:color="000000"/>
          <w:bottom w:val="single" w:sz="6" w:space="1" w:color="000000"/>
          <w:right w:val="single" w:sz="6" w:space="1" w:color="000000"/>
        </w:pBdr>
        <w:jc w:val="both"/>
        <w:rPr>
          <w:b/>
          <w:sz w:val="24"/>
          <w:szCs w:val="24"/>
        </w:rPr>
      </w:pPr>
      <w:r w:rsidRPr="001752B9">
        <w:rPr>
          <w:b/>
          <w:sz w:val="24"/>
          <w:szCs w:val="24"/>
        </w:rPr>
        <w:t>L</w:t>
      </w:r>
      <w:r w:rsidR="008155FE" w:rsidRPr="001752B9">
        <w:rPr>
          <w:b/>
          <w:sz w:val="24"/>
          <w:szCs w:val="24"/>
        </w:rPr>
        <w:t>atest period of updated registration 23.09.2019 – 23.09.2022</w:t>
      </w:r>
    </w:p>
    <w:p w14:paraId="772C914D"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03CF2EA3" w14:textId="77777777" w:rsidR="005E1CF2" w:rsidRDefault="005E1CF2">
      <w:pPr>
        <w:jc w:val="both"/>
        <w:rPr>
          <w:b/>
          <w:sz w:val="24"/>
          <w:szCs w:val="24"/>
        </w:rPr>
      </w:pPr>
    </w:p>
    <w:p w14:paraId="3E3CD9D7" w14:textId="77777777" w:rsidR="005E1CF2" w:rsidRDefault="005E1CF2">
      <w:pPr>
        <w:jc w:val="both"/>
        <w:rPr>
          <w:b/>
          <w:sz w:val="24"/>
          <w:szCs w:val="24"/>
        </w:rPr>
      </w:pPr>
    </w:p>
    <w:p w14:paraId="3F7DD08B" w14:textId="77777777" w:rsidR="005E1CF2" w:rsidRPr="00656037" w:rsidRDefault="00527869">
      <w:pPr>
        <w:pBdr>
          <w:top w:val="single" w:sz="6" w:space="1" w:color="000000"/>
          <w:left w:val="single" w:sz="6" w:space="1" w:color="000000"/>
          <w:bottom w:val="single" w:sz="6" w:space="1" w:color="000000"/>
          <w:right w:val="single" w:sz="6" w:space="1" w:color="000000"/>
        </w:pBdr>
        <w:jc w:val="both"/>
        <w:rPr>
          <w:b/>
          <w:color w:val="FF0000"/>
          <w:sz w:val="24"/>
          <w:szCs w:val="24"/>
        </w:rPr>
      </w:pPr>
      <w:r>
        <w:rPr>
          <w:b/>
          <w:sz w:val="24"/>
          <w:szCs w:val="24"/>
        </w:rPr>
        <w:t xml:space="preserve">3. </w:t>
      </w:r>
      <w:r w:rsidRPr="006C7CA6">
        <w:rPr>
          <w:b/>
          <w:color w:val="auto"/>
          <w:sz w:val="24"/>
          <w:szCs w:val="24"/>
        </w:rPr>
        <w:t>Name of Learner’s Agency: Nightingale House Hospice</w:t>
      </w:r>
      <w:r w:rsidRPr="00656037">
        <w:rPr>
          <w:b/>
          <w:color w:val="auto"/>
          <w:sz w:val="24"/>
          <w:szCs w:val="24"/>
        </w:rPr>
        <w:t xml:space="preserve"> </w:t>
      </w:r>
    </w:p>
    <w:p w14:paraId="58B62A41"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5F7FDD92"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476421B3" w14:textId="77777777" w:rsidR="006C7CA6" w:rsidRDefault="006C7CA6" w:rsidP="006C7CA6">
      <w:pPr>
        <w:pBdr>
          <w:top w:val="single" w:sz="6" w:space="1" w:color="000000"/>
          <w:left w:val="single" w:sz="6" w:space="1" w:color="000000"/>
          <w:bottom w:val="single" w:sz="6" w:space="1" w:color="000000"/>
          <w:right w:val="single" w:sz="6" w:space="1" w:color="000000"/>
        </w:pBdr>
        <w:jc w:val="both"/>
        <w:rPr>
          <w:b/>
          <w:sz w:val="24"/>
          <w:szCs w:val="24"/>
        </w:rPr>
      </w:pPr>
    </w:p>
    <w:p w14:paraId="676DACF0" w14:textId="77777777" w:rsidR="006C7CA6" w:rsidRDefault="00527869" w:rsidP="006C7CA6">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lastRenderedPageBreak/>
        <w:t>Name:</w:t>
      </w:r>
      <w:r w:rsidR="006C7CA6" w:rsidRPr="006C7CA6">
        <w:rPr>
          <w:b/>
          <w:sz w:val="24"/>
          <w:szCs w:val="24"/>
        </w:rPr>
        <w:t xml:space="preserve"> </w:t>
      </w:r>
      <w:r w:rsidR="006C7CA6">
        <w:rPr>
          <w:b/>
          <w:sz w:val="24"/>
          <w:szCs w:val="24"/>
        </w:rPr>
        <w:t>Sarah James (Line manager)</w:t>
      </w:r>
    </w:p>
    <w:p w14:paraId="75905604"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Address:</w:t>
      </w:r>
    </w:p>
    <w:p w14:paraId="3D40C7B2"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Nightingale House Hospice</w:t>
      </w:r>
    </w:p>
    <w:p w14:paraId="7939D565"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Chester Road</w:t>
      </w:r>
    </w:p>
    <w:p w14:paraId="3ABC8CD0"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 xml:space="preserve">Wrexham </w:t>
      </w:r>
    </w:p>
    <w:p w14:paraId="6E72CA9F"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LL112SJ</w:t>
      </w:r>
    </w:p>
    <w:p w14:paraId="44D42568" w14:textId="77777777" w:rsidR="006C7CA6" w:rsidRDefault="006C7CA6">
      <w:pPr>
        <w:pBdr>
          <w:top w:val="single" w:sz="6" w:space="1" w:color="000000"/>
          <w:left w:val="single" w:sz="6" w:space="1" w:color="000000"/>
          <w:bottom w:val="single" w:sz="6" w:space="1" w:color="000000"/>
          <w:right w:val="single" w:sz="6" w:space="1" w:color="000000"/>
        </w:pBdr>
        <w:jc w:val="both"/>
        <w:rPr>
          <w:b/>
          <w:sz w:val="24"/>
          <w:szCs w:val="24"/>
        </w:rPr>
      </w:pPr>
    </w:p>
    <w:p w14:paraId="19ABD323"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 xml:space="preserve">Telephone Number: </w:t>
      </w:r>
      <w:r w:rsidR="006C7CA6">
        <w:rPr>
          <w:b/>
          <w:sz w:val="24"/>
          <w:szCs w:val="24"/>
        </w:rPr>
        <w:t>01978 316800</w:t>
      </w:r>
    </w:p>
    <w:p w14:paraId="6FCF9CB6"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0ABBD866"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 xml:space="preserve">E-Mail address: </w:t>
      </w:r>
      <w:hyperlink r:id="rId21">
        <w:r w:rsidR="006C7CA6" w:rsidRPr="006C7CA6">
          <w:rPr>
            <w:rStyle w:val="Hyperlink"/>
            <w:b/>
            <w:sz w:val="24"/>
            <w:szCs w:val="24"/>
          </w:rPr>
          <w:t>Sarah.James4@wales.nhs.uk</w:t>
        </w:r>
      </w:hyperlink>
    </w:p>
    <w:p w14:paraId="63697248" w14:textId="77777777" w:rsidR="005E1CF2" w:rsidRDefault="005E1CF2">
      <w:pPr>
        <w:jc w:val="both"/>
        <w:rPr>
          <w:b/>
          <w:sz w:val="24"/>
          <w:szCs w:val="24"/>
        </w:rPr>
      </w:pPr>
    </w:p>
    <w:p w14:paraId="5F521AF5" w14:textId="77777777" w:rsidR="005E1CF2" w:rsidRDefault="005E1CF2">
      <w:pPr>
        <w:jc w:val="both"/>
        <w:rPr>
          <w:b/>
          <w:sz w:val="24"/>
          <w:szCs w:val="24"/>
        </w:rPr>
      </w:pPr>
    </w:p>
    <w:p w14:paraId="6BE10AEF"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4. The evidence I have provided within this portfolio is in:</w:t>
      </w:r>
    </w:p>
    <w:p w14:paraId="336D5C2D"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0575ECD0"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 xml:space="preserve">Welsh only </w:t>
      </w:r>
      <w:r>
        <w:rPr>
          <w:b/>
          <w:sz w:val="24"/>
          <w:szCs w:val="24"/>
        </w:rPr>
        <w:tab/>
      </w:r>
      <w:r>
        <w:rPr>
          <w:rFonts w:ascii="Wingdings" w:eastAsia="Wingdings" w:hAnsi="Wingdings" w:cs="Wingdings"/>
          <w:b/>
          <w:sz w:val="24"/>
          <w:szCs w:val="24"/>
        </w:rPr>
        <w:t></w:t>
      </w:r>
      <w:r>
        <w:rPr>
          <w:b/>
          <w:sz w:val="24"/>
          <w:szCs w:val="24"/>
        </w:rPr>
        <w:tab/>
        <w:t xml:space="preserve"> Welsh and English </w:t>
      </w:r>
      <w:r>
        <w:rPr>
          <w:rFonts w:ascii="Wingdings" w:eastAsia="Wingdings" w:hAnsi="Wingdings" w:cs="Wingdings"/>
          <w:b/>
          <w:sz w:val="24"/>
          <w:szCs w:val="24"/>
        </w:rPr>
        <w:t></w:t>
      </w:r>
      <w:r>
        <w:rPr>
          <w:b/>
          <w:sz w:val="24"/>
          <w:szCs w:val="24"/>
        </w:rPr>
        <w:tab/>
      </w:r>
      <w:r>
        <w:rPr>
          <w:b/>
          <w:sz w:val="24"/>
          <w:szCs w:val="24"/>
        </w:rPr>
        <w:tab/>
        <w:t>English only ×</w:t>
      </w:r>
    </w:p>
    <w:p w14:paraId="180A9F76" w14:textId="77777777" w:rsidR="005E1CF2" w:rsidRDefault="005E1CF2">
      <w:pPr>
        <w:jc w:val="both"/>
        <w:rPr>
          <w:b/>
          <w:sz w:val="24"/>
          <w:szCs w:val="24"/>
        </w:rPr>
      </w:pPr>
    </w:p>
    <w:p w14:paraId="6A9438AC" w14:textId="77777777" w:rsidR="005E1CF2" w:rsidRDefault="005E1CF2">
      <w:pPr>
        <w:jc w:val="both"/>
        <w:rPr>
          <w:b/>
          <w:sz w:val="24"/>
          <w:szCs w:val="24"/>
        </w:rPr>
      </w:pPr>
    </w:p>
    <w:p w14:paraId="534F1146" w14:textId="77777777" w:rsidR="005E1CF2" w:rsidRDefault="00527869">
      <w:pPr>
        <w:jc w:val="both"/>
        <w:rPr>
          <w:b/>
          <w:sz w:val="24"/>
          <w:szCs w:val="24"/>
        </w:rPr>
      </w:pPr>
      <w:r>
        <w:rPr>
          <w:b/>
          <w:sz w:val="24"/>
          <w:szCs w:val="24"/>
        </w:rPr>
        <w:t>Mentor’s details</w:t>
      </w:r>
    </w:p>
    <w:p w14:paraId="1B568EC3" w14:textId="77777777" w:rsidR="005E1CF2" w:rsidRDefault="005E1CF2">
      <w:pPr>
        <w:jc w:val="both"/>
        <w:rPr>
          <w:b/>
          <w:sz w:val="24"/>
          <w:szCs w:val="24"/>
        </w:rPr>
      </w:pPr>
    </w:p>
    <w:p w14:paraId="62AF8AA1"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5. Mentor’s details:</w:t>
      </w:r>
    </w:p>
    <w:p w14:paraId="036640BF"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04CE9557"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 xml:space="preserve">Name: Sarah James </w:t>
      </w:r>
    </w:p>
    <w:p w14:paraId="0443D5B1"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3969ABC9"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Address:</w:t>
      </w:r>
    </w:p>
    <w:p w14:paraId="25F0189C"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06ECE34E"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Nightingale House Hospice</w:t>
      </w:r>
    </w:p>
    <w:p w14:paraId="48D8D784"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Chester Road</w:t>
      </w:r>
    </w:p>
    <w:p w14:paraId="41D0B4ED"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 xml:space="preserve">Wrexham </w:t>
      </w:r>
    </w:p>
    <w:p w14:paraId="7EB9B6FE"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LL112SJ</w:t>
      </w:r>
    </w:p>
    <w:p w14:paraId="35AE38BE"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77C39E45" w14:textId="77777777" w:rsidR="005E1CF2" w:rsidRDefault="00527869">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Telephone Number: 01978 316800</w:t>
      </w:r>
    </w:p>
    <w:p w14:paraId="269BC7B0" w14:textId="77777777" w:rsidR="005E1CF2" w:rsidRDefault="005E1CF2">
      <w:pPr>
        <w:pBdr>
          <w:top w:val="single" w:sz="6" w:space="1" w:color="000000"/>
          <w:left w:val="single" w:sz="6" w:space="1" w:color="000000"/>
          <w:bottom w:val="single" w:sz="6" w:space="1" w:color="000000"/>
          <w:right w:val="single" w:sz="6" w:space="1" w:color="000000"/>
        </w:pBdr>
        <w:jc w:val="both"/>
        <w:rPr>
          <w:b/>
          <w:sz w:val="24"/>
          <w:szCs w:val="24"/>
        </w:rPr>
      </w:pPr>
    </w:p>
    <w:p w14:paraId="41485FE9" w14:textId="77777777" w:rsidR="005E1CF2" w:rsidRPr="008155FE" w:rsidRDefault="00527869">
      <w:pPr>
        <w:pBdr>
          <w:top w:val="single" w:sz="6" w:space="1" w:color="000000"/>
          <w:left w:val="single" w:sz="6" w:space="1" w:color="000000"/>
          <w:bottom w:val="single" w:sz="6" w:space="1" w:color="000000"/>
          <w:right w:val="single" w:sz="6" w:space="1" w:color="000000"/>
        </w:pBdr>
        <w:jc w:val="both"/>
      </w:pPr>
      <w:r>
        <w:rPr>
          <w:b/>
          <w:sz w:val="24"/>
          <w:szCs w:val="24"/>
        </w:rPr>
        <w:t xml:space="preserve">E-Mail address: </w:t>
      </w:r>
      <w:hyperlink r:id="rId22">
        <w:r>
          <w:rPr>
            <w:rStyle w:val="InternetLink"/>
            <w:b/>
            <w:sz w:val="24"/>
            <w:szCs w:val="24"/>
          </w:rPr>
          <w:t>Sarah.James4@wales.nhs.uk</w:t>
        </w:r>
      </w:hyperlink>
    </w:p>
    <w:p w14:paraId="10945799" w14:textId="77777777" w:rsidR="005E1CF2" w:rsidRDefault="005E1CF2">
      <w:pPr>
        <w:jc w:val="both"/>
        <w:rPr>
          <w:b/>
          <w:sz w:val="24"/>
          <w:szCs w:val="24"/>
        </w:rPr>
      </w:pPr>
    </w:p>
    <w:tbl>
      <w:tblPr>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070"/>
      </w:tblGrid>
      <w:tr w:rsidR="005E1CF2" w14:paraId="45F28054" w14:textId="77777777">
        <w:tc>
          <w:tcPr>
            <w:tcW w:w="10070" w:type="dxa"/>
            <w:tcBorders>
              <w:top w:val="single" w:sz="4" w:space="0" w:color="000000"/>
              <w:left w:val="single" w:sz="4" w:space="0" w:color="000000"/>
              <w:bottom w:val="single" w:sz="4" w:space="0" w:color="000000"/>
              <w:right w:val="single" w:sz="4" w:space="0" w:color="000000"/>
            </w:tcBorders>
            <w:shd w:val="clear" w:color="auto" w:fill="auto"/>
          </w:tcPr>
          <w:p w14:paraId="25F135EA" w14:textId="77777777" w:rsidR="005E1CF2" w:rsidRDefault="00527869">
            <w:pPr>
              <w:jc w:val="both"/>
              <w:rPr>
                <w:sz w:val="24"/>
                <w:szCs w:val="24"/>
              </w:rPr>
            </w:pPr>
            <w:r>
              <w:rPr>
                <w:b/>
                <w:sz w:val="24"/>
                <w:szCs w:val="24"/>
              </w:rPr>
              <w:t xml:space="preserve">6. Observer details </w:t>
            </w:r>
          </w:p>
          <w:p w14:paraId="31AE27BA" w14:textId="77777777" w:rsidR="005E1CF2" w:rsidRDefault="005E1CF2">
            <w:pPr>
              <w:jc w:val="both"/>
              <w:rPr>
                <w:b/>
                <w:sz w:val="24"/>
                <w:szCs w:val="24"/>
              </w:rPr>
            </w:pPr>
          </w:p>
          <w:p w14:paraId="0136DC9F" w14:textId="77777777" w:rsidR="005E1CF2" w:rsidRDefault="00527869">
            <w:pPr>
              <w:jc w:val="both"/>
              <w:rPr>
                <w:b/>
                <w:sz w:val="24"/>
                <w:szCs w:val="24"/>
              </w:rPr>
            </w:pPr>
            <w:r>
              <w:rPr>
                <w:b/>
                <w:sz w:val="24"/>
                <w:szCs w:val="24"/>
              </w:rPr>
              <w:t xml:space="preserve">Name: Sarah James </w:t>
            </w:r>
          </w:p>
          <w:p w14:paraId="30BA6F44" w14:textId="77777777" w:rsidR="005E1CF2" w:rsidRDefault="005E1CF2">
            <w:pPr>
              <w:jc w:val="both"/>
              <w:rPr>
                <w:b/>
                <w:sz w:val="24"/>
                <w:szCs w:val="24"/>
              </w:rPr>
            </w:pPr>
          </w:p>
          <w:p w14:paraId="7B4B63AF" w14:textId="77777777" w:rsidR="005E1CF2" w:rsidRDefault="00527869">
            <w:pPr>
              <w:jc w:val="both"/>
              <w:rPr>
                <w:b/>
                <w:sz w:val="24"/>
                <w:szCs w:val="24"/>
              </w:rPr>
            </w:pPr>
            <w:r>
              <w:rPr>
                <w:b/>
                <w:sz w:val="24"/>
                <w:szCs w:val="24"/>
              </w:rPr>
              <w:t xml:space="preserve">Work Address: </w:t>
            </w:r>
          </w:p>
          <w:p w14:paraId="163C3011" w14:textId="77777777" w:rsidR="005E1CF2" w:rsidRDefault="00527869">
            <w:pPr>
              <w:jc w:val="both"/>
              <w:rPr>
                <w:b/>
                <w:sz w:val="24"/>
                <w:szCs w:val="24"/>
              </w:rPr>
            </w:pPr>
            <w:r>
              <w:rPr>
                <w:b/>
                <w:sz w:val="24"/>
                <w:szCs w:val="24"/>
              </w:rPr>
              <w:t>Nightingale House Hospice</w:t>
            </w:r>
          </w:p>
          <w:p w14:paraId="1E0CC53C" w14:textId="77777777" w:rsidR="005E1CF2" w:rsidRDefault="00527869">
            <w:pPr>
              <w:jc w:val="both"/>
              <w:rPr>
                <w:b/>
                <w:sz w:val="24"/>
                <w:szCs w:val="24"/>
              </w:rPr>
            </w:pPr>
            <w:r>
              <w:rPr>
                <w:b/>
                <w:sz w:val="24"/>
                <w:szCs w:val="24"/>
              </w:rPr>
              <w:t>Chester Road</w:t>
            </w:r>
          </w:p>
          <w:p w14:paraId="6AF74617" w14:textId="77777777" w:rsidR="005E1CF2" w:rsidRDefault="00527869">
            <w:pPr>
              <w:jc w:val="both"/>
              <w:rPr>
                <w:b/>
                <w:sz w:val="24"/>
                <w:szCs w:val="24"/>
              </w:rPr>
            </w:pPr>
            <w:r>
              <w:rPr>
                <w:b/>
                <w:sz w:val="24"/>
                <w:szCs w:val="24"/>
              </w:rPr>
              <w:t xml:space="preserve">Wrexham </w:t>
            </w:r>
          </w:p>
          <w:p w14:paraId="2B48E282" w14:textId="77777777" w:rsidR="005E1CF2" w:rsidRDefault="00527869">
            <w:pPr>
              <w:jc w:val="both"/>
              <w:rPr>
                <w:b/>
                <w:sz w:val="24"/>
                <w:szCs w:val="24"/>
              </w:rPr>
            </w:pPr>
            <w:r>
              <w:rPr>
                <w:b/>
                <w:sz w:val="24"/>
                <w:szCs w:val="24"/>
              </w:rPr>
              <w:t>LL112SJ</w:t>
            </w:r>
          </w:p>
          <w:p w14:paraId="26265C56" w14:textId="77777777" w:rsidR="005E1CF2" w:rsidRDefault="005E1CF2">
            <w:pPr>
              <w:jc w:val="both"/>
              <w:rPr>
                <w:b/>
                <w:sz w:val="24"/>
                <w:szCs w:val="24"/>
              </w:rPr>
            </w:pPr>
          </w:p>
          <w:p w14:paraId="28B1112E" w14:textId="77777777" w:rsidR="005E1CF2" w:rsidRDefault="00527869">
            <w:pPr>
              <w:jc w:val="both"/>
              <w:rPr>
                <w:b/>
                <w:sz w:val="24"/>
                <w:szCs w:val="24"/>
              </w:rPr>
            </w:pPr>
            <w:r w:rsidRPr="00656037">
              <w:rPr>
                <w:b/>
                <w:color w:val="auto"/>
                <w:sz w:val="24"/>
                <w:szCs w:val="24"/>
              </w:rPr>
              <w:t>Professional Qualification and date of qualification:</w:t>
            </w:r>
            <w:r>
              <w:rPr>
                <w:b/>
                <w:color w:val="auto"/>
                <w:sz w:val="24"/>
                <w:szCs w:val="24"/>
              </w:rPr>
              <w:t xml:space="preserve"> </w:t>
            </w:r>
            <w:r w:rsidR="008155FE">
              <w:rPr>
                <w:b/>
                <w:sz w:val="24"/>
                <w:szCs w:val="24"/>
              </w:rPr>
              <w:t>BA (hons) Social Work 2009</w:t>
            </w:r>
          </w:p>
          <w:p w14:paraId="2BECE58F" w14:textId="77777777" w:rsidR="005E1CF2" w:rsidRDefault="005E1CF2">
            <w:pPr>
              <w:jc w:val="both"/>
              <w:rPr>
                <w:b/>
                <w:sz w:val="24"/>
                <w:szCs w:val="24"/>
              </w:rPr>
            </w:pPr>
          </w:p>
          <w:p w14:paraId="3A2F5C3E" w14:textId="77777777" w:rsidR="005E1CF2" w:rsidRPr="008155FE" w:rsidRDefault="00527869">
            <w:pPr>
              <w:jc w:val="both"/>
            </w:pPr>
            <w:r>
              <w:rPr>
                <w:b/>
                <w:sz w:val="24"/>
                <w:szCs w:val="24"/>
              </w:rPr>
              <w:lastRenderedPageBreak/>
              <w:t xml:space="preserve">Email and telephone number: </w:t>
            </w:r>
            <w:hyperlink r:id="rId23">
              <w:r>
                <w:rPr>
                  <w:rStyle w:val="InternetLink"/>
                  <w:b/>
                  <w:sz w:val="24"/>
                  <w:szCs w:val="24"/>
                </w:rPr>
                <w:t>Sarah.James4@wales.nhs.uk</w:t>
              </w:r>
            </w:hyperlink>
            <w:r>
              <w:rPr>
                <w:b/>
                <w:sz w:val="24"/>
                <w:szCs w:val="24"/>
              </w:rPr>
              <w:t xml:space="preserve"> 01978 316800</w:t>
            </w:r>
          </w:p>
        </w:tc>
      </w:tr>
    </w:tbl>
    <w:p w14:paraId="0331ED23" w14:textId="77777777" w:rsidR="005E1CF2" w:rsidRDefault="008155FE">
      <w:pPr>
        <w:keepNext/>
        <w:jc w:val="both"/>
        <w:rPr>
          <w:b/>
          <w:sz w:val="24"/>
          <w:szCs w:val="24"/>
        </w:rPr>
      </w:pPr>
      <w:r w:rsidRPr="008155FE">
        <w:rPr>
          <w:noProof/>
        </w:rPr>
        <w:lastRenderedPageBreak/>
        <w:drawing>
          <wp:inline distT="0" distB="0" distL="0" distR="0" wp14:anchorId="1DFAF434" wp14:editId="3F772C68">
            <wp:extent cx="6400800" cy="81961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400800" cy="8196195"/>
                    </a:xfrm>
                    <a:prstGeom prst="rect">
                      <a:avLst/>
                    </a:prstGeom>
                    <a:noFill/>
                    <a:ln>
                      <a:noFill/>
                    </a:ln>
                  </pic:spPr>
                </pic:pic>
              </a:graphicData>
            </a:graphic>
          </wp:inline>
        </w:drawing>
      </w:r>
    </w:p>
    <w:p w14:paraId="2D630A4B" w14:textId="77777777" w:rsidR="005E1CF2" w:rsidRDefault="008155FE">
      <w:pPr>
        <w:keepNext/>
        <w:jc w:val="both"/>
        <w:rPr>
          <w:b/>
          <w:sz w:val="24"/>
          <w:szCs w:val="24"/>
        </w:rPr>
      </w:pPr>
      <w:r w:rsidRPr="008155FE">
        <w:rPr>
          <w:b/>
          <w:noProof/>
          <w:sz w:val="24"/>
          <w:szCs w:val="24"/>
        </w:rPr>
        <w:lastRenderedPageBreak/>
        <w:drawing>
          <wp:inline distT="0" distB="0" distL="0" distR="0" wp14:anchorId="59EF707D" wp14:editId="51BB5C07">
            <wp:extent cx="6400800" cy="8305011"/>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400800" cy="8305011"/>
                    </a:xfrm>
                    <a:prstGeom prst="rect">
                      <a:avLst/>
                    </a:prstGeom>
                    <a:noFill/>
                    <a:ln>
                      <a:noFill/>
                    </a:ln>
                  </pic:spPr>
                </pic:pic>
              </a:graphicData>
            </a:graphic>
          </wp:inline>
        </w:drawing>
      </w:r>
    </w:p>
    <w:p w14:paraId="4B8EAA07" w14:textId="77777777" w:rsidR="005E1CF2" w:rsidRDefault="008155FE">
      <w:pPr>
        <w:keepNext/>
        <w:jc w:val="both"/>
        <w:rPr>
          <w:b/>
          <w:sz w:val="24"/>
          <w:szCs w:val="24"/>
        </w:rPr>
      </w:pPr>
      <w:r w:rsidRPr="008155FE">
        <w:rPr>
          <w:b/>
          <w:noProof/>
          <w:sz w:val="24"/>
          <w:szCs w:val="24"/>
        </w:rPr>
        <w:lastRenderedPageBreak/>
        <w:drawing>
          <wp:inline distT="0" distB="0" distL="0" distR="0" wp14:anchorId="1BC6529C" wp14:editId="225BEAE3">
            <wp:extent cx="6400800" cy="9042310"/>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400800" cy="9042310"/>
                    </a:xfrm>
                    <a:prstGeom prst="rect">
                      <a:avLst/>
                    </a:prstGeom>
                    <a:noFill/>
                    <a:ln>
                      <a:noFill/>
                    </a:ln>
                  </pic:spPr>
                </pic:pic>
              </a:graphicData>
            </a:graphic>
          </wp:inline>
        </w:drawing>
      </w:r>
    </w:p>
    <w:p w14:paraId="3B1DA3AA" w14:textId="77777777" w:rsidR="005E1CF2" w:rsidRDefault="008155FE">
      <w:pPr>
        <w:keepNext/>
        <w:jc w:val="both"/>
        <w:rPr>
          <w:b/>
          <w:sz w:val="24"/>
          <w:szCs w:val="24"/>
        </w:rPr>
      </w:pPr>
      <w:r w:rsidRPr="008155FE">
        <w:rPr>
          <w:noProof/>
        </w:rPr>
        <w:lastRenderedPageBreak/>
        <w:drawing>
          <wp:inline distT="0" distB="0" distL="0" distR="0" wp14:anchorId="3B4ED37E" wp14:editId="5A14581F">
            <wp:extent cx="6400800" cy="83454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400800" cy="8345475"/>
                    </a:xfrm>
                    <a:prstGeom prst="rect">
                      <a:avLst/>
                    </a:prstGeom>
                    <a:noFill/>
                    <a:ln>
                      <a:noFill/>
                    </a:ln>
                  </pic:spPr>
                </pic:pic>
              </a:graphicData>
            </a:graphic>
          </wp:inline>
        </w:drawing>
      </w:r>
      <w:r w:rsidR="00527869">
        <w:br w:type="page"/>
      </w:r>
    </w:p>
    <w:p w14:paraId="7B1C716B" w14:textId="77777777" w:rsidR="005E1CF2" w:rsidRPr="008155FE" w:rsidRDefault="008155FE" w:rsidP="008155FE">
      <w:pPr>
        <w:overflowPunct/>
        <w:textAlignment w:val="auto"/>
        <w:rPr>
          <w:b/>
        </w:rPr>
      </w:pPr>
      <w:r w:rsidRPr="008155FE">
        <w:rPr>
          <w:b/>
          <w:noProof/>
        </w:rPr>
        <w:lastRenderedPageBreak/>
        <w:drawing>
          <wp:inline distT="0" distB="0" distL="0" distR="0" wp14:anchorId="598584D0" wp14:editId="7244FA73">
            <wp:extent cx="6400800" cy="837241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400800" cy="8372412"/>
                    </a:xfrm>
                    <a:prstGeom prst="rect">
                      <a:avLst/>
                    </a:prstGeom>
                    <a:noFill/>
                    <a:ln>
                      <a:noFill/>
                    </a:ln>
                  </pic:spPr>
                </pic:pic>
              </a:graphicData>
            </a:graphic>
          </wp:inline>
        </w:drawing>
      </w:r>
    </w:p>
    <w:sectPr w:rsidR="005E1CF2" w:rsidRPr="008155FE">
      <w:footerReference w:type="default" r:id="rId29"/>
      <w:pgSz w:w="12240" w:h="15840"/>
      <w:pgMar w:top="1440" w:right="1080" w:bottom="1440" w:left="1080" w:header="0" w:footer="720" w:gutter="0"/>
      <w:cols w:space="720"/>
      <w:formProt w:val="0"/>
      <w:docGrid w:linePitch="272" w:charSpace="819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F8260C" w14:textId="77777777" w:rsidR="00F9555B" w:rsidRDefault="00F9555B">
      <w:r>
        <w:separator/>
      </w:r>
    </w:p>
  </w:endnote>
  <w:endnote w:type="continuationSeparator" w:id="0">
    <w:p w14:paraId="4FEAE0DA" w14:textId="77777777" w:rsidR="00F9555B" w:rsidRDefault="00F955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D9DC85" w14:textId="77777777" w:rsidR="00D57393" w:rsidRDefault="00D57393">
    <w:pPr>
      <w:pStyle w:val="Footer"/>
      <w:rPr>
        <w:lang w:val="en-GB"/>
      </w:rPr>
    </w:pPr>
    <w:r>
      <w:rPr>
        <w:color w:val="auto"/>
        <w:lang w:val="en-GB"/>
      </w:rPr>
      <w:t>V7 7/2/18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48F447" w14:textId="77777777" w:rsidR="00F9555B" w:rsidRDefault="00F9555B">
      <w:r>
        <w:separator/>
      </w:r>
    </w:p>
  </w:footnote>
  <w:footnote w:type="continuationSeparator" w:id="0">
    <w:p w14:paraId="066FF574" w14:textId="77777777" w:rsidR="00F9555B" w:rsidRDefault="00F955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55A60"/>
    <w:multiLevelType w:val="multilevel"/>
    <w:tmpl w:val="DCBA7D42"/>
    <w:lvl w:ilvl="0">
      <w:start w:val="1"/>
      <w:numFmt w:val="bullet"/>
      <w:lvlText w:val=""/>
      <w:lvlJc w:val="left"/>
      <w:pPr>
        <w:ind w:left="720" w:hanging="360"/>
      </w:pPr>
      <w:rPr>
        <w:rFonts w:ascii="Symbol" w:hAnsi="Symbol" w:cs="Symbol" w:hint="default"/>
        <w:sz w:val="24"/>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11797F03"/>
    <w:multiLevelType w:val="multilevel"/>
    <w:tmpl w:val="CDC45C68"/>
    <w:lvl w:ilvl="0">
      <w:start w:val="1"/>
      <w:numFmt w:val="bullet"/>
      <w:lvlText w:val=""/>
      <w:lvlJc w:val="left"/>
      <w:pPr>
        <w:ind w:left="720" w:hanging="360"/>
      </w:pPr>
      <w:rPr>
        <w:rFonts w:ascii="Symbol" w:hAnsi="Symbol" w:cs="Symbol" w:hint="default"/>
        <w:sz w:val="24"/>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126305EE"/>
    <w:multiLevelType w:val="multilevel"/>
    <w:tmpl w:val="3E743E10"/>
    <w:lvl w:ilvl="0">
      <w:start w:val="1"/>
      <w:numFmt w:val="bullet"/>
      <w:lvlText w:val=""/>
      <w:lvlJc w:val="left"/>
      <w:pPr>
        <w:tabs>
          <w:tab w:val="num" w:pos="720"/>
        </w:tabs>
        <w:ind w:left="720" w:hanging="360"/>
      </w:pPr>
      <w:rPr>
        <w:rFonts w:ascii="Wingdings" w:hAnsi="Wingdings" w:cs="Wingdings" w:hint="default"/>
        <w:b w:val="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14460417"/>
    <w:multiLevelType w:val="multilevel"/>
    <w:tmpl w:val="47B0852A"/>
    <w:lvl w:ilvl="0">
      <w:start w:val="1"/>
      <w:numFmt w:val="bullet"/>
      <w:lvlText w:val=""/>
      <w:lvlJc w:val="left"/>
      <w:pPr>
        <w:ind w:left="720" w:hanging="360"/>
      </w:pPr>
      <w:rPr>
        <w:rFonts w:ascii="Symbol" w:hAnsi="Symbol" w:cs="Symbol" w:hint="default"/>
        <w:sz w:val="24"/>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4" w15:restartNumberingAfterBreak="0">
    <w:nsid w:val="1DF20186"/>
    <w:multiLevelType w:val="multilevel"/>
    <w:tmpl w:val="1E364292"/>
    <w:lvl w:ilvl="0">
      <w:start w:val="1"/>
      <w:numFmt w:val="bullet"/>
      <w:lvlText w:val=""/>
      <w:lvlJc w:val="left"/>
      <w:pPr>
        <w:ind w:left="720" w:hanging="360"/>
      </w:pPr>
      <w:rPr>
        <w:rFonts w:ascii="Symbol" w:hAnsi="Symbol" w:cs="Symbol" w:hint="default"/>
        <w:color w:val="auto"/>
        <w:sz w:val="24"/>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5" w15:restartNumberingAfterBreak="0">
    <w:nsid w:val="2A14758F"/>
    <w:multiLevelType w:val="multilevel"/>
    <w:tmpl w:val="5D04E744"/>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6" w15:restartNumberingAfterBreak="0">
    <w:nsid w:val="35734C43"/>
    <w:multiLevelType w:val="multilevel"/>
    <w:tmpl w:val="F6466646"/>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383F7993"/>
    <w:multiLevelType w:val="multilevel"/>
    <w:tmpl w:val="B17EBC1C"/>
    <w:lvl w:ilvl="0">
      <w:start w:val="1"/>
      <w:numFmt w:val="bullet"/>
      <w:lvlText w:val=""/>
      <w:lvlJc w:val="left"/>
      <w:pPr>
        <w:ind w:left="720" w:hanging="360"/>
      </w:pPr>
      <w:rPr>
        <w:rFonts w:ascii="Symbol" w:hAnsi="Symbol" w:cs="Symbol" w:hint="default"/>
        <w:color w:val="auto"/>
        <w:sz w:val="24"/>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15:restartNumberingAfterBreak="0">
    <w:nsid w:val="4EFF63C9"/>
    <w:multiLevelType w:val="multilevel"/>
    <w:tmpl w:val="A2CACFE2"/>
    <w:lvl w:ilvl="0">
      <w:start w:val="1"/>
      <w:numFmt w:val="bullet"/>
      <w:lvlText w:val=""/>
      <w:lvlJc w:val="left"/>
      <w:pPr>
        <w:ind w:left="720" w:hanging="360"/>
      </w:pPr>
      <w:rPr>
        <w:rFonts w:ascii="Symbol" w:hAnsi="Symbol" w:cs="Symbol" w:hint="default"/>
        <w:b/>
        <w:sz w:val="24"/>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9" w15:restartNumberingAfterBreak="0">
    <w:nsid w:val="52CD5692"/>
    <w:multiLevelType w:val="multilevel"/>
    <w:tmpl w:val="B48A89C8"/>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0" w15:restartNumberingAfterBreak="0">
    <w:nsid w:val="537A2D7A"/>
    <w:multiLevelType w:val="multilevel"/>
    <w:tmpl w:val="C44ABBEE"/>
    <w:lvl w:ilvl="0">
      <w:start w:val="1"/>
      <w:numFmt w:val="bullet"/>
      <w:lvlText w:val=""/>
      <w:lvlJc w:val="left"/>
      <w:pPr>
        <w:ind w:left="720" w:hanging="360"/>
      </w:pPr>
      <w:rPr>
        <w:rFonts w:ascii="Symbol" w:hAnsi="Symbol" w:cs="Symbol" w:hint="default"/>
        <w:sz w:val="24"/>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1" w15:restartNumberingAfterBreak="0">
    <w:nsid w:val="61170756"/>
    <w:multiLevelType w:val="multilevel"/>
    <w:tmpl w:val="462C88FC"/>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62366A3B"/>
    <w:multiLevelType w:val="multilevel"/>
    <w:tmpl w:val="6B2CF7FA"/>
    <w:lvl w:ilvl="0">
      <w:start w:val="1"/>
      <w:numFmt w:val="bullet"/>
      <w:lvlText w:val=""/>
      <w:lvlJc w:val="left"/>
      <w:pPr>
        <w:ind w:left="720" w:hanging="360"/>
      </w:pPr>
      <w:rPr>
        <w:rFonts w:ascii="Symbol" w:hAnsi="Symbol" w:cs="Symbol" w:hint="default"/>
        <w:sz w:val="24"/>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3" w15:restartNumberingAfterBreak="0">
    <w:nsid w:val="638704F8"/>
    <w:multiLevelType w:val="multilevel"/>
    <w:tmpl w:val="7E20FE28"/>
    <w:lvl w:ilvl="0">
      <w:start w:val="1"/>
      <w:numFmt w:val="bullet"/>
      <w:lvlText w:val=""/>
      <w:lvlJc w:val="left"/>
      <w:pPr>
        <w:tabs>
          <w:tab w:val="num" w:pos="502"/>
        </w:tabs>
        <w:ind w:left="502" w:hanging="360"/>
      </w:pPr>
      <w:rPr>
        <w:rFonts w:ascii="Symbol" w:hAnsi="Symbol" w:cs="Symbol" w:hint="default"/>
        <w:sz w:val="24"/>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68AD05B3"/>
    <w:multiLevelType w:val="multilevel"/>
    <w:tmpl w:val="CC58DFB0"/>
    <w:lvl w:ilvl="0">
      <w:start w:val="1"/>
      <w:numFmt w:val="bullet"/>
      <w:lvlText w:val=""/>
      <w:lvlJc w:val="left"/>
      <w:pPr>
        <w:tabs>
          <w:tab w:val="num" w:pos="720"/>
        </w:tabs>
        <w:ind w:left="720" w:hanging="360"/>
      </w:pPr>
      <w:rPr>
        <w:rFonts w:ascii="Wingdings" w:hAnsi="Wingdings" w:cs="Wingdings" w:hint="default"/>
        <w:sz w:val="24"/>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768A65F9"/>
    <w:multiLevelType w:val="multilevel"/>
    <w:tmpl w:val="8CA28F52"/>
    <w:lvl w:ilvl="0">
      <w:start w:val="1"/>
      <w:numFmt w:val="bullet"/>
      <w:lvlText w:val="•"/>
      <w:lvlJc w:val="left"/>
      <w:pPr>
        <w:tabs>
          <w:tab w:val="num" w:pos="720"/>
        </w:tabs>
        <w:ind w:left="720" w:hanging="360"/>
      </w:pPr>
      <w:rPr>
        <w:rFonts w:ascii="Arial" w:hAnsi="Arial" w:cs="Arial" w:hint="default"/>
        <w:sz w:val="24"/>
      </w:rPr>
    </w:lvl>
    <w:lvl w:ilvl="1">
      <w:start w:val="1"/>
      <w:numFmt w:val="bullet"/>
      <w:lvlText w:val="•"/>
      <w:lvlJc w:val="left"/>
      <w:pPr>
        <w:tabs>
          <w:tab w:val="num" w:pos="1440"/>
        </w:tabs>
        <w:ind w:left="1440" w:hanging="360"/>
      </w:pPr>
      <w:rPr>
        <w:rFonts w:ascii="Arial" w:hAnsi="Arial" w:cs="Arial" w:hint="default"/>
      </w:rPr>
    </w:lvl>
    <w:lvl w:ilvl="2">
      <w:start w:val="1"/>
      <w:numFmt w:val="bullet"/>
      <w:lvlText w:val="•"/>
      <w:lvlJc w:val="left"/>
      <w:pPr>
        <w:tabs>
          <w:tab w:val="num" w:pos="2160"/>
        </w:tabs>
        <w:ind w:left="2160" w:hanging="360"/>
      </w:pPr>
      <w:rPr>
        <w:rFonts w:ascii="Arial" w:hAnsi="Arial" w:cs="Arial" w:hint="default"/>
      </w:rPr>
    </w:lvl>
    <w:lvl w:ilvl="3">
      <w:start w:val="1"/>
      <w:numFmt w:val="bullet"/>
      <w:lvlText w:val="•"/>
      <w:lvlJc w:val="left"/>
      <w:pPr>
        <w:tabs>
          <w:tab w:val="num" w:pos="2880"/>
        </w:tabs>
        <w:ind w:left="2880" w:hanging="360"/>
      </w:pPr>
      <w:rPr>
        <w:rFonts w:ascii="Arial" w:hAnsi="Arial" w:cs="Arial" w:hint="default"/>
      </w:rPr>
    </w:lvl>
    <w:lvl w:ilvl="4">
      <w:start w:val="1"/>
      <w:numFmt w:val="bullet"/>
      <w:lvlText w:val="•"/>
      <w:lvlJc w:val="left"/>
      <w:pPr>
        <w:tabs>
          <w:tab w:val="num" w:pos="3600"/>
        </w:tabs>
        <w:ind w:left="3600" w:hanging="360"/>
      </w:pPr>
      <w:rPr>
        <w:rFonts w:ascii="Arial" w:hAnsi="Arial" w:cs="Arial" w:hint="default"/>
      </w:rPr>
    </w:lvl>
    <w:lvl w:ilvl="5">
      <w:start w:val="1"/>
      <w:numFmt w:val="bullet"/>
      <w:lvlText w:val="•"/>
      <w:lvlJc w:val="left"/>
      <w:pPr>
        <w:tabs>
          <w:tab w:val="num" w:pos="4320"/>
        </w:tabs>
        <w:ind w:left="4320" w:hanging="360"/>
      </w:pPr>
      <w:rPr>
        <w:rFonts w:ascii="Arial" w:hAnsi="Arial" w:cs="Arial" w:hint="default"/>
      </w:rPr>
    </w:lvl>
    <w:lvl w:ilvl="6">
      <w:start w:val="1"/>
      <w:numFmt w:val="bullet"/>
      <w:lvlText w:val="•"/>
      <w:lvlJc w:val="left"/>
      <w:pPr>
        <w:tabs>
          <w:tab w:val="num" w:pos="5040"/>
        </w:tabs>
        <w:ind w:left="5040" w:hanging="360"/>
      </w:pPr>
      <w:rPr>
        <w:rFonts w:ascii="Arial" w:hAnsi="Arial" w:cs="Arial" w:hint="default"/>
      </w:rPr>
    </w:lvl>
    <w:lvl w:ilvl="7">
      <w:start w:val="1"/>
      <w:numFmt w:val="bullet"/>
      <w:lvlText w:val="•"/>
      <w:lvlJc w:val="left"/>
      <w:pPr>
        <w:tabs>
          <w:tab w:val="num" w:pos="5760"/>
        </w:tabs>
        <w:ind w:left="5760" w:hanging="360"/>
      </w:pPr>
      <w:rPr>
        <w:rFonts w:ascii="Arial" w:hAnsi="Arial" w:cs="Arial" w:hint="default"/>
      </w:rPr>
    </w:lvl>
    <w:lvl w:ilvl="8">
      <w:start w:val="1"/>
      <w:numFmt w:val="bullet"/>
      <w:lvlText w:val="•"/>
      <w:lvlJc w:val="left"/>
      <w:pPr>
        <w:tabs>
          <w:tab w:val="num" w:pos="6480"/>
        </w:tabs>
        <w:ind w:left="6480" w:hanging="360"/>
      </w:pPr>
      <w:rPr>
        <w:rFonts w:ascii="Arial" w:hAnsi="Arial" w:cs="Arial" w:hint="default"/>
      </w:rPr>
    </w:lvl>
  </w:abstractNum>
  <w:abstractNum w:abstractNumId="16" w15:restartNumberingAfterBreak="0">
    <w:nsid w:val="78E66344"/>
    <w:multiLevelType w:val="multilevel"/>
    <w:tmpl w:val="E6028452"/>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num w:numId="1">
    <w:abstractNumId w:val="12"/>
  </w:num>
  <w:num w:numId="2">
    <w:abstractNumId w:val="13"/>
  </w:num>
  <w:num w:numId="3">
    <w:abstractNumId w:val="14"/>
  </w:num>
  <w:num w:numId="4">
    <w:abstractNumId w:val="3"/>
  </w:num>
  <w:num w:numId="5">
    <w:abstractNumId w:val="1"/>
  </w:num>
  <w:num w:numId="6">
    <w:abstractNumId w:val="7"/>
  </w:num>
  <w:num w:numId="7">
    <w:abstractNumId w:val="0"/>
  </w:num>
  <w:num w:numId="8">
    <w:abstractNumId w:val="16"/>
  </w:num>
  <w:num w:numId="9">
    <w:abstractNumId w:val="11"/>
  </w:num>
  <w:num w:numId="10">
    <w:abstractNumId w:val="9"/>
  </w:num>
  <w:num w:numId="11">
    <w:abstractNumId w:val="2"/>
  </w:num>
  <w:num w:numId="12">
    <w:abstractNumId w:val="6"/>
  </w:num>
  <w:num w:numId="13">
    <w:abstractNumId w:val="15"/>
  </w:num>
  <w:num w:numId="14">
    <w:abstractNumId w:val="8"/>
  </w:num>
  <w:num w:numId="15">
    <w:abstractNumId w:val="10"/>
  </w:num>
  <w:num w:numId="16">
    <w:abstractNumId w:val="4"/>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1CF2"/>
    <w:rsid w:val="00021622"/>
    <w:rsid w:val="0003585E"/>
    <w:rsid w:val="00036001"/>
    <w:rsid w:val="00075C3D"/>
    <w:rsid w:val="000975F2"/>
    <w:rsid w:val="000B344B"/>
    <w:rsid w:val="000C0B33"/>
    <w:rsid w:val="000F7A6D"/>
    <w:rsid w:val="00100502"/>
    <w:rsid w:val="001176AE"/>
    <w:rsid w:val="001517F9"/>
    <w:rsid w:val="001636CD"/>
    <w:rsid w:val="00170965"/>
    <w:rsid w:val="001752B9"/>
    <w:rsid w:val="001867C8"/>
    <w:rsid w:val="001C5A7E"/>
    <w:rsid w:val="001C5EE0"/>
    <w:rsid w:val="001F15A3"/>
    <w:rsid w:val="00201373"/>
    <w:rsid w:val="00267CED"/>
    <w:rsid w:val="002960D9"/>
    <w:rsid w:val="00297143"/>
    <w:rsid w:val="002A7156"/>
    <w:rsid w:val="002B0462"/>
    <w:rsid w:val="002B33FE"/>
    <w:rsid w:val="002B4748"/>
    <w:rsid w:val="00342F95"/>
    <w:rsid w:val="00361D0F"/>
    <w:rsid w:val="00370CAA"/>
    <w:rsid w:val="00385C2F"/>
    <w:rsid w:val="003A2D9D"/>
    <w:rsid w:val="003B725A"/>
    <w:rsid w:val="003F1904"/>
    <w:rsid w:val="0041228E"/>
    <w:rsid w:val="004225BC"/>
    <w:rsid w:val="004231A5"/>
    <w:rsid w:val="004253CB"/>
    <w:rsid w:val="0043755B"/>
    <w:rsid w:val="00441EE8"/>
    <w:rsid w:val="00444237"/>
    <w:rsid w:val="00494FF2"/>
    <w:rsid w:val="004C6BF0"/>
    <w:rsid w:val="004D6517"/>
    <w:rsid w:val="00501F8F"/>
    <w:rsid w:val="00504DD0"/>
    <w:rsid w:val="00527869"/>
    <w:rsid w:val="00567C52"/>
    <w:rsid w:val="0058390D"/>
    <w:rsid w:val="005E082D"/>
    <w:rsid w:val="005E1CF2"/>
    <w:rsid w:val="005E1E53"/>
    <w:rsid w:val="005F5B69"/>
    <w:rsid w:val="00617D7E"/>
    <w:rsid w:val="00621046"/>
    <w:rsid w:val="006406B4"/>
    <w:rsid w:val="00641CED"/>
    <w:rsid w:val="00642844"/>
    <w:rsid w:val="00642EFA"/>
    <w:rsid w:val="00656037"/>
    <w:rsid w:val="006934B2"/>
    <w:rsid w:val="006A5931"/>
    <w:rsid w:val="006B65F1"/>
    <w:rsid w:val="006C6385"/>
    <w:rsid w:val="006C7CA6"/>
    <w:rsid w:val="006E7565"/>
    <w:rsid w:val="007164B8"/>
    <w:rsid w:val="0073066D"/>
    <w:rsid w:val="00785C1E"/>
    <w:rsid w:val="00786FB1"/>
    <w:rsid w:val="007A40A6"/>
    <w:rsid w:val="007E22E6"/>
    <w:rsid w:val="007E2CE8"/>
    <w:rsid w:val="007F5471"/>
    <w:rsid w:val="008155FE"/>
    <w:rsid w:val="00847BBC"/>
    <w:rsid w:val="00861F28"/>
    <w:rsid w:val="00870600"/>
    <w:rsid w:val="008757F9"/>
    <w:rsid w:val="00880FA5"/>
    <w:rsid w:val="008D7770"/>
    <w:rsid w:val="008E5181"/>
    <w:rsid w:val="008F636F"/>
    <w:rsid w:val="009141BC"/>
    <w:rsid w:val="0092320F"/>
    <w:rsid w:val="009C25CB"/>
    <w:rsid w:val="009D097F"/>
    <w:rsid w:val="009D4B8D"/>
    <w:rsid w:val="009E6DFB"/>
    <w:rsid w:val="009F12A6"/>
    <w:rsid w:val="009F75FC"/>
    <w:rsid w:val="009F7695"/>
    <w:rsid w:val="009F7934"/>
    <w:rsid w:val="00A73F61"/>
    <w:rsid w:val="00AA4EA4"/>
    <w:rsid w:val="00AD19B8"/>
    <w:rsid w:val="00AD26BB"/>
    <w:rsid w:val="00AD730F"/>
    <w:rsid w:val="00AE6C08"/>
    <w:rsid w:val="00B715ED"/>
    <w:rsid w:val="00B9001A"/>
    <w:rsid w:val="00BC1E46"/>
    <w:rsid w:val="00BD60D7"/>
    <w:rsid w:val="00BF3A57"/>
    <w:rsid w:val="00C15214"/>
    <w:rsid w:val="00C41695"/>
    <w:rsid w:val="00D2702C"/>
    <w:rsid w:val="00D57393"/>
    <w:rsid w:val="00D61E6C"/>
    <w:rsid w:val="00E809F8"/>
    <w:rsid w:val="00E84DC1"/>
    <w:rsid w:val="00E92116"/>
    <w:rsid w:val="00EA64F0"/>
    <w:rsid w:val="00EC1878"/>
    <w:rsid w:val="00F27C29"/>
    <w:rsid w:val="00F31379"/>
    <w:rsid w:val="00F318FC"/>
    <w:rsid w:val="00F451E7"/>
    <w:rsid w:val="00F606E7"/>
    <w:rsid w:val="00F71C65"/>
    <w:rsid w:val="00F73D3F"/>
    <w:rsid w:val="00F74302"/>
    <w:rsid w:val="00F9555B"/>
    <w:rsid w:val="00FA4BDB"/>
    <w:rsid w:val="00FC6B2E"/>
    <w:rsid w:val="00FE5A4F"/>
    <w:rsid w:val="00FF1D3B"/>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66235"/>
  <w15:docId w15:val="{A576E138-69C4-4824-91CD-3D7ABD0BC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semiHidden/>
    <w:qFormat/>
  </w:style>
  <w:style w:type="character" w:customStyle="1" w:styleId="InternetLink">
    <w:name w:val="Internet Link"/>
    <w:uiPriority w:val="99"/>
    <w:rsid w:val="00EA4D48"/>
    <w:rPr>
      <w:color w:val="0000FF"/>
      <w:u w:val="single"/>
    </w:rPr>
  </w:style>
  <w:style w:type="character" w:styleId="CommentReference">
    <w:name w:val="annotation reference"/>
    <w:uiPriority w:val="99"/>
    <w:semiHidden/>
    <w:unhideWhenUsed/>
    <w:qFormat/>
    <w:rsid w:val="0057780F"/>
    <w:rPr>
      <w:sz w:val="16"/>
      <w:szCs w:val="16"/>
    </w:rPr>
  </w:style>
  <w:style w:type="character" w:customStyle="1" w:styleId="CommentTextChar">
    <w:name w:val="Comment Text Char"/>
    <w:link w:val="CommentText"/>
    <w:uiPriority w:val="99"/>
    <w:semiHidden/>
    <w:qFormat/>
    <w:rsid w:val="0057780F"/>
    <w:rPr>
      <w:rFonts w:ascii="Arial" w:hAnsi="Arial" w:cs="Arial"/>
      <w:color w:val="000000"/>
    </w:rPr>
  </w:style>
  <w:style w:type="character" w:customStyle="1" w:styleId="CommentSubjectChar">
    <w:name w:val="Comment Subject Char"/>
    <w:link w:val="CommentSubject"/>
    <w:uiPriority w:val="99"/>
    <w:semiHidden/>
    <w:qFormat/>
    <w:rsid w:val="0057780F"/>
    <w:rPr>
      <w:rFonts w:ascii="Arial" w:hAnsi="Arial" w:cs="Arial"/>
      <w:b/>
      <w:bCs/>
      <w:color w:val="000000"/>
    </w:rPr>
  </w:style>
  <w:style w:type="character" w:customStyle="1" w:styleId="Heading2Char">
    <w:name w:val="Heading 2 Char"/>
    <w:link w:val="Heading2"/>
    <w:uiPriority w:val="9"/>
    <w:semiHidden/>
    <w:qFormat/>
    <w:rsid w:val="00F927A1"/>
    <w:rPr>
      <w:rFonts w:ascii="Cambria" w:eastAsia="Times New Roman" w:hAnsi="Cambria" w:cs="Times New Roman"/>
      <w:b/>
      <w:bCs/>
      <w:i/>
      <w:iCs/>
      <w:color w:val="000000"/>
      <w:sz w:val="28"/>
      <w:szCs w:val="28"/>
    </w:rPr>
  </w:style>
  <w:style w:type="character" w:customStyle="1" w:styleId="BodyText3Char">
    <w:name w:val="Body Text 3 Char"/>
    <w:link w:val="BodyText3"/>
    <w:uiPriority w:val="99"/>
    <w:semiHidden/>
    <w:qFormat/>
    <w:rsid w:val="00F927A1"/>
    <w:rPr>
      <w:rFonts w:ascii="Arial" w:hAnsi="Arial" w:cs="Arial"/>
      <w:color w:val="000000"/>
      <w:sz w:val="16"/>
      <w:szCs w:val="16"/>
    </w:rPr>
  </w:style>
  <w:style w:type="character" w:customStyle="1" w:styleId="FooterChar">
    <w:name w:val="Footer Char"/>
    <w:link w:val="Footer"/>
    <w:uiPriority w:val="99"/>
    <w:qFormat/>
    <w:rsid w:val="00727C4C"/>
    <w:rPr>
      <w:rFonts w:ascii="Arial" w:hAnsi="Arial" w:cs="Arial"/>
      <w:color w:val="000000"/>
    </w:rPr>
  </w:style>
  <w:style w:type="character" w:customStyle="1" w:styleId="EndnoteTextChar">
    <w:name w:val="Endnote Text Char"/>
    <w:link w:val="EndnoteText"/>
    <w:uiPriority w:val="99"/>
    <w:semiHidden/>
    <w:qFormat/>
    <w:rsid w:val="00B2292C"/>
    <w:rPr>
      <w:rFonts w:ascii="Arial" w:hAnsi="Arial" w:cs="Arial"/>
      <w:color w:val="000000"/>
    </w:rPr>
  </w:style>
  <w:style w:type="character" w:customStyle="1" w:styleId="EndnoteCharacters">
    <w:name w:val="Endnote Characters"/>
    <w:uiPriority w:val="99"/>
    <w:semiHidden/>
    <w:unhideWhenUsed/>
    <w:qFormat/>
    <w:rsid w:val="00B2292C"/>
    <w:rPr>
      <w:vertAlign w:val="superscript"/>
    </w:rPr>
  </w:style>
  <w:style w:type="character" w:customStyle="1" w:styleId="EndnoteAnchor">
    <w:name w:val="Endnote Anchor"/>
    <w:rPr>
      <w:vertAlign w:val="superscript"/>
    </w:rPr>
  </w:style>
  <w:style w:type="character" w:customStyle="1" w:styleId="TitleChar">
    <w:name w:val="Title Char"/>
    <w:link w:val="Title"/>
    <w:qFormat/>
    <w:rsid w:val="00986C0B"/>
    <w:rPr>
      <w:rFonts w:ascii="Arial" w:hAnsi="Arial"/>
      <w:b/>
      <w:sz w:val="24"/>
    </w:rPr>
  </w:style>
  <w:style w:type="character" w:customStyle="1" w:styleId="UnresolvedMention1">
    <w:name w:val="Unresolved Mention1"/>
    <w:basedOn w:val="DefaultParagraphFont"/>
    <w:uiPriority w:val="99"/>
    <w:semiHidden/>
    <w:unhideWhenUsed/>
    <w:qFormat/>
    <w:rsid w:val="00937F7B"/>
    <w:rPr>
      <w:color w:val="605E5C"/>
      <w:shd w:val="clear" w:color="auto" w:fill="E1DFDD"/>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color w:val="auto"/>
      <w:sz w:val="24"/>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rPr>
      <w:rFonts w:cs="Courier New"/>
    </w:rPr>
  </w:style>
  <w:style w:type="character" w:customStyle="1" w:styleId="ListLabel15">
    <w:name w:val="ListLabel 15"/>
    <w:qFormat/>
    <w:rPr>
      <w:rFonts w:cs="Courier New"/>
    </w:rPr>
  </w:style>
  <w:style w:type="character" w:customStyle="1" w:styleId="ListLabel16">
    <w:name w:val="ListLabel 16"/>
    <w:qFormat/>
    <w:rPr>
      <w:rFonts w:cs="Courier New"/>
    </w:rPr>
  </w:style>
  <w:style w:type="character" w:customStyle="1" w:styleId="ListLabel17">
    <w:name w:val="ListLabel 17"/>
    <w:qFormat/>
    <w:rPr>
      <w:rFonts w:cs="Courier New"/>
    </w:rPr>
  </w:style>
  <w:style w:type="character" w:customStyle="1" w:styleId="ListLabel18">
    <w:name w:val="ListLabel 18"/>
    <w:qFormat/>
    <w:rPr>
      <w:rFonts w:cs="Courier New"/>
    </w:rPr>
  </w:style>
  <w:style w:type="character" w:customStyle="1" w:styleId="ListLabel19">
    <w:name w:val="ListLabel 19"/>
    <w:qFormat/>
    <w:rPr>
      <w:rFonts w:cs="Courier New"/>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cs="Courier New"/>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character" w:customStyle="1" w:styleId="ListLabel26">
    <w:name w:val="ListLabel 26"/>
    <w:qFormat/>
    <w:rPr>
      <w:rFonts w:cs="Courier New"/>
    </w:rPr>
  </w:style>
  <w:style w:type="character" w:customStyle="1" w:styleId="ListLabel27">
    <w:name w:val="ListLabel 27"/>
    <w:qFormat/>
    <w:rPr>
      <w:rFonts w:cs="Courier New"/>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ListLabel31">
    <w:name w:val="ListLabel 31"/>
    <w:qFormat/>
    <w:rPr>
      <w:rFonts w:cs="Courier New"/>
    </w:rPr>
  </w:style>
  <w:style w:type="character" w:customStyle="1" w:styleId="ListLabel32">
    <w:name w:val="ListLabel 32"/>
    <w:qFormat/>
    <w:rPr>
      <w:rFonts w:cs="Courier New"/>
    </w:rPr>
  </w:style>
  <w:style w:type="character" w:customStyle="1" w:styleId="ListLabel33">
    <w:name w:val="ListLabel 33"/>
    <w:qFormat/>
    <w:rPr>
      <w:rFonts w:cs="Courier New"/>
    </w:rPr>
  </w:style>
  <w:style w:type="character" w:customStyle="1" w:styleId="ListLabel34">
    <w:name w:val="ListLabel 34"/>
    <w:qFormat/>
    <w:rPr>
      <w:rFonts w:cs="Courier New"/>
    </w:rPr>
  </w:style>
  <w:style w:type="character" w:customStyle="1" w:styleId="ListLabel35">
    <w:name w:val="ListLabel 35"/>
    <w:qFormat/>
    <w:rPr>
      <w:color w:val="auto"/>
      <w:sz w:val="24"/>
    </w:rPr>
  </w:style>
  <w:style w:type="character" w:customStyle="1" w:styleId="ListLabel36">
    <w:name w:val="ListLabel 36"/>
    <w:qFormat/>
    <w:rPr>
      <w:rFonts w:cs="Courier New"/>
    </w:rPr>
  </w:style>
  <w:style w:type="character" w:customStyle="1" w:styleId="ListLabel37">
    <w:name w:val="ListLabel 37"/>
    <w:qFormat/>
    <w:rPr>
      <w:rFonts w:cs="Courier New"/>
    </w:rPr>
  </w:style>
  <w:style w:type="character" w:customStyle="1" w:styleId="ListLabel38">
    <w:name w:val="ListLabel 38"/>
    <w:qFormat/>
    <w:rPr>
      <w:rFonts w:cs="Courier New"/>
    </w:rPr>
  </w:style>
  <w:style w:type="character" w:customStyle="1" w:styleId="ListLabel39">
    <w:name w:val="ListLabel 39"/>
    <w:qFormat/>
    <w:rPr>
      <w:color w:val="auto"/>
      <w:sz w:val="24"/>
      <w:szCs w:val="24"/>
      <w:shd w:val="clear" w:color="auto" w:fill="FFFFFF"/>
    </w:rPr>
  </w:style>
  <w:style w:type="character" w:customStyle="1" w:styleId="ListLabel40">
    <w:name w:val="ListLabel 40"/>
    <w:qFormat/>
    <w:rPr>
      <w:sz w:val="24"/>
      <w:szCs w:val="24"/>
    </w:rPr>
  </w:style>
  <w:style w:type="character" w:customStyle="1" w:styleId="ListLabel41">
    <w:name w:val="ListLabel 41"/>
    <w:qFormat/>
    <w:rPr>
      <w:rFonts w:eastAsia="MS Mincho"/>
      <w:sz w:val="24"/>
      <w:szCs w:val="24"/>
      <w:lang w:eastAsia="en-US"/>
    </w:rPr>
  </w:style>
  <w:style w:type="character" w:customStyle="1" w:styleId="ListLabel42">
    <w:name w:val="ListLabel 42"/>
    <w:qFormat/>
    <w:rPr>
      <w:rFonts w:eastAsia="Calibri"/>
      <w:color w:val="0000FF"/>
      <w:sz w:val="24"/>
      <w:szCs w:val="24"/>
      <w:u w:val="single"/>
      <w:lang w:eastAsia="en-US"/>
    </w:rPr>
  </w:style>
  <w:style w:type="character" w:customStyle="1" w:styleId="ListLabel43">
    <w:name w:val="ListLabel 43"/>
    <w:qFormat/>
    <w:rPr>
      <w:rFonts w:ascii="Calibri" w:eastAsia="Calibri" w:hAnsi="Calibri" w:cs="Times New Roman"/>
      <w:color w:val="0000FF"/>
      <w:sz w:val="22"/>
      <w:szCs w:val="22"/>
      <w:u w:val="single"/>
      <w:lang w:eastAsia="en-US"/>
    </w:rPr>
  </w:style>
  <w:style w:type="character" w:customStyle="1" w:styleId="ListLabel44">
    <w:name w:val="ListLabel 44"/>
    <w:qFormat/>
    <w:rPr>
      <w:b/>
      <w:sz w:val="24"/>
      <w:szCs w:val="24"/>
    </w:rPr>
  </w:style>
  <w:style w:type="character" w:customStyle="1" w:styleId="ListLabel45">
    <w:name w:val="ListLabel 45"/>
    <w:qFormat/>
    <w:rPr>
      <w:rFonts w:cs="Symbol"/>
      <w:sz w:val="24"/>
    </w:rPr>
  </w:style>
  <w:style w:type="character" w:customStyle="1" w:styleId="ListLabel46">
    <w:name w:val="ListLabel 46"/>
    <w:qFormat/>
    <w:rPr>
      <w:rFonts w:cs="Symbol"/>
      <w:sz w:val="24"/>
    </w:rPr>
  </w:style>
  <w:style w:type="character" w:customStyle="1" w:styleId="ListLabel47">
    <w:name w:val="ListLabel 47"/>
    <w:qFormat/>
    <w:rPr>
      <w:rFonts w:cs="Courier New"/>
    </w:rPr>
  </w:style>
  <w:style w:type="character" w:customStyle="1" w:styleId="ListLabel48">
    <w:name w:val="ListLabel 48"/>
    <w:qFormat/>
    <w:rPr>
      <w:rFonts w:cs="Wingdings"/>
    </w:rPr>
  </w:style>
  <w:style w:type="character" w:customStyle="1" w:styleId="ListLabel49">
    <w:name w:val="ListLabel 49"/>
    <w:qFormat/>
    <w:rPr>
      <w:rFonts w:cs="Symbol"/>
    </w:rPr>
  </w:style>
  <w:style w:type="character" w:customStyle="1" w:styleId="ListLabel50">
    <w:name w:val="ListLabel 50"/>
    <w:qFormat/>
    <w:rPr>
      <w:rFonts w:cs="Courier New"/>
    </w:rPr>
  </w:style>
  <w:style w:type="character" w:customStyle="1" w:styleId="ListLabel51">
    <w:name w:val="ListLabel 51"/>
    <w:qFormat/>
    <w:rPr>
      <w:rFonts w:cs="Wingdings"/>
    </w:rPr>
  </w:style>
  <w:style w:type="character" w:customStyle="1" w:styleId="ListLabel52">
    <w:name w:val="ListLabel 52"/>
    <w:qFormat/>
    <w:rPr>
      <w:rFonts w:cs="Symbol"/>
    </w:rPr>
  </w:style>
  <w:style w:type="character" w:customStyle="1" w:styleId="ListLabel53">
    <w:name w:val="ListLabel 53"/>
    <w:qFormat/>
    <w:rPr>
      <w:rFonts w:cs="Courier New"/>
    </w:rPr>
  </w:style>
  <w:style w:type="character" w:customStyle="1" w:styleId="ListLabel54">
    <w:name w:val="ListLabel 54"/>
    <w:qFormat/>
    <w:rPr>
      <w:rFonts w:cs="Wingdings"/>
    </w:rPr>
  </w:style>
  <w:style w:type="character" w:customStyle="1" w:styleId="ListLabel55">
    <w:name w:val="ListLabel 55"/>
    <w:qFormat/>
    <w:rPr>
      <w:rFonts w:cs="Wingdings"/>
      <w:sz w:val="24"/>
    </w:rPr>
  </w:style>
  <w:style w:type="character" w:customStyle="1" w:styleId="ListLabel56">
    <w:name w:val="ListLabel 56"/>
    <w:qFormat/>
    <w:rPr>
      <w:rFonts w:cs="Symbol"/>
      <w:sz w:val="24"/>
    </w:rPr>
  </w:style>
  <w:style w:type="character" w:customStyle="1" w:styleId="ListLabel57">
    <w:name w:val="ListLabel 57"/>
    <w:qFormat/>
    <w:rPr>
      <w:rFonts w:cs="Courier New"/>
    </w:rPr>
  </w:style>
  <w:style w:type="character" w:customStyle="1" w:styleId="ListLabel58">
    <w:name w:val="ListLabel 58"/>
    <w:qFormat/>
    <w:rPr>
      <w:rFonts w:cs="Wingdings"/>
    </w:rPr>
  </w:style>
  <w:style w:type="character" w:customStyle="1" w:styleId="ListLabel59">
    <w:name w:val="ListLabel 59"/>
    <w:qFormat/>
    <w:rPr>
      <w:rFonts w:cs="Symbol"/>
    </w:rPr>
  </w:style>
  <w:style w:type="character" w:customStyle="1" w:styleId="ListLabel60">
    <w:name w:val="ListLabel 60"/>
    <w:qFormat/>
    <w:rPr>
      <w:rFonts w:cs="Courier New"/>
    </w:rPr>
  </w:style>
  <w:style w:type="character" w:customStyle="1" w:styleId="ListLabel61">
    <w:name w:val="ListLabel 61"/>
    <w:qFormat/>
    <w:rPr>
      <w:rFonts w:cs="Wingdings"/>
    </w:rPr>
  </w:style>
  <w:style w:type="character" w:customStyle="1" w:styleId="ListLabel62">
    <w:name w:val="ListLabel 62"/>
    <w:qFormat/>
    <w:rPr>
      <w:rFonts w:cs="Symbol"/>
    </w:rPr>
  </w:style>
  <w:style w:type="character" w:customStyle="1" w:styleId="ListLabel63">
    <w:name w:val="ListLabel 63"/>
    <w:qFormat/>
    <w:rPr>
      <w:rFonts w:cs="Courier New"/>
    </w:rPr>
  </w:style>
  <w:style w:type="character" w:customStyle="1" w:styleId="ListLabel64">
    <w:name w:val="ListLabel 64"/>
    <w:qFormat/>
    <w:rPr>
      <w:rFonts w:cs="Wingdings"/>
    </w:rPr>
  </w:style>
  <w:style w:type="character" w:customStyle="1" w:styleId="ListLabel65">
    <w:name w:val="ListLabel 65"/>
    <w:qFormat/>
    <w:rPr>
      <w:rFonts w:cs="Symbol"/>
      <w:sz w:val="24"/>
    </w:rPr>
  </w:style>
  <w:style w:type="character" w:customStyle="1" w:styleId="ListLabel66">
    <w:name w:val="ListLabel 66"/>
    <w:qFormat/>
    <w:rPr>
      <w:rFonts w:cs="Courier New"/>
    </w:rPr>
  </w:style>
  <w:style w:type="character" w:customStyle="1" w:styleId="ListLabel67">
    <w:name w:val="ListLabel 67"/>
    <w:qFormat/>
    <w:rPr>
      <w:rFonts w:cs="Wingdings"/>
    </w:rPr>
  </w:style>
  <w:style w:type="character" w:customStyle="1" w:styleId="ListLabel68">
    <w:name w:val="ListLabel 68"/>
    <w:qFormat/>
    <w:rPr>
      <w:rFonts w:cs="Symbol"/>
    </w:rPr>
  </w:style>
  <w:style w:type="character" w:customStyle="1" w:styleId="ListLabel69">
    <w:name w:val="ListLabel 69"/>
    <w:qFormat/>
    <w:rPr>
      <w:rFonts w:cs="Courier New"/>
    </w:rPr>
  </w:style>
  <w:style w:type="character" w:customStyle="1" w:styleId="ListLabel70">
    <w:name w:val="ListLabel 70"/>
    <w:qFormat/>
    <w:rPr>
      <w:rFonts w:cs="Wingdings"/>
    </w:rPr>
  </w:style>
  <w:style w:type="character" w:customStyle="1" w:styleId="ListLabel71">
    <w:name w:val="ListLabel 71"/>
    <w:qFormat/>
    <w:rPr>
      <w:rFonts w:cs="Symbol"/>
    </w:rPr>
  </w:style>
  <w:style w:type="character" w:customStyle="1" w:styleId="ListLabel72">
    <w:name w:val="ListLabel 72"/>
    <w:qFormat/>
    <w:rPr>
      <w:rFonts w:cs="Courier New"/>
    </w:rPr>
  </w:style>
  <w:style w:type="character" w:customStyle="1" w:styleId="ListLabel73">
    <w:name w:val="ListLabel 73"/>
    <w:qFormat/>
    <w:rPr>
      <w:rFonts w:cs="Wingdings"/>
    </w:rPr>
  </w:style>
  <w:style w:type="character" w:customStyle="1" w:styleId="ListLabel74">
    <w:name w:val="ListLabel 74"/>
    <w:qFormat/>
    <w:rPr>
      <w:rFonts w:cs="Symbol"/>
      <w:color w:val="auto"/>
      <w:sz w:val="24"/>
    </w:rPr>
  </w:style>
  <w:style w:type="character" w:customStyle="1" w:styleId="ListLabel75">
    <w:name w:val="ListLabel 75"/>
    <w:qFormat/>
    <w:rPr>
      <w:rFonts w:cs="Courier New"/>
    </w:rPr>
  </w:style>
  <w:style w:type="character" w:customStyle="1" w:styleId="ListLabel76">
    <w:name w:val="ListLabel 76"/>
    <w:qFormat/>
    <w:rPr>
      <w:rFonts w:cs="Wingdings"/>
    </w:rPr>
  </w:style>
  <w:style w:type="character" w:customStyle="1" w:styleId="ListLabel77">
    <w:name w:val="ListLabel 77"/>
    <w:qFormat/>
    <w:rPr>
      <w:rFonts w:cs="Symbol"/>
    </w:rPr>
  </w:style>
  <w:style w:type="character" w:customStyle="1" w:styleId="ListLabel78">
    <w:name w:val="ListLabel 78"/>
    <w:qFormat/>
    <w:rPr>
      <w:rFonts w:cs="Courier New"/>
    </w:rPr>
  </w:style>
  <w:style w:type="character" w:customStyle="1" w:styleId="ListLabel79">
    <w:name w:val="ListLabel 79"/>
    <w:qFormat/>
    <w:rPr>
      <w:rFonts w:cs="Wingdings"/>
    </w:rPr>
  </w:style>
  <w:style w:type="character" w:customStyle="1" w:styleId="ListLabel80">
    <w:name w:val="ListLabel 80"/>
    <w:qFormat/>
    <w:rPr>
      <w:rFonts w:cs="Symbol"/>
    </w:rPr>
  </w:style>
  <w:style w:type="character" w:customStyle="1" w:styleId="ListLabel81">
    <w:name w:val="ListLabel 81"/>
    <w:qFormat/>
    <w:rPr>
      <w:rFonts w:cs="Courier New"/>
    </w:rPr>
  </w:style>
  <w:style w:type="character" w:customStyle="1" w:styleId="ListLabel82">
    <w:name w:val="ListLabel 82"/>
    <w:qFormat/>
    <w:rPr>
      <w:rFonts w:cs="Wingdings"/>
    </w:rPr>
  </w:style>
  <w:style w:type="character" w:customStyle="1" w:styleId="ListLabel83">
    <w:name w:val="ListLabel 83"/>
    <w:qFormat/>
    <w:rPr>
      <w:rFonts w:cs="Symbol"/>
      <w:sz w:val="24"/>
    </w:rPr>
  </w:style>
  <w:style w:type="character" w:customStyle="1" w:styleId="ListLabel84">
    <w:name w:val="ListLabel 84"/>
    <w:qFormat/>
    <w:rPr>
      <w:rFonts w:cs="Courier New"/>
    </w:rPr>
  </w:style>
  <w:style w:type="character" w:customStyle="1" w:styleId="ListLabel85">
    <w:name w:val="ListLabel 85"/>
    <w:qFormat/>
    <w:rPr>
      <w:rFonts w:cs="Wingdings"/>
    </w:rPr>
  </w:style>
  <w:style w:type="character" w:customStyle="1" w:styleId="ListLabel86">
    <w:name w:val="ListLabel 86"/>
    <w:qFormat/>
    <w:rPr>
      <w:rFonts w:cs="Symbol"/>
    </w:rPr>
  </w:style>
  <w:style w:type="character" w:customStyle="1" w:styleId="ListLabel87">
    <w:name w:val="ListLabel 87"/>
    <w:qFormat/>
    <w:rPr>
      <w:rFonts w:cs="Courier New"/>
    </w:rPr>
  </w:style>
  <w:style w:type="character" w:customStyle="1" w:styleId="ListLabel88">
    <w:name w:val="ListLabel 88"/>
    <w:qFormat/>
    <w:rPr>
      <w:rFonts w:cs="Wingdings"/>
    </w:rPr>
  </w:style>
  <w:style w:type="character" w:customStyle="1" w:styleId="ListLabel89">
    <w:name w:val="ListLabel 89"/>
    <w:qFormat/>
    <w:rPr>
      <w:rFonts w:cs="Symbol"/>
    </w:rPr>
  </w:style>
  <w:style w:type="character" w:customStyle="1" w:styleId="ListLabel90">
    <w:name w:val="ListLabel 90"/>
    <w:qFormat/>
    <w:rPr>
      <w:rFonts w:cs="Courier New"/>
    </w:rPr>
  </w:style>
  <w:style w:type="character" w:customStyle="1" w:styleId="ListLabel91">
    <w:name w:val="ListLabel 91"/>
    <w:qFormat/>
    <w:rPr>
      <w:rFonts w:cs="Wingdings"/>
    </w:rPr>
  </w:style>
  <w:style w:type="character" w:customStyle="1" w:styleId="ListLabel92">
    <w:name w:val="ListLabel 92"/>
    <w:qFormat/>
    <w:rPr>
      <w:rFonts w:cs="Wingdings"/>
    </w:rPr>
  </w:style>
  <w:style w:type="character" w:customStyle="1" w:styleId="ListLabel93">
    <w:name w:val="ListLabel 93"/>
    <w:qFormat/>
    <w:rPr>
      <w:rFonts w:cs="Courier New"/>
    </w:rPr>
  </w:style>
  <w:style w:type="character" w:customStyle="1" w:styleId="ListLabel94">
    <w:name w:val="ListLabel 94"/>
    <w:qFormat/>
    <w:rPr>
      <w:rFonts w:cs="Wingdings"/>
    </w:rPr>
  </w:style>
  <w:style w:type="character" w:customStyle="1" w:styleId="ListLabel95">
    <w:name w:val="ListLabel 95"/>
    <w:qFormat/>
    <w:rPr>
      <w:rFonts w:cs="Symbol"/>
    </w:rPr>
  </w:style>
  <w:style w:type="character" w:customStyle="1" w:styleId="ListLabel96">
    <w:name w:val="ListLabel 96"/>
    <w:qFormat/>
    <w:rPr>
      <w:rFonts w:cs="Courier New"/>
    </w:rPr>
  </w:style>
  <w:style w:type="character" w:customStyle="1" w:styleId="ListLabel97">
    <w:name w:val="ListLabel 97"/>
    <w:qFormat/>
    <w:rPr>
      <w:rFonts w:cs="Wingdings"/>
    </w:rPr>
  </w:style>
  <w:style w:type="character" w:customStyle="1" w:styleId="ListLabel98">
    <w:name w:val="ListLabel 98"/>
    <w:qFormat/>
    <w:rPr>
      <w:rFonts w:cs="Symbol"/>
    </w:rPr>
  </w:style>
  <w:style w:type="character" w:customStyle="1" w:styleId="ListLabel99">
    <w:name w:val="ListLabel 99"/>
    <w:qFormat/>
    <w:rPr>
      <w:rFonts w:cs="Courier New"/>
    </w:rPr>
  </w:style>
  <w:style w:type="character" w:customStyle="1" w:styleId="ListLabel100">
    <w:name w:val="ListLabel 100"/>
    <w:qFormat/>
    <w:rPr>
      <w:rFonts w:cs="Wingdings"/>
    </w:rPr>
  </w:style>
  <w:style w:type="character" w:customStyle="1" w:styleId="ListLabel101">
    <w:name w:val="ListLabel 101"/>
    <w:qFormat/>
    <w:rPr>
      <w:rFonts w:cs="Symbol"/>
    </w:rPr>
  </w:style>
  <w:style w:type="character" w:customStyle="1" w:styleId="ListLabel102">
    <w:name w:val="ListLabel 102"/>
    <w:qFormat/>
    <w:rPr>
      <w:rFonts w:cs="Courier New"/>
    </w:rPr>
  </w:style>
  <w:style w:type="character" w:customStyle="1" w:styleId="ListLabel103">
    <w:name w:val="ListLabel 103"/>
    <w:qFormat/>
    <w:rPr>
      <w:rFonts w:cs="Wingdings"/>
    </w:rPr>
  </w:style>
  <w:style w:type="character" w:customStyle="1" w:styleId="ListLabel104">
    <w:name w:val="ListLabel 104"/>
    <w:qFormat/>
    <w:rPr>
      <w:rFonts w:cs="Symbol"/>
    </w:rPr>
  </w:style>
  <w:style w:type="character" w:customStyle="1" w:styleId="ListLabel105">
    <w:name w:val="ListLabel 105"/>
    <w:qFormat/>
    <w:rPr>
      <w:rFonts w:cs="Courier New"/>
    </w:rPr>
  </w:style>
  <w:style w:type="character" w:customStyle="1" w:styleId="ListLabel106">
    <w:name w:val="ListLabel 106"/>
    <w:qFormat/>
    <w:rPr>
      <w:rFonts w:cs="Wingdings"/>
    </w:rPr>
  </w:style>
  <w:style w:type="character" w:customStyle="1" w:styleId="ListLabel107">
    <w:name w:val="ListLabel 107"/>
    <w:qFormat/>
    <w:rPr>
      <w:rFonts w:cs="Symbol"/>
    </w:rPr>
  </w:style>
  <w:style w:type="character" w:customStyle="1" w:styleId="ListLabel108">
    <w:name w:val="ListLabel 108"/>
    <w:qFormat/>
    <w:rPr>
      <w:rFonts w:cs="Courier New"/>
    </w:rPr>
  </w:style>
  <w:style w:type="character" w:customStyle="1" w:styleId="ListLabel109">
    <w:name w:val="ListLabel 109"/>
    <w:qFormat/>
    <w:rPr>
      <w:rFonts w:cs="Wingdings"/>
    </w:rPr>
  </w:style>
  <w:style w:type="character" w:customStyle="1" w:styleId="ListLabel110">
    <w:name w:val="ListLabel 110"/>
    <w:qFormat/>
    <w:rPr>
      <w:rFonts w:cs="Wingdings"/>
      <w:b w:val="0"/>
    </w:rPr>
  </w:style>
  <w:style w:type="character" w:customStyle="1" w:styleId="ListLabel111">
    <w:name w:val="ListLabel 111"/>
    <w:qFormat/>
    <w:rPr>
      <w:rFonts w:cs="Courier New"/>
    </w:rPr>
  </w:style>
  <w:style w:type="character" w:customStyle="1" w:styleId="ListLabel112">
    <w:name w:val="ListLabel 112"/>
    <w:qFormat/>
    <w:rPr>
      <w:rFonts w:cs="Wingdings"/>
    </w:rPr>
  </w:style>
  <w:style w:type="character" w:customStyle="1" w:styleId="ListLabel113">
    <w:name w:val="ListLabel 113"/>
    <w:qFormat/>
    <w:rPr>
      <w:rFonts w:cs="Symbol"/>
    </w:rPr>
  </w:style>
  <w:style w:type="character" w:customStyle="1" w:styleId="ListLabel114">
    <w:name w:val="ListLabel 114"/>
    <w:qFormat/>
    <w:rPr>
      <w:rFonts w:cs="Courier New"/>
    </w:rPr>
  </w:style>
  <w:style w:type="character" w:customStyle="1" w:styleId="ListLabel115">
    <w:name w:val="ListLabel 115"/>
    <w:qFormat/>
    <w:rPr>
      <w:rFonts w:cs="Wingdings"/>
    </w:rPr>
  </w:style>
  <w:style w:type="character" w:customStyle="1" w:styleId="ListLabel116">
    <w:name w:val="ListLabel 116"/>
    <w:qFormat/>
    <w:rPr>
      <w:rFonts w:cs="Symbol"/>
    </w:rPr>
  </w:style>
  <w:style w:type="character" w:customStyle="1" w:styleId="ListLabel117">
    <w:name w:val="ListLabel 117"/>
    <w:qFormat/>
    <w:rPr>
      <w:rFonts w:cs="Courier New"/>
    </w:rPr>
  </w:style>
  <w:style w:type="character" w:customStyle="1" w:styleId="ListLabel118">
    <w:name w:val="ListLabel 118"/>
    <w:qFormat/>
    <w:rPr>
      <w:rFonts w:cs="Wingdings"/>
    </w:rPr>
  </w:style>
  <w:style w:type="character" w:customStyle="1" w:styleId="ListLabel119">
    <w:name w:val="ListLabel 119"/>
    <w:qFormat/>
    <w:rPr>
      <w:rFonts w:cs="Wingdings"/>
    </w:rPr>
  </w:style>
  <w:style w:type="character" w:customStyle="1" w:styleId="ListLabel120">
    <w:name w:val="ListLabel 120"/>
    <w:qFormat/>
    <w:rPr>
      <w:rFonts w:cs="Courier New"/>
    </w:rPr>
  </w:style>
  <w:style w:type="character" w:customStyle="1" w:styleId="ListLabel121">
    <w:name w:val="ListLabel 121"/>
    <w:qFormat/>
    <w:rPr>
      <w:rFonts w:cs="Wingdings"/>
    </w:rPr>
  </w:style>
  <w:style w:type="character" w:customStyle="1" w:styleId="ListLabel122">
    <w:name w:val="ListLabel 122"/>
    <w:qFormat/>
    <w:rPr>
      <w:rFonts w:cs="Symbol"/>
    </w:rPr>
  </w:style>
  <w:style w:type="character" w:customStyle="1" w:styleId="ListLabel123">
    <w:name w:val="ListLabel 123"/>
    <w:qFormat/>
    <w:rPr>
      <w:rFonts w:cs="Courier New"/>
    </w:rPr>
  </w:style>
  <w:style w:type="character" w:customStyle="1" w:styleId="ListLabel124">
    <w:name w:val="ListLabel 124"/>
    <w:qFormat/>
    <w:rPr>
      <w:rFonts w:cs="Wingdings"/>
    </w:rPr>
  </w:style>
  <w:style w:type="character" w:customStyle="1" w:styleId="ListLabel125">
    <w:name w:val="ListLabel 125"/>
    <w:qFormat/>
    <w:rPr>
      <w:rFonts w:cs="Symbol"/>
    </w:rPr>
  </w:style>
  <w:style w:type="character" w:customStyle="1" w:styleId="ListLabel126">
    <w:name w:val="ListLabel 126"/>
    <w:qFormat/>
    <w:rPr>
      <w:rFonts w:cs="Courier New"/>
    </w:rPr>
  </w:style>
  <w:style w:type="character" w:customStyle="1" w:styleId="ListLabel127">
    <w:name w:val="ListLabel 127"/>
    <w:qFormat/>
    <w:rPr>
      <w:rFonts w:cs="Wingdings"/>
    </w:rPr>
  </w:style>
  <w:style w:type="character" w:customStyle="1" w:styleId="ListLabel128">
    <w:name w:val="ListLabel 128"/>
    <w:qFormat/>
    <w:rPr>
      <w:rFonts w:cs="Arial"/>
      <w:sz w:val="24"/>
    </w:rPr>
  </w:style>
  <w:style w:type="character" w:customStyle="1" w:styleId="ListLabel129">
    <w:name w:val="ListLabel 129"/>
    <w:qFormat/>
    <w:rPr>
      <w:rFonts w:cs="Arial"/>
    </w:rPr>
  </w:style>
  <w:style w:type="character" w:customStyle="1" w:styleId="ListLabel130">
    <w:name w:val="ListLabel 130"/>
    <w:qFormat/>
    <w:rPr>
      <w:rFonts w:cs="Arial"/>
    </w:rPr>
  </w:style>
  <w:style w:type="character" w:customStyle="1" w:styleId="ListLabel131">
    <w:name w:val="ListLabel 131"/>
    <w:qFormat/>
    <w:rPr>
      <w:rFonts w:cs="Arial"/>
    </w:rPr>
  </w:style>
  <w:style w:type="character" w:customStyle="1" w:styleId="ListLabel132">
    <w:name w:val="ListLabel 132"/>
    <w:qFormat/>
    <w:rPr>
      <w:rFonts w:cs="Arial"/>
    </w:rPr>
  </w:style>
  <w:style w:type="character" w:customStyle="1" w:styleId="ListLabel133">
    <w:name w:val="ListLabel 133"/>
    <w:qFormat/>
    <w:rPr>
      <w:rFonts w:cs="Arial"/>
    </w:rPr>
  </w:style>
  <w:style w:type="character" w:customStyle="1" w:styleId="ListLabel134">
    <w:name w:val="ListLabel 134"/>
    <w:qFormat/>
    <w:rPr>
      <w:rFonts w:cs="Arial"/>
    </w:rPr>
  </w:style>
  <w:style w:type="character" w:customStyle="1" w:styleId="ListLabel135">
    <w:name w:val="ListLabel 135"/>
    <w:qFormat/>
    <w:rPr>
      <w:rFonts w:cs="Arial"/>
    </w:rPr>
  </w:style>
  <w:style w:type="character" w:customStyle="1" w:styleId="ListLabel136">
    <w:name w:val="ListLabel 136"/>
    <w:qFormat/>
    <w:rPr>
      <w:rFonts w:cs="Arial"/>
    </w:rPr>
  </w:style>
  <w:style w:type="character" w:customStyle="1" w:styleId="ListLabel137">
    <w:name w:val="ListLabel 137"/>
    <w:qFormat/>
    <w:rPr>
      <w:rFonts w:cs="Symbol"/>
      <w:b/>
      <w:sz w:val="24"/>
    </w:rPr>
  </w:style>
  <w:style w:type="character" w:customStyle="1" w:styleId="ListLabel138">
    <w:name w:val="ListLabel 138"/>
    <w:qFormat/>
    <w:rPr>
      <w:rFonts w:cs="Courier New"/>
    </w:rPr>
  </w:style>
  <w:style w:type="character" w:customStyle="1" w:styleId="ListLabel139">
    <w:name w:val="ListLabel 139"/>
    <w:qFormat/>
    <w:rPr>
      <w:rFonts w:cs="Wingdings"/>
    </w:rPr>
  </w:style>
  <w:style w:type="character" w:customStyle="1" w:styleId="ListLabel140">
    <w:name w:val="ListLabel 140"/>
    <w:qFormat/>
    <w:rPr>
      <w:rFonts w:cs="Symbol"/>
    </w:rPr>
  </w:style>
  <w:style w:type="character" w:customStyle="1" w:styleId="ListLabel141">
    <w:name w:val="ListLabel 141"/>
    <w:qFormat/>
    <w:rPr>
      <w:rFonts w:cs="Courier New"/>
    </w:rPr>
  </w:style>
  <w:style w:type="character" w:customStyle="1" w:styleId="ListLabel142">
    <w:name w:val="ListLabel 142"/>
    <w:qFormat/>
    <w:rPr>
      <w:rFonts w:cs="Wingdings"/>
    </w:rPr>
  </w:style>
  <w:style w:type="character" w:customStyle="1" w:styleId="ListLabel143">
    <w:name w:val="ListLabel 143"/>
    <w:qFormat/>
    <w:rPr>
      <w:rFonts w:cs="Symbol"/>
    </w:rPr>
  </w:style>
  <w:style w:type="character" w:customStyle="1" w:styleId="ListLabel144">
    <w:name w:val="ListLabel 144"/>
    <w:qFormat/>
    <w:rPr>
      <w:rFonts w:cs="Courier New"/>
    </w:rPr>
  </w:style>
  <w:style w:type="character" w:customStyle="1" w:styleId="ListLabel145">
    <w:name w:val="ListLabel 145"/>
    <w:qFormat/>
    <w:rPr>
      <w:rFonts w:cs="Wingdings"/>
    </w:rPr>
  </w:style>
  <w:style w:type="character" w:customStyle="1" w:styleId="ListLabel146">
    <w:name w:val="ListLabel 146"/>
    <w:qFormat/>
    <w:rPr>
      <w:rFonts w:cs="Symbol"/>
      <w:sz w:val="24"/>
    </w:rPr>
  </w:style>
  <w:style w:type="character" w:customStyle="1" w:styleId="ListLabel147">
    <w:name w:val="ListLabel 147"/>
    <w:qFormat/>
    <w:rPr>
      <w:rFonts w:cs="Courier New"/>
    </w:rPr>
  </w:style>
  <w:style w:type="character" w:customStyle="1" w:styleId="ListLabel148">
    <w:name w:val="ListLabel 148"/>
    <w:qFormat/>
    <w:rPr>
      <w:rFonts w:cs="Wingdings"/>
    </w:rPr>
  </w:style>
  <w:style w:type="character" w:customStyle="1" w:styleId="ListLabel149">
    <w:name w:val="ListLabel 149"/>
    <w:qFormat/>
    <w:rPr>
      <w:rFonts w:cs="Symbol"/>
    </w:rPr>
  </w:style>
  <w:style w:type="character" w:customStyle="1" w:styleId="ListLabel150">
    <w:name w:val="ListLabel 150"/>
    <w:qFormat/>
    <w:rPr>
      <w:rFonts w:cs="Courier New"/>
    </w:rPr>
  </w:style>
  <w:style w:type="character" w:customStyle="1" w:styleId="ListLabel151">
    <w:name w:val="ListLabel 151"/>
    <w:qFormat/>
    <w:rPr>
      <w:rFonts w:cs="Wingdings"/>
    </w:rPr>
  </w:style>
  <w:style w:type="character" w:customStyle="1" w:styleId="ListLabel152">
    <w:name w:val="ListLabel 152"/>
    <w:qFormat/>
    <w:rPr>
      <w:rFonts w:cs="Symbol"/>
    </w:rPr>
  </w:style>
  <w:style w:type="character" w:customStyle="1" w:styleId="ListLabel153">
    <w:name w:val="ListLabel 153"/>
    <w:qFormat/>
    <w:rPr>
      <w:rFonts w:cs="Courier New"/>
    </w:rPr>
  </w:style>
  <w:style w:type="character" w:customStyle="1" w:styleId="ListLabel154">
    <w:name w:val="ListLabel 154"/>
    <w:qFormat/>
    <w:rPr>
      <w:rFonts w:cs="Wingdings"/>
    </w:rPr>
  </w:style>
  <w:style w:type="character" w:customStyle="1" w:styleId="ListLabel155">
    <w:name w:val="ListLabel 155"/>
    <w:qFormat/>
    <w:rPr>
      <w:rFonts w:cs="Symbol"/>
      <w:color w:val="auto"/>
      <w:sz w:val="24"/>
    </w:rPr>
  </w:style>
  <w:style w:type="character" w:customStyle="1" w:styleId="ListLabel156">
    <w:name w:val="ListLabel 156"/>
    <w:qFormat/>
    <w:rPr>
      <w:rFonts w:cs="Courier New"/>
    </w:rPr>
  </w:style>
  <w:style w:type="character" w:customStyle="1" w:styleId="ListLabel157">
    <w:name w:val="ListLabel 157"/>
    <w:qFormat/>
    <w:rPr>
      <w:rFonts w:cs="Wingdings"/>
    </w:rPr>
  </w:style>
  <w:style w:type="character" w:customStyle="1" w:styleId="ListLabel158">
    <w:name w:val="ListLabel 158"/>
    <w:qFormat/>
    <w:rPr>
      <w:rFonts w:cs="Symbol"/>
    </w:rPr>
  </w:style>
  <w:style w:type="character" w:customStyle="1" w:styleId="ListLabel159">
    <w:name w:val="ListLabel 159"/>
    <w:qFormat/>
    <w:rPr>
      <w:rFonts w:cs="Courier New"/>
    </w:rPr>
  </w:style>
  <w:style w:type="character" w:customStyle="1" w:styleId="ListLabel160">
    <w:name w:val="ListLabel 160"/>
    <w:qFormat/>
    <w:rPr>
      <w:rFonts w:cs="Wingdings"/>
    </w:rPr>
  </w:style>
  <w:style w:type="character" w:customStyle="1" w:styleId="ListLabel161">
    <w:name w:val="ListLabel 161"/>
    <w:qFormat/>
    <w:rPr>
      <w:rFonts w:cs="Symbol"/>
    </w:rPr>
  </w:style>
  <w:style w:type="character" w:customStyle="1" w:styleId="ListLabel162">
    <w:name w:val="ListLabel 162"/>
    <w:qFormat/>
    <w:rPr>
      <w:rFonts w:cs="Courier New"/>
    </w:rPr>
  </w:style>
  <w:style w:type="character" w:customStyle="1" w:styleId="ListLabel163">
    <w:name w:val="ListLabel 163"/>
    <w:qFormat/>
    <w:rPr>
      <w:rFonts w:cs="Wingdings"/>
    </w:rPr>
  </w:style>
  <w:style w:type="character" w:customStyle="1" w:styleId="ListLabel164">
    <w:name w:val="ListLabel 164"/>
    <w:qFormat/>
    <w:rPr>
      <w:color w:val="auto"/>
      <w:sz w:val="24"/>
      <w:szCs w:val="24"/>
      <w:highlight w:val="white"/>
      <w:u w:val="none"/>
    </w:rPr>
  </w:style>
  <w:style w:type="character" w:customStyle="1" w:styleId="ListLabel165">
    <w:name w:val="ListLabel 165"/>
    <w:qFormat/>
    <w:rPr>
      <w:sz w:val="24"/>
      <w:szCs w:val="24"/>
    </w:rPr>
  </w:style>
  <w:style w:type="character" w:customStyle="1" w:styleId="ListLabel166">
    <w:name w:val="ListLabel 166"/>
    <w:qFormat/>
    <w:rPr>
      <w:rFonts w:eastAsia="MS Mincho"/>
      <w:sz w:val="24"/>
      <w:szCs w:val="24"/>
      <w:lang w:eastAsia="en-US"/>
    </w:rPr>
  </w:style>
  <w:style w:type="character" w:customStyle="1" w:styleId="ListLabel167">
    <w:name w:val="ListLabel 167"/>
    <w:qFormat/>
    <w:rPr>
      <w:rFonts w:eastAsia="Calibri"/>
      <w:color w:val="0000FF"/>
      <w:sz w:val="24"/>
      <w:szCs w:val="24"/>
      <w:u w:val="single"/>
      <w:lang w:eastAsia="en-US"/>
    </w:rPr>
  </w:style>
  <w:style w:type="character" w:customStyle="1" w:styleId="ListLabel168">
    <w:name w:val="ListLabel 168"/>
    <w:qFormat/>
    <w:rPr>
      <w:rFonts w:ascii="Calibri" w:eastAsia="Calibri" w:hAnsi="Calibri" w:cs="Times New Roman"/>
      <w:color w:val="0000FF"/>
      <w:sz w:val="22"/>
      <w:szCs w:val="22"/>
      <w:u w:val="single"/>
      <w:lang w:eastAsia="en-US"/>
    </w:rPr>
  </w:style>
  <w:style w:type="character" w:customStyle="1" w:styleId="ListLabel169">
    <w:name w:val="ListLabel 169"/>
    <w:qFormat/>
    <w:rPr>
      <w:b/>
      <w:sz w:val="24"/>
      <w:szCs w:val="24"/>
    </w:rPr>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semiHidden/>
    <w:rPr>
      <w:b/>
      <w:sz w:val="24"/>
    </w:rPr>
  </w:style>
  <w:style w:type="paragraph" w:styleId="List">
    <w:name w:val="List"/>
    <w:basedOn w:val="BodyText"/>
  </w:style>
  <w:style w:type="paragraph" w:styleId="Caption">
    <w:name w:val="caption"/>
    <w:basedOn w:val="Normal"/>
    <w:qFormat/>
    <w:pPr>
      <w:suppressLineNumbers/>
      <w:spacing w:before="120" w:after="120"/>
    </w:pPr>
    <w:rPr>
      <w:i/>
      <w:iCs/>
      <w:sz w:val="24"/>
      <w:szCs w:val="24"/>
    </w:rPr>
  </w:style>
  <w:style w:type="paragraph" w:customStyle="1" w:styleId="Index">
    <w:name w:val="Index"/>
    <w:basedOn w:val="Normal"/>
    <w:qFormat/>
    <w:pPr>
      <w:suppressLineNumbers/>
    </w:pPr>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paragraph" w:styleId="BalloonText">
    <w:name w:val="Balloon Text"/>
    <w:basedOn w:val="Normal"/>
    <w:semiHidden/>
    <w:qFormat/>
    <w:rsid w:val="00C3278B"/>
    <w:rPr>
      <w:rFonts w:ascii="Tahoma" w:hAnsi="Tahoma" w:cs="Tahoma"/>
      <w:sz w:val="16"/>
      <w:szCs w:val="16"/>
    </w:rPr>
  </w:style>
  <w:style w:type="paragraph" w:styleId="CommentText">
    <w:name w:val="annotation text"/>
    <w:basedOn w:val="Normal"/>
    <w:link w:val="CommentTextChar"/>
    <w:uiPriority w:val="99"/>
    <w:semiHidden/>
    <w:unhideWhenUsed/>
    <w:qFormat/>
    <w:rsid w:val="0057780F"/>
    <w:rPr>
      <w:rFonts w:cs="Times New Roman"/>
      <w:lang w:val="x-none" w:eastAsia="x-none"/>
    </w:rPr>
  </w:style>
  <w:style w:type="paragraph" w:styleId="CommentSubject">
    <w:name w:val="annotation subject"/>
    <w:basedOn w:val="CommentText"/>
    <w:link w:val="CommentSubjectChar"/>
    <w:uiPriority w:val="99"/>
    <w:semiHidden/>
    <w:unhideWhenUsed/>
    <w:qFormat/>
    <w:rsid w:val="0057780F"/>
    <w:rPr>
      <w:b/>
      <w:bCs/>
    </w:rPr>
  </w:style>
  <w:style w:type="paragraph" w:styleId="BodyText3">
    <w:name w:val="Body Text 3"/>
    <w:basedOn w:val="Normal"/>
    <w:link w:val="BodyText3Char"/>
    <w:uiPriority w:val="99"/>
    <w:semiHidden/>
    <w:unhideWhenUsed/>
    <w:qFormat/>
    <w:rsid w:val="00F927A1"/>
    <w:pPr>
      <w:spacing w:after="120"/>
    </w:pPr>
    <w:rPr>
      <w:rFonts w:cs="Times New Roman"/>
      <w:sz w:val="16"/>
      <w:szCs w:val="16"/>
      <w:lang w:val="x-none" w:eastAsia="x-none"/>
    </w:rPr>
  </w:style>
  <w:style w:type="paragraph" w:customStyle="1" w:styleId="LightList-Accent31">
    <w:name w:val="Light List - Accent 31"/>
    <w:uiPriority w:val="99"/>
    <w:semiHidden/>
    <w:qFormat/>
    <w:rsid w:val="004B6822"/>
    <w:rPr>
      <w:rFonts w:ascii="Arial" w:hAnsi="Arial" w:cs="Arial"/>
      <w:color w:val="000000"/>
    </w:rPr>
  </w:style>
  <w:style w:type="paragraph" w:styleId="EndnoteText">
    <w:name w:val="endnote text"/>
    <w:basedOn w:val="Normal"/>
    <w:link w:val="EndnoteTextChar"/>
    <w:uiPriority w:val="99"/>
    <w:semiHidden/>
    <w:unhideWhenUsed/>
    <w:rsid w:val="00B2292C"/>
  </w:style>
  <w:style w:type="paragraph" w:styleId="Title">
    <w:name w:val="Title"/>
    <w:basedOn w:val="Normal"/>
    <w:link w:val="TitleChar"/>
    <w:qFormat/>
    <w:rsid w:val="00986C0B"/>
    <w:pPr>
      <w:overflowPunct/>
      <w:jc w:val="center"/>
      <w:textAlignment w:val="auto"/>
    </w:pPr>
    <w:rPr>
      <w:rFonts w:cs="Times New Roman"/>
      <w:b/>
      <w:color w:val="auto"/>
      <w:sz w:val="24"/>
    </w:rPr>
  </w:style>
  <w:style w:type="paragraph" w:styleId="ListParagraph">
    <w:name w:val="List Paragraph"/>
    <w:basedOn w:val="Normal"/>
    <w:uiPriority w:val="34"/>
    <w:qFormat/>
    <w:rsid w:val="008725B6"/>
    <w:pPr>
      <w:ind w:left="720"/>
    </w:p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C7CA6"/>
    <w:rPr>
      <w:color w:val="0563C1" w:themeColor="hyperlink"/>
      <w:u w:val="single"/>
    </w:rPr>
  </w:style>
  <w:style w:type="character" w:styleId="UnresolvedMention">
    <w:name w:val="Unresolved Mention"/>
    <w:basedOn w:val="DefaultParagraphFont"/>
    <w:uiPriority w:val="99"/>
    <w:semiHidden/>
    <w:unhideWhenUsed/>
    <w:rsid w:val="004442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mmunitycare.co.uk/2011/05/20/defining-social-works-unique-contribution/" TargetMode="External"/><Relationship Id="rId18" Type="http://schemas.openxmlformats.org/officeDocument/2006/relationships/hyperlink" Target="https://gweddill.gov.wales/docs/dhss/publications/140630frameworken.pdf" TargetMode="External"/><Relationship Id="rId26" Type="http://schemas.openxmlformats.org/officeDocument/2006/relationships/image" Target="media/image4.emf"/><Relationship Id="rId3" Type="http://schemas.openxmlformats.org/officeDocument/2006/relationships/styles" Target="styles.xml"/><Relationship Id="rId21" Type="http://schemas.openxmlformats.org/officeDocument/2006/relationships/hyperlink" Target="mailto:Sarah.James4@wales.nhds.uk" TargetMode="External"/><Relationship Id="rId7" Type="http://schemas.openxmlformats.org/officeDocument/2006/relationships/endnotes" Target="endnotes.xml"/><Relationship Id="rId12" Type="http://schemas.openxmlformats.org/officeDocument/2006/relationships/hyperlink" Target="https://www.communitycare.co.uk/2016/07/14/guide-law-deprivation-liberty-children/" TargetMode="External"/><Relationship Id="rId17" Type="http://schemas.openxmlformats.org/officeDocument/2006/relationships/hyperlink" Target="https://www.scie.org.uk/safeguarding/adults/introduction/types-and-indicators-of-abuse" TargetMode="External"/><Relationship Id="rId25" Type="http://schemas.openxmlformats.org/officeDocument/2006/relationships/image" Target="media/image3.emf"/><Relationship Id="rId2" Type="http://schemas.openxmlformats.org/officeDocument/2006/relationships/numbering" Target="numbering.xml"/><Relationship Id="rId16" Type="http://schemas.openxmlformats.org/officeDocument/2006/relationships/hyperlink" Target="https://www.youtube.com/watch?v=qS-9F_qqOXo" TargetMode="External"/><Relationship Id="rId20" Type="http://schemas.openxmlformats.org/officeDocument/2006/relationships/hyperlink" Target="mailto:Les87holl@aol.co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oro.open.ac.uk/view/person/ac9995.html" TargetMode="External"/><Relationship Id="rId24"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hyperlink" Target="https://www.gov.uk/government/publications/deprivation-of-liberty-safeguards-forms-and-guidance" TargetMode="External"/><Relationship Id="rId23" Type="http://schemas.openxmlformats.org/officeDocument/2006/relationships/hyperlink" Target="mailto:Sarah.James4@wales.nhs.uk" TargetMode="External"/><Relationship Id="rId28" Type="http://schemas.openxmlformats.org/officeDocument/2006/relationships/image" Target="media/image6.emf"/><Relationship Id="rId10" Type="http://schemas.openxmlformats.org/officeDocument/2006/relationships/hyperlink" Target="https://www.oxfsn.org.uk/wp-content/uploads/2016/03/4-OxFSN-Money-Matters-2016-Ann-Craft-Trust.pdf" TargetMode="External"/><Relationship Id="rId19" Type="http://schemas.openxmlformats.org/officeDocument/2006/relationships/hyperlink" Target="https://www.womensaid.org.uk/information-support/what-is-domestic-abuse/financial-abus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bailii.org/ew/cases/EWCOP/2016/8.html" TargetMode="External"/><Relationship Id="rId14" Type="http://schemas.openxmlformats.org/officeDocument/2006/relationships/hyperlink" Target="https://www.scie.org.uk/mca/dols" TargetMode="External"/><Relationship Id="rId22" Type="http://schemas.openxmlformats.org/officeDocument/2006/relationships/hyperlink" Target="mailto:Sarah.James4@wales.nhds.uk" TargetMode="External"/><Relationship Id="rId27" Type="http://schemas.openxmlformats.org/officeDocument/2006/relationships/image" Target="media/image5.emf"/><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8F87B0-864E-4373-83A9-9D64D67D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13243</Words>
  <Characters>75486</Characters>
  <Application>Microsoft Office Word</Application>
  <DocSecurity>0</DocSecurity>
  <Lines>629</Lines>
  <Paragraphs>177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dc:description/>
  <cp:lastModifiedBy>Lesley Chambers (1811112)</cp:lastModifiedBy>
  <cp:revision>2</cp:revision>
  <cp:lastPrinted>2014-08-26T08:55:00Z</cp:lastPrinted>
  <dcterms:created xsi:type="dcterms:W3CDTF">2019-10-08T02:36:00Z</dcterms:created>
  <dcterms:modified xsi:type="dcterms:W3CDTF">2019-10-08T02:36:00Z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Powys County Council</vt:lpwstr>
  </property>
  <property fmtid="{D5CDD505-2E9C-101B-9397-08002B2CF9AE}" pid="4" name="DocSecurity">
    <vt:i4>1</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