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BB9FFA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E0B78">
              <w:rPr>
                <w:b/>
                <w:color w:val="auto"/>
                <w:sz w:val="32"/>
              </w:rPr>
              <w:t>Ryan Percival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9A0056F" w:rsidR="005A1BA3" w:rsidRDefault="00923DE7" w:rsidP="0022001B">
            <w:pPr>
              <w:overflowPunct/>
              <w:autoSpaceDE/>
              <w:autoSpaceDN/>
              <w:adjustRightInd/>
              <w:ind w:right="-330"/>
              <w:textAlignment w:val="auto"/>
              <w:rPr>
                <w:b/>
                <w:color w:val="auto"/>
                <w:sz w:val="32"/>
              </w:rPr>
            </w:pPr>
            <w:r>
              <w:rPr>
                <w:b/>
                <w:color w:val="auto"/>
                <w:sz w:val="32"/>
              </w:rPr>
              <w:t>2029800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F3FA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D29C37D" w14:textId="77777777" w:rsidR="00254CAD" w:rsidRPr="00254CAD" w:rsidRDefault="00254CAD" w:rsidP="00254CAD">
      <w:pPr>
        <w:spacing w:line="360" w:lineRule="auto"/>
        <w:rPr>
          <w:sz w:val="24"/>
          <w:szCs w:val="24"/>
        </w:rPr>
      </w:pPr>
      <w:r w:rsidRPr="00254CAD">
        <w:rPr>
          <w:sz w:val="24"/>
          <w:szCs w:val="24"/>
        </w:rPr>
        <w:t>The ability to cope effectively with stress is a requirement for personnel in any career that demands on-the-spot decisions in tense situations. Much research has taken place into the psycho-biological processes associated with resilience, as well as how resilience is gained, and stress brought about. This essay highlights my own experiences regarding how I dealt with stress and bolstered my own resilience at the very start of my career as a Constable with South Wales Police. I will be evaluating and reflecting on these experiences using such research as well as utilising reflective models, namely</w:t>
      </w:r>
      <w:r w:rsidRPr="00254CAD">
        <w:rPr>
          <w:i/>
          <w:sz w:val="24"/>
          <w:szCs w:val="24"/>
        </w:rPr>
        <w:t xml:space="preserve"> Borton’s reflective model</w:t>
      </w:r>
      <w:r w:rsidRPr="00254CAD">
        <w:rPr>
          <w:sz w:val="24"/>
          <w:szCs w:val="24"/>
        </w:rPr>
        <w:t xml:space="preserve"> </w:t>
      </w:r>
      <w:sdt>
        <w:sdtPr>
          <w:rPr>
            <w:sz w:val="24"/>
            <w:szCs w:val="24"/>
          </w:rPr>
          <w:id w:val="1445269871"/>
          <w:citation/>
        </w:sdtPr>
        <w:sdtEndPr/>
        <w:sdtContent>
          <w:r w:rsidRPr="00254CAD">
            <w:rPr>
              <w:sz w:val="24"/>
              <w:szCs w:val="24"/>
            </w:rPr>
            <w:fldChar w:fldCharType="begin"/>
          </w:r>
          <w:r w:rsidRPr="00254CAD">
            <w:rPr>
              <w:sz w:val="24"/>
              <w:szCs w:val="24"/>
            </w:rPr>
            <w:instrText xml:space="preserve"> CITATION Ter70 \l 2057 </w:instrText>
          </w:r>
          <w:r w:rsidRPr="00254CAD">
            <w:rPr>
              <w:sz w:val="24"/>
              <w:szCs w:val="24"/>
            </w:rPr>
            <w:fldChar w:fldCharType="separate"/>
          </w:r>
          <w:r w:rsidRPr="00254CAD">
            <w:rPr>
              <w:rFonts w:eastAsiaTheme="minorHAnsi"/>
              <w:noProof/>
              <w:sz w:val="24"/>
              <w:szCs w:val="24"/>
            </w:rPr>
            <w:t>(Borton, 1970)</w:t>
          </w:r>
          <w:r w:rsidRPr="00254CAD">
            <w:rPr>
              <w:sz w:val="24"/>
              <w:szCs w:val="24"/>
            </w:rPr>
            <w:fldChar w:fldCharType="end"/>
          </w:r>
        </w:sdtContent>
      </w:sdt>
      <w:r w:rsidRPr="00254CAD">
        <w:rPr>
          <w:sz w:val="24"/>
          <w:szCs w:val="24"/>
        </w:rPr>
        <w:t xml:space="preserve"> - to aid a coherent argument.</w:t>
      </w:r>
    </w:p>
    <w:p w14:paraId="463D9E9A" w14:textId="77777777" w:rsidR="00254CAD" w:rsidRPr="00254CAD" w:rsidRDefault="00254CAD" w:rsidP="00254CAD">
      <w:pPr>
        <w:spacing w:line="360" w:lineRule="auto"/>
        <w:rPr>
          <w:sz w:val="24"/>
          <w:szCs w:val="24"/>
        </w:rPr>
      </w:pPr>
    </w:p>
    <w:p w14:paraId="44FA4E17" w14:textId="77777777" w:rsidR="00254CAD" w:rsidRPr="00254CAD" w:rsidRDefault="00254CAD" w:rsidP="00254CAD">
      <w:pPr>
        <w:spacing w:line="360" w:lineRule="auto"/>
        <w:rPr>
          <w:i/>
          <w:sz w:val="24"/>
          <w:szCs w:val="24"/>
        </w:rPr>
      </w:pPr>
      <w:r w:rsidRPr="00254CAD">
        <w:rPr>
          <w:sz w:val="24"/>
          <w:szCs w:val="24"/>
        </w:rPr>
        <w:t xml:space="preserve"> Resilience is defined as “the capacity for positive adaptation in significant adversity” </w:t>
      </w:r>
      <w:sdt>
        <w:sdtPr>
          <w:rPr>
            <w:sz w:val="24"/>
            <w:szCs w:val="24"/>
          </w:rPr>
          <w:id w:val="-489173254"/>
          <w:citation/>
        </w:sdtPr>
        <w:sdtEndPr/>
        <w:sdtContent>
          <w:r w:rsidRPr="00254CAD">
            <w:rPr>
              <w:sz w:val="24"/>
              <w:szCs w:val="24"/>
            </w:rPr>
            <w:fldChar w:fldCharType="begin"/>
          </w:r>
          <w:r w:rsidRPr="00254CAD">
            <w:rPr>
              <w:sz w:val="24"/>
              <w:szCs w:val="24"/>
            </w:rPr>
            <w:instrText xml:space="preserve"> CITATION Cut21 \l 2057 </w:instrText>
          </w:r>
          <w:r w:rsidRPr="00254CAD">
            <w:rPr>
              <w:sz w:val="24"/>
              <w:szCs w:val="24"/>
            </w:rPr>
            <w:fldChar w:fldCharType="separate"/>
          </w:r>
          <w:r w:rsidRPr="00254CAD">
            <w:rPr>
              <w:rFonts w:eastAsiaTheme="minorHAnsi"/>
              <w:noProof/>
              <w:sz w:val="24"/>
              <w:szCs w:val="24"/>
            </w:rPr>
            <w:t>(Cutuli, et al., 2021)</w:t>
          </w:r>
          <w:r w:rsidRPr="00254CAD">
            <w:rPr>
              <w:sz w:val="24"/>
              <w:szCs w:val="24"/>
            </w:rPr>
            <w:fldChar w:fldCharType="end"/>
          </w:r>
        </w:sdtContent>
      </w:sdt>
      <w:r w:rsidRPr="00254CAD">
        <w:rPr>
          <w:sz w:val="24"/>
          <w:szCs w:val="24"/>
        </w:rPr>
        <w:t xml:space="preserve">, and is generally regarded as something that varies between individuals, not just in their capacity to cope with stress, but also in their perception of the qualitative resilience that one may possess. </w:t>
      </w:r>
      <w:r w:rsidRPr="00254CAD">
        <w:rPr>
          <w:i/>
          <w:sz w:val="24"/>
          <w:szCs w:val="24"/>
        </w:rPr>
        <w:t xml:space="preserve">I.e.: </w:t>
      </w:r>
      <w:r w:rsidRPr="00254CAD">
        <w:rPr>
          <w:sz w:val="24"/>
          <w:szCs w:val="24"/>
        </w:rPr>
        <w:t xml:space="preserve"> Person A may feel that they’ve coped well with a given situation due to a high resilience, but person B may feel that the situation did not require resilience, and was relatively routine. This will be down to a person’s past experiences as well as their expectations that have come about as a result of their development and cultural background – as described in </w:t>
      </w:r>
      <w:r w:rsidRPr="00254CAD">
        <w:rPr>
          <w:i/>
          <w:sz w:val="24"/>
          <w:szCs w:val="24"/>
        </w:rPr>
        <w:t>Positive Psychology in Practice:</w:t>
      </w:r>
    </w:p>
    <w:p w14:paraId="5192A185" w14:textId="77777777" w:rsidR="00254CAD" w:rsidRPr="00254CAD" w:rsidRDefault="00254CAD" w:rsidP="00254CAD">
      <w:pPr>
        <w:spacing w:line="360" w:lineRule="auto"/>
        <w:rPr>
          <w:sz w:val="24"/>
          <w:szCs w:val="24"/>
        </w:rPr>
      </w:pPr>
    </w:p>
    <w:p w14:paraId="014B4B01" w14:textId="77777777" w:rsidR="00254CAD" w:rsidRPr="00254CAD" w:rsidRDefault="00254CAD" w:rsidP="00254CAD">
      <w:pPr>
        <w:spacing w:line="360" w:lineRule="auto"/>
        <w:rPr>
          <w:sz w:val="24"/>
          <w:szCs w:val="24"/>
        </w:rPr>
      </w:pPr>
      <w:r w:rsidRPr="00254CAD">
        <w:rPr>
          <w:i/>
          <w:sz w:val="24"/>
          <w:szCs w:val="24"/>
        </w:rPr>
        <w:t>“Resilience is dynamic; it emerges from many interactions within and between systems in a given cultural, developmental, and historical context that collectively influence the capacity of an individual system to adapt successfully to challenge.”</w:t>
      </w:r>
      <w:r w:rsidRPr="00254CAD">
        <w:rPr>
          <w:sz w:val="24"/>
          <w:szCs w:val="24"/>
        </w:rPr>
        <w:t xml:space="preserve"> </w:t>
      </w:r>
      <w:sdt>
        <w:sdtPr>
          <w:rPr>
            <w:sz w:val="24"/>
            <w:szCs w:val="24"/>
          </w:rPr>
          <w:id w:val="-1339385198"/>
          <w:citation/>
        </w:sdtPr>
        <w:sdtEndPr/>
        <w:sdtContent>
          <w:r w:rsidRPr="00254CAD">
            <w:rPr>
              <w:sz w:val="24"/>
              <w:szCs w:val="24"/>
            </w:rPr>
            <w:fldChar w:fldCharType="begin"/>
          </w:r>
          <w:r w:rsidRPr="00254CAD">
            <w:rPr>
              <w:sz w:val="24"/>
              <w:szCs w:val="24"/>
            </w:rPr>
            <w:instrText xml:space="preserve"> CITATION Yat15 \l 2057 </w:instrText>
          </w:r>
          <w:r w:rsidRPr="00254CAD">
            <w:rPr>
              <w:sz w:val="24"/>
              <w:szCs w:val="24"/>
            </w:rPr>
            <w:fldChar w:fldCharType="separate"/>
          </w:r>
          <w:r w:rsidRPr="00254CAD">
            <w:rPr>
              <w:rFonts w:eastAsiaTheme="minorHAnsi"/>
              <w:noProof/>
              <w:sz w:val="24"/>
              <w:szCs w:val="24"/>
            </w:rPr>
            <w:t>(Yates, et al., 2015)</w:t>
          </w:r>
          <w:r w:rsidRPr="00254CAD">
            <w:rPr>
              <w:sz w:val="24"/>
              <w:szCs w:val="24"/>
            </w:rPr>
            <w:fldChar w:fldCharType="end"/>
          </w:r>
        </w:sdtContent>
      </w:sdt>
    </w:p>
    <w:p w14:paraId="4089171E" w14:textId="77777777" w:rsidR="00254CAD" w:rsidRPr="00254CAD" w:rsidRDefault="00254CAD" w:rsidP="00254CAD">
      <w:pPr>
        <w:spacing w:line="360" w:lineRule="auto"/>
        <w:rPr>
          <w:sz w:val="24"/>
          <w:szCs w:val="24"/>
        </w:rPr>
      </w:pPr>
    </w:p>
    <w:p w14:paraId="6648A4C0" w14:textId="77777777" w:rsidR="00254CAD" w:rsidRPr="00254CAD" w:rsidRDefault="00254CAD" w:rsidP="00254CAD">
      <w:pPr>
        <w:spacing w:line="360" w:lineRule="auto"/>
        <w:rPr>
          <w:sz w:val="24"/>
          <w:szCs w:val="24"/>
        </w:rPr>
      </w:pPr>
      <w:r w:rsidRPr="00254CAD">
        <w:rPr>
          <w:sz w:val="24"/>
          <w:szCs w:val="24"/>
        </w:rPr>
        <w:t>This shows that resilience can be built up (</w:t>
      </w:r>
      <w:r w:rsidRPr="00254CAD">
        <w:rPr>
          <w:i/>
          <w:sz w:val="24"/>
          <w:szCs w:val="24"/>
        </w:rPr>
        <w:t>or even lost</w:t>
      </w:r>
      <w:r w:rsidRPr="00254CAD">
        <w:rPr>
          <w:sz w:val="24"/>
          <w:szCs w:val="24"/>
        </w:rPr>
        <w:t xml:space="preserve">) through our interactions with each other as a culture. How others react our own actions taken in the face of adversity, and </w:t>
      </w:r>
      <w:r w:rsidRPr="00254CAD">
        <w:rPr>
          <w:i/>
          <w:sz w:val="24"/>
          <w:szCs w:val="24"/>
        </w:rPr>
        <w:t>vice versa,</w:t>
      </w:r>
      <w:r w:rsidRPr="00254CAD">
        <w:rPr>
          <w:sz w:val="24"/>
          <w:szCs w:val="24"/>
        </w:rPr>
        <w:t xml:space="preserve"> can help to bolster our capacity to adapt positively in future encounters. This lays the foundation for what I argue is, above all, the vital reason for my initial building of resilience to what was an entirely alien work environment, with new tasks and vast amounts of information to learn, as well as my ongoing building of rigidity to hardships faced in policing. The </w:t>
      </w:r>
      <w:r w:rsidRPr="00254CAD">
        <w:rPr>
          <w:i/>
          <w:sz w:val="24"/>
          <w:szCs w:val="24"/>
        </w:rPr>
        <w:t xml:space="preserve">workplace culture. </w:t>
      </w:r>
      <w:r w:rsidRPr="00254CAD">
        <w:rPr>
          <w:sz w:val="24"/>
          <w:szCs w:val="24"/>
        </w:rPr>
        <w:t xml:space="preserve">Strong links have been formed between friendship and the degree of one’s resilience </w:t>
      </w:r>
      <w:sdt>
        <w:sdtPr>
          <w:rPr>
            <w:sz w:val="24"/>
            <w:szCs w:val="24"/>
          </w:rPr>
          <w:id w:val="1255098301"/>
          <w:citation/>
        </w:sdtPr>
        <w:sdtEndPr/>
        <w:sdtContent>
          <w:r w:rsidRPr="00254CAD">
            <w:rPr>
              <w:sz w:val="24"/>
              <w:szCs w:val="24"/>
            </w:rPr>
            <w:fldChar w:fldCharType="begin"/>
          </w:r>
          <w:r w:rsidRPr="00254CAD">
            <w:rPr>
              <w:sz w:val="24"/>
              <w:szCs w:val="24"/>
            </w:rPr>
            <w:instrText xml:space="preserve">CITATION Ela11 \l 2057 </w:instrText>
          </w:r>
          <w:r w:rsidRPr="00254CAD">
            <w:rPr>
              <w:sz w:val="24"/>
              <w:szCs w:val="24"/>
            </w:rPr>
            <w:fldChar w:fldCharType="separate"/>
          </w:r>
          <w:r w:rsidRPr="00254CAD">
            <w:rPr>
              <w:rFonts w:eastAsiaTheme="minorHAnsi"/>
              <w:noProof/>
              <w:sz w:val="24"/>
              <w:szCs w:val="24"/>
            </w:rPr>
            <w:t>(Hejazi, 2011)</w:t>
          </w:r>
          <w:r w:rsidRPr="00254CAD">
            <w:rPr>
              <w:sz w:val="24"/>
              <w:szCs w:val="24"/>
            </w:rPr>
            <w:fldChar w:fldCharType="end"/>
          </w:r>
        </w:sdtContent>
      </w:sdt>
      <w:r w:rsidRPr="00254CAD">
        <w:rPr>
          <w:sz w:val="24"/>
          <w:szCs w:val="24"/>
        </w:rPr>
        <w:t xml:space="preserve">, and I can attribute my colleagues (who I later considered friends) and their supportive actions and reactions, and the </w:t>
      </w:r>
      <w:r w:rsidRPr="00254CAD">
        <w:rPr>
          <w:i/>
          <w:sz w:val="24"/>
          <w:szCs w:val="24"/>
        </w:rPr>
        <w:t>culture</w:t>
      </w:r>
      <w:r w:rsidRPr="00254CAD">
        <w:rPr>
          <w:sz w:val="24"/>
          <w:szCs w:val="24"/>
        </w:rPr>
        <w:t xml:space="preserve"> that had formed as a result of this to my own early acclimatisation to stress, and its subsequent release. </w:t>
      </w:r>
    </w:p>
    <w:p w14:paraId="0BE550AA" w14:textId="77777777" w:rsidR="00254CAD" w:rsidRPr="00254CAD" w:rsidRDefault="00254CAD" w:rsidP="00254CAD">
      <w:pPr>
        <w:spacing w:line="360" w:lineRule="auto"/>
        <w:rPr>
          <w:sz w:val="24"/>
          <w:szCs w:val="24"/>
        </w:rPr>
      </w:pPr>
    </w:p>
    <w:p w14:paraId="77544759" w14:textId="4D78122B" w:rsidR="00254CAD" w:rsidRPr="00254CAD" w:rsidRDefault="00254CAD" w:rsidP="00254CAD">
      <w:pPr>
        <w:spacing w:line="360" w:lineRule="auto"/>
        <w:rPr>
          <w:sz w:val="24"/>
          <w:szCs w:val="24"/>
        </w:rPr>
      </w:pPr>
      <w:r w:rsidRPr="00254CAD">
        <w:rPr>
          <w:sz w:val="24"/>
          <w:szCs w:val="24"/>
        </w:rPr>
        <w:t xml:space="preserve">Such situations that support this hypothesis </w:t>
      </w:r>
      <w:r w:rsidR="00E64AA1">
        <w:rPr>
          <w:sz w:val="24"/>
          <w:szCs w:val="24"/>
        </w:rPr>
        <w:t xml:space="preserve">involve </w:t>
      </w:r>
      <w:r w:rsidRPr="00254CAD">
        <w:rPr>
          <w:sz w:val="24"/>
          <w:szCs w:val="24"/>
        </w:rPr>
        <w:t xml:space="preserve">how initial anxieties were validated and allayed gradually through the course progression. A specific example arises when particular difficulty was had in my delayed understanding of the intricacies of a seemingly simple topic. Explanations from tutors and peers didn’t seem to help anything </w:t>
      </w:r>
      <w:r w:rsidRPr="00254CAD">
        <w:rPr>
          <w:i/>
          <w:sz w:val="24"/>
          <w:szCs w:val="24"/>
        </w:rPr>
        <w:t>click</w:t>
      </w:r>
      <w:r w:rsidRPr="00254CAD">
        <w:rPr>
          <w:sz w:val="24"/>
          <w:szCs w:val="24"/>
        </w:rPr>
        <w:t xml:space="preserve">. This, I felt, brought about considerable stress and inhibited my ability to study effectively. A cohesive environment, however, both in person and virtually through group chats had allowed me to feel that I had a great deal of support from my colleagues. A coping strategy of discussing not necessarily the afflicting topic, but my own and any participants fears around not fully understanding it was established. Coping strategies, such as this are “behaviours employed to satisfy a taxing or unfavourable scenario or in changing one's response to such a scenario” </w:t>
      </w:r>
      <w:sdt>
        <w:sdtPr>
          <w:rPr>
            <w:sz w:val="24"/>
            <w:szCs w:val="24"/>
          </w:rPr>
          <w:id w:val="1464458915"/>
          <w:citation/>
        </w:sdtPr>
        <w:sdtEndPr/>
        <w:sdtContent>
          <w:r w:rsidRPr="00254CAD">
            <w:rPr>
              <w:sz w:val="24"/>
              <w:szCs w:val="24"/>
            </w:rPr>
            <w:fldChar w:fldCharType="begin"/>
          </w:r>
          <w:r w:rsidRPr="00254CAD">
            <w:rPr>
              <w:sz w:val="24"/>
              <w:szCs w:val="24"/>
            </w:rPr>
            <w:instrText xml:space="preserve"> CITATION Pam13 \l 2057 </w:instrText>
          </w:r>
          <w:r w:rsidRPr="00254CAD">
            <w:rPr>
              <w:sz w:val="24"/>
              <w:szCs w:val="24"/>
            </w:rPr>
            <w:fldChar w:fldCharType="separate"/>
          </w:r>
          <w:r w:rsidRPr="00254CAD">
            <w:rPr>
              <w:rFonts w:eastAsiaTheme="minorHAnsi"/>
              <w:noProof/>
              <w:sz w:val="24"/>
              <w:szCs w:val="24"/>
            </w:rPr>
            <w:t>(MS, 2013)</w:t>
          </w:r>
          <w:r w:rsidRPr="00254CAD">
            <w:rPr>
              <w:sz w:val="24"/>
              <w:szCs w:val="24"/>
            </w:rPr>
            <w:fldChar w:fldCharType="end"/>
          </w:r>
        </w:sdtContent>
      </w:sdt>
      <w:r w:rsidRPr="00254CAD">
        <w:rPr>
          <w:sz w:val="24"/>
          <w:szCs w:val="24"/>
        </w:rPr>
        <w:t xml:space="preserve"> – and had evolved from simple discussions to establishing a routine of checking in on each other, to affording ourselves down-time in the form of regular meet-ups. </w:t>
      </w:r>
    </w:p>
    <w:p w14:paraId="77420702" w14:textId="77777777" w:rsidR="00254CAD" w:rsidRPr="00254CAD" w:rsidRDefault="00254CAD" w:rsidP="00254CAD">
      <w:pPr>
        <w:spacing w:line="360" w:lineRule="auto"/>
        <w:rPr>
          <w:sz w:val="24"/>
          <w:szCs w:val="24"/>
        </w:rPr>
      </w:pPr>
    </w:p>
    <w:p w14:paraId="3B13C44C" w14:textId="77777777" w:rsidR="00254CAD" w:rsidRPr="00254CAD" w:rsidRDefault="00254CAD" w:rsidP="00254CAD">
      <w:pPr>
        <w:spacing w:line="360" w:lineRule="auto"/>
        <w:rPr>
          <w:sz w:val="24"/>
          <w:szCs w:val="24"/>
        </w:rPr>
      </w:pPr>
      <w:r w:rsidRPr="00254CAD">
        <w:rPr>
          <w:sz w:val="24"/>
          <w:szCs w:val="24"/>
        </w:rPr>
        <w:t xml:space="preserve">In opposition, consideration should be given to how far friendship alone had provided a suitable platform for stress release and coping. An argument could be raised that it wasn’t the presence of a friendship, but indeed simply the act of talking through issues that allowed me to reduce my anxiety. Indeed, merely talking about stress with peers in the workplace is a proven way to reduce this stress when taken in a socially acceptable manner </w:t>
      </w:r>
      <w:sdt>
        <w:sdtPr>
          <w:rPr>
            <w:sz w:val="24"/>
            <w:szCs w:val="24"/>
          </w:rPr>
          <w:id w:val="-382247353"/>
          <w:citation/>
        </w:sdtPr>
        <w:sdtEndPr/>
        <w:sdtContent>
          <w:r w:rsidRPr="00254CAD">
            <w:rPr>
              <w:sz w:val="24"/>
              <w:szCs w:val="24"/>
            </w:rPr>
            <w:fldChar w:fldCharType="begin"/>
          </w:r>
          <w:r w:rsidRPr="00254CAD">
            <w:rPr>
              <w:sz w:val="24"/>
              <w:szCs w:val="24"/>
            </w:rPr>
            <w:instrText xml:space="preserve"> CITATION Har07 \l 2057 </w:instrText>
          </w:r>
          <w:r w:rsidRPr="00254CAD">
            <w:rPr>
              <w:sz w:val="24"/>
              <w:szCs w:val="24"/>
            </w:rPr>
            <w:fldChar w:fldCharType="separate"/>
          </w:r>
          <w:r w:rsidRPr="00254CAD">
            <w:rPr>
              <w:rFonts w:eastAsiaTheme="minorHAnsi"/>
              <w:noProof/>
              <w:sz w:val="24"/>
              <w:szCs w:val="24"/>
            </w:rPr>
            <w:t>(Harkness, et al., 2007)</w:t>
          </w:r>
          <w:r w:rsidRPr="00254CAD">
            <w:rPr>
              <w:sz w:val="24"/>
              <w:szCs w:val="24"/>
            </w:rPr>
            <w:fldChar w:fldCharType="end"/>
          </w:r>
        </w:sdtContent>
      </w:sdt>
      <w:r w:rsidRPr="00254CAD">
        <w:rPr>
          <w:sz w:val="24"/>
          <w:szCs w:val="24"/>
        </w:rPr>
        <w:t xml:space="preserve">. In mitigation, however, sterile </w:t>
      </w:r>
      <w:r w:rsidRPr="00254CAD">
        <w:rPr>
          <w:sz w:val="24"/>
          <w:szCs w:val="24"/>
        </w:rPr>
        <w:lastRenderedPageBreak/>
        <w:t xml:space="preserve">workplace relationships would allow for a lesser degree of socialisation and adoption of a more easily granted home-work balance – which in itself is a keystone in establishing resilience </w:t>
      </w:r>
      <w:sdt>
        <w:sdtPr>
          <w:rPr>
            <w:sz w:val="24"/>
            <w:szCs w:val="24"/>
          </w:rPr>
          <w:id w:val="966091279"/>
          <w:citation/>
        </w:sdtPr>
        <w:sdtEndPr/>
        <w:sdtContent>
          <w:r w:rsidRPr="00254CAD">
            <w:rPr>
              <w:sz w:val="24"/>
              <w:szCs w:val="24"/>
            </w:rPr>
            <w:fldChar w:fldCharType="begin"/>
          </w:r>
          <w:r w:rsidRPr="00254CAD">
            <w:rPr>
              <w:sz w:val="24"/>
              <w:szCs w:val="24"/>
            </w:rPr>
            <w:instrText xml:space="preserve"> CITATION DAr20 \l 2057 </w:instrText>
          </w:r>
          <w:r w:rsidRPr="00254CAD">
            <w:rPr>
              <w:sz w:val="24"/>
              <w:szCs w:val="24"/>
            </w:rPr>
            <w:fldChar w:fldCharType="separate"/>
          </w:r>
          <w:r w:rsidRPr="00254CAD">
            <w:rPr>
              <w:rFonts w:eastAsiaTheme="minorHAnsi"/>
              <w:noProof/>
              <w:sz w:val="24"/>
              <w:szCs w:val="24"/>
            </w:rPr>
            <w:t>(D'Arcy-Jones, 2020)</w:t>
          </w:r>
          <w:r w:rsidRPr="00254CAD">
            <w:rPr>
              <w:sz w:val="24"/>
              <w:szCs w:val="24"/>
            </w:rPr>
            <w:fldChar w:fldCharType="end"/>
          </w:r>
        </w:sdtContent>
      </w:sdt>
      <w:r w:rsidRPr="00254CAD">
        <w:rPr>
          <w:sz w:val="24"/>
          <w:szCs w:val="24"/>
        </w:rPr>
        <w:t xml:space="preserve">.  In future, benefit could be seen from continuing this trend with friends, and pushing to establish a new culture of openness and discussion with new colleagues. Considerations will be needed for existing workplace cultures, as well as increasing incidences of shared experiences with individuals and groups, which can provide a stable foundation for, as well as fortify friendships.  </w:t>
      </w:r>
      <w:sdt>
        <w:sdtPr>
          <w:rPr>
            <w:sz w:val="24"/>
            <w:szCs w:val="24"/>
          </w:rPr>
          <w:id w:val="-1507742320"/>
          <w:citation/>
        </w:sdtPr>
        <w:sdtEndPr/>
        <w:sdtContent>
          <w:r w:rsidRPr="00254CAD">
            <w:rPr>
              <w:sz w:val="24"/>
              <w:szCs w:val="24"/>
            </w:rPr>
            <w:fldChar w:fldCharType="begin"/>
          </w:r>
          <w:r w:rsidRPr="00254CAD">
            <w:rPr>
              <w:sz w:val="24"/>
              <w:szCs w:val="24"/>
            </w:rPr>
            <w:instrText xml:space="preserve"> CITATION Coc98 \l 2057 </w:instrText>
          </w:r>
          <w:r w:rsidRPr="00254CAD">
            <w:rPr>
              <w:sz w:val="24"/>
              <w:szCs w:val="24"/>
            </w:rPr>
            <w:fldChar w:fldCharType="separate"/>
          </w:r>
          <w:r w:rsidRPr="00254CAD">
            <w:rPr>
              <w:rFonts w:eastAsiaTheme="minorHAnsi"/>
              <w:noProof/>
              <w:sz w:val="24"/>
              <w:szCs w:val="24"/>
            </w:rPr>
            <w:t>(Cocking &amp; Kennett, 1998)</w:t>
          </w:r>
          <w:r w:rsidRPr="00254CAD">
            <w:rPr>
              <w:sz w:val="24"/>
              <w:szCs w:val="24"/>
            </w:rPr>
            <w:fldChar w:fldCharType="end"/>
          </w:r>
        </w:sdtContent>
      </w:sdt>
      <w:r w:rsidRPr="00254CAD">
        <w:rPr>
          <w:sz w:val="24"/>
          <w:szCs w:val="24"/>
        </w:rPr>
        <w:t xml:space="preserve">. </w:t>
      </w:r>
    </w:p>
    <w:p w14:paraId="005E7918" w14:textId="77777777" w:rsidR="00254CAD" w:rsidRPr="00254CAD" w:rsidRDefault="00254CAD" w:rsidP="00254CAD">
      <w:pPr>
        <w:spacing w:line="360" w:lineRule="auto"/>
        <w:rPr>
          <w:sz w:val="24"/>
          <w:szCs w:val="24"/>
        </w:rPr>
      </w:pPr>
    </w:p>
    <w:p w14:paraId="43584D42" w14:textId="1C0E00E0" w:rsidR="00254CAD" w:rsidRPr="00254CAD" w:rsidRDefault="00254CAD" w:rsidP="00254CAD">
      <w:pPr>
        <w:spacing w:line="360" w:lineRule="auto"/>
        <w:rPr>
          <w:sz w:val="24"/>
          <w:szCs w:val="24"/>
        </w:rPr>
      </w:pPr>
      <w:r w:rsidRPr="00254CAD">
        <w:rPr>
          <w:sz w:val="24"/>
          <w:szCs w:val="24"/>
        </w:rPr>
        <w:t xml:space="preserve">In a related vein, the friendship afforded by my close working proximity to my peers had allowed a renewed interest in exercise. This was brought about by the need for fitness to be attained and maintained whilst serving in the Police, and flourished with discussion of exercise techniques and routines with peers, and later </w:t>
      </w:r>
      <w:r w:rsidR="00E64AA1">
        <w:rPr>
          <w:sz w:val="24"/>
          <w:szCs w:val="24"/>
        </w:rPr>
        <w:t>in</w:t>
      </w:r>
      <w:r w:rsidRPr="00254CAD">
        <w:rPr>
          <w:sz w:val="24"/>
          <w:szCs w:val="24"/>
        </w:rPr>
        <w:t xml:space="preserve"> friendly competition with members of the friendship group via running apps, such as </w:t>
      </w:r>
      <w:r w:rsidRPr="00254CAD">
        <w:rPr>
          <w:i/>
          <w:sz w:val="24"/>
          <w:szCs w:val="24"/>
        </w:rPr>
        <w:t>Strava</w:t>
      </w:r>
      <w:r w:rsidRPr="00254CAD">
        <w:rPr>
          <w:sz w:val="24"/>
          <w:szCs w:val="24"/>
        </w:rPr>
        <w:t>. Thereby birthing a new coping strategy in the arsenal against stress. In her article on workplace resilience, D’Arcy-Jones lists aerobic exercise as one of the many ways to boost resilience and reduce stress, along with eating healthily and keeping hydrated</w:t>
      </w:r>
      <w:sdt>
        <w:sdtPr>
          <w:rPr>
            <w:sz w:val="24"/>
            <w:szCs w:val="24"/>
          </w:rPr>
          <w:id w:val="1252625612"/>
          <w:citation/>
        </w:sdtPr>
        <w:sdtEndPr/>
        <w:sdtContent>
          <w:r w:rsidRPr="00254CAD">
            <w:rPr>
              <w:sz w:val="24"/>
              <w:szCs w:val="24"/>
            </w:rPr>
            <w:fldChar w:fldCharType="begin"/>
          </w:r>
          <w:r w:rsidRPr="00254CAD">
            <w:rPr>
              <w:sz w:val="24"/>
              <w:szCs w:val="24"/>
            </w:rPr>
            <w:instrText xml:space="preserve"> CITATION DAr20 \l 2057 </w:instrText>
          </w:r>
          <w:r w:rsidRPr="00254CAD">
            <w:rPr>
              <w:sz w:val="24"/>
              <w:szCs w:val="24"/>
            </w:rPr>
            <w:fldChar w:fldCharType="separate"/>
          </w:r>
          <w:r w:rsidRPr="00254CAD">
            <w:rPr>
              <w:noProof/>
              <w:sz w:val="24"/>
              <w:szCs w:val="24"/>
            </w:rPr>
            <w:t xml:space="preserve"> </w:t>
          </w:r>
          <w:r w:rsidRPr="00254CAD">
            <w:rPr>
              <w:rFonts w:eastAsiaTheme="minorHAnsi"/>
              <w:noProof/>
              <w:sz w:val="24"/>
              <w:szCs w:val="24"/>
            </w:rPr>
            <w:t>(D'Arcy-Jones, 2020)</w:t>
          </w:r>
          <w:r w:rsidRPr="00254CAD">
            <w:rPr>
              <w:sz w:val="24"/>
              <w:szCs w:val="24"/>
            </w:rPr>
            <w:fldChar w:fldCharType="end"/>
          </w:r>
        </w:sdtContent>
      </w:sdt>
      <w:r w:rsidRPr="00254CAD">
        <w:rPr>
          <w:sz w:val="24"/>
          <w:szCs w:val="24"/>
        </w:rPr>
        <w:t>. This is backed up by Childs and de Wit in their 2014 study, “habitual physical activity is associated with stress resilience”</w:t>
      </w:r>
      <w:sdt>
        <w:sdtPr>
          <w:rPr>
            <w:sz w:val="24"/>
            <w:szCs w:val="24"/>
          </w:rPr>
          <w:id w:val="582032986"/>
          <w:citation/>
        </w:sdtPr>
        <w:sdtEndPr/>
        <w:sdtContent>
          <w:r w:rsidRPr="00254CAD">
            <w:rPr>
              <w:sz w:val="24"/>
              <w:szCs w:val="24"/>
            </w:rPr>
            <w:fldChar w:fldCharType="begin"/>
          </w:r>
          <w:r w:rsidRPr="00254CAD">
            <w:rPr>
              <w:sz w:val="24"/>
              <w:szCs w:val="24"/>
            </w:rPr>
            <w:instrText xml:space="preserve"> CITATION Chi14 \l 2057 </w:instrText>
          </w:r>
          <w:r w:rsidRPr="00254CAD">
            <w:rPr>
              <w:sz w:val="24"/>
              <w:szCs w:val="24"/>
            </w:rPr>
            <w:fldChar w:fldCharType="separate"/>
          </w:r>
          <w:r w:rsidRPr="00254CAD">
            <w:rPr>
              <w:noProof/>
              <w:sz w:val="24"/>
              <w:szCs w:val="24"/>
            </w:rPr>
            <w:t xml:space="preserve"> </w:t>
          </w:r>
          <w:r w:rsidRPr="00254CAD">
            <w:rPr>
              <w:rFonts w:eastAsiaTheme="minorHAnsi"/>
              <w:noProof/>
              <w:sz w:val="24"/>
              <w:szCs w:val="24"/>
            </w:rPr>
            <w:t>(Childs &amp; de Wit, 2014)</w:t>
          </w:r>
          <w:r w:rsidRPr="00254CAD">
            <w:rPr>
              <w:sz w:val="24"/>
              <w:szCs w:val="24"/>
            </w:rPr>
            <w:fldChar w:fldCharType="end"/>
          </w:r>
        </w:sdtContent>
      </w:sdt>
      <w:r w:rsidRPr="00254CAD">
        <w:rPr>
          <w:sz w:val="24"/>
          <w:szCs w:val="24"/>
        </w:rPr>
        <w:t xml:space="preserve">. </w:t>
      </w:r>
    </w:p>
    <w:p w14:paraId="2D98B804" w14:textId="77777777" w:rsidR="00254CAD" w:rsidRPr="00254CAD" w:rsidRDefault="00254CAD" w:rsidP="00254CAD">
      <w:pPr>
        <w:spacing w:line="360" w:lineRule="auto"/>
        <w:rPr>
          <w:sz w:val="24"/>
          <w:szCs w:val="24"/>
        </w:rPr>
      </w:pPr>
    </w:p>
    <w:p w14:paraId="56D84DEA" w14:textId="77777777" w:rsidR="00254CAD" w:rsidRPr="00254CAD" w:rsidRDefault="00254CAD" w:rsidP="00254CAD">
      <w:pPr>
        <w:spacing w:line="360" w:lineRule="auto"/>
        <w:rPr>
          <w:sz w:val="24"/>
          <w:szCs w:val="24"/>
        </w:rPr>
      </w:pPr>
      <w:r w:rsidRPr="00254CAD">
        <w:rPr>
          <w:sz w:val="24"/>
          <w:szCs w:val="24"/>
        </w:rPr>
        <w:t xml:space="preserve">For me, exercise was undoubtedly useful in coping with tough days in the classroom, and remains extremely important for me in my working day-to-day life, especially when utilised as a more immediate way of unwinding and stepping-back versus socialisation. </w:t>
      </w:r>
    </w:p>
    <w:p w14:paraId="4331E964" w14:textId="77777777" w:rsidR="00254CAD" w:rsidRPr="00254CAD" w:rsidRDefault="00254CAD" w:rsidP="00254CAD">
      <w:pPr>
        <w:spacing w:line="360" w:lineRule="auto"/>
        <w:rPr>
          <w:sz w:val="24"/>
          <w:szCs w:val="24"/>
        </w:rPr>
      </w:pPr>
    </w:p>
    <w:p w14:paraId="6CD383EE" w14:textId="77777777" w:rsidR="00254CAD" w:rsidRPr="00254CAD" w:rsidRDefault="00254CAD" w:rsidP="00254CAD">
      <w:pPr>
        <w:spacing w:line="360" w:lineRule="auto"/>
        <w:rPr>
          <w:sz w:val="24"/>
          <w:szCs w:val="24"/>
        </w:rPr>
      </w:pPr>
      <w:r w:rsidRPr="00254CAD">
        <w:rPr>
          <w:sz w:val="24"/>
          <w:szCs w:val="24"/>
        </w:rPr>
        <w:t>Taken together, I argue that friendship established through shared stresses and experiences, along with strengthening activities within those friendships, particularly activities that involve or promote cardiovascular exercise can form a strong foundation on which to develop resilience and reduce stress associated with work. Moving forward, it will be essential to make and maintain friendships (whilst maintaining professionalism), as well as maintain this good exercise – and it will be interesting to see how exercise and workplace bonds correspond and interact with one another.</w:t>
      </w:r>
    </w:p>
    <w:p w14:paraId="0979432A" w14:textId="77777777" w:rsidR="00254CAD" w:rsidRPr="00254CAD" w:rsidRDefault="00254CAD" w:rsidP="00254CAD">
      <w:pPr>
        <w:spacing w:line="360" w:lineRule="auto"/>
        <w:rPr>
          <w:sz w:val="24"/>
          <w:szCs w:val="24"/>
        </w:rPr>
      </w:pPr>
    </w:p>
    <w:p w14:paraId="0590AAF8" w14:textId="687C07A3" w:rsidR="00FF7784" w:rsidRPr="000C6D2A" w:rsidRDefault="00254CAD" w:rsidP="000C6D2A">
      <w:pPr>
        <w:spacing w:line="360" w:lineRule="auto"/>
        <w:rPr>
          <w:i/>
          <w:sz w:val="24"/>
          <w:szCs w:val="24"/>
        </w:rPr>
      </w:pPr>
      <w:r w:rsidRPr="00254CAD">
        <w:rPr>
          <w:i/>
          <w:sz w:val="24"/>
          <w:szCs w:val="24"/>
        </w:rPr>
        <w:t>Word Count: 1017.</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074C6544" w14:textId="77777777" w:rsidR="000C6D2A" w:rsidRPr="000C6D2A" w:rsidRDefault="000C6D2A" w:rsidP="000C6D2A">
      <w:pPr>
        <w:spacing w:line="360" w:lineRule="auto"/>
        <w:rPr>
          <w:sz w:val="24"/>
          <w:szCs w:val="24"/>
        </w:rPr>
      </w:pPr>
      <w:r w:rsidRPr="000C6D2A">
        <w:rPr>
          <w:sz w:val="24"/>
          <w:szCs w:val="24"/>
        </w:rPr>
        <w:t>In this essay I will be critically assessing my involvement in a policing incident, wherein a male had committed criminal damage against items of property owned by his mother and his sister. I will outline the social contexts of this incident, as well as illustrate how my understanding of the relevant legislation, and knowledge of codes of ethics and practice was applied in this situation. I will also be looking at how my communication with the suspect helped to establish a good rapport, minimise further conflict, and negated my need to use further force against the detained person. In order to properly assess this, I will utilise Gibb’s reflective model – whereby my feelings toward and evaluation of the event will aid in rolling reflective conclusions and development of a final action plan.</w:t>
      </w:r>
    </w:p>
    <w:p w14:paraId="18D5A571" w14:textId="77777777" w:rsidR="000C6D2A" w:rsidRPr="000C6D2A" w:rsidRDefault="000C6D2A" w:rsidP="000C6D2A">
      <w:pPr>
        <w:spacing w:line="360" w:lineRule="auto"/>
        <w:rPr>
          <w:sz w:val="24"/>
          <w:szCs w:val="24"/>
        </w:rPr>
      </w:pPr>
    </w:p>
    <w:p w14:paraId="57389B51" w14:textId="77777777" w:rsidR="000C6D2A" w:rsidRPr="000C6D2A" w:rsidRDefault="000C6D2A" w:rsidP="000C6D2A">
      <w:pPr>
        <w:spacing w:line="360" w:lineRule="auto"/>
        <w:rPr>
          <w:sz w:val="24"/>
          <w:szCs w:val="24"/>
        </w:rPr>
      </w:pPr>
      <w:r w:rsidRPr="000C6D2A">
        <w:rPr>
          <w:sz w:val="24"/>
          <w:szCs w:val="24"/>
        </w:rPr>
        <w:lastRenderedPageBreak/>
        <w:t>In context, a call had come in requiring our attendance at an address where the RP had reported that her brother had become verbally abusive, had damaged several pieces of property in the house, and had tried to harm himself (superficially) with a sharp object. On arrival, RP and her mother were outside, and briefly explained what had happened – that her brother had broken her bed, and damaged her mother’s work uniform, light switch and front door. We enquired as to the extent of the disclosed self-harm, and it was deemed by the RP as superficial, and a regular occurrence – and had likely happened with a sharp piece of china.</w:t>
      </w:r>
    </w:p>
    <w:p w14:paraId="31AB6644" w14:textId="77777777" w:rsidR="000C6D2A" w:rsidRPr="000C6D2A" w:rsidRDefault="000C6D2A" w:rsidP="000C6D2A">
      <w:pPr>
        <w:spacing w:line="360" w:lineRule="auto"/>
        <w:rPr>
          <w:sz w:val="24"/>
          <w:szCs w:val="24"/>
        </w:rPr>
      </w:pPr>
    </w:p>
    <w:p w14:paraId="177F1180" w14:textId="77777777" w:rsidR="000C6D2A" w:rsidRPr="000C6D2A" w:rsidRDefault="000C6D2A" w:rsidP="000C6D2A">
      <w:pPr>
        <w:spacing w:line="360" w:lineRule="auto"/>
        <w:rPr>
          <w:sz w:val="24"/>
          <w:szCs w:val="24"/>
        </w:rPr>
      </w:pPr>
      <w:r w:rsidRPr="000C6D2A">
        <w:rPr>
          <w:sz w:val="24"/>
          <w:szCs w:val="24"/>
        </w:rPr>
        <w:t xml:space="preserve">Whilst talking, a male had come out of the front door of the property, shouting to himself and swearing – along the lines of “this is ridiculous”. Due to the information received that the suspect had at one time in his possession a sharp object, and because the suspect was now in the publicly accessible street, I deemed it proportionate, lawful and necessary to detain him for the purposes of a stop search, under S.1 PACE </w:t>
      </w:r>
      <w:sdt>
        <w:sdtPr>
          <w:rPr>
            <w:sz w:val="24"/>
            <w:szCs w:val="24"/>
          </w:rPr>
          <w:id w:val="-585069472"/>
          <w:citation/>
        </w:sdtPr>
        <w:sdtContent>
          <w:r w:rsidRPr="000C6D2A">
            <w:rPr>
              <w:sz w:val="24"/>
              <w:szCs w:val="24"/>
            </w:rPr>
            <w:fldChar w:fldCharType="begin"/>
          </w:r>
          <w:r w:rsidRPr="000C6D2A">
            <w:rPr>
              <w:sz w:val="24"/>
              <w:szCs w:val="24"/>
            </w:rPr>
            <w:instrText xml:space="preserve">CITATION UKP84 \l 2057 </w:instrText>
          </w:r>
          <w:r w:rsidRPr="000C6D2A">
            <w:rPr>
              <w:sz w:val="24"/>
              <w:szCs w:val="24"/>
            </w:rPr>
            <w:fldChar w:fldCharType="separate"/>
          </w:r>
          <w:r w:rsidRPr="000C6D2A">
            <w:rPr>
              <w:rFonts w:eastAsiaTheme="minorHAnsi"/>
              <w:noProof/>
              <w:sz w:val="24"/>
              <w:szCs w:val="24"/>
            </w:rPr>
            <w:t>(legislation.gov.uk, S.1, PACE 1984)</w:t>
          </w:r>
          <w:r w:rsidRPr="000C6D2A">
            <w:rPr>
              <w:sz w:val="24"/>
              <w:szCs w:val="24"/>
            </w:rPr>
            <w:fldChar w:fldCharType="end"/>
          </w:r>
        </w:sdtContent>
      </w:sdt>
      <w:r w:rsidRPr="000C6D2A">
        <w:rPr>
          <w:sz w:val="24"/>
          <w:szCs w:val="24"/>
        </w:rPr>
        <w:t xml:space="preserve">. </w:t>
      </w:r>
    </w:p>
    <w:p w14:paraId="00CF2A54" w14:textId="77777777" w:rsidR="000C6D2A" w:rsidRPr="000C6D2A" w:rsidRDefault="000C6D2A" w:rsidP="000C6D2A">
      <w:pPr>
        <w:spacing w:line="360" w:lineRule="auto"/>
        <w:rPr>
          <w:sz w:val="24"/>
          <w:szCs w:val="24"/>
        </w:rPr>
      </w:pPr>
    </w:p>
    <w:p w14:paraId="26978F4A" w14:textId="77777777" w:rsidR="000C6D2A" w:rsidRPr="000C6D2A" w:rsidRDefault="000C6D2A" w:rsidP="000C6D2A">
      <w:pPr>
        <w:spacing w:line="360" w:lineRule="auto"/>
        <w:rPr>
          <w:sz w:val="24"/>
          <w:szCs w:val="24"/>
        </w:rPr>
      </w:pPr>
      <w:r w:rsidRPr="000C6D2A">
        <w:rPr>
          <w:sz w:val="24"/>
          <w:szCs w:val="24"/>
        </w:rPr>
        <w:t xml:space="preserve">The male was initially passively resistant. Verbal commands to ‘come over here mate, let’s chat’ went ignored, and I held the arm of the man lightly, but with control – to guide him over to the back of the van where a stop-search could safely take place promptly. </w:t>
      </w:r>
    </w:p>
    <w:p w14:paraId="1F60DB42" w14:textId="77777777" w:rsidR="000C6D2A" w:rsidRPr="000C6D2A" w:rsidRDefault="000C6D2A" w:rsidP="000C6D2A">
      <w:pPr>
        <w:spacing w:line="360" w:lineRule="auto"/>
        <w:rPr>
          <w:sz w:val="24"/>
          <w:szCs w:val="24"/>
        </w:rPr>
      </w:pPr>
    </w:p>
    <w:p w14:paraId="61C83BFE" w14:textId="77777777" w:rsidR="000C6D2A" w:rsidRPr="000C6D2A" w:rsidRDefault="000C6D2A" w:rsidP="000C6D2A">
      <w:pPr>
        <w:spacing w:line="360" w:lineRule="auto"/>
        <w:rPr>
          <w:sz w:val="24"/>
          <w:szCs w:val="24"/>
        </w:rPr>
      </w:pPr>
      <w:r w:rsidRPr="000C6D2A">
        <w:rPr>
          <w:sz w:val="24"/>
          <w:szCs w:val="24"/>
        </w:rPr>
        <w:t xml:space="preserve">I felt at the time that this was the minimum amount of force necessary for compliance, and in reflection I maintain this. In utilising this small amount of force, I considered how my behaviour and attitude might be perceived by the suspect, and how this might affect his attitude, and therefore his behaviour (aggressive, passive, or compliant), as outlined by Betari’s box model </w:t>
      </w:r>
      <w:sdt>
        <w:sdtPr>
          <w:rPr>
            <w:sz w:val="24"/>
            <w:szCs w:val="24"/>
          </w:rPr>
          <w:id w:val="1265498780"/>
          <w:citation/>
        </w:sdtPr>
        <w:sdtContent>
          <w:r w:rsidRPr="000C6D2A">
            <w:rPr>
              <w:sz w:val="24"/>
              <w:szCs w:val="24"/>
            </w:rPr>
            <w:fldChar w:fldCharType="begin"/>
          </w:r>
          <w:r w:rsidRPr="000C6D2A">
            <w:rPr>
              <w:sz w:val="24"/>
              <w:szCs w:val="24"/>
            </w:rPr>
            <w:instrText xml:space="preserve"> CITATION Col13 \l 2057 </w:instrText>
          </w:r>
          <w:r w:rsidRPr="000C6D2A">
            <w:rPr>
              <w:sz w:val="24"/>
              <w:szCs w:val="24"/>
            </w:rPr>
            <w:fldChar w:fldCharType="separate"/>
          </w:r>
          <w:r w:rsidRPr="000C6D2A">
            <w:rPr>
              <w:rFonts w:eastAsiaTheme="minorHAnsi"/>
              <w:noProof/>
              <w:sz w:val="24"/>
              <w:szCs w:val="24"/>
            </w:rPr>
            <w:t>(College of Policing, 2013)</w:t>
          </w:r>
          <w:r w:rsidRPr="000C6D2A">
            <w:rPr>
              <w:sz w:val="24"/>
              <w:szCs w:val="24"/>
            </w:rPr>
            <w:fldChar w:fldCharType="end"/>
          </w:r>
        </w:sdtContent>
      </w:sdt>
      <w:r w:rsidRPr="000C6D2A">
        <w:rPr>
          <w:sz w:val="24"/>
          <w:szCs w:val="24"/>
        </w:rPr>
        <w:t>. I acknowledge that by commanding the situation, showing that I wanted to engage verbally, but would use physical methods if needed – that the male was encouraged to behave in a more compliant manner. I determined that he was presenting himself in a non-confrontational manner and adjusted my own behaviour accordingly.</w:t>
      </w:r>
    </w:p>
    <w:p w14:paraId="59B26CA1" w14:textId="77777777" w:rsidR="000C6D2A" w:rsidRPr="000C6D2A" w:rsidRDefault="000C6D2A" w:rsidP="000C6D2A">
      <w:pPr>
        <w:spacing w:line="360" w:lineRule="auto"/>
        <w:rPr>
          <w:sz w:val="24"/>
          <w:szCs w:val="24"/>
        </w:rPr>
      </w:pPr>
    </w:p>
    <w:p w14:paraId="2CFE4D7B" w14:textId="77777777" w:rsidR="000C6D2A" w:rsidRPr="000C6D2A" w:rsidRDefault="000C6D2A" w:rsidP="000C6D2A">
      <w:pPr>
        <w:spacing w:line="360" w:lineRule="auto"/>
        <w:rPr>
          <w:sz w:val="24"/>
          <w:szCs w:val="24"/>
        </w:rPr>
      </w:pPr>
      <w:r w:rsidRPr="000C6D2A">
        <w:rPr>
          <w:sz w:val="24"/>
          <w:szCs w:val="24"/>
        </w:rPr>
        <w:t xml:space="preserve">In the presence of my colleague, the stop search was conducted. I felt that as the male was now more complaint, and my colleague available to keep watch – handcuffs were not necessary to conduct the search safely. On an operational note, </w:t>
      </w:r>
      <w:r w:rsidRPr="000C6D2A">
        <w:rPr>
          <w:sz w:val="24"/>
          <w:szCs w:val="24"/>
        </w:rPr>
        <w:lastRenderedPageBreak/>
        <w:t xml:space="preserve">this was my first stop-search, and had performed the GOWISELY process, but had forgotten to state the station to which I was attached. Luckily, I was prompted by my tutor and the search was performed legally in compliance with PACE Code A </w:t>
      </w:r>
      <w:sdt>
        <w:sdtPr>
          <w:rPr>
            <w:sz w:val="24"/>
            <w:szCs w:val="24"/>
          </w:rPr>
          <w:id w:val="606236666"/>
          <w:citation/>
        </w:sdtPr>
        <w:sdtContent>
          <w:r w:rsidRPr="000C6D2A">
            <w:rPr>
              <w:sz w:val="24"/>
              <w:szCs w:val="24"/>
            </w:rPr>
            <w:fldChar w:fldCharType="begin"/>
          </w:r>
          <w:r w:rsidRPr="000C6D2A">
            <w:rPr>
              <w:sz w:val="24"/>
              <w:szCs w:val="24"/>
            </w:rPr>
            <w:instrText xml:space="preserve"> CITATION Hom15 \l 2057 </w:instrText>
          </w:r>
          <w:r w:rsidRPr="000C6D2A">
            <w:rPr>
              <w:sz w:val="24"/>
              <w:szCs w:val="24"/>
            </w:rPr>
            <w:fldChar w:fldCharType="separate"/>
          </w:r>
          <w:r w:rsidRPr="000C6D2A">
            <w:rPr>
              <w:rFonts w:eastAsiaTheme="minorHAnsi"/>
              <w:noProof/>
              <w:sz w:val="24"/>
              <w:szCs w:val="24"/>
            </w:rPr>
            <w:t>(Home Office, 2015)</w:t>
          </w:r>
          <w:r w:rsidRPr="000C6D2A">
            <w:rPr>
              <w:sz w:val="24"/>
              <w:szCs w:val="24"/>
            </w:rPr>
            <w:fldChar w:fldCharType="end"/>
          </w:r>
        </w:sdtContent>
      </w:sdt>
      <w:r w:rsidRPr="000C6D2A">
        <w:rPr>
          <w:sz w:val="24"/>
          <w:szCs w:val="24"/>
        </w:rPr>
        <w:t xml:space="preserve">, with nothing of note found on him. </w:t>
      </w:r>
    </w:p>
    <w:p w14:paraId="32EF3E3A" w14:textId="77777777" w:rsidR="000C6D2A" w:rsidRPr="000C6D2A" w:rsidRDefault="000C6D2A" w:rsidP="000C6D2A">
      <w:pPr>
        <w:spacing w:line="360" w:lineRule="auto"/>
        <w:rPr>
          <w:sz w:val="24"/>
          <w:szCs w:val="24"/>
        </w:rPr>
      </w:pPr>
    </w:p>
    <w:p w14:paraId="1F33090B" w14:textId="77777777" w:rsidR="000C6D2A" w:rsidRPr="000C6D2A" w:rsidRDefault="000C6D2A" w:rsidP="000C6D2A">
      <w:pPr>
        <w:spacing w:line="360" w:lineRule="auto"/>
        <w:rPr>
          <w:sz w:val="24"/>
          <w:szCs w:val="24"/>
        </w:rPr>
      </w:pPr>
      <w:r w:rsidRPr="000C6D2A">
        <w:rPr>
          <w:sz w:val="24"/>
          <w:szCs w:val="24"/>
        </w:rPr>
        <w:t xml:space="preserve">Whilst the search and the following initial conversation was ongoing, it should be noted that the male was compliant with officers, but occasionally shouting loose threats loudly directed at his by then absent sister and mother. In order to gain an understanding of the events that had been reported, the suspect was placed in the back of the van, and the door closed. In hindsight, I do not believe that this was the best course of action – as although there </w:t>
      </w:r>
      <w:r w:rsidRPr="000C6D2A">
        <w:rPr>
          <w:i/>
          <w:iCs/>
          <w:sz w:val="24"/>
          <w:szCs w:val="24"/>
        </w:rPr>
        <w:t>were</w:t>
      </w:r>
      <w:r w:rsidRPr="000C6D2A">
        <w:rPr>
          <w:sz w:val="24"/>
          <w:szCs w:val="24"/>
        </w:rPr>
        <w:t xml:space="preserve"> grounds to detain the person to prevent a breach of the peace </w:t>
      </w:r>
      <w:sdt>
        <w:sdtPr>
          <w:rPr>
            <w:sz w:val="24"/>
            <w:szCs w:val="24"/>
          </w:rPr>
          <w:id w:val="555897423"/>
          <w:citation/>
        </w:sdtPr>
        <w:sdtContent>
          <w:r w:rsidRPr="000C6D2A">
            <w:rPr>
              <w:sz w:val="24"/>
              <w:szCs w:val="24"/>
            </w:rPr>
            <w:fldChar w:fldCharType="begin"/>
          </w:r>
          <w:r w:rsidRPr="000C6D2A">
            <w:rPr>
              <w:sz w:val="24"/>
              <w:szCs w:val="24"/>
            </w:rPr>
            <w:instrText xml:space="preserve"> CITATION Col131 \l 2057 </w:instrText>
          </w:r>
          <w:r w:rsidRPr="000C6D2A">
            <w:rPr>
              <w:sz w:val="24"/>
              <w:szCs w:val="24"/>
            </w:rPr>
            <w:fldChar w:fldCharType="separate"/>
          </w:r>
          <w:r w:rsidRPr="000C6D2A">
            <w:rPr>
              <w:rFonts w:eastAsiaTheme="minorHAnsi"/>
              <w:noProof/>
              <w:sz w:val="24"/>
              <w:szCs w:val="24"/>
            </w:rPr>
            <w:t>(College of Policing, 2013)</w:t>
          </w:r>
          <w:r w:rsidRPr="000C6D2A">
            <w:rPr>
              <w:sz w:val="24"/>
              <w:szCs w:val="24"/>
            </w:rPr>
            <w:fldChar w:fldCharType="end"/>
          </w:r>
        </w:sdtContent>
      </w:sdt>
      <w:r w:rsidRPr="000C6D2A">
        <w:rPr>
          <w:sz w:val="24"/>
          <w:szCs w:val="24"/>
        </w:rPr>
        <w:t xml:space="preserve">, this grey-area could have been avoided by initially arresting for </w:t>
      </w:r>
      <w:r w:rsidRPr="000C6D2A">
        <w:rPr>
          <w:i/>
          <w:iCs/>
          <w:sz w:val="24"/>
          <w:szCs w:val="24"/>
        </w:rPr>
        <w:t>suspected</w:t>
      </w:r>
      <w:r w:rsidRPr="000C6D2A">
        <w:rPr>
          <w:sz w:val="24"/>
          <w:szCs w:val="24"/>
        </w:rPr>
        <w:t xml:space="preserve"> criminal damage (based on the information received beforehand, I had reasonable grounds to suspect an offence had taken place) and conducting the search via S. 32 PACE </w:t>
      </w:r>
      <w:sdt>
        <w:sdtPr>
          <w:rPr>
            <w:sz w:val="24"/>
            <w:szCs w:val="24"/>
          </w:rPr>
          <w:id w:val="-557703170"/>
          <w:citation/>
        </w:sdtPr>
        <w:sdtContent>
          <w:r w:rsidRPr="000C6D2A">
            <w:rPr>
              <w:sz w:val="24"/>
              <w:szCs w:val="24"/>
            </w:rPr>
            <w:fldChar w:fldCharType="begin"/>
          </w:r>
          <w:r w:rsidRPr="000C6D2A">
            <w:rPr>
              <w:sz w:val="24"/>
              <w:szCs w:val="24"/>
            </w:rPr>
            <w:instrText xml:space="preserve"> CITATION leg841 \l 2057 </w:instrText>
          </w:r>
          <w:r w:rsidRPr="000C6D2A">
            <w:rPr>
              <w:sz w:val="24"/>
              <w:szCs w:val="24"/>
            </w:rPr>
            <w:fldChar w:fldCharType="separate"/>
          </w:r>
          <w:r w:rsidRPr="000C6D2A">
            <w:rPr>
              <w:rFonts w:eastAsiaTheme="minorHAnsi"/>
              <w:noProof/>
              <w:sz w:val="24"/>
              <w:szCs w:val="24"/>
            </w:rPr>
            <w:t>(legislation.gov.uk, S.24, PACE 1984)</w:t>
          </w:r>
          <w:r w:rsidRPr="000C6D2A">
            <w:rPr>
              <w:sz w:val="24"/>
              <w:szCs w:val="24"/>
            </w:rPr>
            <w:fldChar w:fldCharType="end"/>
          </w:r>
        </w:sdtContent>
      </w:sdt>
      <w:r w:rsidRPr="000C6D2A">
        <w:rPr>
          <w:sz w:val="24"/>
          <w:szCs w:val="24"/>
        </w:rPr>
        <w:t xml:space="preserve"> </w:t>
      </w:r>
      <w:sdt>
        <w:sdtPr>
          <w:rPr>
            <w:sz w:val="24"/>
            <w:szCs w:val="24"/>
          </w:rPr>
          <w:id w:val="-1330057082"/>
          <w:citation/>
        </w:sdtPr>
        <w:sdtContent>
          <w:r w:rsidRPr="000C6D2A">
            <w:rPr>
              <w:sz w:val="24"/>
              <w:szCs w:val="24"/>
            </w:rPr>
            <w:fldChar w:fldCharType="begin"/>
          </w:r>
          <w:r w:rsidRPr="000C6D2A">
            <w:rPr>
              <w:sz w:val="24"/>
              <w:szCs w:val="24"/>
            </w:rPr>
            <w:instrText xml:space="preserve">CITATION leg84 \l 2057 </w:instrText>
          </w:r>
          <w:r w:rsidRPr="000C6D2A">
            <w:rPr>
              <w:sz w:val="24"/>
              <w:szCs w:val="24"/>
            </w:rPr>
            <w:fldChar w:fldCharType="separate"/>
          </w:r>
          <w:r w:rsidRPr="000C6D2A">
            <w:rPr>
              <w:rFonts w:eastAsiaTheme="minorHAnsi"/>
              <w:noProof/>
              <w:sz w:val="24"/>
              <w:szCs w:val="24"/>
            </w:rPr>
            <w:t>(legislation.gov.uk, S.32, PACE 1984)</w:t>
          </w:r>
          <w:r w:rsidRPr="000C6D2A">
            <w:rPr>
              <w:sz w:val="24"/>
              <w:szCs w:val="24"/>
            </w:rPr>
            <w:fldChar w:fldCharType="end"/>
          </w:r>
        </w:sdtContent>
      </w:sdt>
      <w:r w:rsidRPr="000C6D2A">
        <w:rPr>
          <w:sz w:val="24"/>
          <w:szCs w:val="24"/>
        </w:rPr>
        <w:t xml:space="preserve">. </w:t>
      </w:r>
    </w:p>
    <w:p w14:paraId="03EEB9E6" w14:textId="77777777" w:rsidR="000C6D2A" w:rsidRPr="000C6D2A" w:rsidRDefault="000C6D2A" w:rsidP="000C6D2A">
      <w:pPr>
        <w:spacing w:line="360" w:lineRule="auto"/>
        <w:rPr>
          <w:sz w:val="24"/>
          <w:szCs w:val="24"/>
        </w:rPr>
      </w:pPr>
    </w:p>
    <w:p w14:paraId="785E6A4B" w14:textId="77777777" w:rsidR="000C6D2A" w:rsidRPr="000C6D2A" w:rsidRDefault="000C6D2A" w:rsidP="000C6D2A">
      <w:pPr>
        <w:spacing w:line="360" w:lineRule="auto"/>
        <w:rPr>
          <w:sz w:val="24"/>
          <w:szCs w:val="24"/>
        </w:rPr>
      </w:pPr>
      <w:r w:rsidRPr="000C6D2A">
        <w:rPr>
          <w:sz w:val="24"/>
          <w:szCs w:val="24"/>
        </w:rPr>
        <w:t>I remained with the detained person outside, whilst my tutor went inside the house to gain further information and assess the damage to property. I had the feeling that this man wanted to open up, but perhaps felt he could not. In an attempt to gauge how he might act, I asked him how he felt at that moment in time, and he said he felt sad, and irritated that he was in the van – a blunt and short response but still a sign of engagement, and completely understandable.</w:t>
      </w:r>
    </w:p>
    <w:p w14:paraId="5920B2DC" w14:textId="77777777" w:rsidR="000C6D2A" w:rsidRPr="000C6D2A" w:rsidRDefault="000C6D2A" w:rsidP="000C6D2A">
      <w:pPr>
        <w:spacing w:line="360" w:lineRule="auto"/>
        <w:rPr>
          <w:sz w:val="24"/>
          <w:szCs w:val="24"/>
        </w:rPr>
      </w:pPr>
    </w:p>
    <w:p w14:paraId="567A8640" w14:textId="77777777" w:rsidR="000C6D2A" w:rsidRPr="000C6D2A" w:rsidRDefault="000C6D2A" w:rsidP="000C6D2A">
      <w:pPr>
        <w:spacing w:line="360" w:lineRule="auto"/>
        <w:rPr>
          <w:sz w:val="24"/>
          <w:szCs w:val="24"/>
        </w:rPr>
      </w:pPr>
      <w:r w:rsidRPr="000C6D2A">
        <w:rPr>
          <w:sz w:val="24"/>
          <w:szCs w:val="24"/>
        </w:rPr>
        <w:t xml:space="preserve"> I employed an empathetic stance, adopting the view that a such a closed environment might only exacerbate feelings of anxiety. In giving the ability of choice to him, asking for his engagement in exchange for an opened door, I opened a proverbial doorway for engagement. After an on-the-spot risk assessment deemed it safe, I opened the door of the cell – allowing face-to-face contact and a better perceived bond. In doing so, I believe that I had prioritised a more empathetic stance – one that adjusted the dynamic of the conversation in a way that gave a more level playing field for mutual understanding – a view backed up by his thanking me, and for “understanding” him, and a stance that research suggests is beneficial for both sides </w:t>
      </w:r>
      <w:sdt>
        <w:sdtPr>
          <w:rPr>
            <w:sz w:val="24"/>
            <w:szCs w:val="24"/>
          </w:rPr>
          <w:id w:val="1796878418"/>
          <w:citation/>
        </w:sdtPr>
        <w:sdtContent>
          <w:r w:rsidRPr="000C6D2A">
            <w:rPr>
              <w:sz w:val="24"/>
              <w:szCs w:val="24"/>
            </w:rPr>
            <w:fldChar w:fldCharType="begin"/>
          </w:r>
          <w:r w:rsidRPr="000C6D2A">
            <w:rPr>
              <w:sz w:val="24"/>
              <w:szCs w:val="24"/>
            </w:rPr>
            <w:instrText xml:space="preserve"> CITATION Fre85 \l 2057 </w:instrText>
          </w:r>
          <w:r w:rsidRPr="000C6D2A">
            <w:rPr>
              <w:sz w:val="24"/>
              <w:szCs w:val="24"/>
            </w:rPr>
            <w:fldChar w:fldCharType="separate"/>
          </w:r>
          <w:r w:rsidRPr="000C6D2A">
            <w:rPr>
              <w:rFonts w:eastAsiaTheme="minorHAnsi"/>
              <w:noProof/>
              <w:sz w:val="24"/>
              <w:szCs w:val="24"/>
            </w:rPr>
            <w:t>(Frei, 1985)</w:t>
          </w:r>
          <w:r w:rsidRPr="000C6D2A">
            <w:rPr>
              <w:sz w:val="24"/>
              <w:szCs w:val="24"/>
            </w:rPr>
            <w:fldChar w:fldCharType="end"/>
          </w:r>
        </w:sdtContent>
      </w:sdt>
      <w:r w:rsidRPr="000C6D2A">
        <w:rPr>
          <w:sz w:val="24"/>
          <w:szCs w:val="24"/>
        </w:rPr>
        <w:t>.</w:t>
      </w:r>
    </w:p>
    <w:p w14:paraId="357D2768" w14:textId="77777777" w:rsidR="000C6D2A" w:rsidRPr="000C6D2A" w:rsidRDefault="000C6D2A" w:rsidP="000C6D2A">
      <w:pPr>
        <w:spacing w:line="360" w:lineRule="auto"/>
        <w:rPr>
          <w:sz w:val="24"/>
          <w:szCs w:val="24"/>
        </w:rPr>
      </w:pPr>
    </w:p>
    <w:p w14:paraId="1D5D98AD" w14:textId="77777777" w:rsidR="000C6D2A" w:rsidRPr="000C6D2A" w:rsidRDefault="000C6D2A" w:rsidP="000C6D2A">
      <w:pPr>
        <w:spacing w:line="360" w:lineRule="auto"/>
        <w:rPr>
          <w:sz w:val="24"/>
          <w:szCs w:val="24"/>
        </w:rPr>
      </w:pPr>
      <w:r w:rsidRPr="000C6D2A">
        <w:rPr>
          <w:sz w:val="24"/>
          <w:szCs w:val="24"/>
        </w:rPr>
        <w:t xml:space="preserve">In the now open conversation, I asked him questions about his life, his daughter, his hobbies and past jobs – such questions can reveal a degree of shared experiences – which can fortify a relationship </w:t>
      </w:r>
      <w:sdt>
        <w:sdtPr>
          <w:rPr>
            <w:sz w:val="24"/>
            <w:szCs w:val="24"/>
          </w:rPr>
          <w:id w:val="-836772758"/>
          <w:citation/>
        </w:sdtPr>
        <w:sdtContent>
          <w:r w:rsidRPr="000C6D2A">
            <w:rPr>
              <w:sz w:val="24"/>
              <w:szCs w:val="24"/>
            </w:rPr>
            <w:fldChar w:fldCharType="begin"/>
          </w:r>
          <w:r w:rsidRPr="000C6D2A">
            <w:rPr>
              <w:sz w:val="24"/>
              <w:szCs w:val="24"/>
            </w:rPr>
            <w:instrText xml:space="preserve"> CITATION Coc98 \l 2057 </w:instrText>
          </w:r>
          <w:r w:rsidRPr="000C6D2A">
            <w:rPr>
              <w:sz w:val="24"/>
              <w:szCs w:val="24"/>
            </w:rPr>
            <w:fldChar w:fldCharType="separate"/>
          </w:r>
          <w:r w:rsidRPr="000C6D2A">
            <w:rPr>
              <w:rFonts w:eastAsiaTheme="minorHAnsi"/>
              <w:noProof/>
              <w:sz w:val="24"/>
              <w:szCs w:val="24"/>
            </w:rPr>
            <w:t>(Cocking &amp; Kennett, 1998)</w:t>
          </w:r>
          <w:r w:rsidRPr="000C6D2A">
            <w:rPr>
              <w:sz w:val="24"/>
              <w:szCs w:val="24"/>
            </w:rPr>
            <w:fldChar w:fldCharType="end"/>
          </w:r>
        </w:sdtContent>
      </w:sdt>
      <w:r w:rsidRPr="000C6D2A">
        <w:rPr>
          <w:sz w:val="24"/>
          <w:szCs w:val="24"/>
        </w:rPr>
        <w:t xml:space="preserve">. I showed an understanding throughout, and employed tactics from MOREPIES model, which is used to show active listening and engagement. </w:t>
      </w:r>
      <w:sdt>
        <w:sdtPr>
          <w:rPr>
            <w:sz w:val="24"/>
            <w:szCs w:val="24"/>
          </w:rPr>
          <w:id w:val="-1846093424"/>
          <w:citation/>
        </w:sdtPr>
        <w:sdtContent>
          <w:r w:rsidRPr="000C6D2A">
            <w:rPr>
              <w:sz w:val="24"/>
              <w:szCs w:val="24"/>
            </w:rPr>
            <w:fldChar w:fldCharType="begin"/>
          </w:r>
          <w:r w:rsidRPr="000C6D2A">
            <w:rPr>
              <w:sz w:val="24"/>
              <w:szCs w:val="24"/>
            </w:rPr>
            <w:instrText xml:space="preserve"> CITATION Zai15 \l 2057 </w:instrText>
          </w:r>
          <w:r w:rsidRPr="000C6D2A">
            <w:rPr>
              <w:sz w:val="24"/>
              <w:szCs w:val="24"/>
            </w:rPr>
            <w:fldChar w:fldCharType="separate"/>
          </w:r>
          <w:r w:rsidRPr="000C6D2A">
            <w:rPr>
              <w:rFonts w:eastAsiaTheme="minorHAnsi"/>
              <w:noProof/>
              <w:sz w:val="24"/>
              <w:szCs w:val="24"/>
            </w:rPr>
            <w:t>(Zaiser, et al., 2015)</w:t>
          </w:r>
          <w:r w:rsidRPr="000C6D2A">
            <w:rPr>
              <w:sz w:val="24"/>
              <w:szCs w:val="24"/>
            </w:rPr>
            <w:fldChar w:fldCharType="end"/>
          </w:r>
        </w:sdtContent>
      </w:sdt>
      <w:r w:rsidRPr="000C6D2A">
        <w:rPr>
          <w:sz w:val="24"/>
          <w:szCs w:val="24"/>
        </w:rPr>
        <w:t>. He said he’d had a previous encounter with the police where he was put in handcuffs immediately, and felt like he wasn’t being listened to – and that he had lashed out at the officer who arrested him. I thanked him for opening up, and for talking calmly. I asked him (being mindful not to interview) with regards to his current mental health. He slowly opened up, over a period of around half an hour in total– and said that he acts up to get attention, because he felt that nobody understands him. The man said he had struggled with depression, ADHD and dyslexia which had contributed to him struggling to find a job, and had fallen asleep on the sofa whilst job-searching. His mother found him sleeping, and, out of her own frustration punched him to the ribs and face.  He said he was embarrassed by this, but in this disclosure, he had informed me of a crime that had taken place against him. I told him of his rights as a potential victim, but he explained that he did not want to press charges against his mother. He said that he gets frustrated as much as her, and the damage he caused is illustrative of that.</w:t>
      </w:r>
    </w:p>
    <w:p w14:paraId="2AB6DACC" w14:textId="77777777" w:rsidR="000C6D2A" w:rsidRPr="000C6D2A" w:rsidRDefault="000C6D2A" w:rsidP="000C6D2A">
      <w:pPr>
        <w:spacing w:line="360" w:lineRule="auto"/>
        <w:rPr>
          <w:sz w:val="24"/>
          <w:szCs w:val="24"/>
        </w:rPr>
      </w:pPr>
    </w:p>
    <w:p w14:paraId="43F4958E" w14:textId="77777777" w:rsidR="000C6D2A" w:rsidRPr="000C6D2A" w:rsidRDefault="000C6D2A" w:rsidP="000C6D2A">
      <w:pPr>
        <w:spacing w:line="360" w:lineRule="auto"/>
        <w:rPr>
          <w:sz w:val="24"/>
          <w:szCs w:val="24"/>
        </w:rPr>
      </w:pPr>
      <w:r w:rsidRPr="000C6D2A">
        <w:rPr>
          <w:sz w:val="24"/>
          <w:szCs w:val="24"/>
        </w:rPr>
        <w:t xml:space="preserve"> I relayed this information to my colleague, who acknowledged this and in turn he confirmed the extent of the criminal damage. I explained to the male that I’d have to have to arrest him, but that he would be looked after in custody and he might have some time to cool down. I then followed proper procedure. At the time of writing this essay, the mother is due to be interviewed by voluntary attendance for her role in assaulting her son. </w:t>
      </w:r>
    </w:p>
    <w:p w14:paraId="191A5370" w14:textId="77777777" w:rsidR="000C6D2A" w:rsidRPr="000C6D2A" w:rsidRDefault="000C6D2A" w:rsidP="000C6D2A">
      <w:pPr>
        <w:spacing w:line="360" w:lineRule="auto"/>
        <w:rPr>
          <w:sz w:val="24"/>
          <w:szCs w:val="24"/>
        </w:rPr>
      </w:pPr>
    </w:p>
    <w:p w14:paraId="21FFA3EA" w14:textId="77777777" w:rsidR="000C6D2A" w:rsidRPr="000C6D2A" w:rsidRDefault="000C6D2A" w:rsidP="000C6D2A">
      <w:pPr>
        <w:spacing w:line="360" w:lineRule="auto"/>
        <w:rPr>
          <w:sz w:val="24"/>
          <w:szCs w:val="24"/>
        </w:rPr>
      </w:pPr>
      <w:r w:rsidRPr="000C6D2A">
        <w:rPr>
          <w:sz w:val="24"/>
          <w:szCs w:val="24"/>
        </w:rPr>
        <w:t xml:space="preserve">With reference to Betari’s cycle, I believe that his engagement stemmed as a result of an apparent approachability on my behalf, however, I do not conclude that the role of the suspect in his (moderately) quick adoption of compliance should be understated in influencing </w:t>
      </w:r>
      <w:r w:rsidRPr="000C6D2A">
        <w:rPr>
          <w:i/>
          <w:iCs/>
          <w:sz w:val="24"/>
          <w:szCs w:val="24"/>
        </w:rPr>
        <w:t>my</w:t>
      </w:r>
      <w:r w:rsidRPr="000C6D2A">
        <w:rPr>
          <w:sz w:val="24"/>
          <w:szCs w:val="24"/>
        </w:rPr>
        <w:t xml:space="preserve"> actions toward him. In short, his </w:t>
      </w:r>
      <w:r w:rsidRPr="000C6D2A">
        <w:rPr>
          <w:i/>
          <w:iCs/>
          <w:sz w:val="24"/>
          <w:szCs w:val="24"/>
        </w:rPr>
        <w:t>desire</w:t>
      </w:r>
      <w:r w:rsidRPr="000C6D2A">
        <w:rPr>
          <w:sz w:val="24"/>
          <w:szCs w:val="24"/>
        </w:rPr>
        <w:t xml:space="preserve"> to engage, and subsequent comfort in doing so potentially encouraged his swift progression and compliance.</w:t>
      </w:r>
    </w:p>
    <w:p w14:paraId="674012A2" w14:textId="77777777" w:rsidR="000C6D2A" w:rsidRPr="000C6D2A" w:rsidRDefault="000C6D2A" w:rsidP="000C6D2A">
      <w:pPr>
        <w:spacing w:line="360" w:lineRule="auto"/>
        <w:rPr>
          <w:sz w:val="24"/>
          <w:szCs w:val="24"/>
        </w:rPr>
      </w:pPr>
    </w:p>
    <w:p w14:paraId="2017CDC2" w14:textId="77777777" w:rsidR="000C6D2A" w:rsidRPr="000C6D2A" w:rsidRDefault="000C6D2A" w:rsidP="000C6D2A">
      <w:pPr>
        <w:spacing w:line="360" w:lineRule="auto"/>
        <w:rPr>
          <w:sz w:val="24"/>
          <w:szCs w:val="24"/>
        </w:rPr>
      </w:pPr>
      <w:r w:rsidRPr="000C6D2A">
        <w:rPr>
          <w:sz w:val="24"/>
          <w:szCs w:val="24"/>
        </w:rPr>
        <w:t xml:space="preserve">Building a rapport is a great technique for gaining trust in the divulgence of information. This is supported by the college of policing in the context of evidence gathering and interviewing only </w:t>
      </w:r>
      <w:sdt>
        <w:sdtPr>
          <w:rPr>
            <w:sz w:val="24"/>
            <w:szCs w:val="24"/>
          </w:rPr>
          <w:id w:val="307136103"/>
          <w:citation/>
        </w:sdtPr>
        <w:sdtContent>
          <w:r w:rsidRPr="000C6D2A">
            <w:rPr>
              <w:sz w:val="24"/>
              <w:szCs w:val="24"/>
            </w:rPr>
            <w:fldChar w:fldCharType="begin"/>
          </w:r>
          <w:r w:rsidRPr="000C6D2A">
            <w:rPr>
              <w:sz w:val="24"/>
              <w:szCs w:val="24"/>
            </w:rPr>
            <w:instrText xml:space="preserve"> CITATION Col20 \l 2057 </w:instrText>
          </w:r>
          <w:r w:rsidRPr="000C6D2A">
            <w:rPr>
              <w:sz w:val="24"/>
              <w:szCs w:val="24"/>
            </w:rPr>
            <w:fldChar w:fldCharType="separate"/>
          </w:r>
          <w:r w:rsidRPr="000C6D2A">
            <w:rPr>
              <w:rFonts w:eastAsiaTheme="minorHAnsi"/>
              <w:noProof/>
              <w:sz w:val="24"/>
              <w:szCs w:val="24"/>
            </w:rPr>
            <w:t>(College of Policing, 2020)</w:t>
          </w:r>
          <w:r w:rsidRPr="000C6D2A">
            <w:rPr>
              <w:sz w:val="24"/>
              <w:szCs w:val="24"/>
            </w:rPr>
            <w:fldChar w:fldCharType="end"/>
          </w:r>
        </w:sdtContent>
      </w:sdt>
      <w:r w:rsidRPr="000C6D2A">
        <w:rPr>
          <w:sz w:val="24"/>
          <w:szCs w:val="24"/>
        </w:rPr>
        <w:t xml:space="preserve">, however research does suggest that a good rapport gained through a friendly demeanour (the “good stranger” approach) helps to gain free-will compliance much more effectively than any compliance gained through coercion or physical suppression </w:t>
      </w:r>
      <w:sdt>
        <w:sdtPr>
          <w:rPr>
            <w:sz w:val="24"/>
            <w:szCs w:val="24"/>
          </w:rPr>
          <w:id w:val="931406283"/>
          <w:citation/>
        </w:sdtPr>
        <w:sdtContent>
          <w:r w:rsidRPr="000C6D2A">
            <w:rPr>
              <w:sz w:val="24"/>
              <w:szCs w:val="24"/>
            </w:rPr>
            <w:fldChar w:fldCharType="begin"/>
          </w:r>
          <w:r w:rsidRPr="000C6D2A">
            <w:rPr>
              <w:sz w:val="24"/>
              <w:szCs w:val="24"/>
            </w:rPr>
            <w:instrText xml:space="preserve"> CITATION Kle15 \l 2057 </w:instrText>
          </w:r>
          <w:r w:rsidRPr="000C6D2A">
            <w:rPr>
              <w:sz w:val="24"/>
              <w:szCs w:val="24"/>
            </w:rPr>
            <w:fldChar w:fldCharType="separate"/>
          </w:r>
          <w:r w:rsidRPr="000C6D2A">
            <w:rPr>
              <w:rFonts w:eastAsiaTheme="minorHAnsi"/>
              <w:noProof/>
              <w:sz w:val="24"/>
              <w:szCs w:val="24"/>
            </w:rPr>
            <w:t>(Klein, et al., 2015)</w:t>
          </w:r>
          <w:r w:rsidRPr="000C6D2A">
            <w:rPr>
              <w:sz w:val="24"/>
              <w:szCs w:val="24"/>
            </w:rPr>
            <w:fldChar w:fldCharType="end"/>
          </w:r>
        </w:sdtContent>
      </w:sdt>
      <w:r w:rsidRPr="000C6D2A">
        <w:rPr>
          <w:sz w:val="24"/>
          <w:szCs w:val="24"/>
        </w:rPr>
        <w:t>. This level of rapport is established, in my view, by engaging simple human communication and an empathetic stance.</w:t>
      </w:r>
    </w:p>
    <w:p w14:paraId="4C3D5D73" w14:textId="77777777" w:rsidR="000C6D2A" w:rsidRPr="000C6D2A" w:rsidRDefault="000C6D2A" w:rsidP="000C6D2A">
      <w:pPr>
        <w:spacing w:line="360" w:lineRule="auto"/>
        <w:rPr>
          <w:sz w:val="24"/>
          <w:szCs w:val="24"/>
        </w:rPr>
      </w:pPr>
    </w:p>
    <w:p w14:paraId="6936D3AD" w14:textId="77777777" w:rsidR="000C6D2A" w:rsidRPr="000C6D2A" w:rsidRDefault="000C6D2A" w:rsidP="000C6D2A">
      <w:pPr>
        <w:spacing w:line="360" w:lineRule="auto"/>
        <w:rPr>
          <w:sz w:val="24"/>
          <w:szCs w:val="24"/>
        </w:rPr>
      </w:pPr>
      <w:r w:rsidRPr="000C6D2A">
        <w:rPr>
          <w:sz w:val="24"/>
          <w:szCs w:val="24"/>
        </w:rPr>
        <w:t>In reflection, whilst good rapport was gained with the suspect during his initial detention to prevent BoP, I feel that I would’ve been on stronger grounds to arrest him for suspected criminal damage, based on the information that was received from the reporting person at initial attendance. This would’ve allowed me to search him instead under S.32 PACE, and a similar outcome would be achieved. In future, I will consider making the process easier for myself by considering any criminality beforehand,  giving good thought to any utilisation of arrest powers in order to minimise any insecurity that can simply not be afforded when considering removing a person’s fundamental human right to freedom.</w:t>
      </w:r>
    </w:p>
    <w:p w14:paraId="776377F3" w14:textId="77777777" w:rsidR="000C6D2A" w:rsidRPr="000C6D2A" w:rsidRDefault="000C6D2A" w:rsidP="000C6D2A">
      <w:pPr>
        <w:spacing w:line="360" w:lineRule="auto"/>
        <w:rPr>
          <w:sz w:val="24"/>
          <w:szCs w:val="24"/>
        </w:rPr>
      </w:pPr>
      <w:r w:rsidRPr="000C6D2A">
        <w:rPr>
          <w:sz w:val="24"/>
          <w:szCs w:val="24"/>
        </w:rPr>
        <w:t>In the conduction of the stop search, I established a need to commit the verbal process to instantly accessible memory. I achieved this by having my tutor check my knowledge of the stop-search procedure throughout the rest of the set of shifts. He suggested a more convenient way of giving the information required than the one learned in training, and I will be sure to utilise this moving forward.</w:t>
      </w:r>
    </w:p>
    <w:p w14:paraId="3DFD98E4" w14:textId="77777777" w:rsidR="000C6D2A" w:rsidRPr="000C6D2A" w:rsidRDefault="000C6D2A" w:rsidP="000C6D2A">
      <w:pPr>
        <w:spacing w:line="360" w:lineRule="auto"/>
        <w:rPr>
          <w:sz w:val="24"/>
          <w:szCs w:val="24"/>
        </w:rPr>
      </w:pPr>
    </w:p>
    <w:p w14:paraId="44DF4728" w14:textId="77777777" w:rsidR="000C6D2A" w:rsidRPr="000C6D2A" w:rsidRDefault="000C6D2A" w:rsidP="000C6D2A">
      <w:pPr>
        <w:spacing w:line="360" w:lineRule="auto"/>
        <w:jc w:val="right"/>
        <w:rPr>
          <w:i/>
          <w:iCs/>
          <w:sz w:val="24"/>
          <w:szCs w:val="24"/>
        </w:rPr>
      </w:pPr>
      <w:r w:rsidRPr="000C6D2A">
        <w:rPr>
          <w:i/>
          <w:iCs/>
          <w:sz w:val="24"/>
          <w:szCs w:val="24"/>
        </w:rPr>
        <w:t>Word Count: 1626</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lastRenderedPageBreak/>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502961F" w14:textId="77777777" w:rsidR="000C6D2A" w:rsidRPr="000C6D2A" w:rsidRDefault="000C6D2A" w:rsidP="000C6D2A">
      <w:pPr>
        <w:spacing w:line="360" w:lineRule="auto"/>
        <w:jc w:val="both"/>
        <w:rPr>
          <w:sz w:val="24"/>
          <w:szCs w:val="24"/>
        </w:rPr>
      </w:pPr>
      <w:r w:rsidRPr="000C6D2A">
        <w:rPr>
          <w:sz w:val="24"/>
          <w:szCs w:val="24"/>
        </w:rPr>
        <w:t>In this essay, I will be analysing my involvement in a policing incident involving a case of revenge porn. I will be looking at the background of the offence reported, demonstrating my knowledge of the importance of good victim contact, and how properly conducting established police procedures might impact a victim’s experience with the criminal justice system. I will be exploring the police’s responsibilities (in line with the codes of practice) in dealing with victims and witnesses of crime, to what extent these were fulfilled on this occasion, and how policing values are engaged in such fulfilment of responsibility. To structure this essay effectively, I will be utilising Gibb’s reflective model, and from this will develop ideas for improvement in similar future encounters.</w:t>
      </w:r>
    </w:p>
    <w:p w14:paraId="2F46087E" w14:textId="77777777" w:rsidR="000C6D2A" w:rsidRPr="000C6D2A" w:rsidRDefault="000C6D2A" w:rsidP="000C6D2A">
      <w:pPr>
        <w:spacing w:line="360" w:lineRule="auto"/>
        <w:jc w:val="both"/>
        <w:rPr>
          <w:bCs/>
          <w:sz w:val="24"/>
          <w:szCs w:val="24"/>
        </w:rPr>
      </w:pPr>
    </w:p>
    <w:p w14:paraId="2CC08C76" w14:textId="77777777" w:rsidR="000C6D2A" w:rsidRPr="000C6D2A" w:rsidRDefault="000C6D2A" w:rsidP="000C6D2A">
      <w:pPr>
        <w:spacing w:line="360" w:lineRule="auto"/>
        <w:jc w:val="both"/>
        <w:rPr>
          <w:bCs/>
          <w:sz w:val="24"/>
          <w:szCs w:val="24"/>
        </w:rPr>
      </w:pPr>
      <w:r w:rsidRPr="000C6D2A">
        <w:rPr>
          <w:bCs/>
          <w:sz w:val="24"/>
          <w:szCs w:val="24"/>
        </w:rPr>
        <w:t xml:space="preserve">The offence of revenge porn is a relatively recent one. It is covered by Section 33 of the Criminal Justice and Courts Act 2015. According to a BBC report, police forces across England and Wales received 1160 reports of revenge porn in the first 8 months </w:t>
      </w:r>
      <w:r w:rsidRPr="000C6D2A">
        <w:rPr>
          <w:bCs/>
          <w:sz w:val="24"/>
          <w:szCs w:val="24"/>
        </w:rPr>
        <w:lastRenderedPageBreak/>
        <w:t>of it being criminalised</w:t>
      </w:r>
      <w:sdt>
        <w:sdtPr>
          <w:rPr>
            <w:bCs/>
            <w:sz w:val="24"/>
            <w:szCs w:val="24"/>
          </w:rPr>
          <w:id w:val="1985265150"/>
          <w:citation/>
        </w:sdtPr>
        <w:sdtContent>
          <w:r w:rsidRPr="000C6D2A">
            <w:rPr>
              <w:bCs/>
              <w:sz w:val="24"/>
              <w:szCs w:val="24"/>
            </w:rPr>
            <w:fldChar w:fldCharType="begin"/>
          </w:r>
          <w:r w:rsidRPr="000C6D2A">
            <w:rPr>
              <w:bCs/>
              <w:sz w:val="24"/>
              <w:szCs w:val="24"/>
            </w:rPr>
            <w:instrText xml:space="preserve"> CITATION BBC16 \l 2057 </w:instrText>
          </w:r>
          <w:r w:rsidRPr="000C6D2A">
            <w:rPr>
              <w:bCs/>
              <w:sz w:val="24"/>
              <w:szCs w:val="24"/>
            </w:rPr>
            <w:fldChar w:fldCharType="separate"/>
          </w:r>
          <w:r w:rsidRPr="000C6D2A">
            <w:rPr>
              <w:bCs/>
              <w:sz w:val="24"/>
              <w:szCs w:val="24"/>
            </w:rPr>
            <w:t xml:space="preserve"> </w:t>
          </w:r>
          <w:r w:rsidRPr="000C6D2A">
            <w:rPr>
              <w:sz w:val="24"/>
              <w:szCs w:val="24"/>
            </w:rPr>
            <w:t>(BBC, 2016)</w:t>
          </w:r>
          <w:r w:rsidRPr="000C6D2A">
            <w:rPr>
              <w:sz w:val="24"/>
              <w:szCs w:val="24"/>
            </w:rPr>
            <w:fldChar w:fldCharType="end"/>
          </w:r>
        </w:sdtContent>
      </w:sdt>
      <w:r w:rsidRPr="000C6D2A">
        <w:rPr>
          <w:bCs/>
          <w:sz w:val="24"/>
          <w:szCs w:val="24"/>
        </w:rPr>
        <w:t xml:space="preserve">. However, 61% of these reports were not followed up </w:t>
      </w:r>
      <w:sdt>
        <w:sdtPr>
          <w:rPr>
            <w:bCs/>
            <w:sz w:val="24"/>
            <w:szCs w:val="24"/>
          </w:rPr>
          <w:id w:val="1486819757"/>
          <w:citation/>
        </w:sdtPr>
        <w:sdtContent>
          <w:r w:rsidRPr="000C6D2A">
            <w:rPr>
              <w:bCs/>
              <w:sz w:val="24"/>
              <w:szCs w:val="24"/>
            </w:rPr>
            <w:fldChar w:fldCharType="begin"/>
          </w:r>
          <w:r w:rsidRPr="000C6D2A">
            <w:rPr>
              <w:bCs/>
              <w:sz w:val="24"/>
              <w:szCs w:val="24"/>
            </w:rPr>
            <w:instrText xml:space="preserve"> CITATION Dav19 \l 2057 </w:instrText>
          </w:r>
          <w:r w:rsidRPr="000C6D2A">
            <w:rPr>
              <w:bCs/>
              <w:sz w:val="24"/>
              <w:szCs w:val="24"/>
            </w:rPr>
            <w:fldChar w:fldCharType="separate"/>
          </w:r>
          <w:r w:rsidRPr="000C6D2A">
            <w:rPr>
              <w:sz w:val="24"/>
              <w:szCs w:val="24"/>
            </w:rPr>
            <w:t>(Davidson, et al., 2019)</w:t>
          </w:r>
          <w:r w:rsidRPr="000C6D2A">
            <w:rPr>
              <w:sz w:val="24"/>
              <w:szCs w:val="24"/>
            </w:rPr>
            <w:fldChar w:fldCharType="end"/>
          </w:r>
        </w:sdtContent>
      </w:sdt>
      <w:r w:rsidRPr="000C6D2A">
        <w:rPr>
          <w:bCs/>
          <w:sz w:val="24"/>
          <w:szCs w:val="24"/>
        </w:rPr>
        <w:t xml:space="preserve">. Pina writes in her 2017 Report that this is due to victims no longer wanting to pursue investigation </w:t>
      </w:r>
      <w:sdt>
        <w:sdtPr>
          <w:rPr>
            <w:bCs/>
            <w:sz w:val="24"/>
            <w:szCs w:val="24"/>
          </w:rPr>
          <w:id w:val="794646230"/>
          <w:citation/>
        </w:sdtPr>
        <w:sdtContent>
          <w:r w:rsidRPr="000C6D2A">
            <w:rPr>
              <w:bCs/>
              <w:sz w:val="24"/>
              <w:szCs w:val="24"/>
            </w:rPr>
            <w:fldChar w:fldCharType="begin"/>
          </w:r>
          <w:r w:rsidRPr="000C6D2A">
            <w:rPr>
              <w:bCs/>
              <w:sz w:val="24"/>
              <w:szCs w:val="24"/>
            </w:rPr>
            <w:instrText xml:space="preserve"> CITATION Pin17 \l 2057 </w:instrText>
          </w:r>
          <w:r w:rsidRPr="000C6D2A">
            <w:rPr>
              <w:bCs/>
              <w:sz w:val="24"/>
              <w:szCs w:val="24"/>
            </w:rPr>
            <w:fldChar w:fldCharType="separate"/>
          </w:r>
          <w:r w:rsidRPr="000C6D2A">
            <w:rPr>
              <w:sz w:val="24"/>
              <w:szCs w:val="24"/>
            </w:rPr>
            <w:t>(Pina, et al., 2017)</w:t>
          </w:r>
          <w:r w:rsidRPr="000C6D2A">
            <w:rPr>
              <w:sz w:val="24"/>
              <w:szCs w:val="24"/>
            </w:rPr>
            <w:fldChar w:fldCharType="end"/>
          </w:r>
        </w:sdtContent>
      </w:sdt>
      <w:r w:rsidRPr="000C6D2A">
        <w:rPr>
          <w:bCs/>
          <w:sz w:val="24"/>
          <w:szCs w:val="24"/>
        </w:rPr>
        <w:t>. This could be due to a lack of Police support, however recent campaigns have focused their efforts on protecting the anonymity of victims, which is apparently lacking in current legislation.</w:t>
      </w:r>
    </w:p>
    <w:p w14:paraId="71D957AA" w14:textId="77777777" w:rsidR="000C6D2A" w:rsidRPr="000C6D2A" w:rsidRDefault="000C6D2A" w:rsidP="000C6D2A">
      <w:pPr>
        <w:spacing w:line="360" w:lineRule="auto"/>
        <w:jc w:val="both"/>
        <w:rPr>
          <w:bCs/>
          <w:sz w:val="24"/>
          <w:szCs w:val="24"/>
        </w:rPr>
      </w:pPr>
      <w:r w:rsidRPr="000C6D2A">
        <w:rPr>
          <w:bCs/>
          <w:sz w:val="24"/>
          <w:szCs w:val="24"/>
        </w:rPr>
        <w:t>These figures impress the importance of supporting victims adequately through the criminal justice process, from their initial reporting of the crime to the police, to police investigation, to all potential court attendances. Proper support is given largely by Police guidelines and codes of practice, namely the Victim’s Code of Practice (Ministry of Justice).</w:t>
      </w:r>
    </w:p>
    <w:p w14:paraId="3A051BEE" w14:textId="77777777" w:rsidR="000C6D2A" w:rsidRPr="000C6D2A" w:rsidRDefault="000C6D2A" w:rsidP="000C6D2A">
      <w:pPr>
        <w:spacing w:line="360" w:lineRule="auto"/>
        <w:jc w:val="both"/>
        <w:rPr>
          <w:bCs/>
          <w:sz w:val="24"/>
          <w:szCs w:val="24"/>
        </w:rPr>
      </w:pPr>
    </w:p>
    <w:p w14:paraId="710D4702" w14:textId="77777777" w:rsidR="000C6D2A" w:rsidRPr="000C6D2A" w:rsidRDefault="000C6D2A" w:rsidP="000C6D2A">
      <w:pPr>
        <w:spacing w:line="360" w:lineRule="auto"/>
        <w:jc w:val="both"/>
        <w:rPr>
          <w:bCs/>
          <w:sz w:val="24"/>
          <w:szCs w:val="24"/>
        </w:rPr>
      </w:pPr>
      <w:r w:rsidRPr="000C6D2A">
        <w:rPr>
          <w:bCs/>
          <w:sz w:val="24"/>
          <w:szCs w:val="24"/>
        </w:rPr>
        <w:t>In this instance, the reporting person had phoned police to complain that she was the victim of revenge porn, a month after the alleged crime had taken place. The social background of this was that person A (reporting person) had had an affair with the husband of person B (alleged suspect), and had in the course of this, sent private videos and messages to him. Person B found the messages and videos that person A had sent to her husband’s phone, took copies of them, and sent them back to A in screenshot and video form. Person B had committed no offence in doing this as interpreted by S33(2) CJCA 2015 (disclosing the photograph to the subject of the material), but person A had heard from a friend that an intimate video of her was being passed around by workers of a local factory. It was due to this information that the matter was investigated promptly, as this suggested that the video could have been sent to 3</w:t>
      </w:r>
      <w:r w:rsidRPr="000C6D2A">
        <w:rPr>
          <w:bCs/>
          <w:sz w:val="24"/>
          <w:szCs w:val="24"/>
          <w:vertAlign w:val="superscript"/>
        </w:rPr>
        <w:t>rd</w:t>
      </w:r>
      <w:r w:rsidRPr="000C6D2A">
        <w:rPr>
          <w:bCs/>
          <w:sz w:val="24"/>
          <w:szCs w:val="24"/>
        </w:rPr>
        <w:t xml:space="preserve"> parties by person B.</w:t>
      </w:r>
    </w:p>
    <w:p w14:paraId="256A17DB" w14:textId="77777777" w:rsidR="000C6D2A" w:rsidRPr="000C6D2A" w:rsidRDefault="000C6D2A" w:rsidP="000C6D2A">
      <w:pPr>
        <w:spacing w:line="360" w:lineRule="auto"/>
        <w:jc w:val="both"/>
        <w:rPr>
          <w:bCs/>
          <w:sz w:val="24"/>
          <w:szCs w:val="24"/>
        </w:rPr>
      </w:pPr>
    </w:p>
    <w:p w14:paraId="7221F769" w14:textId="77777777" w:rsidR="000C6D2A" w:rsidRPr="000C6D2A" w:rsidRDefault="000C6D2A" w:rsidP="000C6D2A">
      <w:pPr>
        <w:spacing w:line="360" w:lineRule="auto"/>
        <w:jc w:val="both"/>
        <w:rPr>
          <w:bCs/>
          <w:sz w:val="24"/>
          <w:szCs w:val="24"/>
        </w:rPr>
      </w:pPr>
      <w:r w:rsidRPr="000C6D2A">
        <w:rPr>
          <w:bCs/>
          <w:sz w:val="24"/>
          <w:szCs w:val="24"/>
        </w:rPr>
        <w:t>Person A was living in her friend’s house, having separated with her husband following the affair. She said the delay in reporting was a mixture of embarrassment, and hoping that the incident would blow-over – but was prompted to report the matter to police by her friend. This is consistent with reports that show victims of crime most often report crime after talking through it with a friend</w:t>
      </w:r>
      <w:sdt>
        <w:sdtPr>
          <w:rPr>
            <w:bCs/>
            <w:sz w:val="24"/>
            <w:szCs w:val="24"/>
          </w:rPr>
          <w:id w:val="-1138960517"/>
          <w:citation/>
        </w:sdtPr>
        <w:sdtContent>
          <w:r w:rsidRPr="000C6D2A">
            <w:rPr>
              <w:bCs/>
              <w:sz w:val="24"/>
              <w:szCs w:val="24"/>
            </w:rPr>
            <w:fldChar w:fldCharType="begin"/>
          </w:r>
          <w:r w:rsidRPr="000C6D2A">
            <w:rPr>
              <w:bCs/>
              <w:sz w:val="24"/>
              <w:szCs w:val="24"/>
            </w:rPr>
            <w:instrText xml:space="preserve"> CITATION Rub84 \l 2057 </w:instrText>
          </w:r>
          <w:r w:rsidRPr="000C6D2A">
            <w:rPr>
              <w:bCs/>
              <w:sz w:val="24"/>
              <w:szCs w:val="24"/>
            </w:rPr>
            <w:fldChar w:fldCharType="separate"/>
          </w:r>
          <w:r w:rsidRPr="000C6D2A">
            <w:rPr>
              <w:bCs/>
              <w:sz w:val="24"/>
              <w:szCs w:val="24"/>
            </w:rPr>
            <w:t xml:space="preserve"> </w:t>
          </w:r>
          <w:r w:rsidRPr="000C6D2A">
            <w:rPr>
              <w:sz w:val="24"/>
              <w:szCs w:val="24"/>
            </w:rPr>
            <w:t>(Ruback, et al., 1984)</w:t>
          </w:r>
          <w:r w:rsidRPr="000C6D2A">
            <w:rPr>
              <w:sz w:val="24"/>
              <w:szCs w:val="24"/>
            </w:rPr>
            <w:fldChar w:fldCharType="end"/>
          </w:r>
        </w:sdtContent>
      </w:sdt>
      <w:r w:rsidRPr="000C6D2A">
        <w:rPr>
          <w:bCs/>
          <w:sz w:val="24"/>
          <w:szCs w:val="24"/>
        </w:rPr>
        <w:t>.</w:t>
      </w:r>
    </w:p>
    <w:p w14:paraId="1C1D6298" w14:textId="77777777" w:rsidR="000C6D2A" w:rsidRPr="000C6D2A" w:rsidRDefault="000C6D2A" w:rsidP="000C6D2A">
      <w:pPr>
        <w:spacing w:line="360" w:lineRule="auto"/>
        <w:jc w:val="both"/>
        <w:rPr>
          <w:bCs/>
          <w:sz w:val="24"/>
          <w:szCs w:val="24"/>
        </w:rPr>
      </w:pPr>
    </w:p>
    <w:p w14:paraId="2E5C26FA" w14:textId="77777777" w:rsidR="000C6D2A" w:rsidRPr="000C6D2A" w:rsidRDefault="000C6D2A" w:rsidP="000C6D2A">
      <w:pPr>
        <w:spacing w:line="360" w:lineRule="auto"/>
        <w:jc w:val="both"/>
        <w:rPr>
          <w:bCs/>
          <w:sz w:val="24"/>
          <w:szCs w:val="24"/>
        </w:rPr>
      </w:pPr>
      <w:r w:rsidRPr="000C6D2A">
        <w:rPr>
          <w:bCs/>
          <w:sz w:val="24"/>
          <w:szCs w:val="24"/>
        </w:rPr>
        <w:t xml:space="preserve">The victim was clearly upset and embarrassed at the situation that had unfolded. There are many ways the police can support victims of crime, and with her consent, a referral was placed to Victim Focus. This charity-based initiative can help victims of crime gain emotional support </w:t>
      </w:r>
      <w:sdt>
        <w:sdtPr>
          <w:rPr>
            <w:bCs/>
            <w:sz w:val="24"/>
            <w:szCs w:val="24"/>
          </w:rPr>
          <w:id w:val="1532993397"/>
          <w:citation/>
        </w:sdtPr>
        <w:sdtContent>
          <w:r w:rsidRPr="000C6D2A">
            <w:rPr>
              <w:bCs/>
              <w:sz w:val="24"/>
              <w:szCs w:val="24"/>
            </w:rPr>
            <w:fldChar w:fldCharType="begin"/>
          </w:r>
          <w:r w:rsidRPr="000C6D2A">
            <w:rPr>
              <w:bCs/>
              <w:sz w:val="24"/>
              <w:szCs w:val="24"/>
            </w:rPr>
            <w:instrText xml:space="preserve">CITATION Sou21 \l 2057 </w:instrText>
          </w:r>
          <w:r w:rsidRPr="000C6D2A">
            <w:rPr>
              <w:bCs/>
              <w:sz w:val="24"/>
              <w:szCs w:val="24"/>
            </w:rPr>
            <w:fldChar w:fldCharType="separate"/>
          </w:r>
          <w:r w:rsidRPr="000C6D2A">
            <w:rPr>
              <w:sz w:val="24"/>
              <w:szCs w:val="24"/>
            </w:rPr>
            <w:t>(South Wales Victim Focus, 2020)</w:t>
          </w:r>
          <w:r w:rsidRPr="000C6D2A">
            <w:rPr>
              <w:sz w:val="24"/>
              <w:szCs w:val="24"/>
            </w:rPr>
            <w:fldChar w:fldCharType="end"/>
          </w:r>
        </w:sdtContent>
      </w:sdt>
      <w:r w:rsidRPr="000C6D2A">
        <w:rPr>
          <w:bCs/>
          <w:sz w:val="24"/>
          <w:szCs w:val="24"/>
        </w:rPr>
        <w:t xml:space="preserve">, and can, if </w:t>
      </w:r>
      <w:r w:rsidRPr="000C6D2A">
        <w:rPr>
          <w:bCs/>
          <w:sz w:val="24"/>
          <w:szCs w:val="24"/>
        </w:rPr>
        <w:lastRenderedPageBreak/>
        <w:t>necessary, aid victims in their journey through the system. I explained the pathway with regards to the Criminal Justice System to the victim, in line with Right 3 of the Victim’s Code</w:t>
      </w:r>
      <w:sdt>
        <w:sdtPr>
          <w:rPr>
            <w:bCs/>
            <w:sz w:val="24"/>
            <w:szCs w:val="24"/>
          </w:rPr>
          <w:id w:val="1818529592"/>
          <w:citation/>
        </w:sdtPr>
        <w:sdtContent>
          <w:r w:rsidRPr="000C6D2A">
            <w:rPr>
              <w:bCs/>
              <w:sz w:val="24"/>
              <w:szCs w:val="24"/>
            </w:rPr>
            <w:fldChar w:fldCharType="begin"/>
          </w:r>
          <w:r w:rsidRPr="000C6D2A">
            <w:rPr>
              <w:bCs/>
              <w:sz w:val="24"/>
              <w:szCs w:val="24"/>
            </w:rPr>
            <w:instrText xml:space="preserve"> CITATION Min20 \l 2057 </w:instrText>
          </w:r>
          <w:r w:rsidRPr="000C6D2A">
            <w:rPr>
              <w:bCs/>
              <w:sz w:val="24"/>
              <w:szCs w:val="24"/>
            </w:rPr>
            <w:fldChar w:fldCharType="separate"/>
          </w:r>
          <w:r w:rsidRPr="000C6D2A">
            <w:rPr>
              <w:bCs/>
              <w:sz w:val="24"/>
              <w:szCs w:val="24"/>
            </w:rPr>
            <w:t xml:space="preserve"> </w:t>
          </w:r>
          <w:r w:rsidRPr="000C6D2A">
            <w:rPr>
              <w:sz w:val="24"/>
              <w:szCs w:val="24"/>
            </w:rPr>
            <w:t>(Ministry of Justice, 2020)</w:t>
          </w:r>
          <w:r w:rsidRPr="000C6D2A">
            <w:rPr>
              <w:sz w:val="24"/>
              <w:szCs w:val="24"/>
            </w:rPr>
            <w:fldChar w:fldCharType="end"/>
          </w:r>
        </w:sdtContent>
      </w:sdt>
      <w:r w:rsidRPr="000C6D2A">
        <w:rPr>
          <w:bCs/>
          <w:sz w:val="24"/>
          <w:szCs w:val="24"/>
        </w:rPr>
        <w:t>. In saying that she did not want the stress of writing statements, or potentially going to court, I reminded her that she would be supported at all times during the process whatever her choice. Restorative Justice was suggested, and the victim seemed keen to engage, and was happy to proceed – if the suspect agreed to delete all media regarding the victim.</w:t>
      </w:r>
    </w:p>
    <w:p w14:paraId="205022C8" w14:textId="77777777" w:rsidR="000C6D2A" w:rsidRPr="000C6D2A" w:rsidRDefault="000C6D2A" w:rsidP="000C6D2A">
      <w:pPr>
        <w:spacing w:line="360" w:lineRule="auto"/>
        <w:jc w:val="both"/>
        <w:rPr>
          <w:bCs/>
          <w:sz w:val="24"/>
          <w:szCs w:val="24"/>
        </w:rPr>
      </w:pPr>
    </w:p>
    <w:p w14:paraId="3D5323F4" w14:textId="77777777" w:rsidR="000C6D2A" w:rsidRPr="000C6D2A" w:rsidRDefault="000C6D2A" w:rsidP="000C6D2A">
      <w:pPr>
        <w:spacing w:line="360" w:lineRule="auto"/>
        <w:jc w:val="both"/>
        <w:rPr>
          <w:bCs/>
          <w:sz w:val="24"/>
          <w:szCs w:val="24"/>
        </w:rPr>
      </w:pPr>
      <w:r w:rsidRPr="000C6D2A">
        <w:rPr>
          <w:bCs/>
          <w:sz w:val="24"/>
          <w:szCs w:val="24"/>
        </w:rPr>
        <w:t>The victim had expressed her wish to be updated whenever any information was found, and this was complied with for the entire investigation. I admit that I felt, at times, conflicted about what was happening in the course of the investigation – especially after talking to the alleged suspect, who had said that the alleged victim of the revenge porn used to be her best friend, and that the affair that she had with her husband had gone on for some while behind her back – she was herself, distraught. The suspect had conceded that she had sent the images to the victim, and also to the victim’s husband. She did not realise that this was a crime, and was mindful of any offences as she has a job that requires disclosure with the DBS. It is this information that raised questions regarding criminalising the offender, and to what degree this offence might affect her well-established career.</w:t>
      </w:r>
    </w:p>
    <w:p w14:paraId="3997248D" w14:textId="77777777" w:rsidR="000C6D2A" w:rsidRPr="000C6D2A" w:rsidRDefault="000C6D2A" w:rsidP="000C6D2A">
      <w:pPr>
        <w:spacing w:line="360" w:lineRule="auto"/>
        <w:jc w:val="both"/>
        <w:rPr>
          <w:bCs/>
          <w:sz w:val="24"/>
          <w:szCs w:val="24"/>
        </w:rPr>
      </w:pPr>
    </w:p>
    <w:p w14:paraId="7662180D" w14:textId="77777777" w:rsidR="000C6D2A" w:rsidRPr="000C6D2A" w:rsidRDefault="000C6D2A" w:rsidP="000C6D2A">
      <w:pPr>
        <w:spacing w:line="360" w:lineRule="auto"/>
        <w:jc w:val="both"/>
        <w:rPr>
          <w:bCs/>
          <w:sz w:val="24"/>
          <w:szCs w:val="24"/>
        </w:rPr>
      </w:pPr>
      <w:r w:rsidRPr="000C6D2A">
        <w:rPr>
          <w:bCs/>
          <w:sz w:val="24"/>
          <w:szCs w:val="24"/>
        </w:rPr>
        <w:t xml:space="preserve">The suspect volunteered her phone to be scanned – and police found that the photos had indeed been sent to the victim  - but also to the victim’s husband. There was no evidence to suggest that any media was sent to any other third party. This was reported to the victim, in person, and she said that she was aware of messages to her husband but not the videos. She said she trusted her husband to not send these videos to anyone else, and was still concerned over the third party leaks passed via the offender. This was investigated, and it came to light that whilst knowledge of the videos </w:t>
      </w:r>
      <w:r w:rsidRPr="000C6D2A">
        <w:rPr>
          <w:bCs/>
          <w:i/>
          <w:iCs/>
          <w:sz w:val="24"/>
          <w:szCs w:val="24"/>
        </w:rPr>
        <w:t>was</w:t>
      </w:r>
      <w:r w:rsidRPr="000C6D2A">
        <w:rPr>
          <w:bCs/>
          <w:sz w:val="24"/>
          <w:szCs w:val="24"/>
        </w:rPr>
        <w:t xml:space="preserve"> circulating the factory, no such video had been seen by any staff. Knowing this, the victim was happy to proceed with the RJ disposal.</w:t>
      </w:r>
    </w:p>
    <w:p w14:paraId="2C419AF7" w14:textId="77777777" w:rsidR="000C6D2A" w:rsidRPr="000C6D2A" w:rsidRDefault="000C6D2A" w:rsidP="000C6D2A">
      <w:pPr>
        <w:spacing w:line="360" w:lineRule="auto"/>
        <w:jc w:val="both"/>
        <w:rPr>
          <w:bCs/>
          <w:sz w:val="24"/>
          <w:szCs w:val="24"/>
        </w:rPr>
      </w:pPr>
    </w:p>
    <w:p w14:paraId="6BE2D377" w14:textId="77777777" w:rsidR="000C6D2A" w:rsidRPr="000C6D2A" w:rsidRDefault="000C6D2A" w:rsidP="000C6D2A">
      <w:pPr>
        <w:spacing w:line="360" w:lineRule="auto"/>
        <w:jc w:val="both"/>
        <w:rPr>
          <w:bCs/>
          <w:sz w:val="24"/>
          <w:szCs w:val="24"/>
        </w:rPr>
      </w:pPr>
      <w:r w:rsidRPr="000C6D2A">
        <w:rPr>
          <w:bCs/>
          <w:sz w:val="24"/>
          <w:szCs w:val="24"/>
        </w:rPr>
        <w:t xml:space="preserve">Due to the difficult social nature of this incident, I knew from the start that it was important to see through any personal opinion and bias that I might have had from it – and focus on any crime that had been committed and ensuring that the victim was cared for in line with the Victim’s code. She was, fundamentally a victim, who had likely </w:t>
      </w:r>
      <w:r w:rsidRPr="000C6D2A">
        <w:rPr>
          <w:bCs/>
          <w:sz w:val="24"/>
          <w:szCs w:val="24"/>
        </w:rPr>
        <w:lastRenderedPageBreak/>
        <w:t xml:space="preserve">had an offence committed against her – and was to be treated, to the best of my ability – with compassion and professionalism. </w:t>
      </w:r>
    </w:p>
    <w:p w14:paraId="77D75EFC" w14:textId="77777777" w:rsidR="000C6D2A" w:rsidRPr="000C6D2A" w:rsidRDefault="000C6D2A" w:rsidP="000C6D2A">
      <w:pPr>
        <w:spacing w:line="360" w:lineRule="auto"/>
        <w:jc w:val="both"/>
        <w:rPr>
          <w:bCs/>
          <w:sz w:val="24"/>
          <w:szCs w:val="24"/>
        </w:rPr>
      </w:pPr>
    </w:p>
    <w:p w14:paraId="1C63D2F9" w14:textId="77777777" w:rsidR="000C6D2A" w:rsidRPr="000C6D2A" w:rsidRDefault="000C6D2A" w:rsidP="000C6D2A">
      <w:pPr>
        <w:spacing w:line="360" w:lineRule="auto"/>
        <w:jc w:val="both"/>
        <w:rPr>
          <w:bCs/>
          <w:sz w:val="24"/>
          <w:szCs w:val="24"/>
        </w:rPr>
      </w:pPr>
      <w:r w:rsidRPr="000C6D2A">
        <w:rPr>
          <w:bCs/>
          <w:sz w:val="24"/>
          <w:szCs w:val="24"/>
        </w:rPr>
        <w:t xml:space="preserve">In analysis, it appears that at face value the needs of the victim in terms of the police’s role in dealing with the crime were met. The offender was caught, admitted guilt, and the crime was appropriately disposed of. The victim’s details were passed on to the victim care team, and at every stage in the process – the victim was given guidance and advice on the next steps. I had given care to ensuring that the victim felt listened to, and that they felt well informed through the process. It can be difficult to not pass outward judgement in these situations, where our own morality doesn’t necessarily overlap with the law – but I felt that, in this situation, I managed my own bias and remained an impartial investigator. </w:t>
      </w:r>
    </w:p>
    <w:p w14:paraId="3CA163D0" w14:textId="77777777" w:rsidR="000C6D2A" w:rsidRPr="000C6D2A" w:rsidRDefault="000C6D2A" w:rsidP="000C6D2A">
      <w:pPr>
        <w:spacing w:line="360" w:lineRule="auto"/>
        <w:jc w:val="both"/>
        <w:rPr>
          <w:bCs/>
          <w:sz w:val="24"/>
          <w:szCs w:val="24"/>
        </w:rPr>
      </w:pPr>
    </w:p>
    <w:p w14:paraId="167EF5BC" w14:textId="77777777" w:rsidR="000C6D2A" w:rsidRPr="000C6D2A" w:rsidRDefault="000C6D2A" w:rsidP="000C6D2A">
      <w:pPr>
        <w:spacing w:line="360" w:lineRule="auto"/>
        <w:jc w:val="both"/>
        <w:rPr>
          <w:bCs/>
          <w:sz w:val="24"/>
          <w:szCs w:val="24"/>
        </w:rPr>
      </w:pPr>
      <w:r w:rsidRPr="000C6D2A">
        <w:rPr>
          <w:bCs/>
          <w:sz w:val="24"/>
          <w:szCs w:val="24"/>
        </w:rPr>
        <w:t xml:space="preserve">All in all, I believe that I carried out my duties both to the investigation and to the victim well. The victim was happy with the outcome and had been put in the direction of support for moving on forward with her life. The suspect admitted the criminality in her actions, and had been made to remove all known copies of the videos and messages. Both parties agreed to no longer contact each other, and I think that this was the best outcome for a difficult situation. I do not know to what extent the career of the offending person will be affected by this, but I felt happy that the crime had been dealt with in a way that did not criminalise her, and of course that the victim was happy with the outcome too. </w:t>
      </w:r>
    </w:p>
    <w:p w14:paraId="1FA5F89A" w14:textId="62E5C6D5" w:rsidR="000C6D2A" w:rsidRDefault="000C6D2A" w:rsidP="000C6D2A">
      <w:pPr>
        <w:spacing w:line="360" w:lineRule="auto"/>
        <w:jc w:val="both"/>
        <w:rPr>
          <w:bCs/>
          <w:sz w:val="24"/>
          <w:szCs w:val="24"/>
        </w:rPr>
      </w:pPr>
      <w:r w:rsidRPr="000C6D2A">
        <w:rPr>
          <w:bCs/>
          <w:sz w:val="24"/>
          <w:szCs w:val="24"/>
        </w:rPr>
        <w:t xml:space="preserve">In future, I will continue to update the victim on a regular basis, not just out of necessity as a victim right, but also as an effective tool to build victim rapport. Updating our victims regularly can make them feel as though they’ve received a more fair service </w:t>
      </w:r>
      <w:sdt>
        <w:sdtPr>
          <w:rPr>
            <w:bCs/>
            <w:sz w:val="24"/>
            <w:szCs w:val="24"/>
          </w:rPr>
          <w:id w:val="1661506058"/>
          <w:citation/>
        </w:sdtPr>
        <w:sdtContent>
          <w:r w:rsidRPr="000C6D2A">
            <w:rPr>
              <w:bCs/>
              <w:sz w:val="24"/>
              <w:szCs w:val="24"/>
            </w:rPr>
            <w:fldChar w:fldCharType="begin"/>
          </w:r>
          <w:r w:rsidRPr="000C6D2A">
            <w:rPr>
              <w:bCs/>
              <w:sz w:val="24"/>
              <w:szCs w:val="24"/>
            </w:rPr>
            <w:instrText xml:space="preserve"> CITATION Wem95 \l 2057 </w:instrText>
          </w:r>
          <w:r w:rsidRPr="000C6D2A">
            <w:rPr>
              <w:bCs/>
              <w:sz w:val="24"/>
              <w:szCs w:val="24"/>
            </w:rPr>
            <w:fldChar w:fldCharType="separate"/>
          </w:r>
          <w:r w:rsidRPr="000C6D2A">
            <w:rPr>
              <w:sz w:val="24"/>
              <w:szCs w:val="24"/>
            </w:rPr>
            <w:t>(Wemmers, 1995)</w:t>
          </w:r>
          <w:r w:rsidRPr="000C6D2A">
            <w:rPr>
              <w:sz w:val="24"/>
              <w:szCs w:val="24"/>
            </w:rPr>
            <w:fldChar w:fldCharType="end"/>
          </w:r>
        </w:sdtContent>
      </w:sdt>
      <w:r w:rsidRPr="000C6D2A">
        <w:rPr>
          <w:bCs/>
          <w:sz w:val="24"/>
          <w:szCs w:val="24"/>
        </w:rPr>
        <w:t>, and so can improve their perception of the criminal justice system. I will also familiarise myself with the details of out of court disposals, such as restorative justice, so that I might more readily be able to explain the terms of the process – and the repercussions such a process might have on both the victim and the offending person.</w:t>
      </w:r>
    </w:p>
    <w:p w14:paraId="2409CCB2" w14:textId="007C48A6" w:rsidR="000C6D2A" w:rsidRPr="000C6D2A" w:rsidRDefault="000C6D2A" w:rsidP="000C6D2A">
      <w:pPr>
        <w:spacing w:line="360" w:lineRule="auto"/>
        <w:jc w:val="right"/>
        <w:rPr>
          <w:bCs/>
          <w:i/>
          <w:iCs/>
          <w:sz w:val="24"/>
          <w:szCs w:val="24"/>
        </w:rPr>
      </w:pPr>
      <w:r>
        <w:rPr>
          <w:bCs/>
          <w:i/>
          <w:iCs/>
          <w:sz w:val="24"/>
          <w:szCs w:val="24"/>
        </w:rPr>
        <w:t>Word Count: 1434</w:t>
      </w:r>
    </w:p>
    <w:p w14:paraId="4E9085BF" w14:textId="77777777" w:rsidR="00025650" w:rsidRPr="00270EEB" w:rsidRDefault="00025650" w:rsidP="000C6D2A">
      <w:pPr>
        <w:spacing w:line="360" w:lineRule="auto"/>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21587E5E" w14:textId="77777777" w:rsidR="000C6D2A" w:rsidRPr="000C6D2A" w:rsidRDefault="000C6D2A" w:rsidP="000C6D2A">
      <w:pPr>
        <w:spacing w:line="360" w:lineRule="auto"/>
        <w:rPr>
          <w:bCs/>
          <w:sz w:val="24"/>
          <w:szCs w:val="24"/>
        </w:rPr>
      </w:pPr>
      <w:r w:rsidRPr="000C6D2A">
        <w:rPr>
          <w:bCs/>
          <w:sz w:val="24"/>
          <w:szCs w:val="24"/>
        </w:rPr>
        <w:t xml:space="preserve">In this essay I will recount a time that I have used the NDM (National Decision Model) in a policing incident. I will cover my responsibilities as an investigator toward managing evidence and information in line with the Criminal Procedure and Investigations Act 1996. To aid me in this, I will utilise Gibbs’ reflective model. This incident is one that involves a driver crashing his car into a house and making off from the scene, his subsequent surrender to police officers and his admitting ownership of drugs found in the crashed vehicle. The driver did not have insurance, and was driving otherwise in accordance with a licence, was potentially driving under the influence of drugs, and because of the drugs found in the vehicle – was found to be in possession of a Class B drug. </w:t>
      </w:r>
    </w:p>
    <w:p w14:paraId="5AF49970" w14:textId="77777777" w:rsidR="000C6D2A" w:rsidRPr="000C6D2A" w:rsidRDefault="000C6D2A" w:rsidP="000C6D2A">
      <w:pPr>
        <w:spacing w:line="360" w:lineRule="auto"/>
        <w:rPr>
          <w:bCs/>
          <w:sz w:val="24"/>
          <w:szCs w:val="24"/>
        </w:rPr>
      </w:pPr>
    </w:p>
    <w:p w14:paraId="74AF4DDA" w14:textId="77777777" w:rsidR="000C6D2A" w:rsidRPr="000C6D2A" w:rsidRDefault="000C6D2A" w:rsidP="000C6D2A">
      <w:pPr>
        <w:spacing w:line="360" w:lineRule="auto"/>
        <w:rPr>
          <w:bCs/>
          <w:sz w:val="24"/>
          <w:szCs w:val="24"/>
        </w:rPr>
      </w:pPr>
      <w:r w:rsidRPr="000C6D2A">
        <w:rPr>
          <w:bCs/>
          <w:sz w:val="24"/>
          <w:szCs w:val="24"/>
        </w:rPr>
        <w:t xml:space="preserve">Gathering information and intelligence ethically can be considered the first stage in the NDM – and can such information can be gathered throughout the NDM cycle, and throughout an investigation in a continuous feed. At initial attendance to this incident, barebones information was received over the air en route, however the vast </w:t>
      </w:r>
      <w:r w:rsidRPr="000C6D2A">
        <w:rPr>
          <w:bCs/>
          <w:sz w:val="24"/>
          <w:szCs w:val="24"/>
        </w:rPr>
        <w:lastRenderedPageBreak/>
        <w:t xml:space="preserve">majority would be gathered </w:t>
      </w:r>
      <w:r w:rsidRPr="000C6D2A">
        <w:rPr>
          <w:bCs/>
          <w:i/>
          <w:iCs/>
          <w:sz w:val="24"/>
          <w:szCs w:val="24"/>
        </w:rPr>
        <w:t>in-situ</w:t>
      </w:r>
      <w:r w:rsidRPr="000C6D2A">
        <w:rPr>
          <w:bCs/>
          <w:sz w:val="24"/>
          <w:szCs w:val="24"/>
        </w:rPr>
        <w:t xml:space="preserve"> by officers attending. Golden-hour principles applied – as evidence was at its most fresh immediately after the crime had occurred.</w:t>
      </w:r>
    </w:p>
    <w:p w14:paraId="044AA12E" w14:textId="77777777" w:rsidR="000C6D2A" w:rsidRPr="000C6D2A" w:rsidRDefault="000C6D2A" w:rsidP="000C6D2A">
      <w:pPr>
        <w:spacing w:line="360" w:lineRule="auto"/>
        <w:rPr>
          <w:bCs/>
          <w:sz w:val="24"/>
          <w:szCs w:val="24"/>
        </w:rPr>
      </w:pPr>
    </w:p>
    <w:p w14:paraId="3E16144A" w14:textId="77777777" w:rsidR="000C6D2A" w:rsidRPr="000C6D2A" w:rsidRDefault="000C6D2A" w:rsidP="000C6D2A">
      <w:pPr>
        <w:spacing w:line="360" w:lineRule="auto"/>
        <w:rPr>
          <w:bCs/>
          <w:sz w:val="24"/>
          <w:szCs w:val="24"/>
        </w:rPr>
      </w:pPr>
      <w:r w:rsidRPr="000C6D2A">
        <w:rPr>
          <w:bCs/>
          <w:sz w:val="24"/>
          <w:szCs w:val="24"/>
        </w:rPr>
        <w:t xml:space="preserve"> At our attendance, it was evident that a vehicle had crashed through a wall, and into the front of a house. Body-worn video (BWV) was utilised throughout, as the best way to document the scene and officer’s actions, and ensure that proper process has been applied (if proof was required further on). The owners of the house had called the police following the crash, and had little information to give us regarding a description of the driver. What information they did have, however, was written down and put onto the incident log (concerning mainly the driver’s clothes). This information is automatically copied to the inputting officer’s e-Pocket notebook, and the log is viewable by anyone accessing that incident at that time, and retained for future viewing. Accurately recording information received is an important part of the police procedure, and any such material may be disclosed to the accused’s defence further down the line, even if unused </w:t>
      </w:r>
      <w:sdt>
        <w:sdtPr>
          <w:rPr>
            <w:bCs/>
            <w:sz w:val="24"/>
            <w:szCs w:val="24"/>
          </w:rPr>
          <w:id w:val="1731961800"/>
          <w:citation/>
        </w:sdtPr>
        <w:sdtContent>
          <w:r w:rsidRPr="000C6D2A">
            <w:rPr>
              <w:bCs/>
              <w:sz w:val="24"/>
              <w:szCs w:val="24"/>
            </w:rPr>
            <w:fldChar w:fldCharType="begin"/>
          </w:r>
          <w:r w:rsidRPr="000C6D2A">
            <w:rPr>
              <w:bCs/>
              <w:sz w:val="24"/>
              <w:szCs w:val="24"/>
            </w:rPr>
            <w:instrText xml:space="preserve"> CITATION CPI96 \l 2057 </w:instrText>
          </w:r>
          <w:r w:rsidRPr="000C6D2A">
            <w:rPr>
              <w:bCs/>
              <w:sz w:val="24"/>
              <w:szCs w:val="24"/>
            </w:rPr>
            <w:fldChar w:fldCharType="separate"/>
          </w:r>
          <w:r w:rsidRPr="000C6D2A">
            <w:rPr>
              <w:rFonts w:eastAsiaTheme="minorHAnsi"/>
              <w:noProof/>
              <w:sz w:val="24"/>
              <w:szCs w:val="24"/>
            </w:rPr>
            <w:t>(CPIA, 1996)</w:t>
          </w:r>
          <w:r w:rsidRPr="000C6D2A">
            <w:rPr>
              <w:bCs/>
              <w:sz w:val="24"/>
              <w:szCs w:val="24"/>
            </w:rPr>
            <w:fldChar w:fldCharType="end"/>
          </w:r>
        </w:sdtContent>
      </w:sdt>
      <w:r w:rsidRPr="000C6D2A">
        <w:rPr>
          <w:bCs/>
          <w:sz w:val="24"/>
          <w:szCs w:val="24"/>
        </w:rPr>
        <w:t>. At this early stage, not only could this information end up helping officers to pursue any potential suspects, but later could end up aiding the prosecution in their conviction of the accused. The same information could also hinder it, bolstering the accused’s defence instead. Either way, it must be disclosed in the criminal justice process, ensuring total fairness.</w:t>
      </w:r>
    </w:p>
    <w:p w14:paraId="701525A9" w14:textId="77777777" w:rsidR="000C6D2A" w:rsidRPr="000C6D2A" w:rsidRDefault="000C6D2A" w:rsidP="000C6D2A">
      <w:pPr>
        <w:spacing w:line="360" w:lineRule="auto"/>
        <w:rPr>
          <w:bCs/>
          <w:sz w:val="24"/>
          <w:szCs w:val="24"/>
        </w:rPr>
      </w:pPr>
    </w:p>
    <w:p w14:paraId="7652A8DF" w14:textId="77777777" w:rsidR="000C6D2A" w:rsidRPr="000C6D2A" w:rsidRDefault="000C6D2A" w:rsidP="000C6D2A">
      <w:pPr>
        <w:spacing w:line="360" w:lineRule="auto"/>
        <w:rPr>
          <w:bCs/>
          <w:sz w:val="24"/>
          <w:szCs w:val="24"/>
        </w:rPr>
      </w:pPr>
      <w:r w:rsidRPr="000C6D2A">
        <w:rPr>
          <w:bCs/>
          <w:sz w:val="24"/>
          <w:szCs w:val="24"/>
        </w:rPr>
        <w:t xml:space="preserve"> Throughout the process of investigation, photographs were taken of the scene, and documented properly for the case file that was to be established. This is ‘relevant material’ and it could influence the direction of any investigation, and the prosecution of any suspect. All information gathered by the police is recorded, retained and revealed through this process and is an example of a core value, </w:t>
      </w:r>
      <w:r w:rsidRPr="000C6D2A">
        <w:rPr>
          <w:bCs/>
          <w:i/>
          <w:iCs/>
          <w:sz w:val="24"/>
          <w:szCs w:val="24"/>
        </w:rPr>
        <w:t>transparency</w:t>
      </w:r>
      <w:r w:rsidRPr="000C6D2A">
        <w:rPr>
          <w:bCs/>
          <w:sz w:val="24"/>
          <w:szCs w:val="24"/>
        </w:rPr>
        <w:t>, at work</w:t>
      </w:r>
      <w:sdt>
        <w:sdtPr>
          <w:rPr>
            <w:bCs/>
            <w:sz w:val="24"/>
            <w:szCs w:val="24"/>
          </w:rPr>
          <w:id w:val="1049026973"/>
          <w:citation/>
        </w:sdtPr>
        <w:sdtContent>
          <w:r w:rsidRPr="000C6D2A">
            <w:rPr>
              <w:bCs/>
              <w:sz w:val="24"/>
              <w:szCs w:val="24"/>
            </w:rPr>
            <w:fldChar w:fldCharType="begin"/>
          </w:r>
          <w:r w:rsidRPr="000C6D2A">
            <w:rPr>
              <w:bCs/>
              <w:sz w:val="24"/>
              <w:szCs w:val="24"/>
            </w:rPr>
            <w:instrText xml:space="preserve"> CITATION Col202 \l 2057 </w:instrText>
          </w:r>
          <w:r w:rsidRPr="000C6D2A">
            <w:rPr>
              <w:bCs/>
              <w:sz w:val="24"/>
              <w:szCs w:val="24"/>
            </w:rPr>
            <w:fldChar w:fldCharType="separate"/>
          </w:r>
          <w:r w:rsidRPr="000C6D2A">
            <w:rPr>
              <w:bCs/>
              <w:noProof/>
              <w:sz w:val="24"/>
              <w:szCs w:val="24"/>
            </w:rPr>
            <w:t xml:space="preserve"> </w:t>
          </w:r>
          <w:r w:rsidRPr="000C6D2A">
            <w:rPr>
              <w:rFonts w:eastAsiaTheme="minorHAnsi"/>
              <w:noProof/>
              <w:sz w:val="24"/>
              <w:szCs w:val="24"/>
            </w:rPr>
            <w:t>(College of Policing, 2020)</w:t>
          </w:r>
          <w:r w:rsidRPr="000C6D2A">
            <w:rPr>
              <w:bCs/>
              <w:sz w:val="24"/>
              <w:szCs w:val="24"/>
            </w:rPr>
            <w:fldChar w:fldCharType="end"/>
          </w:r>
        </w:sdtContent>
      </w:sdt>
      <w:r w:rsidRPr="000C6D2A">
        <w:rPr>
          <w:bCs/>
          <w:sz w:val="24"/>
          <w:szCs w:val="24"/>
        </w:rPr>
        <w:t xml:space="preserve">. </w:t>
      </w:r>
    </w:p>
    <w:p w14:paraId="5C25632E" w14:textId="77777777" w:rsidR="000C6D2A" w:rsidRPr="000C6D2A" w:rsidRDefault="000C6D2A" w:rsidP="000C6D2A">
      <w:pPr>
        <w:spacing w:line="360" w:lineRule="auto"/>
        <w:rPr>
          <w:bCs/>
          <w:sz w:val="24"/>
          <w:szCs w:val="24"/>
        </w:rPr>
      </w:pPr>
    </w:p>
    <w:p w14:paraId="215AB268" w14:textId="77777777" w:rsidR="000C6D2A" w:rsidRPr="000C6D2A" w:rsidRDefault="000C6D2A" w:rsidP="000C6D2A">
      <w:pPr>
        <w:spacing w:line="360" w:lineRule="auto"/>
        <w:rPr>
          <w:bCs/>
          <w:sz w:val="24"/>
          <w:szCs w:val="24"/>
        </w:rPr>
      </w:pPr>
    </w:p>
    <w:p w14:paraId="2F7AF954" w14:textId="77777777" w:rsidR="000C6D2A" w:rsidRPr="000C6D2A" w:rsidRDefault="000C6D2A" w:rsidP="000C6D2A">
      <w:pPr>
        <w:spacing w:line="360" w:lineRule="auto"/>
        <w:rPr>
          <w:bCs/>
          <w:sz w:val="24"/>
          <w:szCs w:val="24"/>
        </w:rPr>
      </w:pPr>
      <w:r w:rsidRPr="000C6D2A">
        <w:rPr>
          <w:bCs/>
          <w:sz w:val="24"/>
          <w:szCs w:val="24"/>
        </w:rPr>
        <w:t xml:space="preserve">At the scene, the car itself had substantial damage (as did the front of the house), and an on-the-spot risk assessment was performed. In line with the NDM </w:t>
      </w:r>
      <w:sdt>
        <w:sdtPr>
          <w:rPr>
            <w:bCs/>
            <w:sz w:val="24"/>
            <w:szCs w:val="24"/>
          </w:rPr>
          <w:id w:val="1120737100"/>
          <w:citation/>
        </w:sdtPr>
        <w:sdtContent>
          <w:r w:rsidRPr="000C6D2A">
            <w:rPr>
              <w:bCs/>
              <w:sz w:val="24"/>
              <w:szCs w:val="24"/>
            </w:rPr>
            <w:fldChar w:fldCharType="begin"/>
          </w:r>
          <w:r w:rsidRPr="000C6D2A">
            <w:rPr>
              <w:bCs/>
              <w:sz w:val="24"/>
              <w:szCs w:val="24"/>
            </w:rPr>
            <w:instrText xml:space="preserve"> CITATION Bla20 \l 2057 </w:instrText>
          </w:r>
          <w:r w:rsidRPr="000C6D2A">
            <w:rPr>
              <w:bCs/>
              <w:sz w:val="24"/>
              <w:szCs w:val="24"/>
            </w:rPr>
            <w:fldChar w:fldCharType="separate"/>
          </w:r>
          <w:r w:rsidRPr="000C6D2A">
            <w:rPr>
              <w:rFonts w:eastAsiaTheme="minorHAnsi"/>
              <w:noProof/>
              <w:sz w:val="24"/>
              <w:szCs w:val="24"/>
            </w:rPr>
            <w:t>(Blackstone's, 2020)</w:t>
          </w:r>
          <w:r w:rsidRPr="000C6D2A">
            <w:rPr>
              <w:bCs/>
              <w:sz w:val="24"/>
              <w:szCs w:val="24"/>
            </w:rPr>
            <w:fldChar w:fldCharType="end"/>
          </w:r>
        </w:sdtContent>
      </w:sdt>
      <w:r w:rsidRPr="000C6D2A">
        <w:rPr>
          <w:bCs/>
          <w:sz w:val="24"/>
          <w:szCs w:val="24"/>
        </w:rPr>
        <w:t xml:space="preserve">, a working strategy was put in place: The car was seized, and a search of the car was considered necessary to identify the driver and ensure their welfare. This search, like any other, must be safe and must be ethical. Gloves and </w:t>
      </w:r>
      <w:r w:rsidRPr="000C6D2A">
        <w:rPr>
          <w:bCs/>
          <w:sz w:val="24"/>
          <w:szCs w:val="24"/>
        </w:rPr>
        <w:lastRenderedPageBreak/>
        <w:t xml:space="preserve">BWV were used, and the vehicle was searched methodically. Inside of the vehicle, on the passenger seat was a large zip-lock back of cannabis, and several open bottles of beer. The cannabis was seized, and carefully documented in line with proper recording procedure. It was now </w:t>
      </w:r>
      <w:r w:rsidRPr="000C6D2A">
        <w:rPr>
          <w:bCs/>
          <w:i/>
          <w:iCs/>
          <w:sz w:val="24"/>
          <w:szCs w:val="24"/>
        </w:rPr>
        <w:t>my exhibit</w:t>
      </w:r>
      <w:r w:rsidRPr="000C6D2A">
        <w:rPr>
          <w:bCs/>
          <w:sz w:val="24"/>
          <w:szCs w:val="24"/>
        </w:rPr>
        <w:t xml:space="preserve">, and would be exhibited as such in my statement and in court. Standard checks were conducted on the vehicle, and it was found to be registered to a man known to locally to police. In progression with the investigation, this man was contacted by mobile, and he raised the defence that he was elsewhere at the time of the crash, and had sold the car a few days prior. He refused to give details to whom the car was sold over the phone, thus plans were put in place to apprehend this man to obtain a clear story, and if necessary, gather forensic evidence within an appropriate timeframe. Hand-in-hand with this evidence gathering, however, Blackstone’s handbook summarises the police’s responsibilities </w:t>
      </w:r>
      <w:r w:rsidRPr="000C6D2A">
        <w:rPr>
          <w:bCs/>
          <w:i/>
          <w:iCs/>
          <w:sz w:val="24"/>
          <w:szCs w:val="24"/>
        </w:rPr>
        <w:t>towards</w:t>
      </w:r>
      <w:r w:rsidRPr="000C6D2A">
        <w:rPr>
          <w:bCs/>
          <w:sz w:val="24"/>
          <w:szCs w:val="24"/>
        </w:rPr>
        <w:t xml:space="preserve"> those suspected - “</w:t>
      </w:r>
      <w:r w:rsidRPr="000C6D2A">
        <w:rPr>
          <w:bCs/>
          <w:i/>
          <w:iCs/>
          <w:sz w:val="24"/>
          <w:szCs w:val="24"/>
        </w:rPr>
        <w:t>Lines of enquiry that might exonerate a suspect must also be pursued</w:t>
      </w:r>
      <w:r w:rsidRPr="000C6D2A">
        <w:rPr>
          <w:bCs/>
          <w:sz w:val="24"/>
          <w:szCs w:val="24"/>
        </w:rPr>
        <w:t xml:space="preserve">” - </w:t>
      </w:r>
      <w:sdt>
        <w:sdtPr>
          <w:rPr>
            <w:bCs/>
            <w:sz w:val="24"/>
            <w:szCs w:val="24"/>
          </w:rPr>
          <w:id w:val="-926653467"/>
          <w:citation/>
        </w:sdtPr>
        <w:sdtContent>
          <w:r w:rsidRPr="000C6D2A">
            <w:rPr>
              <w:bCs/>
              <w:sz w:val="24"/>
              <w:szCs w:val="24"/>
            </w:rPr>
            <w:fldChar w:fldCharType="begin"/>
          </w:r>
          <w:r w:rsidRPr="000C6D2A">
            <w:rPr>
              <w:bCs/>
              <w:sz w:val="24"/>
              <w:szCs w:val="24"/>
            </w:rPr>
            <w:instrText xml:space="preserve"> CITATION Bla201 \l 2057 </w:instrText>
          </w:r>
          <w:r w:rsidRPr="000C6D2A">
            <w:rPr>
              <w:bCs/>
              <w:sz w:val="24"/>
              <w:szCs w:val="24"/>
            </w:rPr>
            <w:fldChar w:fldCharType="separate"/>
          </w:r>
          <w:r w:rsidRPr="000C6D2A">
            <w:rPr>
              <w:rFonts w:eastAsiaTheme="minorHAnsi"/>
              <w:noProof/>
              <w:sz w:val="24"/>
              <w:szCs w:val="24"/>
            </w:rPr>
            <w:t>(Blackstone's, 2020)</w:t>
          </w:r>
          <w:r w:rsidRPr="000C6D2A">
            <w:rPr>
              <w:bCs/>
              <w:sz w:val="24"/>
              <w:szCs w:val="24"/>
            </w:rPr>
            <w:fldChar w:fldCharType="end"/>
          </w:r>
        </w:sdtContent>
      </w:sdt>
      <w:r w:rsidRPr="000C6D2A">
        <w:rPr>
          <w:bCs/>
          <w:sz w:val="24"/>
          <w:szCs w:val="24"/>
        </w:rPr>
        <w:t xml:space="preserve">. Obtaining his story would also have allowed officers to listen to the man’s defence and allow us to investigate it, as we are duty bound (by CPIA) in an investigation. The police are, after all – impartial investigators, with impartiality being another one of the </w:t>
      </w:r>
      <w:r w:rsidRPr="000C6D2A">
        <w:rPr>
          <w:bCs/>
          <w:i/>
          <w:iCs/>
          <w:sz w:val="24"/>
          <w:szCs w:val="24"/>
        </w:rPr>
        <w:t>core values</w:t>
      </w:r>
      <w:r w:rsidRPr="000C6D2A">
        <w:rPr>
          <w:bCs/>
          <w:sz w:val="24"/>
          <w:szCs w:val="24"/>
        </w:rPr>
        <w:t xml:space="preserve"> of policing </w:t>
      </w:r>
      <w:sdt>
        <w:sdtPr>
          <w:rPr>
            <w:bCs/>
            <w:sz w:val="24"/>
            <w:szCs w:val="24"/>
          </w:rPr>
          <w:id w:val="1805883231"/>
          <w:citation/>
        </w:sdtPr>
        <w:sdtContent>
          <w:r w:rsidRPr="000C6D2A">
            <w:rPr>
              <w:bCs/>
              <w:sz w:val="24"/>
              <w:szCs w:val="24"/>
            </w:rPr>
            <w:fldChar w:fldCharType="begin"/>
          </w:r>
          <w:r w:rsidRPr="000C6D2A">
            <w:rPr>
              <w:bCs/>
              <w:sz w:val="24"/>
              <w:szCs w:val="24"/>
            </w:rPr>
            <w:instrText xml:space="preserve"> CITATION Col201 \l 2057 </w:instrText>
          </w:r>
          <w:r w:rsidRPr="000C6D2A">
            <w:rPr>
              <w:bCs/>
              <w:sz w:val="24"/>
              <w:szCs w:val="24"/>
            </w:rPr>
            <w:fldChar w:fldCharType="separate"/>
          </w:r>
          <w:r w:rsidRPr="000C6D2A">
            <w:rPr>
              <w:rFonts w:eastAsiaTheme="minorHAnsi"/>
              <w:noProof/>
              <w:sz w:val="24"/>
              <w:szCs w:val="24"/>
            </w:rPr>
            <w:t>(College of Policing, 2020)</w:t>
          </w:r>
          <w:r w:rsidRPr="000C6D2A">
            <w:rPr>
              <w:bCs/>
              <w:sz w:val="24"/>
              <w:szCs w:val="24"/>
            </w:rPr>
            <w:fldChar w:fldCharType="end"/>
          </w:r>
        </w:sdtContent>
      </w:sdt>
      <w:r w:rsidRPr="000C6D2A">
        <w:rPr>
          <w:bCs/>
          <w:sz w:val="24"/>
          <w:szCs w:val="24"/>
        </w:rPr>
        <w:t>.</w:t>
      </w:r>
    </w:p>
    <w:p w14:paraId="1BBBD22D" w14:textId="77777777" w:rsidR="000C6D2A" w:rsidRPr="000C6D2A" w:rsidRDefault="000C6D2A" w:rsidP="000C6D2A">
      <w:pPr>
        <w:spacing w:line="360" w:lineRule="auto"/>
        <w:rPr>
          <w:bCs/>
          <w:sz w:val="24"/>
          <w:szCs w:val="24"/>
        </w:rPr>
      </w:pPr>
    </w:p>
    <w:p w14:paraId="0F7AC6D7" w14:textId="77777777" w:rsidR="000C6D2A" w:rsidRPr="000C6D2A" w:rsidRDefault="000C6D2A" w:rsidP="000C6D2A">
      <w:pPr>
        <w:spacing w:line="360" w:lineRule="auto"/>
        <w:rPr>
          <w:bCs/>
          <w:sz w:val="24"/>
          <w:szCs w:val="24"/>
        </w:rPr>
      </w:pPr>
      <w:r w:rsidRPr="000C6D2A">
        <w:rPr>
          <w:bCs/>
          <w:sz w:val="24"/>
          <w:szCs w:val="24"/>
        </w:rPr>
        <w:t xml:space="preserve">This incident occurred in a small, close-knit town, and was sure to be high-profile locally, and as such information was to be gathered quickly – before rumour could spread. A group of youths had gathered further up the street, and when asked about what they know about the crash, one of them said that he saw a man known locally driving (the same person registered as the owner) the vehicle three days prior. This was important information that corroborated with information on the police system. Regardless of this, the youth’s details were taken and verified, along with those of his parent – in case a statement was necessary to this effect. This intelligence was considered alongside the ongoing investigation, and evaluated to be reliable – and at no stage was the suspect’s name revealed or confirmed to the youth. Once again, my actions were recorded and all information obtained was stored, just in-case it was ever needed through this investigation or following criminal proceedings. </w:t>
      </w:r>
    </w:p>
    <w:p w14:paraId="742AEC4F" w14:textId="77777777" w:rsidR="000C6D2A" w:rsidRPr="000C6D2A" w:rsidRDefault="000C6D2A" w:rsidP="000C6D2A">
      <w:pPr>
        <w:spacing w:line="360" w:lineRule="auto"/>
        <w:rPr>
          <w:bCs/>
          <w:sz w:val="24"/>
          <w:szCs w:val="24"/>
        </w:rPr>
      </w:pPr>
    </w:p>
    <w:p w14:paraId="2DB89A79" w14:textId="77777777" w:rsidR="000C6D2A" w:rsidRPr="000C6D2A" w:rsidRDefault="000C6D2A" w:rsidP="000C6D2A">
      <w:pPr>
        <w:spacing w:line="360" w:lineRule="auto"/>
        <w:rPr>
          <w:bCs/>
          <w:sz w:val="24"/>
          <w:szCs w:val="24"/>
        </w:rPr>
      </w:pPr>
      <w:r w:rsidRPr="000C6D2A">
        <w:rPr>
          <w:bCs/>
          <w:sz w:val="24"/>
          <w:szCs w:val="24"/>
        </w:rPr>
        <w:t xml:space="preserve">Despite the initial investigation and information obtained from it, whilst talking to the owners of the house during an assessment of the damage done, units had been </w:t>
      </w:r>
      <w:r w:rsidRPr="000C6D2A">
        <w:rPr>
          <w:bCs/>
          <w:sz w:val="24"/>
          <w:szCs w:val="24"/>
        </w:rPr>
        <w:lastRenderedPageBreak/>
        <w:t xml:space="preserve">made aware that a male had surrendered himself to police officers about a mile up the road from the crash. He identified himself as the driver, and admitted that he only had a provisional licence, and no insurance. He described the crash, and even after being cautioned – admitted that he hopes officers hadn’t ‘got rid of his weed’. Any biases I had that might lead an investigation toward an initial suspected person were dashed, as this man’s name was not the same as the registered owner – a discrepancy clarified by the detained man’s admitted purchase of the vehicle two days prior – corroborating information received from the initial suspect. Of course it could never be discounted that this new suspect had simply been </w:t>
      </w:r>
      <w:r w:rsidRPr="000C6D2A">
        <w:rPr>
          <w:bCs/>
          <w:i/>
          <w:iCs/>
          <w:sz w:val="24"/>
          <w:szCs w:val="24"/>
        </w:rPr>
        <w:t>covering</w:t>
      </w:r>
      <w:r w:rsidRPr="000C6D2A">
        <w:rPr>
          <w:bCs/>
          <w:sz w:val="24"/>
          <w:szCs w:val="24"/>
        </w:rPr>
        <w:t xml:space="preserve"> for the previous suspect, but this could be investigated in due course – and </w:t>
      </w:r>
      <w:r w:rsidRPr="000C6D2A">
        <w:rPr>
          <w:bCs/>
          <w:i/>
          <w:iCs/>
          <w:sz w:val="24"/>
          <w:szCs w:val="24"/>
        </w:rPr>
        <w:t>on the balance of probabilities,</w:t>
      </w:r>
      <w:r w:rsidRPr="000C6D2A">
        <w:rPr>
          <w:bCs/>
          <w:sz w:val="24"/>
          <w:szCs w:val="24"/>
        </w:rPr>
        <w:t xml:space="preserve"> seemed unlikely.</w:t>
      </w:r>
    </w:p>
    <w:p w14:paraId="1E0ACC88" w14:textId="77777777" w:rsidR="000C6D2A" w:rsidRPr="000C6D2A" w:rsidRDefault="000C6D2A" w:rsidP="000C6D2A">
      <w:pPr>
        <w:spacing w:line="360" w:lineRule="auto"/>
        <w:rPr>
          <w:bCs/>
          <w:sz w:val="24"/>
          <w:szCs w:val="24"/>
        </w:rPr>
      </w:pPr>
    </w:p>
    <w:p w14:paraId="1F553634" w14:textId="77777777" w:rsidR="000C6D2A" w:rsidRPr="000C6D2A" w:rsidRDefault="000C6D2A" w:rsidP="000C6D2A">
      <w:pPr>
        <w:spacing w:line="360" w:lineRule="auto"/>
        <w:rPr>
          <w:bCs/>
          <w:sz w:val="24"/>
          <w:szCs w:val="24"/>
        </w:rPr>
      </w:pPr>
      <w:r w:rsidRPr="000C6D2A">
        <w:rPr>
          <w:bCs/>
          <w:sz w:val="24"/>
          <w:szCs w:val="24"/>
        </w:rPr>
        <w:t>After the events detailed above were concluded, I wrote a statement on my actions, and the actions of others during the incident. I had, in my statement, properly disclosed all the information I had obtained, and all of the evidence I had seized or made produced as exhibits. Writing the statement, which is required in any case, uncovered a good opportunity to reflect on my actions in an educational sense. This was the first time in my policing career that I had to start an investigation from scratch, whereby an crime had occurred, and I was the first at the scene. It was difficult, at times, to remember to collect everything, including my thoughts, methodically and to record my own actions accurately, but the importance of such requirements were impressed on me beforehand by my tutor, and through training. It was also somewhat unnerving to direct the public in a leader-like way, but this became second nature as the evening progressed – and has since become stronger through more public interaction.</w:t>
      </w:r>
    </w:p>
    <w:p w14:paraId="230D3698" w14:textId="77777777" w:rsidR="000C6D2A" w:rsidRPr="000C6D2A" w:rsidRDefault="000C6D2A" w:rsidP="000C6D2A">
      <w:pPr>
        <w:spacing w:line="360" w:lineRule="auto"/>
        <w:rPr>
          <w:bCs/>
          <w:sz w:val="24"/>
          <w:szCs w:val="24"/>
        </w:rPr>
      </w:pPr>
      <w:r w:rsidRPr="000C6D2A">
        <w:rPr>
          <w:bCs/>
          <w:sz w:val="24"/>
          <w:szCs w:val="24"/>
        </w:rPr>
        <w:t xml:space="preserve">In evaluation, all processes that were conducted were conducted legally and in line with relevant guidelines. The CPIA underlines what an investigation is, and it outlines the police’s responsibilities throughout one, </w:t>
      </w:r>
      <w:sdt>
        <w:sdtPr>
          <w:rPr>
            <w:bCs/>
            <w:sz w:val="24"/>
            <w:szCs w:val="24"/>
          </w:rPr>
          <w:id w:val="-1469123708"/>
          <w:citation/>
        </w:sdtPr>
        <w:sdtContent>
          <w:r w:rsidRPr="000C6D2A">
            <w:rPr>
              <w:bCs/>
              <w:sz w:val="24"/>
              <w:szCs w:val="24"/>
            </w:rPr>
            <w:fldChar w:fldCharType="begin"/>
          </w:r>
          <w:r w:rsidRPr="000C6D2A">
            <w:rPr>
              <w:bCs/>
              <w:sz w:val="24"/>
              <w:szCs w:val="24"/>
            </w:rPr>
            <w:instrText xml:space="preserve"> CITATION Bla201 \l 2057 </w:instrText>
          </w:r>
          <w:r w:rsidRPr="000C6D2A">
            <w:rPr>
              <w:bCs/>
              <w:sz w:val="24"/>
              <w:szCs w:val="24"/>
            </w:rPr>
            <w:fldChar w:fldCharType="separate"/>
          </w:r>
          <w:r w:rsidRPr="000C6D2A">
            <w:rPr>
              <w:rFonts w:eastAsiaTheme="minorHAnsi"/>
              <w:noProof/>
              <w:sz w:val="24"/>
              <w:szCs w:val="24"/>
            </w:rPr>
            <w:t>(Blackstone's, 2020)</w:t>
          </w:r>
          <w:r w:rsidRPr="000C6D2A">
            <w:rPr>
              <w:bCs/>
              <w:sz w:val="24"/>
              <w:szCs w:val="24"/>
            </w:rPr>
            <w:fldChar w:fldCharType="end"/>
          </w:r>
        </w:sdtContent>
      </w:sdt>
      <w:r w:rsidRPr="000C6D2A">
        <w:rPr>
          <w:bCs/>
          <w:sz w:val="24"/>
          <w:szCs w:val="24"/>
        </w:rPr>
        <w:t>. I believe that in respect to this, I had followed all parts that were relevant on this occasion– even if I did have to refer to my tutor’s knowledge on several occasions. Although, at this incident not much evidence was gathered, or even required beyond what was established, I am aware that in future investigations I will have to be beyond reproach in my gathering, storing and disclosing of information.</w:t>
      </w:r>
    </w:p>
    <w:p w14:paraId="4CF4268E" w14:textId="77777777" w:rsidR="000C6D2A" w:rsidRPr="000C6D2A" w:rsidRDefault="000C6D2A" w:rsidP="000C6D2A">
      <w:pPr>
        <w:spacing w:line="360" w:lineRule="auto"/>
        <w:rPr>
          <w:bCs/>
          <w:sz w:val="24"/>
          <w:szCs w:val="24"/>
        </w:rPr>
      </w:pPr>
    </w:p>
    <w:p w14:paraId="4D77FE69" w14:textId="12FB5431" w:rsidR="000C6D2A" w:rsidRPr="000C6D2A" w:rsidRDefault="000C6D2A" w:rsidP="000C6D2A">
      <w:pPr>
        <w:spacing w:line="360" w:lineRule="auto"/>
        <w:rPr>
          <w:bCs/>
          <w:sz w:val="24"/>
          <w:szCs w:val="24"/>
        </w:rPr>
      </w:pPr>
      <w:r w:rsidRPr="000C6D2A">
        <w:rPr>
          <w:bCs/>
          <w:sz w:val="24"/>
          <w:szCs w:val="24"/>
        </w:rPr>
        <w:lastRenderedPageBreak/>
        <w:t xml:space="preserve"> I have learned from this situation that it is a skill to be able to multi-task dealing with an investigation, dealing with upset victims, and curious members of the public – and I hope to engage and improve this skill moving forward. I will utilise to a much greater degree my e-pocket notebook, and will ensure I conduct myself with confidence at any potential crime scene to aid this. I will also ensure that I note the evidence I take, and </w:t>
      </w:r>
      <w:r w:rsidR="009F3FAD" w:rsidRPr="000C6D2A">
        <w:rPr>
          <w:bCs/>
          <w:sz w:val="24"/>
          <w:szCs w:val="24"/>
        </w:rPr>
        <w:t>its</w:t>
      </w:r>
      <w:r w:rsidRPr="000C6D2A">
        <w:rPr>
          <w:bCs/>
          <w:sz w:val="24"/>
          <w:szCs w:val="24"/>
        </w:rPr>
        <w:t xml:space="preserve"> reference at the earliest convenience, save having to flick though notes and logs to recall what evidence was taken and when. </w:t>
      </w:r>
    </w:p>
    <w:p w14:paraId="52FCEE5A" w14:textId="0F67E068" w:rsidR="00025650" w:rsidRPr="000C6D2A" w:rsidRDefault="000C6D2A" w:rsidP="000C6D2A">
      <w:pPr>
        <w:spacing w:line="360" w:lineRule="auto"/>
        <w:jc w:val="both"/>
        <w:rPr>
          <w:sz w:val="24"/>
          <w:szCs w:val="24"/>
        </w:rPr>
      </w:pPr>
      <w:r w:rsidRPr="000C6D2A">
        <w:rPr>
          <w:i/>
          <w:iCs/>
          <w:sz w:val="24"/>
          <w:szCs w:val="24"/>
        </w:rPr>
        <w:t>Word Count: 1514</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30A8E73C" w:rsidR="00220D06" w:rsidRPr="00270EEB" w:rsidRDefault="00784865" w:rsidP="00FF7EBB">
            <w:pPr>
              <w:jc w:val="both"/>
              <w:rPr>
                <w:sz w:val="24"/>
                <w:szCs w:val="24"/>
              </w:rPr>
            </w:pPr>
            <w:r>
              <w:rPr>
                <w:sz w:val="24"/>
                <w:szCs w:val="24"/>
              </w:rPr>
              <w:t xml:space="preserve">Decision making and discretion – making effective decisions based on information known and </w:t>
            </w:r>
            <w:proofErr w:type="gramStart"/>
            <w:r>
              <w:rPr>
                <w:sz w:val="24"/>
                <w:szCs w:val="24"/>
              </w:rPr>
              <w:t>gathered, and</w:t>
            </w:r>
            <w:proofErr w:type="gramEnd"/>
            <w:r>
              <w:rPr>
                <w:sz w:val="24"/>
                <w:szCs w:val="24"/>
              </w:rPr>
              <w:t xml:space="preserve"> taking lead.</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449E2D1" w:rsidR="00220D06" w:rsidRPr="00270EEB" w:rsidRDefault="00784865" w:rsidP="00FF7EBB">
            <w:pPr>
              <w:jc w:val="both"/>
              <w:rPr>
                <w:sz w:val="24"/>
                <w:szCs w:val="24"/>
              </w:rPr>
            </w:pPr>
            <w:r>
              <w:rPr>
                <w:sz w:val="24"/>
                <w:szCs w:val="24"/>
              </w:rPr>
              <w:t>By taking the lead in new / unfamiliar situations, I can improve my confidence and recognise when certain decisions must be made, and when my discretion can be used. Easing off on tutor intervention will be the most effective way in achieving this.</w:t>
            </w:r>
          </w:p>
        </w:tc>
        <w:tc>
          <w:tcPr>
            <w:tcW w:w="2230" w:type="dxa"/>
            <w:shd w:val="clear" w:color="auto" w:fill="auto"/>
          </w:tcPr>
          <w:p w14:paraId="177DD410" w14:textId="1A7A3F08" w:rsidR="00220D06" w:rsidRPr="00270EEB" w:rsidRDefault="00784865" w:rsidP="00FF7EBB">
            <w:pPr>
              <w:jc w:val="both"/>
              <w:rPr>
                <w:sz w:val="24"/>
                <w:szCs w:val="24"/>
              </w:rPr>
            </w:pPr>
            <w:r>
              <w:rPr>
                <w:sz w:val="24"/>
                <w:szCs w:val="24"/>
              </w:rPr>
              <w:t>Tutor / colleagues</w:t>
            </w:r>
          </w:p>
        </w:tc>
        <w:tc>
          <w:tcPr>
            <w:tcW w:w="2230" w:type="dxa"/>
            <w:shd w:val="clear" w:color="auto" w:fill="auto"/>
          </w:tcPr>
          <w:p w14:paraId="1F90E38B" w14:textId="579DEC11" w:rsidR="62FE5CAF" w:rsidRDefault="00784865" w:rsidP="62FE5CAF">
            <w:pPr>
              <w:jc w:val="both"/>
              <w:rPr>
                <w:sz w:val="24"/>
                <w:szCs w:val="24"/>
              </w:rPr>
            </w:pPr>
            <w:r>
              <w:rPr>
                <w:sz w:val="24"/>
                <w:szCs w:val="24"/>
              </w:rPr>
              <w:t xml:space="preserve">1-2 months </w:t>
            </w:r>
            <w:r w:rsidR="000C6D2A">
              <w:rPr>
                <w:sz w:val="24"/>
                <w:szCs w:val="24"/>
              </w:rPr>
              <w:t xml:space="preserve">from start </w:t>
            </w:r>
            <w:r>
              <w:rPr>
                <w:sz w:val="24"/>
                <w:szCs w:val="24"/>
              </w:rPr>
              <w:t xml:space="preserve">– </w:t>
            </w:r>
            <w:r w:rsidR="000C6D2A">
              <w:rPr>
                <w:sz w:val="24"/>
                <w:szCs w:val="24"/>
              </w:rPr>
              <w:t>at</w:t>
            </w:r>
            <w:r>
              <w:rPr>
                <w:sz w:val="24"/>
                <w:szCs w:val="24"/>
              </w:rPr>
              <w:t xml:space="preserve"> or after becoming independent. Will be measured on reflection of my dealing with a situation. I will gauge my confidence based on previous similar encounters.</w:t>
            </w:r>
          </w:p>
        </w:tc>
      </w:tr>
      <w:tr w:rsidR="00220D06" w:rsidRPr="00270EEB" w14:paraId="4DD6097A" w14:textId="77777777" w:rsidTr="6E3AA50A">
        <w:tc>
          <w:tcPr>
            <w:tcW w:w="2318" w:type="dxa"/>
            <w:shd w:val="clear" w:color="auto" w:fill="auto"/>
          </w:tcPr>
          <w:p w14:paraId="4865F322" w14:textId="77777777" w:rsidR="00220D06" w:rsidRPr="00270EEB" w:rsidRDefault="00220D06" w:rsidP="00FF7EBB">
            <w:pPr>
              <w:jc w:val="both"/>
              <w:rPr>
                <w:sz w:val="24"/>
                <w:szCs w:val="24"/>
              </w:rPr>
            </w:pPr>
          </w:p>
          <w:p w14:paraId="0A2D2C9B" w14:textId="3374424B" w:rsidR="00220D06" w:rsidRPr="00270EEB" w:rsidRDefault="000C6D2A" w:rsidP="00FF7EBB">
            <w:pPr>
              <w:jc w:val="both"/>
              <w:rPr>
                <w:sz w:val="24"/>
                <w:szCs w:val="24"/>
              </w:rPr>
            </w:pPr>
            <w:r>
              <w:rPr>
                <w:sz w:val="24"/>
                <w:szCs w:val="24"/>
              </w:rPr>
              <w:t>Collaboration – working with other agencies to achieve a common goal. I want to better understand how we work with partner agencies in giving victims/offenders/ service users the appropriate service. I will better understand how these agencies work, and what services they offer, and how they undertake those services.</w:t>
            </w: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EAD5A78" w:rsidR="00220D06" w:rsidRPr="00270EEB" w:rsidRDefault="000C6D2A" w:rsidP="00FF7EBB">
            <w:pPr>
              <w:jc w:val="both"/>
              <w:rPr>
                <w:sz w:val="24"/>
                <w:szCs w:val="24"/>
              </w:rPr>
            </w:pPr>
            <w:r>
              <w:rPr>
                <w:sz w:val="24"/>
                <w:szCs w:val="24"/>
              </w:rPr>
              <w:t>By utilising information available on my force’s intranet – I can see how individual force policy dictates how a particular agency is used and what they do.</w:t>
            </w:r>
          </w:p>
        </w:tc>
        <w:tc>
          <w:tcPr>
            <w:tcW w:w="2230" w:type="dxa"/>
            <w:shd w:val="clear" w:color="auto" w:fill="auto"/>
          </w:tcPr>
          <w:p w14:paraId="00C887A5" w14:textId="77777777" w:rsidR="00220D06" w:rsidRDefault="000C6D2A" w:rsidP="00FF7EBB">
            <w:pPr>
              <w:jc w:val="both"/>
              <w:rPr>
                <w:sz w:val="24"/>
                <w:szCs w:val="24"/>
              </w:rPr>
            </w:pPr>
            <w:proofErr w:type="gramStart"/>
            <w:r>
              <w:rPr>
                <w:sz w:val="24"/>
                <w:szCs w:val="24"/>
              </w:rPr>
              <w:t>Myself</w:t>
            </w:r>
            <w:proofErr w:type="gramEnd"/>
            <w:r>
              <w:rPr>
                <w:sz w:val="24"/>
                <w:szCs w:val="24"/>
              </w:rPr>
              <w:t xml:space="preserve"> – can research on intranet, as well as college of policing website.</w:t>
            </w:r>
          </w:p>
          <w:p w14:paraId="684B2F2E" w14:textId="77777777" w:rsidR="000C6D2A" w:rsidRDefault="000C6D2A" w:rsidP="00FF7EBB">
            <w:pPr>
              <w:jc w:val="both"/>
              <w:rPr>
                <w:sz w:val="24"/>
                <w:szCs w:val="24"/>
              </w:rPr>
            </w:pPr>
          </w:p>
          <w:p w14:paraId="1AAD8B7D" w14:textId="77777777" w:rsidR="000C6D2A" w:rsidRDefault="000C6D2A" w:rsidP="00FF7EBB">
            <w:pPr>
              <w:jc w:val="both"/>
              <w:rPr>
                <w:sz w:val="24"/>
                <w:szCs w:val="24"/>
              </w:rPr>
            </w:pPr>
            <w:r>
              <w:rPr>
                <w:sz w:val="24"/>
                <w:szCs w:val="24"/>
              </w:rPr>
              <w:t>Tutor – can impart what knowledge they have of particular agencies</w:t>
            </w:r>
          </w:p>
          <w:p w14:paraId="6A7DC4B7" w14:textId="77777777" w:rsidR="000C6D2A" w:rsidRDefault="000C6D2A" w:rsidP="00FF7EBB">
            <w:pPr>
              <w:jc w:val="both"/>
              <w:rPr>
                <w:sz w:val="24"/>
                <w:szCs w:val="24"/>
              </w:rPr>
            </w:pPr>
          </w:p>
          <w:p w14:paraId="55CDA8EA" w14:textId="0ECD0677" w:rsidR="000C6D2A" w:rsidRPr="00270EEB" w:rsidRDefault="000C6D2A" w:rsidP="00FF7EBB">
            <w:pPr>
              <w:jc w:val="both"/>
              <w:rPr>
                <w:sz w:val="24"/>
                <w:szCs w:val="24"/>
              </w:rPr>
            </w:pPr>
          </w:p>
        </w:tc>
        <w:tc>
          <w:tcPr>
            <w:tcW w:w="2230" w:type="dxa"/>
            <w:shd w:val="clear" w:color="auto" w:fill="auto"/>
          </w:tcPr>
          <w:p w14:paraId="25AAFC86" w14:textId="335E7A20" w:rsidR="62FE5CAF" w:rsidRDefault="000C6D2A" w:rsidP="62FE5CAF">
            <w:pPr>
              <w:jc w:val="both"/>
              <w:rPr>
                <w:sz w:val="24"/>
                <w:szCs w:val="24"/>
              </w:rPr>
            </w:pPr>
            <w:r>
              <w:rPr>
                <w:sz w:val="24"/>
                <w:szCs w:val="24"/>
              </w:rPr>
              <w:t xml:space="preserve">Within 9 months from achieving independent status. Will consider an ongoing learning </w:t>
            </w:r>
            <w:proofErr w:type="gramStart"/>
            <w:r>
              <w:rPr>
                <w:sz w:val="24"/>
                <w:szCs w:val="24"/>
              </w:rPr>
              <w:t>situation, and</w:t>
            </w:r>
            <w:proofErr w:type="gramEnd"/>
            <w:r>
              <w:rPr>
                <w:sz w:val="24"/>
                <w:szCs w:val="24"/>
              </w:rPr>
              <w:t xml:space="preserve"> will also gain more information on more agencies as my career progresses.</w:t>
            </w:r>
          </w:p>
        </w:tc>
      </w:tr>
      <w:tr w:rsidR="00220D06" w:rsidRPr="00270EEB" w14:paraId="32973BBE" w14:textId="77777777" w:rsidTr="6E3AA50A">
        <w:tc>
          <w:tcPr>
            <w:tcW w:w="2318" w:type="dxa"/>
            <w:shd w:val="clear" w:color="auto" w:fill="auto"/>
          </w:tcPr>
          <w:p w14:paraId="7135D955" w14:textId="77777777" w:rsidR="000C6D2A" w:rsidRPr="00270EEB" w:rsidRDefault="000C6D2A" w:rsidP="000C6D2A">
            <w:pPr>
              <w:jc w:val="both"/>
              <w:rPr>
                <w:sz w:val="24"/>
                <w:szCs w:val="24"/>
              </w:rPr>
            </w:pPr>
            <w:r>
              <w:rPr>
                <w:sz w:val="24"/>
                <w:szCs w:val="24"/>
              </w:rPr>
              <w:lastRenderedPageBreak/>
              <w:t xml:space="preserve">Creative Policing – hearing about how innovative practices have been formed from police </w:t>
            </w:r>
            <w:proofErr w:type="gramStart"/>
            <w:r>
              <w:rPr>
                <w:sz w:val="24"/>
                <w:szCs w:val="24"/>
              </w:rPr>
              <w:t>officers</w:t>
            </w:r>
            <w:proofErr w:type="gramEnd"/>
            <w:r>
              <w:rPr>
                <w:sz w:val="24"/>
                <w:szCs w:val="24"/>
              </w:rPr>
              <w:t xml:space="preserve"> own efforts in work encourages me to understand what discretion is available to me in my day to day handling of situations.</w:t>
            </w:r>
          </w:p>
          <w:p w14:paraId="39DF81BF" w14:textId="77777777" w:rsidR="000C6D2A" w:rsidRPr="00270EEB" w:rsidRDefault="000C6D2A" w:rsidP="000C6D2A">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0C343E46" w14:textId="77777777" w:rsidR="00220D06" w:rsidRDefault="000C6D2A" w:rsidP="00FF7EBB">
            <w:pPr>
              <w:jc w:val="both"/>
              <w:rPr>
                <w:sz w:val="24"/>
                <w:szCs w:val="24"/>
              </w:rPr>
            </w:pPr>
            <w:r>
              <w:rPr>
                <w:sz w:val="24"/>
                <w:szCs w:val="24"/>
              </w:rPr>
              <w:t xml:space="preserve">I will talk to my team and officers within my force to ascertain what they have done, and what they are proud of in using their discretion and creativity. </w:t>
            </w:r>
          </w:p>
          <w:p w14:paraId="568C69DA" w14:textId="20B07401" w:rsidR="000C6D2A" w:rsidRPr="00270EEB" w:rsidRDefault="000C6D2A" w:rsidP="00FF7EBB">
            <w:pPr>
              <w:jc w:val="both"/>
              <w:rPr>
                <w:sz w:val="24"/>
                <w:szCs w:val="24"/>
              </w:rPr>
            </w:pPr>
            <w:r>
              <w:rPr>
                <w:sz w:val="24"/>
                <w:szCs w:val="24"/>
              </w:rPr>
              <w:t xml:space="preserve">I will discuss this with my fellow colleagues in </w:t>
            </w:r>
            <w:proofErr w:type="gramStart"/>
            <w:r>
              <w:rPr>
                <w:sz w:val="24"/>
                <w:szCs w:val="24"/>
              </w:rPr>
              <w:t>probation, and</w:t>
            </w:r>
            <w:proofErr w:type="gramEnd"/>
            <w:r>
              <w:rPr>
                <w:sz w:val="24"/>
                <w:szCs w:val="24"/>
              </w:rPr>
              <w:t xml:space="preserve"> see how their own perception of creative freedom given to officers might differ to my own.</w:t>
            </w:r>
          </w:p>
        </w:tc>
        <w:tc>
          <w:tcPr>
            <w:tcW w:w="2230" w:type="dxa"/>
            <w:shd w:val="clear" w:color="auto" w:fill="auto"/>
          </w:tcPr>
          <w:p w14:paraId="0C7625EA" w14:textId="77777777" w:rsidR="00220D06" w:rsidRDefault="000C6D2A" w:rsidP="000C6D2A">
            <w:pPr>
              <w:rPr>
                <w:sz w:val="24"/>
                <w:szCs w:val="24"/>
              </w:rPr>
            </w:pPr>
            <w:r>
              <w:rPr>
                <w:sz w:val="24"/>
                <w:szCs w:val="24"/>
              </w:rPr>
              <w:t>NPT sergeant</w:t>
            </w:r>
          </w:p>
          <w:p w14:paraId="0945CFC1" w14:textId="77777777" w:rsidR="000C6D2A" w:rsidRDefault="000C6D2A" w:rsidP="000C6D2A">
            <w:pPr>
              <w:rPr>
                <w:sz w:val="24"/>
                <w:szCs w:val="24"/>
              </w:rPr>
            </w:pPr>
            <w:r>
              <w:rPr>
                <w:sz w:val="24"/>
                <w:szCs w:val="24"/>
              </w:rPr>
              <w:t>My colleagues</w:t>
            </w:r>
          </w:p>
          <w:p w14:paraId="66E0D431" w14:textId="77777777" w:rsidR="000C6D2A" w:rsidRDefault="000C6D2A" w:rsidP="000C6D2A">
            <w:pPr>
              <w:rPr>
                <w:sz w:val="24"/>
                <w:szCs w:val="24"/>
              </w:rPr>
            </w:pPr>
            <w:r>
              <w:rPr>
                <w:sz w:val="24"/>
                <w:szCs w:val="24"/>
              </w:rPr>
              <w:t>My Sergeant</w:t>
            </w:r>
          </w:p>
          <w:p w14:paraId="63C5B3FF" w14:textId="19D99B01" w:rsidR="000C6D2A" w:rsidRPr="00270EEB" w:rsidRDefault="000C6D2A" w:rsidP="000C6D2A">
            <w:pPr>
              <w:rPr>
                <w:sz w:val="24"/>
                <w:szCs w:val="24"/>
              </w:rPr>
            </w:pPr>
            <w:r>
              <w:rPr>
                <w:sz w:val="24"/>
                <w:szCs w:val="24"/>
              </w:rPr>
              <w:t>My student-colleagues</w:t>
            </w:r>
          </w:p>
        </w:tc>
        <w:tc>
          <w:tcPr>
            <w:tcW w:w="2230" w:type="dxa"/>
            <w:shd w:val="clear" w:color="auto" w:fill="auto"/>
          </w:tcPr>
          <w:p w14:paraId="5A4090B6" w14:textId="09168FE5" w:rsidR="62FE5CAF" w:rsidRDefault="000C6D2A" w:rsidP="62FE5CAF">
            <w:pPr>
              <w:jc w:val="both"/>
              <w:rPr>
                <w:sz w:val="24"/>
                <w:szCs w:val="24"/>
              </w:rPr>
            </w:pPr>
            <w:r>
              <w:rPr>
                <w:sz w:val="24"/>
                <w:szCs w:val="24"/>
              </w:rPr>
              <w:t xml:space="preserve">Ongoing, however I will ensure that I speak to a colleague from </w:t>
            </w:r>
            <w:proofErr w:type="gramStart"/>
            <w:r>
              <w:rPr>
                <w:sz w:val="24"/>
                <w:szCs w:val="24"/>
              </w:rPr>
              <w:t>the  NPT</w:t>
            </w:r>
            <w:proofErr w:type="gramEnd"/>
            <w:r>
              <w:rPr>
                <w:sz w:val="24"/>
                <w:szCs w:val="24"/>
              </w:rPr>
              <w:t xml:space="preserve"> (neighbourhood policing team) within 3 months from now (prior to March 2022) regarding any creative decisions they’ve made – particularly with regard to tackling any local policing issues and priorities.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C85E4E6"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7AB11E9" w14:textId="78DB06FC" w:rsidR="000C6D2A" w:rsidRDefault="000C6D2A" w:rsidP="00C44446">
      <w:pPr>
        <w:keepNext/>
        <w:spacing w:before="240" w:after="60"/>
        <w:jc w:val="both"/>
        <w:rPr>
          <w:sz w:val="24"/>
          <w:szCs w:val="24"/>
        </w:rPr>
      </w:pPr>
    </w:p>
    <w:sdt>
      <w:sdtPr>
        <w:id w:val="111145805"/>
        <w:bibliography/>
      </w:sdtPr>
      <w:sdtEndPr>
        <w:rPr>
          <w:rFonts w:ascii="Arial" w:eastAsia="Times New Roman" w:hAnsi="Arial" w:cs="Arial"/>
          <w:color w:val="000000"/>
          <w:sz w:val="24"/>
          <w:szCs w:val="24"/>
          <w:lang w:eastAsia="en-GB"/>
        </w:rPr>
      </w:sdtEndPr>
      <w:sdtContent>
        <w:p w14:paraId="167F29AC" w14:textId="77777777" w:rsidR="000C6D2A" w:rsidRPr="000C6D2A" w:rsidRDefault="000C6D2A" w:rsidP="000C6D2A">
          <w:pPr>
            <w:pStyle w:val="Bibliography"/>
            <w:rPr>
              <w:noProof/>
              <w:sz w:val="24"/>
              <w:szCs w:val="24"/>
              <w:lang w:val="en-US"/>
            </w:rPr>
          </w:pPr>
          <w:r w:rsidRPr="000C6D2A">
            <w:rPr>
              <w:sz w:val="24"/>
              <w:szCs w:val="24"/>
            </w:rPr>
            <w:fldChar w:fldCharType="begin"/>
          </w:r>
          <w:r w:rsidRPr="000C6D2A">
            <w:rPr>
              <w:sz w:val="24"/>
              <w:szCs w:val="24"/>
            </w:rPr>
            <w:instrText xml:space="preserve"> BIBLIOGRAPHY </w:instrText>
          </w:r>
          <w:r w:rsidRPr="000C6D2A">
            <w:rPr>
              <w:sz w:val="24"/>
              <w:szCs w:val="24"/>
            </w:rPr>
            <w:fldChar w:fldCharType="separate"/>
          </w:r>
          <w:r w:rsidRPr="000C6D2A">
            <w:rPr>
              <w:noProof/>
              <w:sz w:val="24"/>
              <w:szCs w:val="24"/>
              <w:lang w:val="en-US"/>
            </w:rPr>
            <w:t xml:space="preserve">BBC, 2016. </w:t>
          </w:r>
          <w:r w:rsidRPr="000C6D2A">
            <w:rPr>
              <w:i/>
              <w:iCs/>
              <w:noProof/>
              <w:sz w:val="24"/>
              <w:szCs w:val="24"/>
              <w:lang w:val="en-US"/>
            </w:rPr>
            <w:t xml:space="preserve">Revenge Porn: More than 200 prosecuted under new law, </w:t>
          </w:r>
          <w:r w:rsidRPr="000C6D2A">
            <w:rPr>
              <w:noProof/>
              <w:sz w:val="24"/>
              <w:szCs w:val="24"/>
              <w:lang w:val="en-US"/>
            </w:rPr>
            <w:t>London: BBC.</w:t>
          </w:r>
        </w:p>
        <w:p w14:paraId="276E70DF" w14:textId="77777777" w:rsidR="000C6D2A" w:rsidRPr="000C6D2A" w:rsidRDefault="000C6D2A" w:rsidP="000C6D2A">
          <w:pPr>
            <w:pStyle w:val="Bibliography"/>
            <w:rPr>
              <w:noProof/>
              <w:sz w:val="24"/>
              <w:szCs w:val="24"/>
              <w:lang w:val="en-US"/>
            </w:rPr>
          </w:pPr>
          <w:r w:rsidRPr="000C6D2A">
            <w:rPr>
              <w:noProof/>
              <w:sz w:val="24"/>
              <w:szCs w:val="24"/>
              <w:lang w:val="en-US"/>
            </w:rPr>
            <w:t xml:space="preserve">Blackstone's, 2020. Criminal Investigation: The Criminal Procedure and Investigations Act 1996. In: R. Bryant &amp; S. Bryant, eds. </w:t>
          </w:r>
          <w:r w:rsidRPr="000C6D2A">
            <w:rPr>
              <w:i/>
              <w:iCs/>
              <w:noProof/>
              <w:sz w:val="24"/>
              <w:szCs w:val="24"/>
              <w:lang w:val="en-US"/>
            </w:rPr>
            <w:t xml:space="preserve">Blackstone's Handbook for Policing Students. </w:t>
          </w:r>
          <w:r w:rsidRPr="000C6D2A">
            <w:rPr>
              <w:noProof/>
              <w:sz w:val="24"/>
              <w:szCs w:val="24"/>
              <w:lang w:val="en-US"/>
            </w:rPr>
            <w:t>Oxford: Oxford University Press, p. 568.</w:t>
          </w:r>
        </w:p>
        <w:p w14:paraId="52ECD621" w14:textId="77777777" w:rsidR="000C6D2A" w:rsidRPr="000C6D2A" w:rsidRDefault="000C6D2A" w:rsidP="000C6D2A">
          <w:pPr>
            <w:pStyle w:val="Bibliography"/>
            <w:rPr>
              <w:noProof/>
              <w:sz w:val="24"/>
              <w:szCs w:val="24"/>
              <w:lang w:val="en-US"/>
            </w:rPr>
          </w:pPr>
          <w:r w:rsidRPr="000C6D2A">
            <w:rPr>
              <w:noProof/>
              <w:sz w:val="24"/>
              <w:szCs w:val="24"/>
              <w:lang w:val="en-US"/>
            </w:rPr>
            <w:t xml:space="preserve">Blackstone's, 2020. Initial Investigation, Arrest, Detention and Disposal. In: R. Bryant &amp; S. Bryant, eds. </w:t>
          </w:r>
          <w:r w:rsidRPr="000C6D2A">
            <w:rPr>
              <w:i/>
              <w:iCs/>
              <w:noProof/>
              <w:sz w:val="24"/>
              <w:szCs w:val="24"/>
              <w:lang w:val="en-US"/>
            </w:rPr>
            <w:t xml:space="preserve">Blackstone's handbook for Policing Students. </w:t>
          </w:r>
          <w:r w:rsidRPr="000C6D2A">
            <w:rPr>
              <w:noProof/>
              <w:sz w:val="24"/>
              <w:szCs w:val="24"/>
              <w:lang w:val="en-US"/>
            </w:rPr>
            <w:t>Oxford: Oxford University Press, pp. 191-231.</w:t>
          </w:r>
        </w:p>
        <w:p w14:paraId="62DF95E4" w14:textId="77777777" w:rsidR="000C6D2A" w:rsidRPr="000C6D2A" w:rsidRDefault="000C6D2A" w:rsidP="000C6D2A">
          <w:pPr>
            <w:pStyle w:val="Bibliography"/>
            <w:rPr>
              <w:noProof/>
              <w:sz w:val="24"/>
              <w:szCs w:val="24"/>
              <w:lang w:val="en-US"/>
            </w:rPr>
          </w:pPr>
          <w:r w:rsidRPr="000C6D2A">
            <w:rPr>
              <w:noProof/>
              <w:sz w:val="24"/>
              <w:szCs w:val="24"/>
              <w:lang w:val="en-US"/>
            </w:rPr>
            <w:t xml:space="preserve">Borton, T., 1970. </w:t>
          </w:r>
          <w:r w:rsidRPr="000C6D2A">
            <w:rPr>
              <w:i/>
              <w:iCs/>
              <w:noProof/>
              <w:sz w:val="24"/>
              <w:szCs w:val="24"/>
              <w:lang w:val="en-US"/>
            </w:rPr>
            <w:t xml:space="preserve">Reach, Touch, Teach. </w:t>
          </w:r>
          <w:r w:rsidRPr="000C6D2A">
            <w:rPr>
              <w:noProof/>
              <w:sz w:val="24"/>
              <w:szCs w:val="24"/>
              <w:lang w:val="en-US"/>
            </w:rPr>
            <w:t>1 ed. s.l.:McGraw-Hill Inc..</w:t>
          </w:r>
        </w:p>
        <w:p w14:paraId="368626DE" w14:textId="77777777" w:rsidR="000C6D2A" w:rsidRPr="000C6D2A" w:rsidRDefault="000C6D2A" w:rsidP="000C6D2A">
          <w:pPr>
            <w:pStyle w:val="Bibliography"/>
            <w:rPr>
              <w:noProof/>
              <w:sz w:val="24"/>
              <w:szCs w:val="24"/>
              <w:lang w:val="en-US"/>
            </w:rPr>
          </w:pPr>
          <w:r w:rsidRPr="000C6D2A">
            <w:rPr>
              <w:noProof/>
              <w:sz w:val="24"/>
              <w:szCs w:val="24"/>
              <w:lang w:val="en-US"/>
            </w:rPr>
            <w:t xml:space="preserve">Childs, E. &amp; de Wit, H., 2014. Regular exercise is associated with emotional resilience to acute stress in healthy adults. </w:t>
          </w:r>
          <w:r w:rsidRPr="000C6D2A">
            <w:rPr>
              <w:i/>
              <w:iCs/>
              <w:noProof/>
              <w:sz w:val="24"/>
              <w:szCs w:val="24"/>
              <w:lang w:val="en-US"/>
            </w:rPr>
            <w:t xml:space="preserve">Frontiers in Physiology, </w:t>
          </w:r>
          <w:r w:rsidRPr="000C6D2A">
            <w:rPr>
              <w:noProof/>
              <w:sz w:val="24"/>
              <w:szCs w:val="24"/>
              <w:lang w:val="en-US"/>
            </w:rPr>
            <w:t>5(1), pp. 1-7.</w:t>
          </w:r>
        </w:p>
        <w:p w14:paraId="538DE0B9" w14:textId="77777777" w:rsidR="000C6D2A" w:rsidRPr="000C6D2A" w:rsidRDefault="000C6D2A" w:rsidP="000C6D2A">
          <w:pPr>
            <w:pStyle w:val="Bibliography"/>
            <w:rPr>
              <w:noProof/>
              <w:sz w:val="24"/>
              <w:szCs w:val="24"/>
              <w:lang w:val="en-US"/>
            </w:rPr>
          </w:pPr>
          <w:r w:rsidRPr="000C6D2A">
            <w:rPr>
              <w:noProof/>
              <w:sz w:val="24"/>
              <w:szCs w:val="24"/>
              <w:lang w:val="en-US"/>
            </w:rPr>
            <w:t xml:space="preserve">Cocking, D. &amp; Kennett, J., 1998. Friendship and the Self. </w:t>
          </w:r>
          <w:r w:rsidRPr="000C6D2A">
            <w:rPr>
              <w:i/>
              <w:iCs/>
              <w:noProof/>
              <w:sz w:val="24"/>
              <w:szCs w:val="24"/>
              <w:lang w:val="en-US"/>
            </w:rPr>
            <w:t xml:space="preserve">Ethics, </w:t>
          </w:r>
          <w:r w:rsidRPr="000C6D2A">
            <w:rPr>
              <w:noProof/>
              <w:sz w:val="24"/>
              <w:szCs w:val="24"/>
              <w:lang w:val="en-US"/>
            </w:rPr>
            <w:t>108(3), pp. 502-527.</w:t>
          </w:r>
        </w:p>
        <w:p w14:paraId="04F2FD64" w14:textId="77777777" w:rsidR="000C6D2A" w:rsidRPr="000C6D2A" w:rsidRDefault="000C6D2A" w:rsidP="000C6D2A">
          <w:pPr>
            <w:pStyle w:val="Bibliography"/>
            <w:rPr>
              <w:noProof/>
              <w:sz w:val="24"/>
              <w:szCs w:val="24"/>
              <w:lang w:val="en-US"/>
            </w:rPr>
          </w:pPr>
          <w:r w:rsidRPr="000C6D2A">
            <w:rPr>
              <w:noProof/>
              <w:sz w:val="24"/>
              <w:szCs w:val="24"/>
              <w:lang w:val="en-US"/>
            </w:rPr>
            <w:t xml:space="preserve">College of Policing, 2013. </w:t>
          </w:r>
          <w:r w:rsidRPr="000C6D2A">
            <w:rPr>
              <w:i/>
              <w:iCs/>
              <w:noProof/>
              <w:sz w:val="24"/>
              <w:szCs w:val="24"/>
              <w:lang w:val="en-US"/>
            </w:rPr>
            <w:t xml:space="preserve">Conflict Management Skills.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https://www.college.police.uk/guidance/conflict-management/conflict-management-skills</w:t>
          </w:r>
          <w:r w:rsidRPr="000C6D2A">
            <w:rPr>
              <w:noProof/>
              <w:sz w:val="24"/>
              <w:szCs w:val="24"/>
              <w:lang w:val="en-US"/>
            </w:rPr>
            <w:br/>
            <w:t>[Accessed 16 11 2021].</w:t>
          </w:r>
        </w:p>
        <w:p w14:paraId="78EF932E" w14:textId="77777777" w:rsidR="000C6D2A" w:rsidRPr="000C6D2A" w:rsidRDefault="000C6D2A" w:rsidP="000C6D2A">
          <w:pPr>
            <w:pStyle w:val="Bibliography"/>
            <w:rPr>
              <w:noProof/>
              <w:sz w:val="24"/>
              <w:szCs w:val="24"/>
              <w:lang w:val="en-US"/>
            </w:rPr>
          </w:pPr>
          <w:r w:rsidRPr="000C6D2A">
            <w:rPr>
              <w:noProof/>
              <w:sz w:val="24"/>
              <w:szCs w:val="24"/>
              <w:lang w:val="en-US"/>
            </w:rPr>
            <w:t xml:space="preserve">College of Policing, 2013. </w:t>
          </w:r>
          <w:r w:rsidRPr="000C6D2A">
            <w:rPr>
              <w:i/>
              <w:iCs/>
              <w:noProof/>
              <w:sz w:val="24"/>
              <w:szCs w:val="24"/>
              <w:lang w:val="en-US"/>
            </w:rPr>
            <w:t xml:space="preserve">Public Order: Core Principles and Legislation.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https://www.app.college.police.uk/app-content/public-order/core-principles-and-legislation/</w:t>
          </w:r>
          <w:r w:rsidRPr="000C6D2A">
            <w:rPr>
              <w:noProof/>
              <w:sz w:val="24"/>
              <w:szCs w:val="24"/>
              <w:lang w:val="en-US"/>
            </w:rPr>
            <w:br/>
            <w:t>[Accessed 16 11 2021].</w:t>
          </w:r>
        </w:p>
        <w:p w14:paraId="19EE5236" w14:textId="77777777" w:rsidR="000C6D2A" w:rsidRPr="000C6D2A" w:rsidRDefault="000C6D2A" w:rsidP="000C6D2A">
          <w:pPr>
            <w:pStyle w:val="Bibliography"/>
            <w:rPr>
              <w:noProof/>
              <w:sz w:val="24"/>
              <w:szCs w:val="24"/>
              <w:lang w:val="en-US"/>
            </w:rPr>
          </w:pPr>
          <w:r w:rsidRPr="000C6D2A">
            <w:rPr>
              <w:noProof/>
              <w:sz w:val="24"/>
              <w:szCs w:val="24"/>
              <w:lang w:val="en-US"/>
            </w:rPr>
            <w:t xml:space="preserve">College of Policing, 2020. </w:t>
          </w:r>
          <w:r w:rsidRPr="000C6D2A">
            <w:rPr>
              <w:i/>
              <w:iCs/>
              <w:noProof/>
              <w:sz w:val="24"/>
              <w:szCs w:val="24"/>
              <w:lang w:val="en-US"/>
            </w:rPr>
            <w:t xml:space="preserve">College of Policing - Competency and Values - Impartiality.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https://profdev.college.police.uk/competency-values/impartiality/</w:t>
          </w:r>
          <w:r w:rsidRPr="000C6D2A">
            <w:rPr>
              <w:noProof/>
              <w:sz w:val="24"/>
              <w:szCs w:val="24"/>
              <w:lang w:val="en-US"/>
            </w:rPr>
            <w:br/>
            <w:t>[Accessed 25 11 2021].</w:t>
          </w:r>
        </w:p>
        <w:p w14:paraId="66D496E4" w14:textId="77777777" w:rsidR="000C6D2A" w:rsidRPr="000C6D2A" w:rsidRDefault="000C6D2A" w:rsidP="000C6D2A">
          <w:pPr>
            <w:pStyle w:val="Bibliography"/>
            <w:rPr>
              <w:noProof/>
              <w:sz w:val="24"/>
              <w:szCs w:val="24"/>
              <w:lang w:val="en-US"/>
            </w:rPr>
          </w:pPr>
          <w:r w:rsidRPr="000C6D2A">
            <w:rPr>
              <w:noProof/>
              <w:sz w:val="24"/>
              <w:szCs w:val="24"/>
              <w:lang w:val="en-US"/>
            </w:rPr>
            <w:t xml:space="preserve">College of Policing, 2020. </w:t>
          </w:r>
          <w:r w:rsidRPr="000C6D2A">
            <w:rPr>
              <w:i/>
              <w:iCs/>
              <w:noProof/>
              <w:sz w:val="24"/>
              <w:szCs w:val="24"/>
              <w:lang w:val="en-US"/>
            </w:rPr>
            <w:t xml:space="preserve">College of Policing - Core Values and Competencies - Transparency.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https://profdev.college.police.uk/competency-values/transparency/</w:t>
          </w:r>
          <w:r w:rsidRPr="000C6D2A">
            <w:rPr>
              <w:noProof/>
              <w:sz w:val="24"/>
              <w:szCs w:val="24"/>
              <w:lang w:val="en-US"/>
            </w:rPr>
            <w:br/>
            <w:t>[Accessed 25 11 2021].</w:t>
          </w:r>
        </w:p>
        <w:p w14:paraId="04AD884A" w14:textId="77777777" w:rsidR="000C6D2A" w:rsidRPr="000C6D2A" w:rsidRDefault="000C6D2A" w:rsidP="000C6D2A">
          <w:pPr>
            <w:pStyle w:val="Bibliography"/>
            <w:rPr>
              <w:noProof/>
              <w:sz w:val="24"/>
              <w:szCs w:val="24"/>
              <w:lang w:val="en-US"/>
            </w:rPr>
          </w:pPr>
          <w:r w:rsidRPr="000C6D2A">
            <w:rPr>
              <w:noProof/>
              <w:sz w:val="24"/>
              <w:szCs w:val="24"/>
              <w:lang w:val="en-US"/>
            </w:rPr>
            <w:t xml:space="preserve">College of Policing, 2020. </w:t>
          </w:r>
          <w:r w:rsidRPr="000C6D2A">
            <w:rPr>
              <w:i/>
              <w:iCs/>
              <w:noProof/>
              <w:sz w:val="24"/>
              <w:szCs w:val="24"/>
              <w:lang w:val="en-US"/>
            </w:rPr>
            <w:t xml:space="preserve">Rapport Building.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https://www.college.police.uk/guidance/obtaining-initial-accounts/rapport-building</w:t>
          </w:r>
          <w:r w:rsidRPr="000C6D2A">
            <w:rPr>
              <w:noProof/>
              <w:sz w:val="24"/>
              <w:szCs w:val="24"/>
              <w:lang w:val="en-US"/>
            </w:rPr>
            <w:br/>
            <w:t>[Accessed 11 16 2021].</w:t>
          </w:r>
        </w:p>
        <w:p w14:paraId="10524219" w14:textId="77777777" w:rsidR="000C6D2A" w:rsidRPr="000C6D2A" w:rsidRDefault="000C6D2A" w:rsidP="000C6D2A">
          <w:pPr>
            <w:pStyle w:val="Bibliography"/>
            <w:rPr>
              <w:noProof/>
              <w:sz w:val="24"/>
              <w:szCs w:val="24"/>
              <w:lang w:val="en-US"/>
            </w:rPr>
          </w:pPr>
          <w:r w:rsidRPr="000C6D2A">
            <w:rPr>
              <w:noProof/>
              <w:sz w:val="24"/>
              <w:szCs w:val="24"/>
              <w:lang w:val="en-US"/>
            </w:rPr>
            <w:t xml:space="preserve">CPIA, 1996. </w:t>
          </w:r>
          <w:r w:rsidRPr="000C6D2A">
            <w:rPr>
              <w:i/>
              <w:iCs/>
              <w:noProof/>
              <w:sz w:val="24"/>
              <w:szCs w:val="24"/>
              <w:lang w:val="en-US"/>
            </w:rPr>
            <w:t xml:space="preserve">Gov.uk.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https://www.legislation.gov.uk/ukpga/1996/25/part/I/crossheading/the-main-provisions</w:t>
          </w:r>
          <w:r w:rsidRPr="000C6D2A">
            <w:rPr>
              <w:noProof/>
              <w:sz w:val="24"/>
              <w:szCs w:val="24"/>
              <w:lang w:val="en-US"/>
            </w:rPr>
            <w:br/>
            <w:t>[Accessed 24 11 2021].</w:t>
          </w:r>
        </w:p>
        <w:p w14:paraId="3EBE69F0" w14:textId="77777777" w:rsidR="000C6D2A" w:rsidRPr="000C6D2A" w:rsidRDefault="000C6D2A" w:rsidP="000C6D2A">
          <w:pPr>
            <w:pStyle w:val="Bibliography"/>
            <w:rPr>
              <w:noProof/>
              <w:sz w:val="24"/>
              <w:szCs w:val="24"/>
              <w:lang w:val="en-US"/>
            </w:rPr>
          </w:pPr>
          <w:r w:rsidRPr="000C6D2A">
            <w:rPr>
              <w:noProof/>
              <w:sz w:val="24"/>
              <w:szCs w:val="24"/>
              <w:lang w:val="en-US"/>
            </w:rPr>
            <w:t xml:space="preserve">Cutuli, J. J., Herbers, J. E., Masten, A. S. &amp; Reed, M.-G. J., 2021. Resilience in Development. In: S. J. Lopez &amp; C. R. Snyder, eds. </w:t>
          </w:r>
          <w:r w:rsidRPr="000C6D2A">
            <w:rPr>
              <w:i/>
              <w:iCs/>
              <w:noProof/>
              <w:sz w:val="24"/>
              <w:szCs w:val="24"/>
              <w:lang w:val="en-US"/>
            </w:rPr>
            <w:t xml:space="preserve">The Oxford Handbook of Positive Psychology. </w:t>
          </w:r>
          <w:r w:rsidRPr="000C6D2A">
            <w:rPr>
              <w:noProof/>
              <w:sz w:val="24"/>
              <w:szCs w:val="24"/>
              <w:lang w:val="en-US"/>
            </w:rPr>
            <w:t>s.l.:Oxford University Press.</w:t>
          </w:r>
        </w:p>
        <w:p w14:paraId="29F2E026" w14:textId="77777777" w:rsidR="000C6D2A" w:rsidRPr="000C6D2A" w:rsidRDefault="000C6D2A" w:rsidP="000C6D2A">
          <w:pPr>
            <w:pStyle w:val="Bibliography"/>
            <w:rPr>
              <w:noProof/>
              <w:sz w:val="24"/>
              <w:szCs w:val="24"/>
              <w:lang w:val="en-US"/>
            </w:rPr>
          </w:pPr>
          <w:r w:rsidRPr="000C6D2A">
            <w:rPr>
              <w:noProof/>
              <w:sz w:val="24"/>
              <w:szCs w:val="24"/>
              <w:lang w:val="en-US"/>
            </w:rPr>
            <w:t xml:space="preserve">D'Arcy-Jones, K., 2020. How to build and embed resilience within your workplace. </w:t>
          </w:r>
          <w:r w:rsidRPr="000C6D2A">
            <w:rPr>
              <w:i/>
              <w:iCs/>
              <w:noProof/>
              <w:sz w:val="24"/>
              <w:szCs w:val="24"/>
              <w:lang w:val="en-US"/>
            </w:rPr>
            <w:t xml:space="preserve">Occupational Health and Wellbeing, </w:t>
          </w:r>
          <w:r w:rsidRPr="000C6D2A">
            <w:rPr>
              <w:noProof/>
              <w:sz w:val="24"/>
              <w:szCs w:val="24"/>
              <w:lang w:val="en-US"/>
            </w:rPr>
            <w:t>72(11), pp. 26-29.</w:t>
          </w:r>
        </w:p>
        <w:p w14:paraId="658DE1FA" w14:textId="77777777" w:rsidR="000C6D2A" w:rsidRPr="000C6D2A" w:rsidRDefault="000C6D2A" w:rsidP="000C6D2A">
          <w:pPr>
            <w:pStyle w:val="Bibliography"/>
            <w:rPr>
              <w:noProof/>
              <w:sz w:val="24"/>
              <w:szCs w:val="24"/>
              <w:lang w:val="en-US"/>
            </w:rPr>
          </w:pPr>
          <w:r w:rsidRPr="000C6D2A">
            <w:rPr>
              <w:noProof/>
              <w:sz w:val="24"/>
              <w:szCs w:val="24"/>
              <w:lang w:val="en-US"/>
            </w:rPr>
            <w:lastRenderedPageBreak/>
            <w:t xml:space="preserve">Davidson, J. et al., 2019. </w:t>
          </w:r>
          <w:r w:rsidRPr="000C6D2A">
            <w:rPr>
              <w:i/>
              <w:iCs/>
              <w:noProof/>
              <w:sz w:val="24"/>
              <w:szCs w:val="24"/>
              <w:lang w:val="en-US"/>
            </w:rPr>
            <w:t xml:space="preserve">Adult Online Hate, Harassment and Abuse: A Rapid Evidence Assessment, </w:t>
          </w:r>
          <w:r w:rsidRPr="000C6D2A">
            <w:rPr>
              <w:noProof/>
              <w:sz w:val="24"/>
              <w:szCs w:val="24"/>
              <w:lang w:val="en-US"/>
            </w:rPr>
            <w:t>London: UK Council for Internet Safety.</w:t>
          </w:r>
        </w:p>
        <w:p w14:paraId="0F231B4D" w14:textId="77777777" w:rsidR="000C6D2A" w:rsidRPr="000C6D2A" w:rsidRDefault="000C6D2A" w:rsidP="000C6D2A">
          <w:pPr>
            <w:pStyle w:val="Bibliography"/>
            <w:rPr>
              <w:noProof/>
              <w:sz w:val="24"/>
              <w:szCs w:val="24"/>
              <w:lang w:val="en-US"/>
            </w:rPr>
          </w:pPr>
          <w:r w:rsidRPr="000C6D2A">
            <w:rPr>
              <w:noProof/>
              <w:sz w:val="24"/>
              <w:szCs w:val="24"/>
              <w:lang w:val="en-US"/>
            </w:rPr>
            <w:t xml:space="preserve">Frei, D., 1985. Empathy in Conflict Management. </w:t>
          </w:r>
          <w:r w:rsidRPr="000C6D2A">
            <w:rPr>
              <w:i/>
              <w:iCs/>
              <w:noProof/>
              <w:sz w:val="24"/>
              <w:szCs w:val="24"/>
              <w:lang w:val="en-US"/>
            </w:rPr>
            <w:t xml:space="preserve">International Journal, </w:t>
          </w:r>
          <w:r w:rsidRPr="000C6D2A">
            <w:rPr>
              <w:noProof/>
              <w:sz w:val="24"/>
              <w:szCs w:val="24"/>
              <w:lang w:val="en-US"/>
            </w:rPr>
            <w:t>40(4), pp. 586-598.</w:t>
          </w:r>
        </w:p>
        <w:p w14:paraId="50DB0687" w14:textId="77777777" w:rsidR="000C6D2A" w:rsidRPr="000C6D2A" w:rsidRDefault="000C6D2A" w:rsidP="000C6D2A">
          <w:pPr>
            <w:pStyle w:val="Bibliography"/>
            <w:rPr>
              <w:noProof/>
              <w:sz w:val="24"/>
              <w:szCs w:val="24"/>
              <w:lang w:val="en-US"/>
            </w:rPr>
          </w:pPr>
          <w:r w:rsidRPr="000C6D2A">
            <w:rPr>
              <w:noProof/>
              <w:sz w:val="24"/>
              <w:szCs w:val="24"/>
              <w:lang w:val="en-US"/>
            </w:rPr>
            <w:t xml:space="preserve">Harkness, A. M. B. et al., 2007. Talking about work stress: Discourse analysis and implications for stress interventions. </w:t>
          </w:r>
          <w:r w:rsidRPr="000C6D2A">
            <w:rPr>
              <w:i/>
              <w:iCs/>
              <w:noProof/>
              <w:sz w:val="24"/>
              <w:szCs w:val="24"/>
              <w:lang w:val="en-US"/>
            </w:rPr>
            <w:t xml:space="preserve">Work and Stress, </w:t>
          </w:r>
          <w:r w:rsidRPr="000C6D2A">
            <w:rPr>
              <w:noProof/>
              <w:sz w:val="24"/>
              <w:szCs w:val="24"/>
              <w:lang w:val="en-US"/>
            </w:rPr>
            <w:t>19(2), pp. 121-136.</w:t>
          </w:r>
        </w:p>
        <w:p w14:paraId="7D9653AA" w14:textId="77777777" w:rsidR="000C6D2A" w:rsidRPr="000C6D2A" w:rsidRDefault="000C6D2A" w:rsidP="000C6D2A">
          <w:pPr>
            <w:pStyle w:val="Bibliography"/>
            <w:rPr>
              <w:noProof/>
              <w:sz w:val="24"/>
              <w:szCs w:val="24"/>
              <w:lang w:val="en-US"/>
            </w:rPr>
          </w:pPr>
          <w:r w:rsidRPr="000C6D2A">
            <w:rPr>
              <w:noProof/>
              <w:sz w:val="24"/>
              <w:szCs w:val="24"/>
              <w:lang w:val="en-US"/>
            </w:rPr>
            <w:t xml:space="preserve">Hejazi, E., 2011. The quality of friendship, friendship reciprocity and resilience. </w:t>
          </w:r>
          <w:r w:rsidRPr="000C6D2A">
            <w:rPr>
              <w:i/>
              <w:iCs/>
              <w:noProof/>
              <w:sz w:val="24"/>
              <w:szCs w:val="24"/>
              <w:lang w:val="en-US"/>
            </w:rPr>
            <w:t xml:space="preserve">International Journal of Behavioural Sciences, </w:t>
          </w:r>
          <w:r w:rsidRPr="000C6D2A">
            <w:rPr>
              <w:noProof/>
              <w:sz w:val="24"/>
              <w:szCs w:val="24"/>
              <w:lang w:val="en-US"/>
            </w:rPr>
            <w:t>4(4), pp. 319-325.</w:t>
          </w:r>
        </w:p>
        <w:p w14:paraId="0B148CCF" w14:textId="77777777" w:rsidR="000C6D2A" w:rsidRPr="000C6D2A" w:rsidRDefault="000C6D2A" w:rsidP="000C6D2A">
          <w:pPr>
            <w:pStyle w:val="Bibliography"/>
            <w:rPr>
              <w:noProof/>
              <w:sz w:val="24"/>
              <w:szCs w:val="24"/>
              <w:lang w:val="en-US"/>
            </w:rPr>
          </w:pPr>
          <w:r w:rsidRPr="000C6D2A">
            <w:rPr>
              <w:noProof/>
              <w:sz w:val="24"/>
              <w:szCs w:val="24"/>
              <w:lang w:val="en-US"/>
            </w:rPr>
            <w:t xml:space="preserve">Home Office, 2015. </w:t>
          </w:r>
          <w:r w:rsidRPr="000C6D2A">
            <w:rPr>
              <w:i/>
              <w:iCs/>
              <w:noProof/>
              <w:sz w:val="24"/>
              <w:szCs w:val="24"/>
              <w:lang w:val="en-US"/>
            </w:rPr>
            <w:t xml:space="preserve">gov.uk.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https://assets.publishing.service.gov.uk/government/uploads/system/uploads/attachment_data/file/903810/pace-code-a-2015.pdf</w:t>
          </w:r>
          <w:r w:rsidRPr="000C6D2A">
            <w:rPr>
              <w:noProof/>
              <w:sz w:val="24"/>
              <w:szCs w:val="24"/>
              <w:lang w:val="en-US"/>
            </w:rPr>
            <w:br/>
            <w:t>[Accessed 16 11 2021].</w:t>
          </w:r>
        </w:p>
        <w:p w14:paraId="2E6A91FB" w14:textId="77777777" w:rsidR="000C6D2A" w:rsidRPr="000C6D2A" w:rsidRDefault="000C6D2A" w:rsidP="000C6D2A">
          <w:pPr>
            <w:pStyle w:val="Bibliography"/>
            <w:rPr>
              <w:noProof/>
              <w:sz w:val="24"/>
              <w:szCs w:val="24"/>
              <w:lang w:val="en-US"/>
            </w:rPr>
          </w:pPr>
          <w:r w:rsidRPr="000C6D2A">
            <w:rPr>
              <w:noProof/>
              <w:sz w:val="24"/>
              <w:szCs w:val="24"/>
              <w:lang w:val="en-US"/>
            </w:rPr>
            <w:t xml:space="preserve">Klein, G. et al., 2015. Police and Miliary as Good Strangers. </w:t>
          </w:r>
          <w:r w:rsidRPr="000C6D2A">
            <w:rPr>
              <w:i/>
              <w:iCs/>
              <w:noProof/>
              <w:sz w:val="24"/>
              <w:szCs w:val="24"/>
              <w:lang w:val="en-US"/>
            </w:rPr>
            <w:t xml:space="preserve">Journal of Occupational and Organizational Psychology, </w:t>
          </w:r>
          <w:r w:rsidRPr="000C6D2A">
            <w:rPr>
              <w:noProof/>
              <w:sz w:val="24"/>
              <w:szCs w:val="24"/>
              <w:lang w:val="en-US"/>
            </w:rPr>
            <w:t>88(2), pp. 231-250.</w:t>
          </w:r>
        </w:p>
        <w:p w14:paraId="496F072D" w14:textId="77777777" w:rsidR="000C6D2A" w:rsidRPr="000C6D2A" w:rsidRDefault="000C6D2A" w:rsidP="000C6D2A">
          <w:pPr>
            <w:pStyle w:val="Bibliography"/>
            <w:rPr>
              <w:noProof/>
              <w:sz w:val="24"/>
              <w:szCs w:val="24"/>
              <w:lang w:val="en-US"/>
            </w:rPr>
          </w:pPr>
          <w:r w:rsidRPr="000C6D2A">
            <w:rPr>
              <w:noProof/>
              <w:sz w:val="24"/>
              <w:szCs w:val="24"/>
              <w:lang w:val="en-US"/>
            </w:rPr>
            <w:t xml:space="preserve">legislation.gov.uk, S.1, PACE 1984. </w:t>
          </w:r>
          <w:r w:rsidRPr="000C6D2A">
            <w:rPr>
              <w:i/>
              <w:iCs/>
              <w:noProof/>
              <w:sz w:val="24"/>
              <w:szCs w:val="24"/>
              <w:lang w:val="en-US"/>
            </w:rPr>
            <w:t xml:space="preserve">Section 1, Police and Criminal Evidence Act 1984.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https://www.legislation.gov.uk/ukpga/1984/60/section/1</w:t>
          </w:r>
          <w:r w:rsidRPr="000C6D2A">
            <w:rPr>
              <w:noProof/>
              <w:sz w:val="24"/>
              <w:szCs w:val="24"/>
              <w:lang w:val="en-US"/>
            </w:rPr>
            <w:br/>
            <w:t>[Accessed 16 11 2021].</w:t>
          </w:r>
        </w:p>
        <w:p w14:paraId="43731DA4" w14:textId="77777777" w:rsidR="000C6D2A" w:rsidRPr="000C6D2A" w:rsidRDefault="000C6D2A" w:rsidP="000C6D2A">
          <w:pPr>
            <w:pStyle w:val="Bibliography"/>
            <w:rPr>
              <w:noProof/>
              <w:sz w:val="24"/>
              <w:szCs w:val="24"/>
              <w:lang w:val="en-US"/>
            </w:rPr>
          </w:pPr>
          <w:r w:rsidRPr="000C6D2A">
            <w:rPr>
              <w:noProof/>
              <w:sz w:val="24"/>
              <w:szCs w:val="24"/>
              <w:lang w:val="en-US"/>
            </w:rPr>
            <w:t xml:space="preserve">legislation.gov.uk, S.24, PACE 1984. </w:t>
          </w:r>
          <w:r w:rsidRPr="000C6D2A">
            <w:rPr>
              <w:i/>
              <w:iCs/>
              <w:noProof/>
              <w:sz w:val="24"/>
              <w:szCs w:val="24"/>
              <w:lang w:val="en-US"/>
            </w:rPr>
            <w:t xml:space="preserve">Section 24: Police and Criminal Evidence Act 1984.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https://www.legislation.gov.uk/ukpga/1984/60/section/24</w:t>
          </w:r>
          <w:r w:rsidRPr="000C6D2A">
            <w:rPr>
              <w:noProof/>
              <w:sz w:val="24"/>
              <w:szCs w:val="24"/>
              <w:lang w:val="en-US"/>
            </w:rPr>
            <w:br/>
            <w:t>[Accessed 16 11 2021].</w:t>
          </w:r>
        </w:p>
        <w:p w14:paraId="324503AE" w14:textId="77777777" w:rsidR="000C6D2A" w:rsidRPr="000C6D2A" w:rsidRDefault="000C6D2A" w:rsidP="000C6D2A">
          <w:pPr>
            <w:pStyle w:val="Bibliography"/>
            <w:rPr>
              <w:noProof/>
              <w:sz w:val="24"/>
              <w:szCs w:val="24"/>
              <w:lang w:val="en-US"/>
            </w:rPr>
          </w:pPr>
          <w:r w:rsidRPr="000C6D2A">
            <w:rPr>
              <w:noProof/>
              <w:sz w:val="24"/>
              <w:szCs w:val="24"/>
              <w:lang w:val="en-US"/>
            </w:rPr>
            <w:t xml:space="preserve">legislation.gov.uk, S.32, PACE 1984. </w:t>
          </w:r>
          <w:r w:rsidRPr="000C6D2A">
            <w:rPr>
              <w:i/>
              <w:iCs/>
              <w:noProof/>
              <w:sz w:val="24"/>
              <w:szCs w:val="24"/>
              <w:lang w:val="en-US"/>
            </w:rPr>
            <w:t xml:space="preserve">Section 32: Police and Criminal Evidence Act 1984.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https://www.legislation.gov.uk/ukpga/1984/60/section/32</w:t>
          </w:r>
          <w:r w:rsidRPr="000C6D2A">
            <w:rPr>
              <w:noProof/>
              <w:sz w:val="24"/>
              <w:szCs w:val="24"/>
              <w:lang w:val="en-US"/>
            </w:rPr>
            <w:br/>
            <w:t>[Accessed 16 11 2021].</w:t>
          </w:r>
        </w:p>
        <w:p w14:paraId="1CAB01A8" w14:textId="77777777" w:rsidR="000C6D2A" w:rsidRPr="000C6D2A" w:rsidRDefault="000C6D2A" w:rsidP="000C6D2A">
          <w:pPr>
            <w:pStyle w:val="Bibliography"/>
            <w:rPr>
              <w:noProof/>
              <w:sz w:val="24"/>
              <w:szCs w:val="24"/>
              <w:lang w:val="en-US"/>
            </w:rPr>
          </w:pPr>
          <w:r w:rsidRPr="000C6D2A">
            <w:rPr>
              <w:noProof/>
              <w:sz w:val="24"/>
              <w:szCs w:val="24"/>
              <w:lang w:val="en-US"/>
            </w:rPr>
            <w:t xml:space="preserve">Ministry of Justice, 2020. </w:t>
          </w:r>
          <w:r w:rsidRPr="000C6D2A">
            <w:rPr>
              <w:i/>
              <w:iCs/>
              <w:noProof/>
              <w:sz w:val="24"/>
              <w:szCs w:val="24"/>
              <w:lang w:val="en-US"/>
            </w:rPr>
            <w:t xml:space="preserve">gov.uk.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https://assets.publishing.service.gov.uk/government/uploads/system/uploads/attachment_data/file/936239/victims-code-2020.pdf</w:t>
          </w:r>
          <w:r w:rsidRPr="000C6D2A">
            <w:rPr>
              <w:noProof/>
              <w:sz w:val="24"/>
              <w:szCs w:val="24"/>
              <w:lang w:val="en-US"/>
            </w:rPr>
            <w:br/>
            <w:t>[Accessed 20 11 2021].</w:t>
          </w:r>
        </w:p>
        <w:p w14:paraId="676B3C88" w14:textId="77777777" w:rsidR="000C6D2A" w:rsidRPr="000C6D2A" w:rsidRDefault="000C6D2A" w:rsidP="000C6D2A">
          <w:pPr>
            <w:pStyle w:val="Bibliography"/>
            <w:rPr>
              <w:noProof/>
              <w:sz w:val="24"/>
              <w:szCs w:val="24"/>
              <w:lang w:val="en-US"/>
            </w:rPr>
          </w:pPr>
          <w:r w:rsidRPr="000C6D2A">
            <w:rPr>
              <w:noProof/>
              <w:sz w:val="24"/>
              <w:szCs w:val="24"/>
              <w:lang w:val="en-US"/>
            </w:rPr>
            <w:t xml:space="preserve">MS, P., 2013. </w:t>
          </w:r>
          <w:r w:rsidRPr="000C6D2A">
            <w:rPr>
              <w:i/>
              <w:iCs/>
              <w:noProof/>
              <w:sz w:val="24"/>
              <w:szCs w:val="24"/>
              <w:lang w:val="en-US"/>
            </w:rPr>
            <w:t xml:space="preserve">Psychology Dictionary.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https://psychologydictionary.org/coping-strategy/</w:t>
          </w:r>
          <w:r w:rsidRPr="000C6D2A">
            <w:rPr>
              <w:noProof/>
              <w:sz w:val="24"/>
              <w:szCs w:val="24"/>
              <w:lang w:val="en-US"/>
            </w:rPr>
            <w:br/>
            <w:t>[Accessed 19 October 2021].</w:t>
          </w:r>
        </w:p>
        <w:p w14:paraId="17FE1795" w14:textId="77777777" w:rsidR="000C6D2A" w:rsidRPr="000C6D2A" w:rsidRDefault="000C6D2A" w:rsidP="000C6D2A">
          <w:pPr>
            <w:pStyle w:val="Bibliography"/>
            <w:rPr>
              <w:noProof/>
              <w:sz w:val="24"/>
              <w:szCs w:val="24"/>
              <w:lang w:val="en-US"/>
            </w:rPr>
          </w:pPr>
          <w:r w:rsidRPr="000C6D2A">
            <w:rPr>
              <w:noProof/>
              <w:sz w:val="24"/>
              <w:szCs w:val="24"/>
              <w:lang w:val="en-US"/>
            </w:rPr>
            <w:t xml:space="preserve">National Health Service, 2019. </w:t>
          </w:r>
          <w:r w:rsidRPr="000C6D2A">
            <w:rPr>
              <w:i/>
              <w:iCs/>
              <w:noProof/>
              <w:sz w:val="24"/>
              <w:szCs w:val="24"/>
              <w:lang w:val="en-US"/>
            </w:rPr>
            <w:t xml:space="preserve">NHS.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https://www.nhs.uk/every-mind-matters/mental-health-issues/stress/</w:t>
          </w:r>
          <w:r w:rsidRPr="000C6D2A">
            <w:rPr>
              <w:noProof/>
              <w:sz w:val="24"/>
              <w:szCs w:val="24"/>
              <w:lang w:val="en-US"/>
            </w:rPr>
            <w:br/>
            <w:t>[Accessed 2 November 2021].</w:t>
          </w:r>
        </w:p>
        <w:p w14:paraId="09DB715F" w14:textId="77777777" w:rsidR="000C6D2A" w:rsidRPr="000C6D2A" w:rsidRDefault="000C6D2A" w:rsidP="000C6D2A">
          <w:pPr>
            <w:pStyle w:val="Bibliography"/>
            <w:rPr>
              <w:noProof/>
              <w:sz w:val="24"/>
              <w:szCs w:val="24"/>
              <w:lang w:val="en-US"/>
            </w:rPr>
          </w:pPr>
          <w:r w:rsidRPr="000C6D2A">
            <w:rPr>
              <w:noProof/>
              <w:sz w:val="24"/>
              <w:szCs w:val="24"/>
              <w:lang w:val="en-US"/>
            </w:rPr>
            <w:t xml:space="preserve">Pina, A., Holland, J. E. &amp; James, M., 2017. The Malevolent side of revenge Porn Proclivity: dark Personality traits and sexist ideology. </w:t>
          </w:r>
          <w:r w:rsidRPr="000C6D2A">
            <w:rPr>
              <w:i/>
              <w:iCs/>
              <w:noProof/>
              <w:sz w:val="24"/>
              <w:szCs w:val="24"/>
              <w:lang w:val="en-US"/>
            </w:rPr>
            <w:t xml:space="preserve">International Journal of Technoethics, </w:t>
          </w:r>
          <w:r w:rsidRPr="000C6D2A">
            <w:rPr>
              <w:noProof/>
              <w:sz w:val="24"/>
              <w:szCs w:val="24"/>
              <w:lang w:val="en-US"/>
            </w:rPr>
            <w:t>8(1), pp. 30-43.</w:t>
          </w:r>
        </w:p>
        <w:p w14:paraId="4298EC81" w14:textId="77777777" w:rsidR="000C6D2A" w:rsidRPr="000C6D2A" w:rsidRDefault="000C6D2A" w:rsidP="000C6D2A">
          <w:pPr>
            <w:pStyle w:val="Bibliography"/>
            <w:rPr>
              <w:noProof/>
              <w:sz w:val="24"/>
              <w:szCs w:val="24"/>
              <w:lang w:val="en-US"/>
            </w:rPr>
          </w:pPr>
          <w:r w:rsidRPr="000C6D2A">
            <w:rPr>
              <w:noProof/>
              <w:sz w:val="24"/>
              <w:szCs w:val="24"/>
              <w:lang w:val="en-US"/>
            </w:rPr>
            <w:t xml:space="preserve">Ruback, R., Greenberg, M. &amp; Westcott, D., 1984. Social Influence and Crime-victim decision making. </w:t>
          </w:r>
          <w:r w:rsidRPr="000C6D2A">
            <w:rPr>
              <w:i/>
              <w:iCs/>
              <w:noProof/>
              <w:sz w:val="24"/>
              <w:szCs w:val="24"/>
              <w:lang w:val="en-US"/>
            </w:rPr>
            <w:t xml:space="preserve">Journal of Social Issues, </w:t>
          </w:r>
          <w:r w:rsidRPr="000C6D2A">
            <w:rPr>
              <w:noProof/>
              <w:sz w:val="24"/>
              <w:szCs w:val="24"/>
              <w:lang w:val="en-US"/>
            </w:rPr>
            <w:t>40(1), pp. 51-76.</w:t>
          </w:r>
        </w:p>
        <w:p w14:paraId="7FB5E408" w14:textId="77777777" w:rsidR="000C6D2A" w:rsidRPr="000C6D2A" w:rsidRDefault="000C6D2A" w:rsidP="000C6D2A">
          <w:pPr>
            <w:pStyle w:val="Bibliography"/>
            <w:rPr>
              <w:noProof/>
              <w:sz w:val="24"/>
              <w:szCs w:val="24"/>
              <w:lang w:val="en-US"/>
            </w:rPr>
          </w:pPr>
          <w:r w:rsidRPr="000C6D2A">
            <w:rPr>
              <w:noProof/>
              <w:sz w:val="24"/>
              <w:szCs w:val="24"/>
              <w:lang w:val="en-US"/>
            </w:rPr>
            <w:t xml:space="preserve">South Wales Victim Focus, 2020. </w:t>
          </w:r>
          <w:r w:rsidRPr="000C6D2A">
            <w:rPr>
              <w:i/>
              <w:iCs/>
              <w:noProof/>
              <w:sz w:val="24"/>
              <w:szCs w:val="24"/>
              <w:lang w:val="en-US"/>
            </w:rPr>
            <w:t xml:space="preserve">Victim Support. </w:t>
          </w:r>
          <w:r w:rsidRPr="000C6D2A">
            <w:rPr>
              <w:noProof/>
              <w:sz w:val="24"/>
              <w:szCs w:val="24"/>
              <w:lang w:val="en-US"/>
            </w:rPr>
            <w:t xml:space="preserve">[Online] </w:t>
          </w:r>
          <w:r w:rsidRPr="000C6D2A">
            <w:rPr>
              <w:noProof/>
              <w:sz w:val="24"/>
              <w:szCs w:val="24"/>
              <w:lang w:val="en-US"/>
            </w:rPr>
            <w:br/>
            <w:t xml:space="preserve">Available at: </w:t>
          </w:r>
          <w:r w:rsidRPr="000C6D2A">
            <w:rPr>
              <w:noProof/>
              <w:sz w:val="24"/>
              <w:szCs w:val="24"/>
              <w:u w:val="single"/>
              <w:lang w:val="en-US"/>
            </w:rPr>
            <w:t>https://www.victimsupport.org.uk/resources/south-wales/</w:t>
          </w:r>
          <w:r w:rsidRPr="000C6D2A">
            <w:rPr>
              <w:noProof/>
              <w:sz w:val="24"/>
              <w:szCs w:val="24"/>
              <w:lang w:val="en-US"/>
            </w:rPr>
            <w:br/>
            <w:t>[Accessed 23 11 2021].</w:t>
          </w:r>
        </w:p>
        <w:p w14:paraId="7FF9F892" w14:textId="77777777" w:rsidR="000C6D2A" w:rsidRPr="000C6D2A" w:rsidRDefault="000C6D2A" w:rsidP="000C6D2A">
          <w:pPr>
            <w:pStyle w:val="Bibliography"/>
            <w:rPr>
              <w:noProof/>
              <w:sz w:val="24"/>
              <w:szCs w:val="24"/>
              <w:lang w:val="en-US"/>
            </w:rPr>
          </w:pPr>
          <w:r w:rsidRPr="000C6D2A">
            <w:rPr>
              <w:noProof/>
              <w:sz w:val="24"/>
              <w:szCs w:val="24"/>
              <w:lang w:val="en-US"/>
            </w:rPr>
            <w:t xml:space="preserve">Wemmers, J.-A., 1995. Victims in the Dutch Criminal Justice System: The Effects of Treatment on Victim's Attitudes and Compliance. </w:t>
          </w:r>
          <w:r w:rsidRPr="000C6D2A">
            <w:rPr>
              <w:i/>
              <w:iCs/>
              <w:noProof/>
              <w:sz w:val="24"/>
              <w:szCs w:val="24"/>
              <w:lang w:val="en-US"/>
            </w:rPr>
            <w:t xml:space="preserve">International Review of Victimology, </w:t>
          </w:r>
          <w:r w:rsidRPr="000C6D2A">
            <w:rPr>
              <w:noProof/>
              <w:sz w:val="24"/>
              <w:szCs w:val="24"/>
              <w:lang w:val="en-US"/>
            </w:rPr>
            <w:t>3(4), pp. 323-341.</w:t>
          </w:r>
        </w:p>
        <w:p w14:paraId="33C1E802" w14:textId="77777777" w:rsidR="000C6D2A" w:rsidRPr="000C6D2A" w:rsidRDefault="000C6D2A" w:rsidP="000C6D2A">
          <w:pPr>
            <w:pStyle w:val="Bibliography"/>
            <w:rPr>
              <w:noProof/>
              <w:sz w:val="24"/>
              <w:szCs w:val="24"/>
              <w:lang w:val="en-US"/>
            </w:rPr>
          </w:pPr>
          <w:r w:rsidRPr="000C6D2A">
            <w:rPr>
              <w:noProof/>
              <w:sz w:val="24"/>
              <w:szCs w:val="24"/>
              <w:lang w:val="en-US"/>
            </w:rPr>
            <w:lastRenderedPageBreak/>
            <w:t xml:space="preserve">Yates, T. M., Tyrell, F. A. &amp; Masten, A. S., 2015. Resilience Theory and the Practice of Positive Psychology From Individuals to Societies. In: S. Joseph, ed. </w:t>
          </w:r>
          <w:r w:rsidRPr="000C6D2A">
            <w:rPr>
              <w:i/>
              <w:iCs/>
              <w:noProof/>
              <w:sz w:val="24"/>
              <w:szCs w:val="24"/>
              <w:lang w:val="en-US"/>
            </w:rPr>
            <w:t xml:space="preserve">Positive Psychology in Practice: Promoting Human Flourishing in Work, Health, Education and Everyday Life. </w:t>
          </w:r>
          <w:r w:rsidRPr="000C6D2A">
            <w:rPr>
              <w:noProof/>
              <w:sz w:val="24"/>
              <w:szCs w:val="24"/>
              <w:lang w:val="en-US"/>
            </w:rPr>
            <w:t>s.l.:John Wiley &amp; Sons Inc., pp. 773-788.</w:t>
          </w:r>
        </w:p>
        <w:p w14:paraId="30EE6F04" w14:textId="77777777" w:rsidR="000C6D2A" w:rsidRPr="000C6D2A" w:rsidRDefault="000C6D2A" w:rsidP="000C6D2A">
          <w:pPr>
            <w:pStyle w:val="Bibliography"/>
            <w:rPr>
              <w:noProof/>
              <w:sz w:val="24"/>
              <w:szCs w:val="24"/>
              <w:lang w:val="en-US"/>
            </w:rPr>
          </w:pPr>
          <w:r w:rsidRPr="000C6D2A">
            <w:rPr>
              <w:noProof/>
              <w:sz w:val="24"/>
              <w:szCs w:val="24"/>
              <w:lang w:val="en-US"/>
            </w:rPr>
            <w:t xml:space="preserve">Zaiser, B., Staller, M. S. &amp; FBI, 2015. The word is sometimes mightier than the sword: Rethinking communication skills to enhance officer safety. </w:t>
          </w:r>
          <w:r w:rsidRPr="000C6D2A">
            <w:rPr>
              <w:i/>
              <w:iCs/>
              <w:noProof/>
              <w:sz w:val="24"/>
              <w:szCs w:val="24"/>
              <w:lang w:val="en-US"/>
            </w:rPr>
            <w:t xml:space="preserve">Journal of Law Enforcement, </w:t>
          </w:r>
          <w:r w:rsidRPr="000C6D2A">
            <w:rPr>
              <w:noProof/>
              <w:sz w:val="24"/>
              <w:szCs w:val="24"/>
              <w:lang w:val="en-US"/>
            </w:rPr>
            <w:t>4(5).</w:t>
          </w:r>
        </w:p>
        <w:p w14:paraId="4625C192" w14:textId="77777777" w:rsidR="000C6D2A" w:rsidRPr="000C6D2A" w:rsidRDefault="000C6D2A" w:rsidP="000C6D2A">
          <w:pPr>
            <w:rPr>
              <w:sz w:val="24"/>
              <w:szCs w:val="24"/>
            </w:rPr>
          </w:pPr>
          <w:r w:rsidRPr="000C6D2A">
            <w:rPr>
              <w:b/>
              <w:bCs/>
              <w:noProof/>
              <w:sz w:val="24"/>
              <w:szCs w:val="24"/>
            </w:rPr>
            <w:fldChar w:fldCharType="end"/>
          </w:r>
        </w:p>
      </w:sdtContent>
    </w:sdt>
    <w:p w14:paraId="317FE511" w14:textId="77777777" w:rsidR="000C6D2A" w:rsidRDefault="000C6D2A" w:rsidP="000C6D2A"/>
    <w:p w14:paraId="05A7EEC2" w14:textId="77777777" w:rsidR="000C6D2A" w:rsidRPr="00270EEB" w:rsidRDefault="000C6D2A"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C908A40" w:rsidR="62FE5CAF" w:rsidRDefault="62FE5CAF" w:rsidP="62FE5CAF">
      <w:pPr>
        <w:jc w:val="both"/>
        <w:rPr>
          <w:sz w:val="24"/>
          <w:szCs w:val="24"/>
        </w:rPr>
      </w:pPr>
      <w:r w:rsidRPr="48DF4B50">
        <w:rPr>
          <w:sz w:val="24"/>
          <w:szCs w:val="24"/>
        </w:rPr>
        <w:t xml:space="preserve">Signed:  </w:t>
      </w:r>
      <w:r w:rsidR="00E64AA1">
        <w:rPr>
          <w:sz w:val="24"/>
          <w:szCs w:val="24"/>
        </w:rPr>
        <w:t>Ryan Percival</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53D3485B" w:rsidR="62FE5CAF" w:rsidRDefault="62FE5CAF" w:rsidP="62FE5CAF">
      <w:pPr>
        <w:jc w:val="both"/>
        <w:rPr>
          <w:sz w:val="24"/>
          <w:szCs w:val="24"/>
        </w:rPr>
      </w:pPr>
      <w:r w:rsidRPr="62FE5CAF">
        <w:rPr>
          <w:sz w:val="24"/>
          <w:szCs w:val="24"/>
        </w:rPr>
        <w:t xml:space="preserve">Date: </w:t>
      </w:r>
      <w:r w:rsidR="00B17ED4">
        <w:rPr>
          <w:sz w:val="24"/>
          <w:szCs w:val="24"/>
        </w:rPr>
        <w:t>10/11/2021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0DF773" w14:textId="77777777" w:rsidR="00784865" w:rsidRDefault="007848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B507241" w:rsidR="00F6513F" w:rsidRDefault="00F6513F">
    <w:pPr>
      <w:pStyle w:val="Footer"/>
      <w:jc w:val="right"/>
    </w:pPr>
    <w:r>
      <w:fldChar w:fldCharType="begin"/>
    </w:r>
    <w:r>
      <w:instrText xml:space="preserve"> PAGE   \* MERGEFORMAT </w:instrText>
    </w:r>
    <w:r>
      <w:fldChar w:fldCharType="separate"/>
    </w:r>
    <w:r w:rsidR="00B17ED4">
      <w:rPr>
        <w:noProof/>
      </w:rPr>
      <w:t>17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AFF103" w14:textId="77777777" w:rsidR="00784865" w:rsidRDefault="00784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58DF4F" w14:textId="77777777" w:rsidR="00784865" w:rsidRDefault="007848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165620" w14:textId="77777777" w:rsidR="00784865" w:rsidRDefault="007848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111A91" w14:textId="77777777" w:rsidR="00784865" w:rsidRDefault="007848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D2A"/>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4CAD"/>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0B78"/>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865"/>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3DE7"/>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3FAD"/>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ED4"/>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538C"/>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64AA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923DE7"/>
    <w:rPr>
      <w:color w:val="954F72" w:themeColor="followedHyperlink"/>
      <w:u w:val="single"/>
    </w:rPr>
  </w:style>
  <w:style w:type="paragraph" w:styleId="Bibliography">
    <w:name w:val="Bibliography"/>
    <w:basedOn w:val="Normal"/>
    <w:next w:val="Normal"/>
    <w:uiPriority w:val="37"/>
    <w:unhideWhenUsed/>
    <w:rsid w:val="00254CAD"/>
    <w:pPr>
      <w:overflowPunct/>
      <w:autoSpaceDE/>
      <w:autoSpaceDN/>
      <w:adjustRightInd/>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Ter70</b:Tag>
    <b:SourceType>Book</b:SourceType>
    <b:Guid>{202DB792-0D57-48B1-BC67-77671C0A2086}</b:Guid>
    <b:Title>Reach, Touch, Teach</b:Title>
    <b:Year>1970</b:Year>
    <b:Author>
      <b:Author>
        <b:NameList>
          <b:Person>
            <b:Last>Borton</b:Last>
            <b:First>Terry</b:First>
          </b:Person>
        </b:NameList>
      </b:Author>
    </b:Author>
    <b:Publisher>McGraw-Hill Inc.</b:Publisher>
    <b:Edition>1</b:Edition>
    <b:RefOrder>1</b:RefOrder>
  </b:Source>
  <b:Source>
    <b:Tag>Cut21</b:Tag>
    <b:SourceType>BookSection</b:SourceType>
    <b:Guid>{43F17DCB-AC30-4292-BFF5-2809518411AE}</b:Guid>
    <b:Title>Resilience in Development</b:Title>
    <b:Year>2021</b:Year>
    <b:Publisher>Oxford University Press</b:Publisher>
    <b:Author>
      <b:Author>
        <b:NameList>
          <b:Person>
            <b:Last>Cutuli</b:Last>
            <b:Middle>J.</b:Middle>
            <b:First>J.</b:First>
          </b:Person>
          <b:Person>
            <b:Last>Herbers</b:Last>
            <b:Middle>E.</b:Middle>
            <b:First>Janette</b:First>
          </b:Person>
          <b:Person>
            <b:Last>Masten</b:Last>
            <b:Middle>S.</b:Middle>
            <b:First>Ann</b:First>
          </b:Person>
          <b:Person>
            <b:Last>Reed</b:Last>
            <b:Middle>J.</b:Middle>
            <b:First>Marie-Gabrielle</b:First>
          </b:Person>
        </b:NameList>
      </b:Author>
      <b:Editor>
        <b:NameList>
          <b:Person>
            <b:Last>Lopez</b:Last>
            <b:First>Shane</b:First>
            <b:Middle>J.</b:Middle>
          </b:Person>
          <b:Person>
            <b:Last>Snyder</b:Last>
            <b:Middle>R.</b:Middle>
            <b:First>C.</b:First>
          </b:Person>
        </b:NameList>
      </b:Editor>
    </b:Author>
    <b:BookTitle>The Oxford Handbook of Positive Psychology</b:BookTitle>
    <b:RefOrder>2</b:RefOrder>
  </b:Source>
  <b:Source>
    <b:Tag>Yat15</b:Tag>
    <b:SourceType>BookSection</b:SourceType>
    <b:Guid>{B94F76EA-D899-41DB-8A88-43173870535A}</b:Guid>
    <b:Title>Resilience Theory and the Practice of Positive Psychology From Individuals to Societies</b:Title>
    <b:BookTitle>Positive Psychology in Practice: Promoting Human Flourishing in Work, Health, Education and Everyday Life</b:BookTitle>
    <b:Year>2015</b:Year>
    <b:Pages>773-788</b:Pages>
    <b:Publisher>John Wiley &amp; Sons Inc.</b:Publisher>
    <b:Author>
      <b:Author>
        <b:NameList>
          <b:Person>
            <b:Last>Yates</b:Last>
            <b:Middle>M.</b:Middle>
            <b:First>Tuppett</b:First>
          </b:Person>
          <b:Person>
            <b:Last>Tyrell</b:Last>
            <b:Middle>A.</b:Middle>
            <b:First>Fanita</b:First>
          </b:Person>
          <b:Person>
            <b:Last>Masten</b:Last>
            <b:Middle>S.</b:Middle>
            <b:First>Ann</b:First>
          </b:Person>
        </b:NameList>
      </b:Author>
      <b:Editor>
        <b:NameList>
          <b:Person>
            <b:Last>Joseph</b:Last>
            <b:First>Stephen</b:First>
          </b:Person>
        </b:NameList>
      </b:Editor>
    </b:Author>
    <b:RefOrder>3</b:RefOrder>
  </b:Source>
  <b:Source>
    <b:Tag>Ela11</b:Tag>
    <b:SourceType>JournalArticle</b:SourceType>
    <b:Guid>{1E3D7F0C-36D8-4EFF-A319-13E7DC6F3700}</b:Guid>
    <b:Title>The quality of friendship, friendship reciprocity and resilience</b:Title>
    <b:Year>2011</b:Year>
    <b:Pages>319-325</b:Pages>
    <b:Author>
      <b:Author>
        <b:NameList>
          <b:Person>
            <b:Last>Hejazi</b:Last>
            <b:First>Elaheh</b:First>
          </b:Person>
        </b:NameList>
      </b:Author>
    </b:Author>
    <b:JournalName>International Journal of Behavioural Sciences</b:JournalName>
    <b:Volume>4</b:Volume>
    <b:Issue>4</b:Issue>
    <b:RefOrder>4</b:RefOrder>
  </b:Source>
  <b:Source>
    <b:Tag>Pam13</b:Tag>
    <b:SourceType>InternetSite</b:SourceType>
    <b:Guid>{C65E9935-303B-4A8A-A355-D41A6A4C68FE}</b:Guid>
    <b:Title>Psychology Dictionary</b:Title>
    <b:Year>2013</b:Year>
    <b:Author>
      <b:Author>
        <b:NameList>
          <b:Person>
            <b:Last>MS</b:Last>
            <b:First>Pam</b:First>
          </b:Person>
        </b:NameList>
      </b:Author>
    </b:Author>
    <b:YearAccessed>2021</b:YearAccessed>
    <b:MonthAccessed>October</b:MonthAccessed>
    <b:DayAccessed>19</b:DayAccessed>
    <b:URL>https://psychologydictionary.org/coping-strategy/</b:URL>
    <b:RefOrder>5</b:RefOrder>
  </b:Source>
  <b:Source>
    <b:Tag>Har07</b:Tag>
    <b:SourceType>JournalArticle</b:SourceType>
    <b:Guid>{D3DB5EC2-A60E-4D1E-948A-AB8FB001FA2D}</b:Guid>
    <b:Title>Talking about work stress: Discourse analysis and implications for stress interventions</b:Title>
    <b:Year>2007</b:Year>
    <b:JournalName>Work and Stress</b:JournalName>
    <b:Pages>121-136</b:Pages>
    <b:Volume>19</b:Volume>
    <b:Issue>2</b:Issue>
    <b:Author>
      <b:Author>
        <b:NameList>
          <b:Person>
            <b:Last>Harkness</b:Last>
            <b:Middle>M. B.</b:Middle>
            <b:First>Avril</b:First>
          </b:Person>
          <b:Person>
            <b:Last>Long</b:Last>
            <b:Middle>C.</b:Middle>
            <b:First>Bonita</b:First>
          </b:Person>
          <b:Person>
            <b:Last>Bermbach</b:Last>
            <b:First>Nicole</b:First>
          </b:Person>
          <b:Person>
            <b:Last>Patterson</b:Last>
            <b:First>Kathryn</b:First>
          </b:Person>
          <b:Person>
            <b:Last>Jordan</b:Last>
            <b:First>Sharalyn</b:First>
          </b:Person>
          <b:Person>
            <b:Last>Kahn</b:Last>
            <b:First>Howard</b:First>
          </b:Person>
        </b:NameList>
      </b:Author>
    </b:Author>
    <b:RefOrder>6</b:RefOrder>
  </b:Source>
  <b:Source>
    <b:Tag>DAr20</b:Tag>
    <b:SourceType>JournalArticle</b:SourceType>
    <b:Guid>{D83873BC-E204-4A20-AA3D-A61D831635B8}</b:Guid>
    <b:Author>
      <b:Author>
        <b:NameList>
          <b:Person>
            <b:Last>D'Arcy-Jones</b:Last>
            <b:First>Katherine</b:First>
          </b:Person>
        </b:NameList>
      </b:Author>
    </b:Author>
    <b:Title>How to build and embed resilience within your workplace</b:Title>
    <b:JournalName>Occupational Health and Wellbeing</b:JournalName>
    <b:Year>2020</b:Year>
    <b:Pages>26-29</b:Pages>
    <b:Volume>72</b:Volume>
    <b:Issue>11</b:Issue>
    <b:RefOrder>7</b:RefOrder>
  </b:Source>
  <b:Source>
    <b:Tag>Coc98</b:Tag>
    <b:SourceType>JournalArticle</b:SourceType>
    <b:Guid>{AC0000F7-D03A-427D-B20F-13D8391E9C82}</b:Guid>
    <b:Title>Friendship and the Self</b:Title>
    <b:JournalName>Ethics</b:JournalName>
    <b:Year>1998</b:Year>
    <b:Pages>502-527</b:Pages>
    <b:Volume>108</b:Volume>
    <b:Issue>3</b:Issue>
    <b:Author>
      <b:Author>
        <b:NameList>
          <b:Person>
            <b:Last>Cocking</b:Last>
            <b:First>D.</b:First>
          </b:Person>
          <b:Person>
            <b:Last>Kennett</b:Last>
            <b:First>J.</b:First>
          </b:Person>
        </b:NameList>
      </b:Author>
    </b:Author>
    <b:RefOrder>8</b:RefOrder>
  </b:Source>
  <b:Source>
    <b:Tag>Chi14</b:Tag>
    <b:SourceType>JournalArticle</b:SourceType>
    <b:Guid>{F2AEDFDE-EDE3-49B8-BC64-BBA307A9B381}</b:Guid>
    <b:Author>
      <b:Author>
        <b:NameList>
          <b:Person>
            <b:Last>Childs</b:Last>
            <b:First>Emma</b:First>
          </b:Person>
          <b:Person>
            <b:Last>de Wit</b:Last>
            <b:First>Harriet</b:First>
          </b:Person>
        </b:NameList>
      </b:Author>
    </b:Author>
    <b:Title>Regular exercise is associated with emotional resilience to acute stress in healthy adults</b:Title>
    <b:JournalName>Frontiers in Physiology</b:JournalName>
    <b:Year>2014</b:Year>
    <b:Pages>1-7</b:Pages>
    <b:Volume>5</b:Volume>
    <b:Issue>1</b:Issue>
    <b:RefOrder>9</b:RefOrder>
  </b:Source>
  <b:Source>
    <b:Tag>Nat19</b:Tag>
    <b:SourceType>InternetSite</b:SourceType>
    <b:Guid>{05586680-30AE-41EC-A3D2-784B30A2FFED}</b:Guid>
    <b:Title>NHS</b:Title>
    <b:Year>2019</b:Year>
    <b:Author>
      <b:Author>
        <b:Corporate>National Health Service</b:Corporate>
      </b:Author>
    </b:Author>
    <b:YearAccessed>2021</b:YearAccessed>
    <b:MonthAccessed>November</b:MonthAccessed>
    <b:DayAccessed>2</b:DayAccessed>
    <b:URL>https://www.nhs.uk/every-mind-matters/mental-health-issues/stress/</b:URL>
    <b:RefOrder>10</b:RefOrder>
  </b:Source>
  <b:Source>
    <b:Tag>UKP84</b:Tag>
    <b:SourceType>InternetSite</b:SourceType>
    <b:Guid>{05B21F9D-3184-4E80-A26E-3A8A7800B54E}</b:Guid>
    <b:Title>Section 1, Police and Criminal Evidence Act 1984</b:Title>
    <b:Year>S.1, PACE 1984</b:Year>
    <b:Author>
      <b:Author>
        <b:Corporate>legislation.gov.uk</b:Corporate>
      </b:Author>
    </b:Author>
    <b:YearAccessed>2021</b:YearAccessed>
    <b:MonthAccessed>11</b:MonthAccessed>
    <b:DayAccessed>16</b:DayAccessed>
    <b:URL>https://www.legislation.gov.uk/ukpga/1984/60/section/1</b:URL>
    <b:RefOrder>10</b:RefOrder>
  </b:Source>
  <b:Source>
    <b:Tag>Col13</b:Tag>
    <b:SourceType>InternetSite</b:SourceType>
    <b:Guid>{27A9858D-64CB-4382-A5CB-D7809C0B8B64}</b:Guid>
    <b:Author>
      <b:Author>
        <b:Corporate>College of Policing</b:Corporate>
      </b:Author>
    </b:Author>
    <b:Title>Conflict Management Skills</b:Title>
    <b:Year>2013</b:Year>
    <b:YearAccessed>2021</b:YearAccessed>
    <b:MonthAccessed>11</b:MonthAccessed>
    <b:DayAccessed>16</b:DayAccessed>
    <b:URL>https://www.college.police.uk/guidance/conflict-management/conflict-management-skills</b:URL>
    <b:RefOrder>11</b:RefOrder>
  </b:Source>
  <b:Source>
    <b:Tag>Hom15</b:Tag>
    <b:SourceType>DocumentFromInternetSite</b:SourceType>
    <b:Guid>{1F617DF3-3E2C-4F6F-B7F4-5A9A571E66FD}</b:Guid>
    <b:Title>gov.uk</b:Title>
    <b:Year>2015</b:Year>
    <b:YearAccessed>2021</b:YearAccessed>
    <b:MonthAccessed>11</b:MonthAccessed>
    <b:DayAccessed>16</b:DayAccessed>
    <b:URL>https://assets.publishing.service.gov.uk/government/uploads/system/uploads/attachment_data/file/903810/pace-code-a-2015.pdf</b:URL>
    <b:Author>
      <b:Author>
        <b:Corporate>Home Office</b:Corporate>
      </b:Author>
    </b:Author>
    <b:RefOrder>12</b:RefOrder>
  </b:Source>
  <b:Source>
    <b:Tag>Col131</b:Tag>
    <b:SourceType>InternetSite</b:SourceType>
    <b:Guid>{82EE46FC-4E3A-45FE-B8A4-4D324BED2E28}</b:Guid>
    <b:Author>
      <b:Author>
        <b:Corporate>College of Policing</b:Corporate>
      </b:Author>
    </b:Author>
    <b:Title>Public Order: Core Principles and Legislation</b:Title>
    <b:Year>2013</b:Year>
    <b:YearAccessed>2021</b:YearAccessed>
    <b:MonthAccessed>11</b:MonthAccessed>
    <b:DayAccessed>16</b:DayAccessed>
    <b:URL>https://www.app.college.police.uk/app-content/public-order/core-principles-and-legislation/</b:URL>
    <b:RefOrder>13</b:RefOrder>
  </b:Source>
  <b:Source>
    <b:Tag>leg841</b:Tag>
    <b:SourceType>InternetSite</b:SourceType>
    <b:Guid>{5FE40A22-A21D-4DB8-962D-5BC29B68CBBA}</b:Guid>
    <b:Title>Section 24: Police and Criminal Evidence Act 1984</b:Title>
    <b:Year>S.24, PACE 1984</b:Year>
    <b:Author>
      <b:Author>
        <b:Corporate>legislation.gov.uk</b:Corporate>
      </b:Author>
    </b:Author>
    <b:YearAccessed>2021</b:YearAccessed>
    <b:MonthAccessed>11</b:MonthAccessed>
    <b:DayAccessed>16</b:DayAccessed>
    <b:URL>https://www.legislation.gov.uk/ukpga/1984/60/section/24</b:URL>
    <b:RefOrder>14</b:RefOrder>
  </b:Source>
  <b:Source>
    <b:Tag>leg84</b:Tag>
    <b:SourceType>InternetSite</b:SourceType>
    <b:Guid>{CDA57465-F570-4BA0-BB30-DC68073C6938}</b:Guid>
    <b:Author>
      <b:Author>
        <b:Corporate>legislation.gov.uk</b:Corporate>
      </b:Author>
    </b:Author>
    <b:Title>Section 32: Police and Criminal Evidence Act 1984</b:Title>
    <b:Year>S.32, PACE 1984</b:Year>
    <b:YearAccessed>2021</b:YearAccessed>
    <b:MonthAccessed>11</b:MonthAccessed>
    <b:DayAccessed>16</b:DayAccessed>
    <b:URL>https://www.legislation.gov.uk/ukpga/1984/60/section/32</b:URL>
    <b:RefOrder>15</b:RefOrder>
  </b:Source>
  <b:Source>
    <b:Tag>Fre85</b:Tag>
    <b:SourceType>JournalArticle</b:SourceType>
    <b:Guid>{5D474A5E-7133-4A64-9F6F-2F7FE22B9458}</b:Guid>
    <b:Title>Empathy in Conflict Management</b:Title>
    <b:Year>1985</b:Year>
    <b:Author>
      <b:Author>
        <b:NameList>
          <b:Person>
            <b:Last>Frei</b:Last>
            <b:First>Daniel</b:First>
          </b:Person>
        </b:NameList>
      </b:Author>
    </b:Author>
    <b:JournalName>International Journal</b:JournalName>
    <b:Pages>586-598</b:Pages>
    <b:Volume>40</b:Volume>
    <b:Issue>4</b:Issue>
    <b:RefOrder>16</b:RefOrder>
  </b:Source>
  <b:Source>
    <b:Tag>Zai15</b:Tag>
    <b:SourceType>JournalArticle</b:SourceType>
    <b:Guid>{13BF8F1E-77A1-4099-9A23-8D8326198CD0}</b:Guid>
    <b:Title>The word is sometimes mightier than the sword: Rethinking communication skills to enhance officer safety</b:Title>
    <b:JournalName>Journal of Law Enforcement</b:JournalName>
    <b:Year>2015</b:Year>
    <b:Volume>4</b:Volume>
    <b:Issue>5</b:Issue>
    <b:Author>
      <b:Author>
        <b:NameList>
          <b:Person>
            <b:Last>Zaiser</b:Last>
            <b:First>Benjamin</b:First>
          </b:Person>
          <b:Person>
            <b:Last>Staller</b:Last>
            <b:First>Mario</b:First>
            <b:Middle>S.</b:Middle>
          </b:Person>
          <b:Person>
            <b:Last>FBI</b:Last>
          </b:Person>
        </b:NameList>
      </b:Author>
    </b:Author>
    <b:RefOrder>17</b:RefOrder>
  </b:Source>
  <b:Source>
    <b:Tag>Col20</b:Tag>
    <b:SourceType>InternetSite</b:SourceType>
    <b:Guid>{6C4AC467-75FB-44D5-9D2B-9320E060F873}</b:Guid>
    <b:Author>
      <b:Author>
        <b:Corporate>College of Policing</b:Corporate>
      </b:Author>
    </b:Author>
    <b:Title>Rapport Building</b:Title>
    <b:Year>2020</b:Year>
    <b:YearAccessed>2021</b:YearAccessed>
    <b:MonthAccessed>16</b:MonthAccessed>
    <b:DayAccessed>11</b:DayAccessed>
    <b:URL>https://www.college.police.uk/guidance/obtaining-initial-accounts/rapport-building</b:URL>
    <b:RefOrder>18</b:RefOrder>
  </b:Source>
  <b:Source>
    <b:Tag>Kle15</b:Tag>
    <b:SourceType>JournalArticle</b:SourceType>
    <b:Guid>{E014356A-DFF1-41AC-9D4B-AA52BEEB2625}</b:Guid>
    <b:Title>Police and Miliary as Good Strangers</b:Title>
    <b:Year>2015</b:Year>
    <b:JournalName>Journal of Occupational and Organizational Psychology</b:JournalName>
    <b:Pages>231-250</b:Pages>
    <b:Volume>88</b:Volume>
    <b:Issue>2</b:Issue>
    <b:Author>
      <b:Author>
        <b:NameList>
          <b:Person>
            <b:Last>Klein</b:Last>
            <b:First>Gary</b:First>
          </b:Person>
          <b:Person>
            <b:Last>Altman Klein</b:Last>
            <b:First>Helen</b:First>
          </b:Person>
          <b:Person>
            <b:Last>Lande</b:Last>
            <b:First>Brian</b:First>
          </b:Person>
          <b:Person>
            <b:Last>Borders</b:Last>
            <b:First>Joseph</b:First>
          </b:Person>
          <b:Person>
            <b:Last>Whitacre</b:Last>
            <b:First>James</b:First>
            <b:Middle>C.</b:Middle>
          </b:Person>
        </b:NameList>
      </b:Author>
    </b:Author>
    <b:RefOrder>19</b:RefOrder>
  </b:Source>
  <b:Source>
    <b:Tag>BBC16</b:Tag>
    <b:SourceType>Report</b:SourceType>
    <b:Guid>{FD765D3F-16CC-49D7-93FA-9910D3BB0BFA}</b:Guid>
    <b:Title>Revenge Porn: More than 200 prosecuted under new law</b:Title>
    <b:Year>2016</b:Year>
    <b:Author>
      <b:Author>
        <b:Corporate>BBC</b:Corporate>
      </b:Author>
    </b:Author>
    <b:Publisher>BBC</b:Publisher>
    <b:City>London</b:City>
    <b:RefOrder>20</b:RefOrder>
  </b:Source>
  <b:Source>
    <b:Tag>Dav19</b:Tag>
    <b:SourceType>Report</b:SourceType>
    <b:Guid>{8A3FAE5B-0F3F-426E-86A5-FF209FBBFDF0}</b:Guid>
    <b:Author>
      <b:Author>
        <b:NameList>
          <b:Person>
            <b:Last>Davidson</b:Last>
            <b:First>Julia</b:First>
          </b:Person>
          <b:Person>
            <b:Last>Livingstone</b:Last>
            <b:First>Sonia</b:First>
          </b:Person>
          <b:Person>
            <b:Last>Jenkins</b:Last>
            <b:First>Sam</b:First>
          </b:Person>
          <b:Person>
            <b:Last>Gekoski</b:Last>
            <b:First>Anna</b:First>
          </b:Person>
          <b:Person>
            <b:Last>Choak</b:Last>
            <b:First>Clare</b:First>
          </b:Person>
          <b:Person>
            <b:Last>Ike</b:Last>
            <b:First>Tarela</b:First>
          </b:Person>
          <b:Person>
            <b:Last>Kirsty</b:Last>
            <b:First>Phillips</b:First>
          </b:Person>
        </b:NameList>
      </b:Author>
    </b:Author>
    <b:Title>Adult Online Hate, Harassment and Abuse: A Rapid Evidence Assessment</b:Title>
    <b:Year>2019</b:Year>
    <b:City>London</b:City>
    <b:Publisher>UK Council for Internet Safety</b:Publisher>
    <b:RefOrder>21</b:RefOrder>
  </b:Source>
  <b:Source>
    <b:Tag>Pin17</b:Tag>
    <b:SourceType>JournalArticle</b:SourceType>
    <b:Guid>{80EBDB31-BCA0-46D5-BE15-0E7C3FBC417C}</b:Guid>
    <b:Title>The Malevolent side of revenge Porn Proclivity: dark Personality traits and sexist ideology</b:Title>
    <b:Year>2017</b:Year>
    <b:Author>
      <b:Author>
        <b:NameList>
          <b:Person>
            <b:Last>Pina</b:Last>
            <b:First>Afroditi</b:First>
          </b:Person>
          <b:Person>
            <b:Last>Holland</b:Last>
            <b:First>James,</b:First>
            <b:Middle>Edward</b:Middle>
          </b:Person>
          <b:Person>
            <b:Last>James</b:Last>
            <b:First>Mark</b:First>
          </b:Person>
        </b:NameList>
      </b:Author>
    </b:Author>
    <b:JournalName>International Journal of Technoethics</b:JournalName>
    <b:Pages>30-43</b:Pages>
    <b:Volume>8</b:Volume>
    <b:Issue>1</b:Issue>
    <b:RefOrder>22</b:RefOrder>
  </b:Source>
  <b:Source>
    <b:Tag>Rub84</b:Tag>
    <b:SourceType>JournalArticle</b:SourceType>
    <b:Guid>{90AC0167-5412-4A9D-919B-608316CDA59F}</b:Guid>
    <b:Title>Social Influence and Crime-victim decision making</b:Title>
    <b:Year>1984</b:Year>
    <b:Author>
      <b:Author>
        <b:NameList>
          <b:Person>
            <b:Last>Ruback</b:Last>
            <b:First>R.B.</b:First>
          </b:Person>
          <b:Person>
            <b:Last>Greenberg</b:Last>
            <b:First>M.S.</b:First>
          </b:Person>
          <b:Person>
            <b:Last>Westcott</b:Last>
            <b:First>D.R.</b:First>
          </b:Person>
        </b:NameList>
      </b:Author>
    </b:Author>
    <b:JournalName>Journal of Social Issues</b:JournalName>
    <b:Pages>51-76</b:Pages>
    <b:Volume>40</b:Volume>
    <b:Issue>1</b:Issue>
    <b:RefOrder>23</b:RefOrder>
  </b:Source>
  <b:Source>
    <b:Tag>Sou21</b:Tag>
    <b:SourceType>InternetSite</b:SourceType>
    <b:Guid>{72E0A4A1-4CAA-4195-9822-337735B467E8}</b:Guid>
    <b:Title>Victim Support</b:Title>
    <b:Author>
      <b:Author>
        <b:Corporate>South Wales Victim Focus</b:Corporate>
      </b:Author>
    </b:Author>
    <b:YearAccessed>2021</b:YearAccessed>
    <b:MonthAccessed>11</b:MonthAccessed>
    <b:DayAccessed>23</b:DayAccessed>
    <b:URL>https://www.victimsupport.org.uk/resources/south-wales/</b:URL>
    <b:Year>2020</b:Year>
    <b:RefOrder>24</b:RefOrder>
  </b:Source>
  <b:Source>
    <b:Tag>Min20</b:Tag>
    <b:SourceType>DocumentFromInternetSite</b:SourceType>
    <b:Guid>{9FDB7B62-EE1B-4FB8-92E0-C6086C7945EF}</b:Guid>
    <b:Title>gov.uk</b:Title>
    <b:Year>2020</b:Year>
    <b:Author>
      <b:Author>
        <b:Corporate>Ministry of Justice</b:Corporate>
      </b:Author>
    </b:Author>
    <b:Month>November</b:Month>
    <b:YearAccessed>2021</b:YearAccessed>
    <b:MonthAccessed>11</b:MonthAccessed>
    <b:DayAccessed>20</b:DayAccessed>
    <b:URL>https://assets.publishing.service.gov.uk/government/uploads/system/uploads/attachment_data/file/936239/victims-code-2020.pdf</b:URL>
    <b:RefOrder>25</b:RefOrder>
  </b:Source>
  <b:Source>
    <b:Tag>Wem95</b:Tag>
    <b:SourceType>JournalArticle</b:SourceType>
    <b:Guid>{7F28A8B8-EEA3-4BF2-9854-E6F5A293D885}</b:Guid>
    <b:Author>
      <b:Author>
        <b:NameList>
          <b:Person>
            <b:Last>Wemmers</b:Last>
            <b:First>Jo-Anne</b:First>
          </b:Person>
        </b:NameList>
      </b:Author>
    </b:Author>
    <b:Title>Victims in the Dutch Criminal Justice System: The Effects of Treatment on Victim's Attitudes and Compliance</b:Title>
    <b:JournalName>International Review of Victimology</b:JournalName>
    <b:Year>1995</b:Year>
    <b:Pages>323-341</b:Pages>
    <b:Volume>3</b:Volume>
    <b:Issue>4</b:Issue>
    <b:RefOrder>26</b:RefOrder>
  </b:Source>
  <b:Source>
    <b:Tag>CPI96</b:Tag>
    <b:SourceType>InternetSite</b:SourceType>
    <b:Guid>{3EE528C6-B498-493C-A255-EC23DDEC8F72}</b:Guid>
    <b:Title>Gov.uk</b:Title>
    <b:Year>1996</b:Year>
    <b:Author>
      <b:Author>
        <b:Corporate>CPIA</b:Corporate>
      </b:Author>
    </b:Author>
    <b:YearAccessed>2021</b:YearAccessed>
    <b:MonthAccessed>11</b:MonthAccessed>
    <b:DayAccessed>24</b:DayAccessed>
    <b:URL>https://www.legislation.gov.uk/ukpga/1996/25/part/I/crossheading/the-main-provisions</b:URL>
    <b:RefOrder>27</b:RefOrder>
  </b:Source>
  <b:Source>
    <b:Tag>Col202</b:Tag>
    <b:SourceType>InternetSite</b:SourceType>
    <b:Guid>{0461F1DC-3608-4EA0-B8D1-D90A1B072955}</b:Guid>
    <b:Author>
      <b:Author>
        <b:Corporate>College of Policing</b:Corporate>
      </b:Author>
    </b:Author>
    <b:Title>College of Policing - Core Values and Competencies - Transparency</b:Title>
    <b:Year>2020</b:Year>
    <b:YearAccessed>2021</b:YearAccessed>
    <b:MonthAccessed>11</b:MonthAccessed>
    <b:DayAccessed>25</b:DayAccessed>
    <b:URL>https://profdev.college.police.uk/competency-values/transparency/</b:URL>
    <b:RefOrder>28</b:RefOrder>
  </b:Source>
  <b:Source>
    <b:Tag>Bla20</b:Tag>
    <b:SourceType>BookSection</b:SourceType>
    <b:Guid>{71D07970-9FF7-4F55-AEF5-64C7B077F501}</b:Guid>
    <b:Title>Initial Investigation, Arrest, Detention and Disposal</b:Title>
    <b:Year>2020</b:Year>
    <b:Author>
      <b:Author>
        <b:Corporate>Blackstone's</b:Corporate>
      </b:Author>
      <b:Editor>
        <b:NameList>
          <b:Person>
            <b:Last>Bryant</b:Last>
            <b:First>Robin</b:First>
          </b:Person>
          <b:Person>
            <b:Last>Bryant</b:Last>
            <b:First>Sarah</b:First>
          </b:Person>
        </b:NameList>
      </b:Editor>
    </b:Author>
    <b:BookTitle>Blackstone's handbook for Policing Students</b:BookTitle>
    <b:Pages>191-231</b:Pages>
    <b:City>Oxford</b:City>
    <b:Publisher>Oxford University Press</b:Publisher>
    <b:RefOrder>29</b:RefOrder>
  </b:Source>
  <b:Source>
    <b:Tag>Bla201</b:Tag>
    <b:SourceType>BookSection</b:SourceType>
    <b:Guid>{E03B47B5-3B84-438C-BD66-99A8AD93ABB9}</b:Guid>
    <b:Author>
      <b:Author>
        <b:Corporate>Blackstone's</b:Corporate>
      </b:Author>
      <b:Editor>
        <b:NameList>
          <b:Person>
            <b:Last>Bryant</b:Last>
            <b:First>Robin</b:First>
          </b:Person>
          <b:Person>
            <b:Last>Bryant</b:Last>
            <b:First>Sarah</b:First>
          </b:Person>
        </b:NameList>
      </b:Editor>
    </b:Author>
    <b:Title>Criminal Investigation: The Criminal Procedure and Investigations Act 1996</b:Title>
    <b:BookTitle>Blackstone's Handbook for Policing Students</b:BookTitle>
    <b:Year>2020</b:Year>
    <b:Pages>568</b:Pages>
    <b:City>Oxford</b:City>
    <b:Publisher>Oxford University Press</b:Publisher>
    <b:RefOrder>30</b:RefOrder>
  </b:Source>
  <b:Source>
    <b:Tag>Col201</b:Tag>
    <b:SourceType>InternetSite</b:SourceType>
    <b:Guid>{966F7B45-1915-4CC6-BA53-F9E9BFB23D8A}</b:Guid>
    <b:Author>
      <b:Author>
        <b:Corporate>College of Policing</b:Corporate>
      </b:Author>
    </b:Author>
    <b:Title>College of Policing - Competency and Values - Impartiality</b:Title>
    <b:Year>2020</b:Year>
    <b:YearAccessed>2021</b:YearAccessed>
    <b:MonthAccessed>11</b:MonthAccessed>
    <b:DayAccessed>25</b:DayAccessed>
    <b:URL>https://profdev.college.police.uk/competency-values/impartiality/</b:URL>
    <b:RefOrder>31</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2e89cfda-a374-4413-9f0d-8b601eddeb70"/>
    <ds:schemaRef ds:uri="http://www.w3.org/XML/1998/namespace"/>
    <ds:schemaRef ds:uri="http://purl.org/dc/dcmityp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FD072910-AC56-4B01-9E83-41C9C71DED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32</Pages>
  <Words>8094</Words>
  <Characters>45159</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Percival,Ryan swp6919</cp:lastModifiedBy>
  <cp:revision>3</cp:revision>
  <cp:lastPrinted>2014-08-26T08:55:00Z</cp:lastPrinted>
  <dcterms:created xsi:type="dcterms:W3CDTF">2021-11-29T18:45:00Z</dcterms:created>
  <dcterms:modified xsi:type="dcterms:W3CDTF">2021-11-29T18:47:00Z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2021-11-24T11:33:38Z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4fd3fc46-7806-4737-95e1-6c97844b5c7c</vt:lpwstr>
  </property>
  <property fmtid="{D5CDD505-2E9C-101B-9397-08002B2CF9AE}" pid="9" name="MSIP_Label_66cf8fe5-b7b7-4df7-b38d-1c61ac2f6639_ContentBits">
    <vt:lpwstr>0</vt:lpwstr>
  </property>
</Properties>
</file>