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A1EE1" w14:textId="77777777" w:rsidR="0090021C" w:rsidRDefault="0090021C" w:rsidP="007D6B4B">
      <w:pPr>
        <w:jc w:val="center"/>
        <w:rPr>
          <w:b/>
          <w:bCs/>
          <w:sz w:val="36"/>
          <w:szCs w:val="36"/>
        </w:rPr>
      </w:pPr>
    </w:p>
    <w:p w14:paraId="71CF8C1B" w14:textId="77777777" w:rsidR="0090021C" w:rsidRDefault="0090021C" w:rsidP="007D6B4B">
      <w:pPr>
        <w:jc w:val="center"/>
        <w:rPr>
          <w:b/>
          <w:bCs/>
          <w:sz w:val="36"/>
          <w:szCs w:val="36"/>
        </w:rPr>
      </w:pPr>
    </w:p>
    <w:p w14:paraId="423ED714" w14:textId="77777777" w:rsidR="0038718D" w:rsidRDefault="002E6A11" w:rsidP="007D6B4B">
      <w:pPr>
        <w:jc w:val="center"/>
        <w:rPr>
          <w:b/>
          <w:bCs/>
          <w:sz w:val="36"/>
          <w:szCs w:val="36"/>
        </w:rPr>
      </w:pPr>
      <w:r w:rsidRPr="00B151A5">
        <w:rPr>
          <w:b/>
          <w:bCs/>
          <w:sz w:val="36"/>
          <w:szCs w:val="36"/>
        </w:rPr>
        <w:t>Continuous Glucose Monitoring (CGM) in UK Health and Social Care: A Critical Evaluation</w:t>
      </w:r>
    </w:p>
    <w:p w14:paraId="7FCDEA10" w14:textId="77777777" w:rsidR="0090021C" w:rsidRDefault="0090021C" w:rsidP="007D6B4B">
      <w:pPr>
        <w:jc w:val="center"/>
        <w:rPr>
          <w:b/>
          <w:bCs/>
          <w:sz w:val="36"/>
          <w:szCs w:val="36"/>
        </w:rPr>
      </w:pPr>
    </w:p>
    <w:p w14:paraId="199952D0" w14:textId="77777777" w:rsidR="0090021C" w:rsidRDefault="0090021C" w:rsidP="007D6B4B">
      <w:pPr>
        <w:jc w:val="center"/>
        <w:rPr>
          <w:b/>
          <w:bCs/>
          <w:sz w:val="36"/>
          <w:szCs w:val="36"/>
        </w:rPr>
      </w:pPr>
    </w:p>
    <w:p w14:paraId="2A0AB7BA" w14:textId="77777777" w:rsidR="0090021C" w:rsidRDefault="0090021C" w:rsidP="007D6B4B">
      <w:pPr>
        <w:jc w:val="center"/>
        <w:rPr>
          <w:b/>
          <w:bCs/>
          <w:sz w:val="36"/>
          <w:szCs w:val="36"/>
        </w:rPr>
      </w:pPr>
    </w:p>
    <w:p w14:paraId="78371CF4" w14:textId="77777777" w:rsidR="0090021C" w:rsidRDefault="0090021C" w:rsidP="007D6B4B">
      <w:pPr>
        <w:jc w:val="center"/>
        <w:rPr>
          <w:b/>
          <w:bCs/>
          <w:sz w:val="36"/>
          <w:szCs w:val="36"/>
        </w:rPr>
      </w:pPr>
    </w:p>
    <w:p w14:paraId="755EBA4B" w14:textId="77777777" w:rsidR="0090021C" w:rsidRDefault="0090021C" w:rsidP="007D6B4B">
      <w:pPr>
        <w:jc w:val="center"/>
        <w:rPr>
          <w:b/>
          <w:bCs/>
          <w:sz w:val="36"/>
          <w:szCs w:val="36"/>
        </w:rPr>
      </w:pPr>
      <w:r w:rsidRPr="0090021C">
        <w:rPr>
          <w:b/>
          <w:bCs/>
          <w:sz w:val="36"/>
          <w:szCs w:val="36"/>
        </w:rPr>
        <w:t>2314799 Shaira Hussain</w:t>
      </w:r>
    </w:p>
    <w:p w14:paraId="4E1DC09D" w14:textId="77777777" w:rsidR="0090021C" w:rsidRDefault="0090021C" w:rsidP="007D6B4B">
      <w:pPr>
        <w:jc w:val="center"/>
        <w:rPr>
          <w:b/>
          <w:bCs/>
          <w:sz w:val="36"/>
          <w:szCs w:val="36"/>
        </w:rPr>
      </w:pPr>
    </w:p>
    <w:p w14:paraId="66731A21" w14:textId="77777777" w:rsidR="0090021C" w:rsidRDefault="0090021C" w:rsidP="007D6B4B">
      <w:pPr>
        <w:jc w:val="center"/>
        <w:rPr>
          <w:b/>
          <w:bCs/>
          <w:sz w:val="36"/>
          <w:szCs w:val="36"/>
        </w:rPr>
      </w:pPr>
    </w:p>
    <w:p w14:paraId="68BE4EAF" w14:textId="77777777" w:rsidR="0090021C" w:rsidRDefault="0090021C" w:rsidP="007D6B4B">
      <w:pPr>
        <w:jc w:val="center"/>
        <w:rPr>
          <w:b/>
          <w:bCs/>
          <w:sz w:val="36"/>
          <w:szCs w:val="36"/>
        </w:rPr>
      </w:pPr>
    </w:p>
    <w:p w14:paraId="67DD8296" w14:textId="77777777" w:rsidR="0090021C" w:rsidRDefault="0090021C" w:rsidP="007D6B4B">
      <w:pPr>
        <w:jc w:val="center"/>
        <w:rPr>
          <w:b/>
          <w:bCs/>
          <w:sz w:val="36"/>
          <w:szCs w:val="36"/>
        </w:rPr>
      </w:pPr>
    </w:p>
    <w:p w14:paraId="37E7ADBA" w14:textId="77777777" w:rsidR="00A226E4" w:rsidRDefault="00A226E4" w:rsidP="007D6B4B">
      <w:pPr>
        <w:jc w:val="center"/>
        <w:rPr>
          <w:b/>
          <w:bCs/>
          <w:sz w:val="36"/>
          <w:szCs w:val="36"/>
        </w:rPr>
      </w:pPr>
    </w:p>
    <w:p w14:paraId="4E008E5D" w14:textId="77777777" w:rsidR="00A226E4" w:rsidRDefault="00A226E4" w:rsidP="007D6B4B">
      <w:pPr>
        <w:jc w:val="center"/>
        <w:rPr>
          <w:b/>
          <w:bCs/>
          <w:sz w:val="36"/>
          <w:szCs w:val="36"/>
        </w:rPr>
      </w:pPr>
    </w:p>
    <w:p w14:paraId="5C5C2A64" w14:textId="41264E0B" w:rsidR="08A61382" w:rsidRDefault="08A61382" w:rsidP="08A61382">
      <w:pPr>
        <w:jc w:val="center"/>
        <w:rPr>
          <w:b/>
          <w:bCs/>
          <w:sz w:val="36"/>
          <w:szCs w:val="36"/>
        </w:rPr>
      </w:pPr>
    </w:p>
    <w:p w14:paraId="06DBB039" w14:textId="77777777" w:rsidR="0090021C" w:rsidRDefault="0090021C" w:rsidP="007D6B4B">
      <w:pPr>
        <w:jc w:val="center"/>
        <w:rPr>
          <w:b/>
          <w:bCs/>
          <w:sz w:val="36"/>
          <w:szCs w:val="36"/>
        </w:rPr>
      </w:pPr>
      <w:r w:rsidRPr="08A61382">
        <w:rPr>
          <w:b/>
          <w:bCs/>
          <w:sz w:val="36"/>
          <w:szCs w:val="36"/>
        </w:rPr>
        <w:t>BMHP 6026 – Digital Transformation in the Health and Care Professions</w:t>
      </w:r>
    </w:p>
    <w:p w14:paraId="76261468" w14:textId="78A83689" w:rsidR="08A61382" w:rsidRDefault="08A61382" w:rsidP="08A61382">
      <w:pPr>
        <w:jc w:val="center"/>
        <w:rPr>
          <w:b/>
          <w:bCs/>
          <w:sz w:val="36"/>
          <w:szCs w:val="36"/>
        </w:rPr>
      </w:pPr>
    </w:p>
    <w:p w14:paraId="449500A4" w14:textId="665D501E" w:rsidR="08A61382" w:rsidRDefault="08A61382" w:rsidP="08A61382">
      <w:pPr>
        <w:jc w:val="center"/>
        <w:rPr>
          <w:b/>
          <w:bCs/>
          <w:sz w:val="36"/>
          <w:szCs w:val="36"/>
        </w:rPr>
      </w:pPr>
    </w:p>
    <w:p w14:paraId="01A7153E" w14:textId="02D45846" w:rsidR="08A61382" w:rsidRDefault="08A61382" w:rsidP="08A61382">
      <w:pPr>
        <w:jc w:val="center"/>
        <w:rPr>
          <w:b/>
          <w:bCs/>
          <w:sz w:val="36"/>
          <w:szCs w:val="36"/>
        </w:rPr>
      </w:pPr>
    </w:p>
    <w:p w14:paraId="43B9A32A" w14:textId="050B052F" w:rsidR="08A61382" w:rsidRDefault="08A61382" w:rsidP="08A61382">
      <w:pPr>
        <w:jc w:val="center"/>
        <w:rPr>
          <w:b/>
          <w:bCs/>
          <w:sz w:val="36"/>
          <w:szCs w:val="36"/>
        </w:rPr>
      </w:pPr>
    </w:p>
    <w:p w14:paraId="468757FB" w14:textId="4634F151" w:rsidR="08A61382" w:rsidRDefault="08A61382" w:rsidP="08A61382">
      <w:pPr>
        <w:jc w:val="center"/>
        <w:rPr>
          <w:b/>
          <w:bCs/>
          <w:sz w:val="36"/>
          <w:szCs w:val="36"/>
        </w:rPr>
      </w:pPr>
    </w:p>
    <w:sdt>
      <w:sdtPr>
        <w:id w:val="1722747921"/>
        <w:docPartObj>
          <w:docPartGallery w:val="Table of Contents"/>
          <w:docPartUnique/>
        </w:docPartObj>
      </w:sdtPr>
      <w:sdtContent>
        <w:p w14:paraId="69552D02" w14:textId="630A7C2D" w:rsidR="08A61382" w:rsidRDefault="08A61382" w:rsidP="08A61382">
          <w:pPr>
            <w:pStyle w:val="TOC1"/>
            <w:tabs>
              <w:tab w:val="right" w:leader="dot" w:pos="9360"/>
            </w:tabs>
            <w:rPr>
              <w:rStyle w:val="Hyperlink"/>
            </w:rPr>
          </w:pPr>
          <w:r>
            <w:fldChar w:fldCharType="begin"/>
          </w:r>
          <w:r>
            <w:instrText>TOC \o \z \u \h</w:instrText>
          </w:r>
          <w:r>
            <w:fldChar w:fldCharType="separate"/>
          </w:r>
          <w:hyperlink w:anchor="_Toc104208418">
            <w:r w:rsidRPr="08A61382">
              <w:rPr>
                <w:rStyle w:val="Hyperlink"/>
              </w:rPr>
              <w:t>Introduction</w:t>
            </w:r>
            <w:r>
              <w:tab/>
            </w:r>
            <w:r>
              <w:fldChar w:fldCharType="begin"/>
            </w:r>
            <w:r>
              <w:instrText>PAGEREF _Toc104208418 \h</w:instrText>
            </w:r>
            <w:r>
              <w:fldChar w:fldCharType="separate"/>
            </w:r>
            <w:r w:rsidRPr="08A61382">
              <w:rPr>
                <w:rStyle w:val="Hyperlink"/>
              </w:rPr>
              <w:t>1</w:t>
            </w:r>
            <w:r>
              <w:fldChar w:fldCharType="end"/>
            </w:r>
          </w:hyperlink>
        </w:p>
        <w:p w14:paraId="2BB881C3" w14:textId="7984ED19" w:rsidR="08A61382" w:rsidRDefault="08A61382" w:rsidP="08A61382">
          <w:pPr>
            <w:pStyle w:val="TOC1"/>
            <w:tabs>
              <w:tab w:val="right" w:leader="dot" w:pos="9360"/>
            </w:tabs>
            <w:rPr>
              <w:rStyle w:val="Hyperlink"/>
            </w:rPr>
          </w:pPr>
          <w:hyperlink w:anchor="_Toc1348170695">
            <w:r w:rsidRPr="08A61382">
              <w:rPr>
                <w:rStyle w:val="Hyperlink"/>
              </w:rPr>
              <w:t>Impact on the Workforce</w:t>
            </w:r>
            <w:r>
              <w:tab/>
            </w:r>
            <w:r>
              <w:fldChar w:fldCharType="begin"/>
            </w:r>
            <w:r>
              <w:instrText>PAGEREF _Toc1348170695 \h</w:instrText>
            </w:r>
            <w:r>
              <w:fldChar w:fldCharType="separate"/>
            </w:r>
            <w:r w:rsidRPr="08A61382">
              <w:rPr>
                <w:rStyle w:val="Hyperlink"/>
              </w:rPr>
              <w:t>3</w:t>
            </w:r>
            <w:r>
              <w:fldChar w:fldCharType="end"/>
            </w:r>
          </w:hyperlink>
        </w:p>
        <w:p w14:paraId="1C12B43E" w14:textId="4267BB8F" w:rsidR="08A61382" w:rsidRDefault="08A61382" w:rsidP="08A61382">
          <w:pPr>
            <w:pStyle w:val="TOC1"/>
            <w:tabs>
              <w:tab w:val="right" w:leader="dot" w:pos="9360"/>
            </w:tabs>
            <w:rPr>
              <w:rStyle w:val="Hyperlink"/>
            </w:rPr>
          </w:pPr>
          <w:hyperlink w:anchor="_Toc923916159">
            <w:r w:rsidRPr="08A61382">
              <w:rPr>
                <w:rStyle w:val="Hyperlink"/>
              </w:rPr>
              <w:t>Impact on Service Delivery</w:t>
            </w:r>
            <w:r>
              <w:tab/>
            </w:r>
            <w:r>
              <w:fldChar w:fldCharType="begin"/>
            </w:r>
            <w:r>
              <w:instrText>PAGEREF _Toc923916159 \h</w:instrText>
            </w:r>
            <w:r>
              <w:fldChar w:fldCharType="separate"/>
            </w:r>
            <w:r w:rsidRPr="08A61382">
              <w:rPr>
                <w:rStyle w:val="Hyperlink"/>
              </w:rPr>
              <w:t>5</w:t>
            </w:r>
            <w:r>
              <w:fldChar w:fldCharType="end"/>
            </w:r>
          </w:hyperlink>
        </w:p>
        <w:p w14:paraId="6CD92D7A" w14:textId="07859B44" w:rsidR="08A61382" w:rsidRDefault="08A61382" w:rsidP="08A61382">
          <w:pPr>
            <w:pStyle w:val="TOC1"/>
            <w:tabs>
              <w:tab w:val="right" w:leader="dot" w:pos="9360"/>
            </w:tabs>
            <w:rPr>
              <w:rStyle w:val="Hyperlink"/>
            </w:rPr>
          </w:pPr>
          <w:hyperlink w:anchor="_Toc1842266725">
            <w:r w:rsidRPr="08A61382">
              <w:rPr>
                <w:rStyle w:val="Hyperlink"/>
              </w:rPr>
              <w:t>Impact on Patients and Service Users</w:t>
            </w:r>
            <w:r>
              <w:tab/>
            </w:r>
            <w:r>
              <w:fldChar w:fldCharType="begin"/>
            </w:r>
            <w:r>
              <w:instrText>PAGEREF _Toc1842266725 \h</w:instrText>
            </w:r>
            <w:r>
              <w:fldChar w:fldCharType="separate"/>
            </w:r>
            <w:r w:rsidRPr="08A61382">
              <w:rPr>
                <w:rStyle w:val="Hyperlink"/>
              </w:rPr>
              <w:t>5</w:t>
            </w:r>
            <w:r>
              <w:fldChar w:fldCharType="end"/>
            </w:r>
          </w:hyperlink>
        </w:p>
        <w:p w14:paraId="7AF205A3" w14:textId="245E238B" w:rsidR="08A61382" w:rsidRDefault="08A61382" w:rsidP="08A61382">
          <w:pPr>
            <w:pStyle w:val="TOC1"/>
            <w:tabs>
              <w:tab w:val="right" w:leader="dot" w:pos="9360"/>
            </w:tabs>
            <w:rPr>
              <w:rStyle w:val="Hyperlink"/>
            </w:rPr>
          </w:pPr>
          <w:hyperlink w:anchor="_Toc502343994">
            <w:r w:rsidRPr="08A61382">
              <w:rPr>
                <w:rStyle w:val="Hyperlink"/>
              </w:rPr>
              <w:t>Impact on the Community</w:t>
            </w:r>
            <w:r>
              <w:tab/>
            </w:r>
            <w:r>
              <w:fldChar w:fldCharType="begin"/>
            </w:r>
            <w:r>
              <w:instrText>PAGEREF _Toc502343994 \h</w:instrText>
            </w:r>
            <w:r>
              <w:fldChar w:fldCharType="separate"/>
            </w:r>
            <w:r w:rsidRPr="08A61382">
              <w:rPr>
                <w:rStyle w:val="Hyperlink"/>
              </w:rPr>
              <w:t>5</w:t>
            </w:r>
            <w:r>
              <w:fldChar w:fldCharType="end"/>
            </w:r>
          </w:hyperlink>
        </w:p>
        <w:p w14:paraId="2D75EAEF" w14:textId="5A4BB001" w:rsidR="08A61382" w:rsidRDefault="08A61382" w:rsidP="08A61382">
          <w:pPr>
            <w:pStyle w:val="TOC1"/>
            <w:tabs>
              <w:tab w:val="right" w:leader="dot" w:pos="9360"/>
            </w:tabs>
            <w:rPr>
              <w:rStyle w:val="Hyperlink"/>
            </w:rPr>
          </w:pPr>
          <w:hyperlink w:anchor="_Toc1654281359">
            <w:r w:rsidRPr="08A61382">
              <w:rPr>
                <w:rStyle w:val="Hyperlink"/>
              </w:rPr>
              <w:t>Conclusion and Recommendations</w:t>
            </w:r>
            <w:r>
              <w:tab/>
            </w:r>
            <w:r>
              <w:fldChar w:fldCharType="begin"/>
            </w:r>
            <w:r>
              <w:instrText>PAGEREF _Toc1654281359 \h</w:instrText>
            </w:r>
            <w:r>
              <w:fldChar w:fldCharType="separate"/>
            </w:r>
            <w:r w:rsidRPr="08A61382">
              <w:rPr>
                <w:rStyle w:val="Hyperlink"/>
              </w:rPr>
              <w:t>5</w:t>
            </w:r>
            <w:r>
              <w:fldChar w:fldCharType="end"/>
            </w:r>
          </w:hyperlink>
        </w:p>
        <w:p w14:paraId="08B33091" w14:textId="347EFE1D" w:rsidR="08A61382" w:rsidRDefault="08A61382" w:rsidP="08A61382">
          <w:pPr>
            <w:pStyle w:val="TOC1"/>
            <w:tabs>
              <w:tab w:val="right" w:leader="dot" w:pos="9360"/>
            </w:tabs>
            <w:rPr>
              <w:rStyle w:val="Hyperlink"/>
            </w:rPr>
          </w:pPr>
          <w:hyperlink w:anchor="_Toc31147501">
            <w:r w:rsidRPr="08A61382">
              <w:rPr>
                <w:rStyle w:val="Hyperlink"/>
              </w:rPr>
              <w:t>References</w:t>
            </w:r>
            <w:r>
              <w:tab/>
            </w:r>
            <w:r>
              <w:fldChar w:fldCharType="begin"/>
            </w:r>
            <w:r>
              <w:instrText>PAGEREF _Toc31147501 \h</w:instrText>
            </w:r>
            <w:r>
              <w:fldChar w:fldCharType="separate"/>
            </w:r>
            <w:r w:rsidRPr="08A61382">
              <w:rPr>
                <w:rStyle w:val="Hyperlink"/>
              </w:rPr>
              <w:t>5</w:t>
            </w:r>
            <w:r>
              <w:fldChar w:fldCharType="end"/>
            </w:r>
          </w:hyperlink>
          <w:r>
            <w:fldChar w:fldCharType="end"/>
          </w:r>
        </w:p>
      </w:sdtContent>
    </w:sdt>
    <w:p w14:paraId="7A3019EB" w14:textId="7FBAFA75" w:rsidR="08A61382" w:rsidRDefault="08A61382" w:rsidP="08A61382">
      <w:pPr>
        <w:jc w:val="center"/>
        <w:rPr>
          <w:b/>
          <w:bCs/>
          <w:sz w:val="36"/>
          <w:szCs w:val="36"/>
        </w:rPr>
      </w:pPr>
    </w:p>
    <w:p w14:paraId="350434B4" w14:textId="77777777" w:rsidR="00A226E4" w:rsidRDefault="00A226E4" w:rsidP="007D6B4B">
      <w:pPr>
        <w:jc w:val="center"/>
        <w:rPr>
          <w:b/>
          <w:bCs/>
          <w:sz w:val="36"/>
          <w:szCs w:val="36"/>
        </w:rPr>
      </w:pPr>
    </w:p>
    <w:p w14:paraId="7D66A77E" w14:textId="77777777" w:rsidR="006D51D8" w:rsidRDefault="006D51D8" w:rsidP="007D6B4B">
      <w:pPr>
        <w:jc w:val="both"/>
        <w:rPr>
          <w:b/>
          <w:bCs/>
          <w:sz w:val="36"/>
          <w:szCs w:val="36"/>
        </w:rPr>
      </w:pPr>
    </w:p>
    <w:p w14:paraId="19EEB3C4" w14:textId="281B6BD5" w:rsidR="08A61382" w:rsidRDefault="08A61382">
      <w:r>
        <w:br w:type="page"/>
      </w:r>
    </w:p>
    <w:p w14:paraId="18510D63" w14:textId="60072709" w:rsidR="08A61382" w:rsidRDefault="08A61382" w:rsidP="08A61382">
      <w:pPr>
        <w:jc w:val="both"/>
        <w:rPr>
          <w:b/>
          <w:bCs/>
          <w:sz w:val="36"/>
          <w:szCs w:val="36"/>
        </w:rPr>
      </w:pPr>
    </w:p>
    <w:p w14:paraId="66347F43" w14:textId="77777777" w:rsidR="006D51D8" w:rsidRDefault="00FD5C77" w:rsidP="00B8525E">
      <w:pPr>
        <w:pStyle w:val="Heading1"/>
      </w:pPr>
      <w:bookmarkStart w:id="0" w:name="_Toc104208418"/>
      <w:r>
        <w:t>Introduction</w:t>
      </w:r>
      <w:bookmarkEnd w:id="0"/>
    </w:p>
    <w:p w14:paraId="07031C2A" w14:textId="36F299A1" w:rsidR="00FD5C77" w:rsidRDefault="00297F71" w:rsidP="00CE6576">
      <w:pPr>
        <w:jc w:val="both"/>
        <w:rPr>
          <w:sz w:val="24"/>
          <w:szCs w:val="24"/>
        </w:rPr>
      </w:pPr>
      <w:r>
        <w:rPr>
          <w:sz w:val="24"/>
          <w:szCs w:val="24"/>
        </w:rPr>
        <w:t xml:space="preserve">The UK </w:t>
      </w:r>
      <w:r w:rsidR="00585105">
        <w:rPr>
          <w:sz w:val="24"/>
          <w:szCs w:val="24"/>
        </w:rPr>
        <w:t>government</w:t>
      </w:r>
      <w:r>
        <w:rPr>
          <w:sz w:val="24"/>
          <w:szCs w:val="24"/>
        </w:rPr>
        <w:t xml:space="preserve"> emphasises </w:t>
      </w:r>
      <w:r w:rsidR="00585105">
        <w:rPr>
          <w:sz w:val="24"/>
          <w:szCs w:val="24"/>
        </w:rPr>
        <w:t xml:space="preserve">the </w:t>
      </w:r>
      <w:r>
        <w:rPr>
          <w:sz w:val="24"/>
          <w:szCs w:val="24"/>
        </w:rPr>
        <w:t>need for data-driven technologies to modernise care, enhance patient outcomes, and build efficiency across systems</w:t>
      </w:r>
      <w:r w:rsidR="00585105">
        <w:rPr>
          <w:sz w:val="24"/>
          <w:szCs w:val="24"/>
        </w:rPr>
        <w:t>.</w:t>
      </w:r>
      <w:r>
        <w:rPr>
          <w:sz w:val="24"/>
          <w:szCs w:val="24"/>
        </w:rPr>
        <w:t xml:space="preserve"> </w:t>
      </w:r>
      <w:r>
        <w:rPr>
          <w:sz w:val="24"/>
          <w:szCs w:val="24"/>
        </w:rPr>
        <w:fldChar w:fldCharType="begin"/>
      </w:r>
      <w:r>
        <w:rPr>
          <w:sz w:val="24"/>
          <w:szCs w:val="24"/>
        </w:rPr>
        <w:instrText xml:space="preserve"> ADDIN ZOTERO_ITEM CSL_CITATION {"citationID":"4OVeIb6U","properties":{"formattedCitation":"(Health and Care, 2022)","plainCitation":"(Health and Care, 2022)","noteIndex":0},"citationItems":[{"id":4863,"uris":["http://zotero.org/users/14350932/items/ENT85JAY"],"itemData":{"id":4863,"type":"document","publisher":"UK Government","title":"A Plan for Digital Health and Social Care","URL":"https://www.gov.uk/government/publications/a-plan-for-digital-health-and-social-care","author":[{"family":"Health","given":"Department","dropping-particle":"of"},{"family":"Care","given":"Social"}],"issued":{"date-parts":[["2022"]]}}}],"schema":"https://github.com/citation-style-language/schema/raw/master/csl-citation.json"} </w:instrText>
      </w:r>
      <w:r>
        <w:rPr>
          <w:sz w:val="24"/>
          <w:szCs w:val="24"/>
        </w:rPr>
        <w:fldChar w:fldCharType="separate"/>
      </w:r>
      <w:r w:rsidRPr="00297F71">
        <w:rPr>
          <w:rFonts w:ascii="Calibri" w:hAnsi="Calibri" w:cs="Calibri"/>
          <w:sz w:val="24"/>
        </w:rPr>
        <w:t>(Health and Care, 2022)</w:t>
      </w:r>
      <w:r>
        <w:rPr>
          <w:sz w:val="24"/>
          <w:szCs w:val="24"/>
        </w:rPr>
        <w:fldChar w:fldCharType="end"/>
      </w:r>
      <w:r>
        <w:rPr>
          <w:sz w:val="24"/>
          <w:szCs w:val="24"/>
        </w:rPr>
        <w:t xml:space="preserve">. </w:t>
      </w:r>
      <w:r w:rsidR="0019524E">
        <w:rPr>
          <w:sz w:val="24"/>
          <w:szCs w:val="24"/>
        </w:rPr>
        <w:t xml:space="preserve">The increase in prevalence of diabetes has placed significant pressure on the UK’s National Health Service (NHS) </w:t>
      </w:r>
      <w:r w:rsidR="00B8525E">
        <w:rPr>
          <w:sz w:val="24"/>
          <w:szCs w:val="24"/>
        </w:rPr>
        <w:fldChar w:fldCharType="begin"/>
      </w:r>
      <w:r w:rsidR="00B8525E">
        <w:rPr>
          <w:sz w:val="24"/>
          <w:szCs w:val="24"/>
        </w:rPr>
        <w:instrText xml:space="preserve"> ADDIN ZOTERO_ITEM CSL_CITATION {"citationID":"mQsdFO3B","properties":{"formattedCitation":"(NHS England, 2024)","plainCitation":"(NHS England, 2024)","noteIndex":0},"citationItems":[{"id":4873,"uris":["http://zotero.org/users/14350932/items/VFDQDIAN"],"itemData":{"id":4873,"type":"post-weblog","abstract":"NHS England » NHS identifies over half a million more people at risk of type 2 diabetes in a Year","language":"en-US","title":"NHS England » NHS identifies over half a million more people at risk of type 2 diabetes in a Year","URL":"https://www.england.nhs.uk/2024/06/nhs-identifies-over-half-a-million-more-people-at-risk-of-type-2-diabetes-in-a-year/","author":[{"family":"NHS England","given":""}],"accessed":{"date-parts":[["2025",10,24]]},"issued":{"date-parts":[["2024",6,12]]}}}],"schema":"https://github.com/citation-style-language/schema/raw/master/csl-citation.json"} </w:instrText>
      </w:r>
      <w:r w:rsidR="00B8525E">
        <w:rPr>
          <w:sz w:val="24"/>
          <w:szCs w:val="24"/>
        </w:rPr>
        <w:fldChar w:fldCharType="separate"/>
      </w:r>
      <w:r w:rsidR="00B8525E" w:rsidRPr="00B8525E">
        <w:rPr>
          <w:rFonts w:ascii="Calibri" w:hAnsi="Calibri" w:cs="Calibri"/>
          <w:sz w:val="24"/>
        </w:rPr>
        <w:t>(NHS England, 2024)</w:t>
      </w:r>
      <w:r w:rsidR="00B8525E">
        <w:rPr>
          <w:sz w:val="24"/>
          <w:szCs w:val="24"/>
        </w:rPr>
        <w:fldChar w:fldCharType="end"/>
      </w:r>
      <w:r w:rsidR="00B8525E">
        <w:rPr>
          <w:sz w:val="24"/>
          <w:szCs w:val="24"/>
        </w:rPr>
        <w:t xml:space="preserve"> </w:t>
      </w:r>
      <w:r w:rsidR="00585105">
        <w:rPr>
          <w:sz w:val="24"/>
          <w:szCs w:val="24"/>
        </w:rPr>
        <w:t>That</w:t>
      </w:r>
      <w:r w:rsidR="0019524E">
        <w:rPr>
          <w:sz w:val="24"/>
          <w:szCs w:val="24"/>
        </w:rPr>
        <w:t xml:space="preserve"> </w:t>
      </w:r>
      <w:r w:rsidR="00585105">
        <w:rPr>
          <w:sz w:val="24"/>
          <w:szCs w:val="24"/>
        </w:rPr>
        <w:t>demands</w:t>
      </w:r>
      <w:r w:rsidR="0019524E">
        <w:rPr>
          <w:sz w:val="24"/>
          <w:szCs w:val="24"/>
        </w:rPr>
        <w:t xml:space="preserve"> more efficient, data-driven, and person-centred approaches to care. </w:t>
      </w:r>
      <w:r w:rsidR="00A522F5">
        <w:rPr>
          <w:sz w:val="24"/>
          <w:szCs w:val="24"/>
        </w:rPr>
        <w:t xml:space="preserve">Continuous Glucose Monitoring (CGM) </w:t>
      </w:r>
      <w:r w:rsidR="00C246C5">
        <w:rPr>
          <w:sz w:val="24"/>
          <w:szCs w:val="24"/>
        </w:rPr>
        <w:t>represents one of the most transformative digital health innovations within the last decade</w:t>
      </w:r>
      <w:r w:rsidR="00585105">
        <w:rPr>
          <w:sz w:val="24"/>
          <w:szCs w:val="24"/>
        </w:rPr>
        <w:t>.</w:t>
      </w:r>
      <w:r w:rsidR="00B8525E">
        <w:rPr>
          <w:sz w:val="24"/>
          <w:szCs w:val="24"/>
        </w:rPr>
        <w:t xml:space="preserve"> </w:t>
      </w:r>
      <w:r w:rsidR="00B8525E">
        <w:rPr>
          <w:sz w:val="24"/>
          <w:szCs w:val="24"/>
        </w:rPr>
        <w:fldChar w:fldCharType="begin"/>
      </w:r>
      <w:r w:rsidR="00CE6576">
        <w:rPr>
          <w:sz w:val="24"/>
          <w:szCs w:val="24"/>
        </w:rPr>
        <w:instrText xml:space="preserve"> ADDIN ZOTERO_ITEM CSL_CITATION {"citationID":"vjra4wyB","properties":{"formattedCitation":"(Manov {\\i{}et al.}, 2023)","plainCitation":"(Manov et al., 2023)","noteIndex":0},"citationItems":[{"id":4875,"uris":["http://zotero.org/users/14350932/items/M8XQ2YIQ"],"itemData":{"id":4875,"type":"article-journal","abstract":"This retrospective study aimed to assess the effectiveness of continuous glucose monitoring (CGM) devices in managing uncontrolled diabetes mellitus (DM). The  study cohort comprised 25 patients with uncontrolled diabetes who received  treatment at an internal medicine resident clinic. The objective was to evaluate  the impact of transitioning from self-monitoring of blood glucose (SMBG) to CGM  devices on glycemic control, as measured by changes in hemoglobin A1c (HbA1c)  levels, average blood glucose levels, hypoglycemic events, time spent within the  target blood sugar range, and glucose variability. The findings indicated  significant improvements in glycemic control with the adoption of CGM devices,  highlighting their potential benefits for optimizing diabetes management. The  study is particularly interesting because it was done in an internal medicine  continuity clinic with the main participation of the internal medicine residents  under the supervision of an endocrinologist. It was not done as the majority of  the other studies used CGM in specialized endocrinology clinics.","container-title":"Cureus","DOI":"10.7759/cureus.42545","ISSN":"2168-8184","issue":"7","journalAbbreviation":"Cureus","language":"eng","license":"Copyright © 2023, Manov et al.","note":"publisher-place: United States\nPMID: 37637581 \nPMCID: PMC10460137","page":"e42545","title":"The Effectiveness of Continuous Glucose Monitoring Devices in Managing Uncontrolled Diabetes Mellitus: A Retrospective Study.","volume":"15","author":[{"family":"Manov","given":"Andre E."},{"family":"Chauhan","given":"Sukhjinder"},{"family":"Dhillon","given":"Gundip"},{"family":"Dhaliwal","given":"Athena"},{"family":"Antonio","given":"Sabrina"},{"family":"Donepudi","given":"Ashrita"},{"family":"Jalal","given":"Yema N."},{"family":"Nazha","given":"Jonathan"},{"family":"Banal","given":"Melissa"},{"family":"House","given":"Joseph"}],"issued":{"date-parts":[["2023",7]]}}}],"schema":"https://github.com/citation-style-language/schema/raw/master/csl-citation.json"} </w:instrText>
      </w:r>
      <w:r w:rsidR="00B8525E">
        <w:rPr>
          <w:sz w:val="24"/>
          <w:szCs w:val="24"/>
        </w:rPr>
        <w:fldChar w:fldCharType="separate"/>
      </w:r>
      <w:r w:rsidR="00CE6576" w:rsidRPr="00CE6576">
        <w:rPr>
          <w:rFonts w:ascii="Calibri" w:hAnsi="Calibri" w:cs="Calibri"/>
          <w:sz w:val="24"/>
          <w:szCs w:val="24"/>
        </w:rPr>
        <w:t xml:space="preserve">(Manov </w:t>
      </w:r>
      <w:r w:rsidR="00CE6576" w:rsidRPr="00CE6576">
        <w:rPr>
          <w:rFonts w:ascii="Calibri" w:hAnsi="Calibri" w:cs="Calibri"/>
          <w:i/>
          <w:iCs/>
          <w:sz w:val="24"/>
          <w:szCs w:val="24"/>
        </w:rPr>
        <w:t>et al.</w:t>
      </w:r>
      <w:r w:rsidR="00CE6576" w:rsidRPr="00CE6576">
        <w:rPr>
          <w:rFonts w:ascii="Calibri" w:hAnsi="Calibri" w:cs="Calibri"/>
          <w:sz w:val="24"/>
          <w:szCs w:val="24"/>
        </w:rPr>
        <w:t>, 2023)</w:t>
      </w:r>
      <w:r w:rsidR="00B8525E">
        <w:rPr>
          <w:sz w:val="24"/>
          <w:szCs w:val="24"/>
        </w:rPr>
        <w:fldChar w:fldCharType="end"/>
      </w:r>
      <w:r w:rsidR="00C246C5">
        <w:rPr>
          <w:sz w:val="24"/>
          <w:szCs w:val="24"/>
        </w:rPr>
        <w:t xml:space="preserve">. </w:t>
      </w:r>
      <w:r w:rsidR="00A575FB">
        <w:rPr>
          <w:sz w:val="24"/>
          <w:szCs w:val="24"/>
        </w:rPr>
        <w:t xml:space="preserve">Unlike traditional finger-prick </w:t>
      </w:r>
      <w:r w:rsidR="00585105">
        <w:rPr>
          <w:sz w:val="24"/>
          <w:szCs w:val="24"/>
        </w:rPr>
        <w:t>tests</w:t>
      </w:r>
      <w:r w:rsidR="00A575FB">
        <w:rPr>
          <w:sz w:val="24"/>
          <w:szCs w:val="24"/>
        </w:rPr>
        <w:t xml:space="preserve">, CGMs provide real-time, continuous glucose readings via </w:t>
      </w:r>
      <w:r w:rsidR="00585105">
        <w:rPr>
          <w:sz w:val="24"/>
          <w:szCs w:val="24"/>
        </w:rPr>
        <w:t xml:space="preserve">a </w:t>
      </w:r>
      <w:r w:rsidR="00A575FB">
        <w:rPr>
          <w:sz w:val="24"/>
          <w:szCs w:val="24"/>
        </w:rPr>
        <w:t xml:space="preserve">subcutaneous sensor, </w:t>
      </w:r>
      <w:r w:rsidR="00585105">
        <w:rPr>
          <w:sz w:val="24"/>
          <w:szCs w:val="24"/>
        </w:rPr>
        <w:t>which</w:t>
      </w:r>
      <w:r w:rsidR="00A575FB">
        <w:rPr>
          <w:sz w:val="24"/>
          <w:szCs w:val="24"/>
        </w:rPr>
        <w:t xml:space="preserve"> </w:t>
      </w:r>
      <w:r w:rsidR="00585105">
        <w:rPr>
          <w:sz w:val="24"/>
          <w:szCs w:val="24"/>
        </w:rPr>
        <w:t>enables</w:t>
      </w:r>
      <w:r w:rsidR="00A575FB">
        <w:rPr>
          <w:sz w:val="24"/>
          <w:szCs w:val="24"/>
        </w:rPr>
        <w:t xml:space="preserve"> patients and clinicians to monitor glycaemic trends and respond in </w:t>
      </w:r>
      <w:r w:rsidR="00585105">
        <w:rPr>
          <w:sz w:val="24"/>
          <w:szCs w:val="24"/>
        </w:rPr>
        <w:t xml:space="preserve">a </w:t>
      </w:r>
      <w:r w:rsidR="00A575FB">
        <w:rPr>
          <w:sz w:val="24"/>
          <w:szCs w:val="24"/>
        </w:rPr>
        <w:t xml:space="preserve">proactive way. </w:t>
      </w:r>
      <w:r w:rsidR="008C551C">
        <w:rPr>
          <w:sz w:val="24"/>
          <w:szCs w:val="24"/>
        </w:rPr>
        <w:t xml:space="preserve">This technology exemplifies digital transformation within health and social care, </w:t>
      </w:r>
      <w:r w:rsidR="00585105">
        <w:rPr>
          <w:sz w:val="24"/>
          <w:szCs w:val="24"/>
        </w:rPr>
        <w:t>which</w:t>
      </w:r>
      <w:r w:rsidR="008C551C">
        <w:rPr>
          <w:sz w:val="24"/>
          <w:szCs w:val="24"/>
        </w:rPr>
        <w:t xml:space="preserve"> </w:t>
      </w:r>
      <w:r w:rsidR="00585105">
        <w:rPr>
          <w:sz w:val="24"/>
          <w:szCs w:val="24"/>
        </w:rPr>
        <w:t>merges</w:t>
      </w:r>
      <w:r w:rsidR="008C551C">
        <w:rPr>
          <w:sz w:val="24"/>
          <w:szCs w:val="24"/>
        </w:rPr>
        <w:t xml:space="preserve"> biomedical engineering, digital data analytics, and telehealth to enhance disease management and patient autonomy</w:t>
      </w:r>
      <w:r w:rsidR="00585105">
        <w:rPr>
          <w:sz w:val="24"/>
          <w:szCs w:val="24"/>
        </w:rPr>
        <w:t>.</w:t>
      </w:r>
      <w:r>
        <w:rPr>
          <w:sz w:val="24"/>
          <w:szCs w:val="24"/>
        </w:rPr>
        <w:t xml:space="preserve"> </w:t>
      </w:r>
      <w:r>
        <w:rPr>
          <w:sz w:val="24"/>
          <w:szCs w:val="24"/>
        </w:rPr>
        <w:fldChar w:fldCharType="begin"/>
      </w:r>
      <w:r>
        <w:rPr>
          <w:sz w:val="24"/>
          <w:szCs w:val="24"/>
        </w:rPr>
        <w:instrText xml:space="preserve"> ADDIN ZOTERO_ITEM CSL_CITATION {"citationID":"6JksQgeF","properties":{"formattedCitation":"(NHS, 2025)","plainCitation":"(NHS, 2025)","noteIndex":0},"citationItems":[{"id":4871,"uris":["http://zotero.org/users/14350932/items/VFXS9B6F"],"itemData":{"id":4871,"type":"document","publisher":"NHS","title":"NHS App and your NHS account","URL":"https://www.nhs.uk/nhs-app","author":[{"literal":"NHS"}],"issued":{"date-parts":[["2025"]]}}}],"schema":"https://github.com/citation-style-language/schema/raw/master/csl-citation.json"} </w:instrText>
      </w:r>
      <w:r>
        <w:rPr>
          <w:sz w:val="24"/>
          <w:szCs w:val="24"/>
        </w:rPr>
        <w:fldChar w:fldCharType="separate"/>
      </w:r>
      <w:r w:rsidRPr="00297F71">
        <w:rPr>
          <w:rFonts w:ascii="Calibri" w:hAnsi="Calibri" w:cs="Calibri"/>
          <w:sz w:val="24"/>
        </w:rPr>
        <w:t>(NHS, 2025)</w:t>
      </w:r>
      <w:r>
        <w:rPr>
          <w:sz w:val="24"/>
          <w:szCs w:val="24"/>
        </w:rPr>
        <w:fldChar w:fldCharType="end"/>
      </w:r>
      <w:r w:rsidR="008C551C">
        <w:rPr>
          <w:sz w:val="24"/>
          <w:szCs w:val="24"/>
        </w:rPr>
        <w:t xml:space="preserve">. </w:t>
      </w:r>
    </w:p>
    <w:p w14:paraId="1D5C1D2D" w14:textId="6D95B7D9" w:rsidR="008C551C" w:rsidRDefault="008C551C" w:rsidP="007D6B4B">
      <w:pPr>
        <w:jc w:val="both"/>
        <w:rPr>
          <w:sz w:val="24"/>
          <w:szCs w:val="24"/>
        </w:rPr>
      </w:pPr>
      <w:r>
        <w:rPr>
          <w:sz w:val="24"/>
          <w:szCs w:val="24"/>
        </w:rPr>
        <w:t xml:space="preserve">This report critically evaluates the implementation of CGM technologies in the UK that </w:t>
      </w:r>
      <w:r w:rsidR="00585105">
        <w:rPr>
          <w:sz w:val="24"/>
          <w:szCs w:val="24"/>
        </w:rPr>
        <w:t>focusing</w:t>
      </w:r>
      <w:r>
        <w:rPr>
          <w:sz w:val="24"/>
          <w:szCs w:val="24"/>
        </w:rPr>
        <w:t xml:space="preserve"> on their impact on </w:t>
      </w:r>
    </w:p>
    <w:p w14:paraId="71D7F760" w14:textId="77777777" w:rsidR="008C551C" w:rsidRDefault="008C551C" w:rsidP="008C551C">
      <w:pPr>
        <w:pStyle w:val="ListParagraph"/>
        <w:numPr>
          <w:ilvl w:val="0"/>
          <w:numId w:val="1"/>
        </w:numPr>
        <w:jc w:val="both"/>
        <w:rPr>
          <w:sz w:val="24"/>
          <w:szCs w:val="24"/>
        </w:rPr>
      </w:pPr>
      <w:r>
        <w:rPr>
          <w:sz w:val="24"/>
          <w:szCs w:val="24"/>
        </w:rPr>
        <w:t>The healthcare workforce</w:t>
      </w:r>
    </w:p>
    <w:p w14:paraId="053A0847" w14:textId="77777777" w:rsidR="008C551C" w:rsidRDefault="008D7F66" w:rsidP="008C551C">
      <w:pPr>
        <w:pStyle w:val="ListParagraph"/>
        <w:numPr>
          <w:ilvl w:val="0"/>
          <w:numId w:val="1"/>
        </w:numPr>
        <w:jc w:val="both"/>
        <w:rPr>
          <w:sz w:val="24"/>
          <w:szCs w:val="24"/>
        </w:rPr>
      </w:pPr>
      <w:r>
        <w:rPr>
          <w:sz w:val="24"/>
          <w:szCs w:val="24"/>
        </w:rPr>
        <w:t>Service delivery</w:t>
      </w:r>
    </w:p>
    <w:p w14:paraId="1E5C3C93" w14:textId="77777777" w:rsidR="008C551C" w:rsidRDefault="008D7F66" w:rsidP="008C551C">
      <w:pPr>
        <w:pStyle w:val="ListParagraph"/>
        <w:numPr>
          <w:ilvl w:val="0"/>
          <w:numId w:val="1"/>
        </w:numPr>
        <w:jc w:val="both"/>
        <w:rPr>
          <w:sz w:val="24"/>
          <w:szCs w:val="24"/>
        </w:rPr>
      </w:pPr>
      <w:r>
        <w:rPr>
          <w:sz w:val="24"/>
          <w:szCs w:val="24"/>
        </w:rPr>
        <w:t>Patients/service users, and</w:t>
      </w:r>
    </w:p>
    <w:p w14:paraId="538C9065" w14:textId="77777777" w:rsidR="008D7F66" w:rsidRDefault="008D7F66" w:rsidP="008C551C">
      <w:pPr>
        <w:pStyle w:val="ListParagraph"/>
        <w:numPr>
          <w:ilvl w:val="0"/>
          <w:numId w:val="1"/>
        </w:numPr>
        <w:jc w:val="both"/>
        <w:rPr>
          <w:sz w:val="24"/>
          <w:szCs w:val="24"/>
        </w:rPr>
      </w:pPr>
      <w:r>
        <w:rPr>
          <w:sz w:val="24"/>
          <w:szCs w:val="24"/>
        </w:rPr>
        <w:t>Community</w:t>
      </w:r>
    </w:p>
    <w:p w14:paraId="528C46FC" w14:textId="13FC7D33" w:rsidR="008C551C" w:rsidRDefault="008C551C" w:rsidP="008C551C">
      <w:pPr>
        <w:jc w:val="both"/>
        <w:rPr>
          <w:sz w:val="24"/>
          <w:szCs w:val="24"/>
        </w:rPr>
      </w:pPr>
      <w:r>
        <w:rPr>
          <w:sz w:val="24"/>
          <w:szCs w:val="24"/>
        </w:rPr>
        <w:t>The discussion integrates current research and policy documents to analyse both the benefits and challenges of this digital innovation, by cons</w:t>
      </w:r>
      <w:r w:rsidR="000F3EAF">
        <w:rPr>
          <w:sz w:val="24"/>
          <w:szCs w:val="24"/>
        </w:rPr>
        <w:t>idering equity, data governance</w:t>
      </w:r>
      <w:r>
        <w:rPr>
          <w:sz w:val="24"/>
          <w:szCs w:val="24"/>
        </w:rPr>
        <w:t xml:space="preserve">, and sustainability. </w:t>
      </w:r>
      <w:r w:rsidR="0000405F">
        <w:rPr>
          <w:sz w:val="24"/>
          <w:szCs w:val="24"/>
        </w:rPr>
        <w:t xml:space="preserve">The analysis concludes and </w:t>
      </w:r>
      <w:r w:rsidR="00585105">
        <w:rPr>
          <w:sz w:val="24"/>
          <w:szCs w:val="24"/>
        </w:rPr>
        <w:t>provides</w:t>
      </w:r>
      <w:r w:rsidR="0000405F">
        <w:rPr>
          <w:sz w:val="24"/>
          <w:szCs w:val="24"/>
        </w:rPr>
        <w:t xml:space="preserve"> recommendations to improve </w:t>
      </w:r>
      <w:r w:rsidR="00585105">
        <w:rPr>
          <w:sz w:val="24"/>
          <w:szCs w:val="24"/>
        </w:rPr>
        <w:t xml:space="preserve">the </w:t>
      </w:r>
      <w:r w:rsidR="0000405F">
        <w:rPr>
          <w:sz w:val="24"/>
          <w:szCs w:val="24"/>
        </w:rPr>
        <w:t>integration and accessibility of CGM across UK health and social care systems.</w:t>
      </w:r>
    </w:p>
    <w:p w14:paraId="6A8C18A5" w14:textId="77777777" w:rsidR="0000405F" w:rsidRDefault="00BF62F0" w:rsidP="00B8525E">
      <w:pPr>
        <w:pStyle w:val="Heading1"/>
      </w:pPr>
      <w:bookmarkStart w:id="1" w:name="_Toc1348170695"/>
      <w:r>
        <w:t>Impact on the Workforce</w:t>
      </w:r>
      <w:bookmarkEnd w:id="1"/>
    </w:p>
    <w:p w14:paraId="1B9A6FC0" w14:textId="4C23397B" w:rsidR="00BF62F0" w:rsidRDefault="007E2A93" w:rsidP="00C56837">
      <w:pPr>
        <w:jc w:val="both"/>
        <w:rPr>
          <w:sz w:val="24"/>
          <w:szCs w:val="24"/>
        </w:rPr>
      </w:pPr>
      <w:r>
        <w:rPr>
          <w:sz w:val="24"/>
          <w:szCs w:val="24"/>
        </w:rPr>
        <w:t xml:space="preserve">The introduction of CGM technology has transformed the professional responsibilities and competencies of health and social care practitioners </w:t>
      </w:r>
      <w:r w:rsidR="00585105">
        <w:rPr>
          <w:sz w:val="24"/>
          <w:szCs w:val="24"/>
        </w:rPr>
        <w:t>who</w:t>
      </w:r>
      <w:r>
        <w:rPr>
          <w:sz w:val="24"/>
          <w:szCs w:val="24"/>
        </w:rPr>
        <w:t xml:space="preserve"> are involved in diabetes management. </w:t>
      </w:r>
      <w:r w:rsidR="00524110">
        <w:rPr>
          <w:sz w:val="24"/>
          <w:szCs w:val="24"/>
        </w:rPr>
        <w:t xml:space="preserve">Clinicians relied on periodic HbA1c readings and patient self-reports to guide treatment decisions. However, CGM data offers high-frequency glucose readings, trend analyses, and predictive alerts that </w:t>
      </w:r>
      <w:r w:rsidR="00585105">
        <w:rPr>
          <w:sz w:val="24"/>
          <w:szCs w:val="24"/>
        </w:rPr>
        <w:t>require</w:t>
      </w:r>
      <w:r w:rsidR="00524110">
        <w:rPr>
          <w:sz w:val="24"/>
          <w:szCs w:val="24"/>
        </w:rPr>
        <w:t xml:space="preserve"> clinicians to interpret complex datasets rather than isolated measurements.</w:t>
      </w:r>
      <w:r w:rsidR="002E122B">
        <w:rPr>
          <w:sz w:val="24"/>
          <w:szCs w:val="24"/>
        </w:rPr>
        <w:t xml:space="preserve"> Moreover, according to </w:t>
      </w:r>
      <w:r w:rsidR="002E122B">
        <w:rPr>
          <w:sz w:val="24"/>
          <w:szCs w:val="24"/>
        </w:rPr>
        <w:fldChar w:fldCharType="begin"/>
      </w:r>
      <w:r w:rsidR="001E319E">
        <w:rPr>
          <w:sz w:val="24"/>
          <w:szCs w:val="24"/>
        </w:rPr>
        <w:instrText xml:space="preserve"> ADDIN ZOTERO_ITEM CSL_CITATION {"citationID":"oJiT4ZRG","properties":{"formattedCitation":"(Klonoff {\\i{}et al.}, 2025)","plainCitation":"(Klonoff et al., 2025)","dontUpdate":true,"noteIndex":0},"citationItems":[{"id":4879,"uris":["http://zotero.org/users/14350932/items/KXNLG369"],"itemData":{"id":4879,"type":"article-journal","abstract":"New methods of continuous glucose monitoring (CGM) data analysis are emerging that are valuable for interpreting CGM patterns and underlying metabolic  physiology. These new methods use functional data analysis and artificial  intelligence (AI), including machine learning (ML). Compared to traditional  metrics for evaluating CGM tracing results (CGM Data Analysis 1.0), these new  methods, which we refer to as CGM Data Analysis 2.0, can provide a more detailed  understanding of glucose fluctuations and trends and enable more personalized and  effective diabetes management strategies once translated into practical clinical  solutions.","container-title":"Journal of diabetes science and technology","DOI":"10.1177/19322968251353228","ISSN":"1932-2968","journalAbbreviation":"J Diabetes Sci Technol","language":"eng","note":"publisher-place: United States\nPMID: 40814224 \nPMCID: PMC12356821","page":"19322968251353228","title":"CGM Data Analysis 2.0: Functional Data Pattern Recognition and Artificial Intelligence Applications.","author":[{"family":"Klonoff","given":"David C."},{"family":"Bergenstal","given":"Richard M."},{"family":"Cengiz","given":"Eda"},{"family":"Clements","given":"Mark A."},{"family":"Espes","given":"Daniel"},{"family":"Espinoza","given":"Juan"},{"family":"Kerr","given":"David"},{"family":"Kovatchev","given":"Boris"},{"family":"Maahs","given":"David M."},{"family":"Mader","given":"Julia K."},{"family":"Mathioudakis","given":"Nestoras"},{"family":"Metwally","given":"Ahmed A."},{"family":"Shah","given":"Shahid N."},{"family":"Sheng","given":"Bin"},{"family":"Snyder","given":"Michael P."},{"family":"Umpierrez","given":"Guillermo"},{"family":"Shao","given":"Mandy M."},{"family":"Scheideman","given":"Agatha F."},{"family":"Ayers","given":"Alessandra T."},{"family":"Ho","given":"Cindy N."},{"family":"Healey","given":"Elizabeth"}],"issued":{"date-parts":[["2025",8,14]]}}}],"schema":"https://github.com/citation-style-language/schema/raw/master/csl-citation.json"} </w:instrText>
      </w:r>
      <w:r w:rsidR="002E122B">
        <w:rPr>
          <w:sz w:val="24"/>
          <w:szCs w:val="24"/>
        </w:rPr>
        <w:fldChar w:fldCharType="separate"/>
      </w:r>
      <w:r w:rsidR="002E122B" w:rsidRPr="002E122B">
        <w:rPr>
          <w:rFonts w:ascii="Calibri" w:hAnsi="Calibri" w:cs="Calibri"/>
          <w:sz w:val="24"/>
          <w:szCs w:val="24"/>
        </w:rPr>
        <w:t xml:space="preserve">Klonoff </w:t>
      </w:r>
      <w:r w:rsidR="002E122B" w:rsidRPr="002E122B">
        <w:rPr>
          <w:rFonts w:ascii="Calibri" w:hAnsi="Calibri" w:cs="Calibri"/>
          <w:i/>
          <w:iCs/>
          <w:sz w:val="24"/>
          <w:szCs w:val="24"/>
        </w:rPr>
        <w:t>et al.</w:t>
      </w:r>
      <w:r w:rsidR="002E122B">
        <w:rPr>
          <w:rFonts w:ascii="Calibri" w:hAnsi="Calibri" w:cs="Calibri"/>
          <w:sz w:val="24"/>
          <w:szCs w:val="24"/>
        </w:rPr>
        <w:t xml:space="preserve"> (</w:t>
      </w:r>
      <w:r w:rsidR="002E122B" w:rsidRPr="002E122B">
        <w:rPr>
          <w:rFonts w:ascii="Calibri" w:hAnsi="Calibri" w:cs="Calibri"/>
          <w:sz w:val="24"/>
          <w:szCs w:val="24"/>
        </w:rPr>
        <w:t>2025)</w:t>
      </w:r>
      <w:r w:rsidR="002E122B">
        <w:rPr>
          <w:sz w:val="24"/>
          <w:szCs w:val="24"/>
        </w:rPr>
        <w:fldChar w:fldCharType="end"/>
      </w:r>
      <w:r w:rsidR="002E122B">
        <w:rPr>
          <w:sz w:val="24"/>
          <w:szCs w:val="24"/>
        </w:rPr>
        <w:t xml:space="preserve">CGM data analysis 2.0 </w:t>
      </w:r>
      <w:r w:rsidR="00585105">
        <w:rPr>
          <w:sz w:val="24"/>
          <w:szCs w:val="24"/>
        </w:rPr>
        <w:t>provides</w:t>
      </w:r>
      <w:r w:rsidR="002E122B">
        <w:rPr>
          <w:sz w:val="24"/>
          <w:szCs w:val="24"/>
        </w:rPr>
        <w:t xml:space="preserve"> more </w:t>
      </w:r>
      <w:r w:rsidR="00585105">
        <w:rPr>
          <w:sz w:val="24"/>
          <w:szCs w:val="24"/>
        </w:rPr>
        <w:t>clearer</w:t>
      </w:r>
      <w:r w:rsidR="002E122B">
        <w:rPr>
          <w:sz w:val="24"/>
          <w:szCs w:val="24"/>
        </w:rPr>
        <w:t xml:space="preserve"> understanding </w:t>
      </w:r>
      <w:r w:rsidR="00585105">
        <w:rPr>
          <w:sz w:val="24"/>
          <w:szCs w:val="24"/>
        </w:rPr>
        <w:t>of</w:t>
      </w:r>
      <w:r w:rsidR="002E122B">
        <w:rPr>
          <w:sz w:val="24"/>
          <w:szCs w:val="24"/>
        </w:rPr>
        <w:t xml:space="preserve"> glucose fluctuations that enable personalised and effective diabetes management strategies in the form of practical clinical solutions.</w:t>
      </w:r>
      <w:r w:rsidR="00524110">
        <w:rPr>
          <w:sz w:val="24"/>
          <w:szCs w:val="24"/>
        </w:rPr>
        <w:t xml:space="preserve"> </w:t>
      </w:r>
      <w:r w:rsidR="002E122B">
        <w:rPr>
          <w:sz w:val="24"/>
          <w:szCs w:val="24"/>
        </w:rPr>
        <w:t xml:space="preserve">Also, </w:t>
      </w:r>
      <w:r w:rsidR="00015882">
        <w:rPr>
          <w:sz w:val="24"/>
          <w:szCs w:val="24"/>
        </w:rPr>
        <w:fldChar w:fldCharType="begin"/>
      </w:r>
      <w:r w:rsidR="00B8525E">
        <w:rPr>
          <w:sz w:val="24"/>
          <w:szCs w:val="24"/>
        </w:rPr>
        <w:instrText xml:space="preserve"> ADDIN ZOTERO_ITEM CSL_CITATION {"citationID":"Vp8pCXlE","properties":{"formattedCitation":"(NHS Digital Transformation, 2021)","plainCitation":"(NHS Digital Transformation, 2021)","dontUpdate":true,"noteIndex":0},"citationItems":[{"id":4867,"uris":["http://zotero.org/users/14350932/items/NP7KCENF"],"itemData":{"id":4867,"type":"document","publisher":"NHS England","title":"What Good Looks Like: A Framework for NHS Digital Transformation","URL":"https://www.england.nhs.uk/transforming-health-and-care-through-digital-technology/what-good-looks-like-framework","author":[{"family":"NHS Digital Transformation","given":""}],"issued":{"date-parts":[["2021"]]}}}],"schema":"https://github.com/citation-style-language/schema/raw/master/csl-citation.json"} </w:instrText>
      </w:r>
      <w:r w:rsidR="00015882">
        <w:rPr>
          <w:sz w:val="24"/>
          <w:szCs w:val="24"/>
        </w:rPr>
        <w:fldChar w:fldCharType="separate"/>
      </w:r>
      <w:r w:rsidR="00015882">
        <w:rPr>
          <w:rFonts w:ascii="Calibri" w:hAnsi="Calibri" w:cs="Calibri"/>
          <w:sz w:val="24"/>
        </w:rPr>
        <w:t>NHS Digital Transformation (</w:t>
      </w:r>
      <w:r w:rsidR="00015882" w:rsidRPr="00015882">
        <w:rPr>
          <w:rFonts w:ascii="Calibri" w:hAnsi="Calibri" w:cs="Calibri"/>
          <w:sz w:val="24"/>
        </w:rPr>
        <w:t>2021)</w:t>
      </w:r>
      <w:r w:rsidR="00015882">
        <w:rPr>
          <w:sz w:val="24"/>
          <w:szCs w:val="24"/>
        </w:rPr>
        <w:fldChar w:fldCharType="end"/>
      </w:r>
      <w:r w:rsidR="00015882">
        <w:rPr>
          <w:sz w:val="24"/>
          <w:szCs w:val="24"/>
        </w:rPr>
        <w:t xml:space="preserve"> </w:t>
      </w:r>
      <w:r w:rsidR="00585105">
        <w:rPr>
          <w:sz w:val="24"/>
          <w:szCs w:val="24"/>
        </w:rPr>
        <w:t>Identifies</w:t>
      </w:r>
      <w:r w:rsidR="00015882">
        <w:rPr>
          <w:sz w:val="24"/>
          <w:szCs w:val="24"/>
        </w:rPr>
        <w:t xml:space="preserve"> support people and </w:t>
      </w:r>
      <w:r w:rsidR="00585105">
        <w:rPr>
          <w:sz w:val="24"/>
          <w:szCs w:val="24"/>
        </w:rPr>
        <w:t>ensures</w:t>
      </w:r>
      <w:r w:rsidR="00015882">
        <w:rPr>
          <w:sz w:val="24"/>
          <w:szCs w:val="24"/>
        </w:rPr>
        <w:t xml:space="preserve"> smart foundations as key measures of success, which </w:t>
      </w:r>
      <w:r w:rsidR="00585105">
        <w:rPr>
          <w:sz w:val="24"/>
          <w:szCs w:val="24"/>
        </w:rPr>
        <w:t>emphasises</w:t>
      </w:r>
      <w:r w:rsidR="00015882">
        <w:rPr>
          <w:sz w:val="24"/>
          <w:szCs w:val="24"/>
        </w:rPr>
        <w:t xml:space="preserve"> that staff must develop digital confidence and capability to use technologies in </w:t>
      </w:r>
      <w:r w:rsidR="00585105">
        <w:rPr>
          <w:sz w:val="24"/>
          <w:szCs w:val="24"/>
        </w:rPr>
        <w:t xml:space="preserve">an </w:t>
      </w:r>
      <w:r w:rsidR="00015882">
        <w:rPr>
          <w:sz w:val="24"/>
          <w:szCs w:val="24"/>
        </w:rPr>
        <w:t>effective way</w:t>
      </w:r>
      <w:r w:rsidR="00FB600C">
        <w:rPr>
          <w:sz w:val="24"/>
          <w:szCs w:val="24"/>
        </w:rPr>
        <w:t xml:space="preserve"> </w:t>
      </w:r>
      <w:r w:rsidR="00FB600C">
        <w:rPr>
          <w:sz w:val="24"/>
          <w:szCs w:val="24"/>
        </w:rPr>
        <w:fldChar w:fldCharType="begin"/>
      </w:r>
      <w:r w:rsidR="00FB600C">
        <w:rPr>
          <w:sz w:val="24"/>
          <w:szCs w:val="24"/>
        </w:rPr>
        <w:instrText xml:space="preserve"> ADDIN ZOTERO_ITEM CSL_CITATION {"citationID":"T5VnvPUa","properties":{"formattedCitation":"(NHS, 2025)","plainCitation":"(NHS, 2025)","noteIndex":0},"citationItems":[{"id":4871,"uris":["http://zotero.org/users/14350932/items/VFXS9B6F"],"itemData":{"id":4871,"type":"document","publisher":"NHS","title":"NHS App and your NHS account","URL":"https://www.nhs.uk/nhs-app","author":[{"literal":"NHS"}],"issued":{"date-parts":[["2025"]]}}}],"schema":"https://github.com/citation-style-language/schema/raw/master/csl-citation.json"} </w:instrText>
      </w:r>
      <w:r w:rsidR="00FB600C">
        <w:rPr>
          <w:sz w:val="24"/>
          <w:szCs w:val="24"/>
        </w:rPr>
        <w:fldChar w:fldCharType="separate"/>
      </w:r>
      <w:r w:rsidR="00FB600C" w:rsidRPr="00FB600C">
        <w:rPr>
          <w:rFonts w:ascii="Calibri" w:hAnsi="Calibri" w:cs="Calibri"/>
          <w:sz w:val="24"/>
        </w:rPr>
        <w:t>(NHS, 2025)</w:t>
      </w:r>
      <w:r w:rsidR="00FB600C">
        <w:rPr>
          <w:sz w:val="24"/>
          <w:szCs w:val="24"/>
        </w:rPr>
        <w:fldChar w:fldCharType="end"/>
      </w:r>
      <w:r w:rsidR="00015882">
        <w:rPr>
          <w:sz w:val="24"/>
          <w:szCs w:val="24"/>
        </w:rPr>
        <w:t xml:space="preserve">. </w:t>
      </w:r>
      <w:r w:rsidR="00CE6576">
        <w:rPr>
          <w:sz w:val="24"/>
          <w:szCs w:val="24"/>
        </w:rPr>
        <w:t xml:space="preserve">Furthermore, According to </w:t>
      </w:r>
      <w:r w:rsidR="00CE6576">
        <w:rPr>
          <w:sz w:val="24"/>
          <w:szCs w:val="24"/>
        </w:rPr>
        <w:fldChar w:fldCharType="begin"/>
      </w:r>
      <w:r w:rsidR="00C56837">
        <w:rPr>
          <w:sz w:val="24"/>
          <w:szCs w:val="24"/>
        </w:rPr>
        <w:instrText xml:space="preserve"> ADDIN ZOTERO_ITEM CSL_CITATION {"citationID":"mLtGAmru","properties":{"formattedCitation":"(Scharf {\\i{}et al.}, 2019)","plainCitation":"(Scharf et al., 2019)","noteIndex":0},"citationItems":[{"id":4878,"uris":["http://zotero.org/users/14350932/items/GMPKY8NY"],"itemData":{"id":4878,"type":"article-journal","abstract":"BACKGROUND: Previous research suggests that psychosocial working conditions may detrimentally affect diabetes self-management behavior at work, including  self-monitoring of glucose levels. We aimed to better understand the potential  usefulness of continuous glucose monitoring devices at the workplace according to  employees with diabetes. METHODS: We carried out secondary analyses of data from  a qualitative study, which sought to explore potential barriers to and solutions  for effective diabetes self-management at work. Interviews were carried out in  face-to-face contact or by telephone and were transcribed and content-analyzed  using MaxQDA. The used topic guide did not specifically inquire after continuous  glucose monitoring devices, but views on the suitability of those devices at the  workplace repeatedly emerged from the interviews. Data from 25 employed adults  with diabetes mellitus type 1 or type 2 on insulin therapy were included.  RESULTS: The major perceived improvements associated with the use of continuous  glucose monitoring devices pertained to their time-saving application that  allowed for an increased frequency of glucose level assessments and for socially  covert glucose measurement. The socially less noticeable way of monitoring  glucose level was specifically perceived as beneficial, as employees with  diabetes believed their illness would thereby attract less attention. Fewer or  shorter interruptions as well as the reliability of integrated alarm systems were  perceived to increase concentration at work and workability. CONCLUSIONS:  Continuous glucose monitoring devices were perceived to facilitate glucose  management at the workplace, which may exert positive effects on compliance as  well as functioning at work. Further research would be of interest to  statistically confirm our findings in occupational samples.","container-title":"Journal of diabetes science and technology","DOI":"10.1177/1932296818789143","ISSN":"1932-2968","issue":"2","journalAbbreviation":"J Diabetes Sci Technol","language":"eng","note":"publisher-place: United States\nPMID: 30027749 \nPMCID: PMC6399790","page":"242-247","title":"Perceived Usefulness of Continuous Glucose Monitoring Devices at the Workplace: Secondary Analysis of Data From a Qualitative Study.","volume":"13","author":[{"family":"Scharf","given":"Jessica"},{"family":"Nguyen","given":"Xuan Quynh"},{"family":"Vu-Eickmann","given":"Patricia"},{"family":"Krichbaum","given":"Michael"},{"family":"Loerbroks","given":"Adrian"}],"issued":{"date-parts":[["2019",3]]}}}],"schema":"https://github.com/citation-style-language/schema/raw/master/csl-citation.json"} </w:instrText>
      </w:r>
      <w:r w:rsidR="00CE6576">
        <w:rPr>
          <w:sz w:val="24"/>
          <w:szCs w:val="24"/>
        </w:rPr>
        <w:fldChar w:fldCharType="separate"/>
      </w:r>
      <w:r w:rsidR="00C56837" w:rsidRPr="00C56837">
        <w:rPr>
          <w:rFonts w:ascii="Calibri" w:hAnsi="Calibri" w:cs="Calibri"/>
          <w:sz w:val="24"/>
          <w:szCs w:val="24"/>
        </w:rPr>
        <w:t xml:space="preserve">(Scharf </w:t>
      </w:r>
      <w:r w:rsidR="00C56837" w:rsidRPr="00C56837">
        <w:rPr>
          <w:rFonts w:ascii="Calibri" w:hAnsi="Calibri" w:cs="Calibri"/>
          <w:i/>
          <w:iCs/>
          <w:sz w:val="24"/>
          <w:szCs w:val="24"/>
        </w:rPr>
        <w:t>et al.</w:t>
      </w:r>
      <w:r w:rsidR="00C56837" w:rsidRPr="00C56837">
        <w:rPr>
          <w:rFonts w:ascii="Calibri" w:hAnsi="Calibri" w:cs="Calibri"/>
          <w:sz w:val="24"/>
          <w:szCs w:val="24"/>
        </w:rPr>
        <w:t>, 2019)</w:t>
      </w:r>
      <w:r w:rsidR="00CE6576">
        <w:rPr>
          <w:sz w:val="24"/>
          <w:szCs w:val="24"/>
        </w:rPr>
        <w:fldChar w:fldCharType="end"/>
      </w:r>
      <w:r w:rsidR="00CE6576">
        <w:rPr>
          <w:sz w:val="24"/>
          <w:szCs w:val="24"/>
        </w:rPr>
        <w:t xml:space="preserve">CGM devices facilitate glucose management at the workplace, </w:t>
      </w:r>
      <w:r w:rsidR="00585105">
        <w:rPr>
          <w:sz w:val="24"/>
          <w:szCs w:val="24"/>
        </w:rPr>
        <w:t>which</w:t>
      </w:r>
      <w:r w:rsidR="00CE6576">
        <w:rPr>
          <w:sz w:val="24"/>
          <w:szCs w:val="24"/>
        </w:rPr>
        <w:t xml:space="preserve"> </w:t>
      </w:r>
      <w:r w:rsidR="00585105">
        <w:rPr>
          <w:sz w:val="24"/>
          <w:szCs w:val="24"/>
        </w:rPr>
        <w:t>has</w:t>
      </w:r>
      <w:r w:rsidR="00CE6576">
        <w:rPr>
          <w:sz w:val="24"/>
          <w:szCs w:val="24"/>
        </w:rPr>
        <w:t xml:space="preserve"> </w:t>
      </w:r>
      <w:r w:rsidR="00585105">
        <w:rPr>
          <w:sz w:val="24"/>
          <w:szCs w:val="24"/>
        </w:rPr>
        <w:t xml:space="preserve">a </w:t>
      </w:r>
      <w:r w:rsidR="00CE6576">
        <w:rPr>
          <w:sz w:val="24"/>
          <w:szCs w:val="24"/>
        </w:rPr>
        <w:t xml:space="preserve">positive effect </w:t>
      </w:r>
      <w:r w:rsidR="00585105">
        <w:rPr>
          <w:sz w:val="24"/>
          <w:szCs w:val="24"/>
        </w:rPr>
        <w:t>on</w:t>
      </w:r>
      <w:r w:rsidR="00CE6576">
        <w:rPr>
          <w:sz w:val="24"/>
          <w:szCs w:val="24"/>
        </w:rPr>
        <w:t xml:space="preserve"> functioning at work. </w:t>
      </w:r>
    </w:p>
    <w:p w14:paraId="0EBDCB41" w14:textId="2E24F2CE" w:rsidR="00524110" w:rsidRDefault="002E122B" w:rsidP="00094FBA">
      <w:pPr>
        <w:jc w:val="both"/>
        <w:rPr>
          <w:sz w:val="24"/>
          <w:szCs w:val="24"/>
        </w:rPr>
      </w:pPr>
      <w:r>
        <w:rPr>
          <w:sz w:val="24"/>
          <w:szCs w:val="24"/>
        </w:rPr>
        <w:t xml:space="preserve">According to </w:t>
      </w:r>
      <w:r>
        <w:rPr>
          <w:sz w:val="24"/>
          <w:szCs w:val="24"/>
        </w:rPr>
        <w:fldChar w:fldCharType="begin"/>
      </w:r>
      <w:r w:rsidR="008B0956">
        <w:rPr>
          <w:sz w:val="24"/>
          <w:szCs w:val="24"/>
        </w:rPr>
        <w:instrText xml:space="preserve"> ADDIN ZOTERO_ITEM CSL_CITATION {"citationID":"HB8jFbRM","properties":{"formattedCitation":"(Tegegne {\\i{}et al.}, 2023)","plainCitation":"(Tegegne et al., 2023)","dontUpdate":true,"noteIndex":0},"citationItems":[{"id":4880,"uris":["http://zotero.org/users/14350932/items/KMPMFIDY"],"itemData":{"id":4880,"type":"article-journal","abstract":"BACKGROUND: In Ethiopia and other developing countries, electronic medical record systems and other health information technology are being introduced. However, a  small proportion of low-income countries have successfully implemented national  health information systems. One cause for this can be the lack of digital  literacy among medical practitioners. As a result, this study aimed to assess  health professionals' digital literacy level and associated factors in Northwest  Ethiopia. METHOD: A quantitative cross-sectional study was employed among 423  health professionals working in a teaching and referral hospital in Northwest  Ethiopia. We modified and applied the European commission's framework for digital  competency to assess the level of digital literacy among health professionals. We  used stratified random sampling with proportional allocation to the size of the  departments in the hospital to select study participants. Data were collected  using a semi-structured, self-administered, and pretested questionnaire.  Descriptive and binary logistic regression analysis techniques were used to  describe respondents' digital literacy level and identify its associated factor,  respectively. The odds ratio with 95% CI and value of p were used to assess the  strength of the association and statistical significance, respectively. RESULTS:  Out of 411 participants, 51.8% (95% CI, 46.9-56.6%) of health professionals had  adequate digital literacy. Holding a master's degree (Adjusted OR = 2.13, 95% CI:  1.18-3.85), access to digital technology (AOR = 1.89, 95% CI: 1.12-3.17), having  training in digital technology (AOR = 1.65, 95% CI: 1.05-2.59), and having a  positive attitude towards digital health technology (AOR = 1.64, 95% CI:  1.02-2.68) were found to be significant factors associated with health  professionals digital literacy level of health professionals. CONCLUSION: Low  level of digital literacy among health professionals was observed, with nearly  half (48.2%) of them having poor digital literacy levels. Access to digital  technology, training on digital technology, and attitude toward digital health  technology were significant factors associated with digital literacy. It is  suggested to increase computer accessibility, provide a training program on  digital health technology, and promote a positive attitude toward this technology  to improve the deployment of health information systems.","container-title":"Frontiers in public health","DOI":"10.3389/fpubh.2023.1130894","ISSN":"2296-2565","journalAbbreviation":"Front Public Health","language":"eng","license":"Copyright © 2023 Tegegne, Tilahun, Mamuye, Kerie, Nurhussien, Zemen, Mebratu, Sisay, Getachew, Gebeyehu, Seyoum, Tesfaye and Yilma.","note":"publisher-place: Switzerland\nPMID: 37113180 \nPMCID: PMC10126829","page":"1130894","title":"Digital literacy level and associated factors among health professionals in a referral and teaching hospital: An implication for future digital health systems  implementation.","volume":"11","author":[{"family":"Tegegne","given":"Masresha Derese"},{"family":"Tilahun","given":"Binyam"},{"family":"Mamuye","given":"Adane"},{"family":"Kerie","given":"Hailemariam"},{"family":"Nurhussien","given":"Fedlu"},{"family":"Zemen","given":"Endalkachew"},{"family":"Mebratu","given":"Aragaw"},{"family":"Sisay","given":"Girma"},{"family":"Getachew","given":"Redet"},{"family":"Gebeyehu","given":"Henok"},{"family":"Seyoum","given":"Abiy"},{"family":"Tesfaye","given":"Selamsew"},{"family":"Yilma","given":"Tesfahun Melese"}],"issued":{"date-parts":[["2023"]]}}}],"schema":"https://github.com/citation-style-language/schema/raw/master/csl-citation.json"} </w:instrText>
      </w:r>
      <w:r>
        <w:rPr>
          <w:sz w:val="24"/>
          <w:szCs w:val="24"/>
        </w:rPr>
        <w:fldChar w:fldCharType="separate"/>
      </w:r>
      <w:r w:rsidR="00094FBA" w:rsidRPr="00094FBA">
        <w:rPr>
          <w:rFonts w:ascii="Calibri" w:hAnsi="Calibri" w:cs="Calibri"/>
          <w:sz w:val="24"/>
          <w:szCs w:val="24"/>
        </w:rPr>
        <w:t xml:space="preserve">Tegegne </w:t>
      </w:r>
      <w:r w:rsidR="00094FBA" w:rsidRPr="00094FBA">
        <w:rPr>
          <w:rFonts w:ascii="Calibri" w:hAnsi="Calibri" w:cs="Calibri"/>
          <w:i/>
          <w:iCs/>
          <w:sz w:val="24"/>
          <w:szCs w:val="24"/>
        </w:rPr>
        <w:t>et al.</w:t>
      </w:r>
      <w:r w:rsidR="00C47788">
        <w:rPr>
          <w:rFonts w:ascii="Calibri" w:hAnsi="Calibri" w:cs="Calibri"/>
          <w:sz w:val="24"/>
          <w:szCs w:val="24"/>
        </w:rPr>
        <w:t xml:space="preserve"> (</w:t>
      </w:r>
      <w:r w:rsidR="00094FBA" w:rsidRPr="00094FBA">
        <w:rPr>
          <w:rFonts w:ascii="Calibri" w:hAnsi="Calibri" w:cs="Calibri"/>
          <w:sz w:val="24"/>
          <w:szCs w:val="24"/>
        </w:rPr>
        <w:t>2023)</w:t>
      </w:r>
      <w:r>
        <w:rPr>
          <w:sz w:val="24"/>
          <w:szCs w:val="24"/>
        </w:rPr>
        <w:fldChar w:fldCharType="end"/>
      </w:r>
      <w:r>
        <w:rPr>
          <w:sz w:val="24"/>
          <w:szCs w:val="24"/>
        </w:rPr>
        <w:t>,</w:t>
      </w:r>
      <w:r w:rsidR="003D03A3">
        <w:rPr>
          <w:sz w:val="24"/>
          <w:szCs w:val="24"/>
        </w:rPr>
        <w:t xml:space="preserve"> digital shift has necessitated new skillsets among healthcare staff, </w:t>
      </w:r>
      <w:r w:rsidR="00585105">
        <w:rPr>
          <w:sz w:val="24"/>
          <w:szCs w:val="24"/>
        </w:rPr>
        <w:t>which</w:t>
      </w:r>
      <w:r w:rsidR="003D03A3">
        <w:rPr>
          <w:sz w:val="24"/>
          <w:szCs w:val="24"/>
        </w:rPr>
        <w:t xml:space="preserve"> include digital literacy, data interpretation, and tele</w:t>
      </w:r>
      <w:r w:rsidR="00AD32F2">
        <w:rPr>
          <w:sz w:val="24"/>
          <w:szCs w:val="24"/>
        </w:rPr>
        <w:t>-</w:t>
      </w:r>
      <w:r w:rsidR="003D03A3">
        <w:rPr>
          <w:sz w:val="24"/>
          <w:szCs w:val="24"/>
        </w:rPr>
        <w:t xml:space="preserve">monitoring. </w:t>
      </w:r>
      <w:r w:rsidR="00AD32F2">
        <w:rPr>
          <w:sz w:val="24"/>
          <w:szCs w:val="24"/>
        </w:rPr>
        <w:t xml:space="preserve">For example, </w:t>
      </w:r>
      <w:r w:rsidR="003D03A3">
        <w:rPr>
          <w:sz w:val="24"/>
          <w:szCs w:val="24"/>
        </w:rPr>
        <w:t xml:space="preserve">Diabetes Specialist Nurses (DSNs) </w:t>
      </w:r>
      <w:r w:rsidR="00AD32F2">
        <w:rPr>
          <w:sz w:val="24"/>
          <w:szCs w:val="24"/>
        </w:rPr>
        <w:t xml:space="preserve">now serve as data navigators and educators </w:t>
      </w:r>
      <w:r w:rsidR="00585105">
        <w:rPr>
          <w:sz w:val="24"/>
          <w:szCs w:val="24"/>
        </w:rPr>
        <w:t>who</w:t>
      </w:r>
      <w:r w:rsidR="00AD32F2">
        <w:rPr>
          <w:sz w:val="24"/>
          <w:szCs w:val="24"/>
        </w:rPr>
        <w:t xml:space="preserve"> guide patients in using CGM applications and make behavioural decisions. </w:t>
      </w:r>
      <w:r>
        <w:rPr>
          <w:sz w:val="24"/>
          <w:szCs w:val="24"/>
        </w:rPr>
        <w:t xml:space="preserve">Moreover, digital health competence </w:t>
      </w:r>
      <w:r w:rsidR="00585105">
        <w:rPr>
          <w:sz w:val="24"/>
          <w:szCs w:val="24"/>
        </w:rPr>
        <w:t>supports</w:t>
      </w:r>
      <w:r>
        <w:rPr>
          <w:sz w:val="24"/>
          <w:szCs w:val="24"/>
        </w:rPr>
        <w:t xml:space="preserve"> those who work in </w:t>
      </w:r>
      <w:r w:rsidR="00585105">
        <w:rPr>
          <w:sz w:val="24"/>
          <w:szCs w:val="24"/>
        </w:rPr>
        <w:t xml:space="preserve">a </w:t>
      </w:r>
      <w:r>
        <w:rPr>
          <w:sz w:val="24"/>
          <w:szCs w:val="24"/>
        </w:rPr>
        <w:t xml:space="preserve">non-hospital environment. </w:t>
      </w:r>
      <w:r w:rsidR="003E2C8C">
        <w:rPr>
          <w:sz w:val="24"/>
          <w:szCs w:val="24"/>
        </w:rPr>
        <w:t>Accordi</w:t>
      </w:r>
      <w:r w:rsidR="00C56837">
        <w:rPr>
          <w:sz w:val="24"/>
          <w:szCs w:val="24"/>
        </w:rPr>
        <w:t>ng to</w:t>
      </w:r>
      <w:r w:rsidR="00E34B20">
        <w:rPr>
          <w:sz w:val="24"/>
          <w:szCs w:val="24"/>
        </w:rPr>
        <w:t xml:space="preserve"> NHS Digital</w:t>
      </w:r>
      <w:r w:rsidR="00C56837">
        <w:rPr>
          <w:sz w:val="24"/>
          <w:szCs w:val="24"/>
        </w:rPr>
        <w:t xml:space="preserve"> </w:t>
      </w:r>
      <w:r w:rsidR="00C56837">
        <w:rPr>
          <w:sz w:val="24"/>
          <w:szCs w:val="24"/>
        </w:rPr>
        <w:fldChar w:fldCharType="begin"/>
      </w:r>
      <w:r w:rsidR="001E319E">
        <w:rPr>
          <w:sz w:val="24"/>
          <w:szCs w:val="24"/>
        </w:rPr>
        <w:instrText xml:space="preserve"> ADDIN ZOTERO_ITEM CSL_CITATION {"citationID":"1ScQuTVu","properties":{"formattedCitation":"({\\i{}Reviews}, 2024)","plainCitation":"(Reviews, 2024)","dontUpdate":true,"noteIndex":0},"citationItems":[{"id":4888,"uris":["http://zotero.org/users/14350932/items/CZ9AB6UN"],"itemData":{"id":4888,"type":"webpage","abstract":"We’re the national information and technology partner to the health and social care system using digital technology to transform the NHS and social care","container-title":"NHS England Digital","language":"en","title":"Reviews","URL":"https://digital.nhs.uk/data-and-information/publications/statistical/adult-social-care-activity-and-finance-report/2023-24/reviews","accessed":{"date-parts":[["2025",10,24]]},"issued":{"date-parts":[["2024"]]}}}],"schema":"https://github.com/citation-style-language/schema/raw/master/csl-citation.json"} </w:instrText>
      </w:r>
      <w:r w:rsidR="00C56837">
        <w:rPr>
          <w:sz w:val="24"/>
          <w:szCs w:val="24"/>
        </w:rPr>
        <w:fldChar w:fldCharType="separate"/>
      </w:r>
      <w:r w:rsidR="00C56837" w:rsidRPr="00C56837">
        <w:rPr>
          <w:rFonts w:ascii="Calibri" w:hAnsi="Calibri" w:cs="Calibri"/>
          <w:i/>
          <w:iCs/>
          <w:sz w:val="24"/>
          <w:szCs w:val="24"/>
        </w:rPr>
        <w:t>Reviews</w:t>
      </w:r>
      <w:r w:rsidR="00C56837">
        <w:rPr>
          <w:rFonts w:ascii="Calibri" w:hAnsi="Calibri" w:cs="Calibri"/>
          <w:sz w:val="24"/>
          <w:szCs w:val="24"/>
        </w:rPr>
        <w:t xml:space="preserve"> (</w:t>
      </w:r>
      <w:r w:rsidR="00C56837" w:rsidRPr="00C56837">
        <w:rPr>
          <w:rFonts w:ascii="Calibri" w:hAnsi="Calibri" w:cs="Calibri"/>
          <w:sz w:val="24"/>
          <w:szCs w:val="24"/>
        </w:rPr>
        <w:t>2024)</w:t>
      </w:r>
      <w:r w:rsidR="00C56837">
        <w:rPr>
          <w:sz w:val="24"/>
          <w:szCs w:val="24"/>
        </w:rPr>
        <w:fldChar w:fldCharType="end"/>
      </w:r>
      <w:r w:rsidR="00585105">
        <w:rPr>
          <w:sz w:val="24"/>
          <w:szCs w:val="24"/>
        </w:rPr>
        <w:t>Training</w:t>
      </w:r>
      <w:r w:rsidR="003E2C8C">
        <w:rPr>
          <w:sz w:val="24"/>
          <w:szCs w:val="24"/>
        </w:rPr>
        <w:t xml:space="preserve"> programmes in digital diabetes care have expanded</w:t>
      </w:r>
      <w:r w:rsidR="00D55753">
        <w:rPr>
          <w:sz w:val="24"/>
          <w:szCs w:val="24"/>
        </w:rPr>
        <w:t xml:space="preserve">. Yet many clinicians reported limited time and resources to adapt to these technological changes in </w:t>
      </w:r>
      <w:r w:rsidR="00585105">
        <w:rPr>
          <w:sz w:val="24"/>
          <w:szCs w:val="24"/>
        </w:rPr>
        <w:t xml:space="preserve">the </w:t>
      </w:r>
      <w:r w:rsidR="00D55753">
        <w:rPr>
          <w:sz w:val="24"/>
          <w:szCs w:val="24"/>
        </w:rPr>
        <w:t xml:space="preserve">primary care of diabetes. </w:t>
      </w:r>
    </w:p>
    <w:p w14:paraId="222B406D" w14:textId="0AD2B1CB" w:rsidR="00D55753" w:rsidRDefault="0005405C" w:rsidP="00CD41AF">
      <w:pPr>
        <w:jc w:val="both"/>
        <w:rPr>
          <w:sz w:val="24"/>
          <w:szCs w:val="24"/>
        </w:rPr>
      </w:pPr>
      <w:r>
        <w:rPr>
          <w:sz w:val="24"/>
          <w:szCs w:val="24"/>
        </w:rPr>
        <w:t>From a workforce perspective, CGM adoption has improved efficiency and inter-professional collaboratio</w:t>
      </w:r>
      <w:r w:rsidR="002E122B">
        <w:rPr>
          <w:sz w:val="24"/>
          <w:szCs w:val="24"/>
        </w:rPr>
        <w:t xml:space="preserve">n. </w:t>
      </w:r>
      <w:r w:rsidR="00CD41AF">
        <w:rPr>
          <w:sz w:val="24"/>
          <w:szCs w:val="24"/>
        </w:rPr>
        <w:t xml:space="preserve">According to </w:t>
      </w:r>
      <w:r w:rsidR="00CD41AF">
        <w:rPr>
          <w:sz w:val="24"/>
          <w:szCs w:val="24"/>
        </w:rPr>
        <w:fldChar w:fldCharType="begin"/>
      </w:r>
      <w:r w:rsidR="001E319E">
        <w:rPr>
          <w:sz w:val="24"/>
          <w:szCs w:val="24"/>
        </w:rPr>
        <w:instrText xml:space="preserve"> ADDIN ZOTERO_ITEM CSL_CITATION {"citationID":"FzVLPsSs","properties":{"formattedCitation":"(Afridi {\\i{}et al.}, 2025)","plainCitation":"(Afridi et al., 2025)","dontUpdate":true,"noteIndex":0},"citationItems":[{"id":4883,"uris":["http://zotero.org/users/14350932/items/GJC4N4UJ"],"itemData":{"id":4883,"type":"article-journal","abstract":"INTRODUCTION: Continuous glucose monitoring (CGM) has significantly advanced diabetes management, evolving from early glucose testing methods to modern,  FDA-approved systems. Despite its benefits, challenges related to data security,  affordability, and awareness of CGM devices remain. AIM: This article explores  the historical development, current advancements, and ongoing challenges of CGM  systems in diabetes management. It aims to provide insights into how these  technologies have transformed patient care and highlight areas needing further  improvement. METHODS: A comprehensive literature review was conducted, focusing  on advancements in CGM technology. Sources included PubMed, Google Scholar, and  recent guidelines and reviews on CGM systems and their impact on diabetes  management. RESULTS: The evolution from the Dextrostix test strip to modern CGM  systems, including over-the-counter devices, has enhanced glucose monitoring and  patient outcomes. Recent innovations, such as machine learning models for  predicting glucose fluctuations, promise to improve diabetes management. However,  issues like data security and device accessibility persist. CONCLUSION: To  maximize the benefits of CGM systems, addressing data security, improving  affordability, and increasing awareness of CGM devices are crucial. Continued  advancements in CGM technology and supportive policies are essential for  enhancing diabetes care and patient outcomes globally.","container-title":"Health science reports","DOI":"10.1002/hsr2.70747","ISSN":"2398-8835","issue":"4","journalAbbreviation":"Health Sci Rep","language":"eng","license":"© 2025 The Author(s). Health Science Reports published by Wiley Periodicals LLC.","note":"publisher-place: United States\nPMID: 40256128 \nPMCID: PMC12007415","page":"e70747","title":"Transformative Advances in Continuous Glucose Monitoring and the Impact of FDA Over-the-Counter Approval on Diabetes Care.","volume":"8","author":[{"family":"Afridi","given":"Zain"},{"family":"Rauf","given":"Sameer Abdul"},{"family":"Ashraf","given":"Syed Muhammad Nabil"},{"family":"Haque","given":"Md Ariful"}],"issued":{"date-parts":[["2025",4]]}}}],"schema":"https://github.com/citation-style-language/schema/raw/master/csl-citation.json"} </w:instrText>
      </w:r>
      <w:r w:rsidR="00CD41AF">
        <w:rPr>
          <w:sz w:val="24"/>
          <w:szCs w:val="24"/>
        </w:rPr>
        <w:fldChar w:fldCharType="separate"/>
      </w:r>
      <w:r w:rsidR="00CD41AF" w:rsidRPr="00CD41AF">
        <w:rPr>
          <w:rFonts w:ascii="Calibri" w:hAnsi="Calibri" w:cs="Calibri"/>
          <w:sz w:val="24"/>
          <w:szCs w:val="24"/>
        </w:rPr>
        <w:t xml:space="preserve">Afridi </w:t>
      </w:r>
      <w:r w:rsidR="00CD41AF" w:rsidRPr="00CD41AF">
        <w:rPr>
          <w:rFonts w:ascii="Calibri" w:hAnsi="Calibri" w:cs="Calibri"/>
          <w:i/>
          <w:iCs/>
          <w:sz w:val="24"/>
          <w:szCs w:val="24"/>
        </w:rPr>
        <w:t>et al.</w:t>
      </w:r>
      <w:r w:rsidR="00CD41AF">
        <w:rPr>
          <w:rFonts w:ascii="Calibri" w:hAnsi="Calibri" w:cs="Calibri"/>
          <w:sz w:val="24"/>
          <w:szCs w:val="24"/>
        </w:rPr>
        <w:t xml:space="preserve"> (</w:t>
      </w:r>
      <w:r w:rsidR="00CD41AF" w:rsidRPr="00CD41AF">
        <w:rPr>
          <w:rFonts w:ascii="Calibri" w:hAnsi="Calibri" w:cs="Calibri"/>
          <w:sz w:val="24"/>
          <w:szCs w:val="24"/>
        </w:rPr>
        <w:t>2025)</w:t>
      </w:r>
      <w:r w:rsidR="00CD41AF">
        <w:rPr>
          <w:sz w:val="24"/>
          <w:szCs w:val="24"/>
        </w:rPr>
        <w:fldChar w:fldCharType="end"/>
      </w:r>
      <w:r w:rsidR="00CD41AF">
        <w:rPr>
          <w:sz w:val="24"/>
          <w:szCs w:val="24"/>
        </w:rPr>
        <w:t xml:space="preserve">, evolution from </w:t>
      </w:r>
      <w:r w:rsidR="00585105">
        <w:rPr>
          <w:sz w:val="24"/>
          <w:szCs w:val="24"/>
        </w:rPr>
        <w:t xml:space="preserve">the </w:t>
      </w:r>
      <w:proofErr w:type="spellStart"/>
      <w:r w:rsidR="00CD41AF">
        <w:rPr>
          <w:sz w:val="24"/>
          <w:szCs w:val="24"/>
        </w:rPr>
        <w:t>Dextrostrix</w:t>
      </w:r>
      <w:proofErr w:type="spellEnd"/>
      <w:r w:rsidR="00CD41AF">
        <w:rPr>
          <w:sz w:val="24"/>
          <w:szCs w:val="24"/>
        </w:rPr>
        <w:t xml:space="preserve"> test strip to modern CGM systems has improved </w:t>
      </w:r>
      <w:r w:rsidR="00585105">
        <w:rPr>
          <w:sz w:val="24"/>
          <w:szCs w:val="24"/>
        </w:rPr>
        <w:t xml:space="preserve">the </w:t>
      </w:r>
      <w:r w:rsidR="00CD41AF">
        <w:rPr>
          <w:sz w:val="24"/>
          <w:szCs w:val="24"/>
        </w:rPr>
        <w:t xml:space="preserve">monitoring of glucose and </w:t>
      </w:r>
      <w:r w:rsidR="00585105">
        <w:rPr>
          <w:sz w:val="24"/>
          <w:szCs w:val="24"/>
        </w:rPr>
        <w:t xml:space="preserve">the </w:t>
      </w:r>
      <w:r w:rsidR="00CD41AF">
        <w:rPr>
          <w:sz w:val="24"/>
          <w:szCs w:val="24"/>
        </w:rPr>
        <w:t xml:space="preserve">outcome of </w:t>
      </w:r>
      <w:r w:rsidR="00585105">
        <w:rPr>
          <w:sz w:val="24"/>
          <w:szCs w:val="24"/>
        </w:rPr>
        <w:t xml:space="preserve">the </w:t>
      </w:r>
      <w:r w:rsidR="00CD41AF">
        <w:rPr>
          <w:sz w:val="24"/>
          <w:szCs w:val="24"/>
        </w:rPr>
        <w:t xml:space="preserve">patient. Latest Machine Learning models predict glucose fluctuations and improve diabetes management. </w:t>
      </w:r>
      <w:r w:rsidR="002E122B">
        <w:rPr>
          <w:sz w:val="24"/>
          <w:szCs w:val="24"/>
        </w:rPr>
        <w:t xml:space="preserve">Real-time data sharing </w:t>
      </w:r>
      <w:r w:rsidR="00585105">
        <w:rPr>
          <w:sz w:val="24"/>
          <w:szCs w:val="24"/>
        </w:rPr>
        <w:t>enables</w:t>
      </w:r>
      <w:r>
        <w:rPr>
          <w:sz w:val="24"/>
          <w:szCs w:val="24"/>
        </w:rPr>
        <w:t xml:space="preserve"> sharing </w:t>
      </w:r>
      <w:r w:rsidR="002E122B">
        <w:rPr>
          <w:sz w:val="24"/>
          <w:szCs w:val="24"/>
        </w:rPr>
        <w:t xml:space="preserve">of </w:t>
      </w:r>
      <w:r>
        <w:rPr>
          <w:sz w:val="24"/>
          <w:szCs w:val="24"/>
        </w:rPr>
        <w:t>data between multidisciplinary teams</w:t>
      </w:r>
      <w:r w:rsidR="00585105">
        <w:rPr>
          <w:sz w:val="24"/>
          <w:szCs w:val="24"/>
        </w:rPr>
        <w:t>,</w:t>
      </w:r>
      <w:r>
        <w:rPr>
          <w:sz w:val="24"/>
          <w:szCs w:val="24"/>
        </w:rPr>
        <w:t xml:space="preserve"> including nurses, dietitians, </w:t>
      </w:r>
      <w:r w:rsidR="00585105">
        <w:rPr>
          <w:sz w:val="24"/>
          <w:szCs w:val="24"/>
        </w:rPr>
        <w:t xml:space="preserve">and </w:t>
      </w:r>
      <w:r>
        <w:rPr>
          <w:sz w:val="24"/>
          <w:szCs w:val="24"/>
        </w:rPr>
        <w:t xml:space="preserve">endocrinologists, </w:t>
      </w:r>
      <w:r w:rsidR="00585105">
        <w:rPr>
          <w:sz w:val="24"/>
          <w:szCs w:val="24"/>
        </w:rPr>
        <w:t>who</w:t>
      </w:r>
      <w:r w:rsidR="00AF27E1">
        <w:rPr>
          <w:sz w:val="24"/>
          <w:szCs w:val="24"/>
        </w:rPr>
        <w:t xml:space="preserve"> collaborate in </w:t>
      </w:r>
      <w:r w:rsidR="00585105">
        <w:rPr>
          <w:sz w:val="24"/>
          <w:szCs w:val="24"/>
        </w:rPr>
        <w:t xml:space="preserve">a </w:t>
      </w:r>
      <w:r w:rsidR="00AF27E1">
        <w:rPr>
          <w:sz w:val="24"/>
          <w:szCs w:val="24"/>
        </w:rPr>
        <w:t>remote way to reduce unnecessary clinic visits and enable personalised interventions. This reflects the digital-first NHS strategy, which promotes connected care and decision-making supported by data analytics</w:t>
      </w:r>
      <w:r w:rsidR="00585105">
        <w:rPr>
          <w:sz w:val="24"/>
          <w:szCs w:val="24"/>
        </w:rPr>
        <w:t>.</w:t>
      </w:r>
      <w:r w:rsidR="00CD41AF">
        <w:rPr>
          <w:sz w:val="24"/>
          <w:szCs w:val="24"/>
        </w:rPr>
        <w:t xml:space="preserve"> </w:t>
      </w:r>
      <w:r w:rsidR="00CD41AF">
        <w:rPr>
          <w:sz w:val="24"/>
          <w:szCs w:val="24"/>
        </w:rPr>
        <w:fldChar w:fldCharType="begin"/>
      </w:r>
      <w:r w:rsidR="00CD41AF">
        <w:rPr>
          <w:sz w:val="24"/>
          <w:szCs w:val="24"/>
        </w:rPr>
        <w:instrText xml:space="preserve"> ADDIN ZOTERO_ITEM CSL_CITATION {"citationID":"TiGa0Dk2","properties":{"formattedCitation":"(NHS England, 2025)","plainCitation":"(NHS England, 2025)","noteIndex":0},"citationItems":[{"id":4884,"uris":["http://zotero.org/users/14350932/items/IWZIPY9I"],"itemData":{"id":4884,"type":"webpage","title":"Our strategy to digitise, connect and transform - Digitise, connect, transform - NHS Transformation Directorate","URL":"https://transform.england.nhs.uk/digitise-connect-transform/our-strategy-to-digitise-connect-and-transform/","author":[{"family":"NHS England","given":""}],"accessed":{"date-parts":[["2025",10,24]]},"issued":{"date-parts":[["2025"]]}}}],"schema":"https://github.com/citation-style-language/schema/raw/master/csl-citation.json"} </w:instrText>
      </w:r>
      <w:r w:rsidR="00CD41AF">
        <w:rPr>
          <w:sz w:val="24"/>
          <w:szCs w:val="24"/>
        </w:rPr>
        <w:fldChar w:fldCharType="separate"/>
      </w:r>
      <w:r w:rsidR="00CD41AF" w:rsidRPr="00CD41AF">
        <w:rPr>
          <w:rFonts w:ascii="Calibri" w:hAnsi="Calibri" w:cs="Calibri"/>
          <w:sz w:val="24"/>
        </w:rPr>
        <w:t>(NHS England, 2025)</w:t>
      </w:r>
      <w:r w:rsidR="00CD41AF">
        <w:rPr>
          <w:sz w:val="24"/>
          <w:szCs w:val="24"/>
        </w:rPr>
        <w:fldChar w:fldCharType="end"/>
      </w:r>
      <w:r w:rsidR="00AF27E1">
        <w:rPr>
          <w:sz w:val="24"/>
          <w:szCs w:val="24"/>
        </w:rPr>
        <w:t xml:space="preserve">. </w:t>
      </w:r>
    </w:p>
    <w:p w14:paraId="705357D5" w14:textId="4E622EE5" w:rsidR="0050571C" w:rsidRDefault="0050571C" w:rsidP="00C56837">
      <w:pPr>
        <w:jc w:val="both"/>
        <w:rPr>
          <w:sz w:val="24"/>
          <w:szCs w:val="24"/>
        </w:rPr>
      </w:pPr>
      <w:r>
        <w:rPr>
          <w:sz w:val="24"/>
          <w:szCs w:val="24"/>
        </w:rPr>
        <w:t xml:space="preserve">However, </w:t>
      </w:r>
      <w:r w:rsidR="00371F7A">
        <w:rPr>
          <w:sz w:val="24"/>
          <w:szCs w:val="24"/>
        </w:rPr>
        <w:t>some practitioners reported implementation challenges in the form of digital fatigue and data overload</w:t>
      </w:r>
      <w:r w:rsidR="007B6B80">
        <w:rPr>
          <w:sz w:val="24"/>
          <w:szCs w:val="24"/>
        </w:rPr>
        <w:t xml:space="preserve"> in </w:t>
      </w:r>
      <w:r w:rsidR="00585105">
        <w:rPr>
          <w:sz w:val="24"/>
          <w:szCs w:val="24"/>
        </w:rPr>
        <w:t>balancing</w:t>
      </w:r>
      <w:r w:rsidR="007B6B80">
        <w:rPr>
          <w:sz w:val="24"/>
          <w:szCs w:val="24"/>
        </w:rPr>
        <w:t xml:space="preserve"> the influx of CGM data with existing workloads. </w:t>
      </w:r>
      <w:r w:rsidR="00C56837">
        <w:rPr>
          <w:sz w:val="24"/>
          <w:szCs w:val="24"/>
        </w:rPr>
        <w:t xml:space="preserve">According to </w:t>
      </w:r>
      <w:r w:rsidR="00C56837">
        <w:rPr>
          <w:sz w:val="24"/>
          <w:szCs w:val="24"/>
        </w:rPr>
        <w:fldChar w:fldCharType="begin"/>
      </w:r>
      <w:r w:rsidR="001E319E">
        <w:rPr>
          <w:sz w:val="24"/>
          <w:szCs w:val="24"/>
        </w:rPr>
        <w:instrText xml:space="preserve"> ADDIN ZOTERO_ITEM CSL_CITATION {"citationID":"SZvZ54L4","properties":{"formattedCitation":"(Scharf {\\i{}et al.}, 2019)","plainCitation":"(Scharf et al., 2019)","dontUpdate":true,"noteIndex":0},"citationItems":[{"id":4878,"uris":["http://zotero.org/users/14350932/items/GMPKY8NY"],"itemData":{"id":4878,"type":"article-journal","abstract":"BACKGROUND: Previous research suggests that psychosocial working conditions may detrimentally affect diabetes self-management behavior at work, including  self-monitoring of glucose levels. We aimed to better understand the potential  usefulness of continuous glucose monitoring devices at the workplace according to  employees with diabetes. METHODS: We carried out secondary analyses of data from  a qualitative study, which sought to explore potential barriers to and solutions  for effective diabetes self-management at work. Interviews were carried out in  face-to-face contact or by telephone and were transcribed and content-analyzed  using MaxQDA. The used topic guide did not specifically inquire after continuous  glucose monitoring devices, but views on the suitability of those devices at the  workplace repeatedly emerged from the interviews. Data from 25 employed adults  with diabetes mellitus type 1 or type 2 on insulin therapy were included.  RESULTS: The major perceived improvements associated with the use of continuous  glucose monitoring devices pertained to their time-saving application that  allowed for an increased frequency of glucose level assessments and for socially  covert glucose measurement. The socially less noticeable way of monitoring  glucose level was specifically perceived as beneficial, as employees with  diabetes believed their illness would thereby attract less attention. Fewer or  shorter interruptions as well as the reliability of integrated alarm systems were  perceived to increase concentration at work and workability. CONCLUSIONS:  Continuous glucose monitoring devices were perceived to facilitate glucose  management at the workplace, which may exert positive effects on compliance as  well as functioning at work. Further research would be of interest to  statistically confirm our findings in occupational samples.","container-title":"Journal of diabetes science and technology","DOI":"10.1177/1932296818789143","ISSN":"1932-2968","issue":"2","journalAbbreviation":"J Diabetes Sci Technol","language":"eng","note":"publisher-place: United States\nPMID: 30027749 \nPMCID: PMC6399790","page":"242-247","title":"Perceived Usefulness of Continuous Glucose Monitoring Devices at the Workplace: Secondary Analysis of Data From a Qualitative Study.","volume":"13","author":[{"family":"Scharf","given":"Jessica"},{"family":"Nguyen","given":"Xuan Quynh"},{"family":"Vu-Eickmann","given":"Patricia"},{"family":"Krichbaum","given":"Michael"},{"family":"Loerbroks","given":"Adrian"}],"issued":{"date-parts":[["2019",3]]}}}],"schema":"https://github.com/citation-style-language/schema/raw/master/csl-citation.json"} </w:instrText>
      </w:r>
      <w:r w:rsidR="00C56837">
        <w:rPr>
          <w:sz w:val="24"/>
          <w:szCs w:val="24"/>
        </w:rPr>
        <w:fldChar w:fldCharType="separate"/>
      </w:r>
      <w:r w:rsidR="00C56837" w:rsidRPr="00C56837">
        <w:rPr>
          <w:rFonts w:ascii="Calibri" w:hAnsi="Calibri" w:cs="Calibri"/>
          <w:sz w:val="24"/>
          <w:szCs w:val="24"/>
        </w:rPr>
        <w:t xml:space="preserve">Scharf </w:t>
      </w:r>
      <w:r w:rsidR="00C56837" w:rsidRPr="00C56837">
        <w:rPr>
          <w:rFonts w:ascii="Calibri" w:hAnsi="Calibri" w:cs="Calibri"/>
          <w:i/>
          <w:iCs/>
          <w:sz w:val="24"/>
          <w:szCs w:val="24"/>
        </w:rPr>
        <w:t>et al.</w:t>
      </w:r>
      <w:r w:rsidR="00C56837">
        <w:rPr>
          <w:rFonts w:ascii="Calibri" w:hAnsi="Calibri" w:cs="Calibri"/>
          <w:sz w:val="24"/>
          <w:szCs w:val="24"/>
        </w:rPr>
        <w:t xml:space="preserve"> (</w:t>
      </w:r>
      <w:r w:rsidR="00C56837" w:rsidRPr="00C56837">
        <w:rPr>
          <w:rFonts w:ascii="Calibri" w:hAnsi="Calibri" w:cs="Calibri"/>
          <w:sz w:val="24"/>
          <w:szCs w:val="24"/>
        </w:rPr>
        <w:t>2019)</w:t>
      </w:r>
      <w:r w:rsidR="00C56837">
        <w:rPr>
          <w:sz w:val="24"/>
          <w:szCs w:val="24"/>
        </w:rPr>
        <w:fldChar w:fldCharType="end"/>
      </w:r>
      <w:r w:rsidR="00585105">
        <w:rPr>
          <w:sz w:val="24"/>
          <w:szCs w:val="24"/>
        </w:rPr>
        <w:t>Cognitive</w:t>
      </w:r>
      <w:r w:rsidR="00C56837">
        <w:rPr>
          <w:sz w:val="24"/>
          <w:szCs w:val="24"/>
        </w:rPr>
        <w:t xml:space="preserve"> overload occurs on exceeding working memory </w:t>
      </w:r>
      <w:r w:rsidR="00585105">
        <w:rPr>
          <w:sz w:val="24"/>
          <w:szCs w:val="24"/>
        </w:rPr>
        <w:t>is exceeded</w:t>
      </w:r>
      <w:r w:rsidR="00C56837">
        <w:rPr>
          <w:sz w:val="24"/>
          <w:szCs w:val="24"/>
        </w:rPr>
        <w:t xml:space="preserve"> due to more processing of information. </w:t>
      </w:r>
      <w:r w:rsidR="007B6B80">
        <w:rPr>
          <w:sz w:val="24"/>
          <w:szCs w:val="24"/>
        </w:rPr>
        <w:t>Inequities in digital competency between healthcare regions may c</w:t>
      </w:r>
      <w:r w:rsidR="00F7777F">
        <w:rPr>
          <w:sz w:val="24"/>
          <w:szCs w:val="24"/>
        </w:rPr>
        <w:t>reate variation in care quality in rural or under-resourced trusts.</w:t>
      </w:r>
    </w:p>
    <w:p w14:paraId="485D7619" w14:textId="53908DBC" w:rsidR="00F7777F" w:rsidRDefault="00F7777F" w:rsidP="003E2C8C">
      <w:pPr>
        <w:jc w:val="both"/>
        <w:rPr>
          <w:sz w:val="24"/>
          <w:szCs w:val="24"/>
        </w:rPr>
      </w:pPr>
      <w:r>
        <w:rPr>
          <w:sz w:val="24"/>
          <w:szCs w:val="24"/>
        </w:rPr>
        <w:t xml:space="preserve">In summary, CGM technologies have enhanced clinical accuracy and collaborative care that also demand systematic workforce development to ensure that all practitioners possess the necessary digital competencies. Continuous professional development (CPD) and protected learning time are crucial to embed these innovations </w:t>
      </w:r>
      <w:r w:rsidR="00585105">
        <w:rPr>
          <w:sz w:val="24"/>
          <w:szCs w:val="24"/>
        </w:rPr>
        <w:t>sustainably</w:t>
      </w:r>
      <w:r>
        <w:rPr>
          <w:sz w:val="24"/>
          <w:szCs w:val="24"/>
        </w:rPr>
        <w:t xml:space="preserve"> across UK services. </w:t>
      </w:r>
    </w:p>
    <w:p w14:paraId="44887054" w14:textId="77777777" w:rsidR="00F7777F" w:rsidRDefault="00F7777F" w:rsidP="00B8525E">
      <w:pPr>
        <w:pStyle w:val="Heading1"/>
      </w:pPr>
      <w:bookmarkStart w:id="2" w:name="_Toc923916159"/>
      <w:r>
        <w:t>Impact on Service Delivery</w:t>
      </w:r>
      <w:bookmarkEnd w:id="2"/>
    </w:p>
    <w:p w14:paraId="414A18CA" w14:textId="04FE35D8" w:rsidR="00F7777F" w:rsidRDefault="0090406B" w:rsidP="00094FBA">
      <w:pPr>
        <w:jc w:val="both"/>
        <w:rPr>
          <w:sz w:val="24"/>
          <w:szCs w:val="24"/>
        </w:rPr>
      </w:pPr>
      <w:r>
        <w:rPr>
          <w:sz w:val="24"/>
          <w:szCs w:val="24"/>
        </w:rPr>
        <w:t>CGMs have transformed diabetes service delivery from a reactive appointment-based model to a proactive, data-driven system.</w:t>
      </w:r>
      <w:r w:rsidR="005A1012">
        <w:rPr>
          <w:sz w:val="24"/>
          <w:szCs w:val="24"/>
        </w:rPr>
        <w:t xml:space="preserve"> According to </w:t>
      </w:r>
      <w:r w:rsidR="005A1012">
        <w:rPr>
          <w:sz w:val="24"/>
          <w:szCs w:val="24"/>
        </w:rPr>
        <w:fldChar w:fldCharType="begin"/>
      </w:r>
      <w:r w:rsidR="001E319E">
        <w:rPr>
          <w:sz w:val="24"/>
          <w:szCs w:val="24"/>
        </w:rPr>
        <w:instrText xml:space="preserve"> ADDIN ZOTERO_ITEM CSL_CITATION {"citationID":"yetRhrrG","properties":{"formattedCitation":"(Zhang {\\i{}et al.}, 2025)","plainCitation":"(Zhang et al., 2025)","dontUpdate":true,"noteIndex":0},"citationItems":[{"id":4890,"uris":["http://zotero.org/users/14350932/items/G6PAGD75"],"itemData":{"id":4890,"type":"article-journal","abstract":"Diabetes is a global health crisis with rising incidence, mortality, and economic burden. Traditional markers like HbA1c are insufficient for capturing short-term  glycemic fluctuations, leading to the need for more precise metrics such as  Glucose Variability (GV) and Time in Range (TIR). Continuous Glucose Monitoring  (CGM) and AI integration offer real-time data analytics and personalized  treatment plans, enhancing glycemic control and reducing complications. The  combination of transcutaneous auricular vagus nerve stimulation (taVNS) with  artificial Intelligence (AI) further optimizes glucose regulation and addresses  comorbidities. Empowering patients through AI-driven self-management and  community support is crucial for sustainable improvements. Future horizons in  diabetes care must focus on overcoming challenges in data privacy, algorithmic  bias, device interoperability, and equity in AI-driven care while integrating  these innovations into healthcare systems to improve patient outcomes and quality  of life.","container-title":"Frontiers in endocrinology","DOI":"10.3389/fendo.2025.1583227","ISSN":"1664-2392","journalAbbreviation":"Front Endocrinol (Lausanne)","language":"eng","license":"Copyright © 2025 Zhang, Qi, Wang, Tian, Wang, Xu and Zhai.","note":"publisher-place: Switzerland\nPMID: 40213102 \nPMCID: PMC11983400","page":"1583227","title":"Future horizons in diabetes: integrating AI and personalized care.","volume":"16","author":[{"family":"Zhang","given":"Kaiqi"},{"family":"Qi","given":"Yun"},{"family":"Wang","given":"Wenjun"},{"family":"Tian","given":"Xinyi"},{"family":"Wang","given":"Jiahui"},{"family":"Xu","given":"Lili"},{"family":"Zhai","given":"Xu"}],"issued":{"date-parts":[["2025"]]}}}],"schema":"https://github.com/citation-style-language/schema/raw/master/csl-citation.json"} </w:instrText>
      </w:r>
      <w:r w:rsidR="005A1012">
        <w:rPr>
          <w:sz w:val="24"/>
          <w:szCs w:val="24"/>
        </w:rPr>
        <w:fldChar w:fldCharType="separate"/>
      </w:r>
      <w:r w:rsidR="005A1012" w:rsidRPr="005A1012">
        <w:rPr>
          <w:rFonts w:ascii="Calibri" w:hAnsi="Calibri" w:cs="Calibri"/>
          <w:sz w:val="24"/>
          <w:szCs w:val="24"/>
        </w:rPr>
        <w:t xml:space="preserve">Zhang </w:t>
      </w:r>
      <w:r w:rsidR="005A1012" w:rsidRPr="005A1012">
        <w:rPr>
          <w:rFonts w:ascii="Calibri" w:hAnsi="Calibri" w:cs="Calibri"/>
          <w:i/>
          <w:iCs/>
          <w:sz w:val="24"/>
          <w:szCs w:val="24"/>
        </w:rPr>
        <w:t>et al.</w:t>
      </w:r>
      <w:r w:rsidR="005A1012">
        <w:rPr>
          <w:rFonts w:ascii="Calibri" w:hAnsi="Calibri" w:cs="Calibri"/>
          <w:sz w:val="24"/>
          <w:szCs w:val="24"/>
        </w:rPr>
        <w:t xml:space="preserve"> (</w:t>
      </w:r>
      <w:r w:rsidR="005A1012" w:rsidRPr="005A1012">
        <w:rPr>
          <w:rFonts w:ascii="Calibri" w:hAnsi="Calibri" w:cs="Calibri"/>
          <w:sz w:val="24"/>
          <w:szCs w:val="24"/>
        </w:rPr>
        <w:t>2025)</w:t>
      </w:r>
      <w:r w:rsidR="005A1012">
        <w:rPr>
          <w:sz w:val="24"/>
          <w:szCs w:val="24"/>
        </w:rPr>
        <w:fldChar w:fldCharType="end"/>
      </w:r>
      <w:r w:rsidR="005A1012">
        <w:rPr>
          <w:sz w:val="24"/>
          <w:szCs w:val="24"/>
        </w:rPr>
        <w:t xml:space="preserve">CGM and AI integration enable real-time data analytics and personalised treatment plans that enhance </w:t>
      </w:r>
      <w:proofErr w:type="spellStart"/>
      <w:r w:rsidR="005A1012">
        <w:rPr>
          <w:sz w:val="24"/>
          <w:szCs w:val="24"/>
        </w:rPr>
        <w:t>glycemic</w:t>
      </w:r>
      <w:proofErr w:type="spellEnd"/>
      <w:r w:rsidR="005A1012">
        <w:rPr>
          <w:sz w:val="24"/>
          <w:szCs w:val="24"/>
        </w:rPr>
        <w:t xml:space="preserve"> control and </w:t>
      </w:r>
      <w:r w:rsidR="00585105">
        <w:rPr>
          <w:sz w:val="24"/>
          <w:szCs w:val="24"/>
        </w:rPr>
        <w:t>reduce</w:t>
      </w:r>
      <w:r w:rsidR="005A1012">
        <w:rPr>
          <w:sz w:val="24"/>
          <w:szCs w:val="24"/>
        </w:rPr>
        <w:t xml:space="preserve"> </w:t>
      </w:r>
      <w:r w:rsidR="00585105">
        <w:rPr>
          <w:sz w:val="24"/>
          <w:szCs w:val="24"/>
        </w:rPr>
        <w:t>complications</w:t>
      </w:r>
      <w:r w:rsidR="005A1012">
        <w:rPr>
          <w:sz w:val="24"/>
          <w:szCs w:val="24"/>
        </w:rPr>
        <w:t>.</w:t>
      </w:r>
      <w:r>
        <w:rPr>
          <w:sz w:val="24"/>
          <w:szCs w:val="24"/>
        </w:rPr>
        <w:t xml:space="preserve"> Before their integration, glucose monitoring was episodic, </w:t>
      </w:r>
      <w:r w:rsidR="00585105">
        <w:rPr>
          <w:sz w:val="24"/>
          <w:szCs w:val="24"/>
        </w:rPr>
        <w:t>relying</w:t>
      </w:r>
      <w:r>
        <w:rPr>
          <w:sz w:val="24"/>
          <w:szCs w:val="24"/>
        </w:rPr>
        <w:t xml:space="preserve"> on intermittent finger-stick tests and delayed clinical review</w:t>
      </w:r>
      <w:r w:rsidR="00585105">
        <w:rPr>
          <w:sz w:val="24"/>
          <w:szCs w:val="24"/>
        </w:rPr>
        <w:t>.</w:t>
      </w:r>
      <w:r w:rsidR="005A1012">
        <w:rPr>
          <w:sz w:val="24"/>
          <w:szCs w:val="24"/>
        </w:rPr>
        <w:t xml:space="preserve"> </w:t>
      </w:r>
      <w:r w:rsidR="005A1012">
        <w:rPr>
          <w:sz w:val="24"/>
          <w:szCs w:val="24"/>
        </w:rPr>
        <w:fldChar w:fldCharType="begin"/>
      </w:r>
      <w:r w:rsidR="005A1012">
        <w:rPr>
          <w:sz w:val="24"/>
          <w:szCs w:val="24"/>
        </w:rPr>
        <w:instrText xml:space="preserve"> ADDIN ZOTERO_ITEM CSL_CITATION {"citationID":"FWo4NYOo","properties":{"formattedCitation":"(Al Hayek {\\i{}et al.}, 2025)","plainCitation":"(Al Hayek et al., 2025)","noteIndex":0},"citationItems":[{"id":4891,"uris":["http://zotero.org/users/14350932/items/CN2I8KC4"],"itemData":{"id":4891,"type":"article-journal","abstract":"Background\nDespite advances, glycemic control in people with type 2 diabetes (PwT2D) treated with oral antidiabetic medications (ADMs) often remains suboptimal. Continuous glucose monitoring (CGM) has shown promise in diabetes management, offering real-time insights into glucose trends. This study evaluates the impact of transitioning from conventional self-monitoring of blood glucose (SMBG) to CGM on glycemic outcomes and self-management in PwT2D receiving oral ADMs.\nMethods\nIn this prospective study, 108 PwT2D managed with oral ADMs were enrolled. Participants transitioned from conventional SMBG to the FreeStyle Libre 2 CGM system for 12 weeks. Clinical, metabolic, and glycemic parameters, alongside patient-reported outcomes assessed by the Impact of Glucose Monitoring on Self-Management Scale (IGMSS), were recorded at baseline and study endpoint.\nResults\nCGM use was associated with significant improvement across multiple glycemic and self-management metrics. Over 12 weeks, HbA1c decreased from 7.93 % to 7.31 % (p &lt; 0.001), and mean capillary glucose levels decreased from 191 mg/dL to 180 mg/dL (p &lt; 0.001). Time in range reached 70 % (SD = 6.86). Self-management, as measured by the IGMSS, improved—with Capability scores rising from 16.1 to 30.3, Opportunity from 19.8 to 35, and Motivation from 12.3 to 23.3 (all p &lt; 0.001). The scale score increased from 42 to 75.6 (p &lt; 0.001). Additionally, longer diabetes duration (p = 0.024) and more frequent SMBG (p = 0.012) were associated with lower endpoint IGMSS scores, whereas the presence of co-morbidities was linked to higher scores (p = 0.03).\nConclusion\nSwitching from conventional SMBG to CGM significantly improved glycemic control and self-management in PwT2D treated with oral ADMs. This observation highlights the potential for broader integration of CGM into this population.","container-title":"Diabetes Research and Clinical Practice","DOI":"10.1016/j.diabres.2025.112458","ISSN":"0168-8227","journalAbbreviation":"Diabetes Research and Clinical Practice","page":"112458","title":"Impact of transitioning from conventional blood glucose monitoring to continuous glucose monitoring on glycemic control and self-management in adults with type 2 diabetes on oral glucose-lowering medications","volume":"229","author":[{"family":"Al Hayek","given":"Ayman"},{"family":"Klonoff","given":"David C."},{"family":"Al Zahrani","given":"Wael M."},{"family":"Al Saeed","given":"Abdulghani H."},{"family":"Al Dawish","given":"Mohammed A."}],"issued":{"date-parts":[["2025",11,1]]}}}],"schema":"https://github.com/citation-style-language/schema/raw/master/csl-citation.json"} </w:instrText>
      </w:r>
      <w:r w:rsidR="005A1012">
        <w:rPr>
          <w:sz w:val="24"/>
          <w:szCs w:val="24"/>
        </w:rPr>
        <w:fldChar w:fldCharType="separate"/>
      </w:r>
      <w:r w:rsidR="005A1012" w:rsidRPr="005A1012">
        <w:rPr>
          <w:rFonts w:ascii="Calibri" w:hAnsi="Calibri" w:cs="Calibri"/>
          <w:sz w:val="24"/>
          <w:szCs w:val="24"/>
        </w:rPr>
        <w:t xml:space="preserve">(Al Hayek </w:t>
      </w:r>
      <w:r w:rsidR="005A1012" w:rsidRPr="005A1012">
        <w:rPr>
          <w:rFonts w:ascii="Calibri" w:hAnsi="Calibri" w:cs="Calibri"/>
          <w:i/>
          <w:iCs/>
          <w:sz w:val="24"/>
          <w:szCs w:val="24"/>
        </w:rPr>
        <w:t>et al.</w:t>
      </w:r>
      <w:r w:rsidR="005A1012" w:rsidRPr="005A1012">
        <w:rPr>
          <w:rFonts w:ascii="Calibri" w:hAnsi="Calibri" w:cs="Calibri"/>
          <w:sz w:val="24"/>
          <w:szCs w:val="24"/>
        </w:rPr>
        <w:t>, 2025)</w:t>
      </w:r>
      <w:r w:rsidR="005A1012">
        <w:rPr>
          <w:sz w:val="24"/>
          <w:szCs w:val="24"/>
        </w:rPr>
        <w:fldChar w:fldCharType="end"/>
      </w:r>
      <w:r>
        <w:rPr>
          <w:sz w:val="24"/>
          <w:szCs w:val="24"/>
        </w:rPr>
        <w:t xml:space="preserve">. CGMs enable </w:t>
      </w:r>
      <w:r w:rsidR="005A1012">
        <w:rPr>
          <w:sz w:val="24"/>
          <w:szCs w:val="24"/>
        </w:rPr>
        <w:t xml:space="preserve">real-time insights into glucose trends and </w:t>
      </w:r>
      <w:r>
        <w:rPr>
          <w:sz w:val="24"/>
          <w:szCs w:val="24"/>
        </w:rPr>
        <w:t xml:space="preserve">remote monitoring that enable healthcare providers to review data continuously through secure platforms that </w:t>
      </w:r>
      <w:r w:rsidR="00585105">
        <w:rPr>
          <w:sz w:val="24"/>
          <w:szCs w:val="24"/>
        </w:rPr>
        <w:t>align</w:t>
      </w:r>
      <w:r>
        <w:rPr>
          <w:sz w:val="24"/>
          <w:szCs w:val="24"/>
        </w:rPr>
        <w:t xml:space="preserve"> </w:t>
      </w:r>
      <w:r w:rsidR="00585105">
        <w:rPr>
          <w:sz w:val="24"/>
          <w:szCs w:val="24"/>
        </w:rPr>
        <w:t>with</w:t>
      </w:r>
      <w:r>
        <w:rPr>
          <w:sz w:val="24"/>
          <w:szCs w:val="24"/>
        </w:rPr>
        <w:t xml:space="preserve"> per NH</w:t>
      </w:r>
      <w:r w:rsidR="00094FBA">
        <w:rPr>
          <w:sz w:val="24"/>
          <w:szCs w:val="24"/>
        </w:rPr>
        <w:t xml:space="preserve">S Long Term Plan’s </w:t>
      </w:r>
      <w:r w:rsidR="00585105">
        <w:rPr>
          <w:sz w:val="24"/>
          <w:szCs w:val="24"/>
        </w:rPr>
        <w:t>which</w:t>
      </w:r>
      <w:r>
        <w:rPr>
          <w:sz w:val="24"/>
          <w:szCs w:val="24"/>
        </w:rPr>
        <w:t xml:space="preserve"> </w:t>
      </w:r>
      <w:r w:rsidR="00585105">
        <w:rPr>
          <w:sz w:val="24"/>
          <w:szCs w:val="24"/>
        </w:rPr>
        <w:t>emphasises</w:t>
      </w:r>
      <w:r>
        <w:rPr>
          <w:sz w:val="24"/>
          <w:szCs w:val="24"/>
        </w:rPr>
        <w:t xml:space="preserve"> digital-by-default services</w:t>
      </w:r>
      <w:r w:rsidR="00585105">
        <w:rPr>
          <w:sz w:val="24"/>
          <w:szCs w:val="24"/>
        </w:rPr>
        <w:t>.</w:t>
      </w:r>
      <w:r w:rsidR="00094FBA">
        <w:rPr>
          <w:sz w:val="24"/>
          <w:szCs w:val="24"/>
        </w:rPr>
        <w:t xml:space="preserve"> </w:t>
      </w:r>
      <w:r w:rsidR="00094FBA">
        <w:rPr>
          <w:sz w:val="24"/>
          <w:szCs w:val="24"/>
        </w:rPr>
        <w:fldChar w:fldCharType="begin"/>
      </w:r>
      <w:r w:rsidR="00094FBA">
        <w:rPr>
          <w:sz w:val="24"/>
          <w:szCs w:val="24"/>
        </w:rPr>
        <w:instrText xml:space="preserve"> ADDIN ZOTERO_ITEM CSL_CITATION {"citationID":"bGzEtO5D","properties":{"formattedCitation":"(NHS long term plan, 2019)","plainCitation":"(NHS long term plan, 2019)","noteIndex":0},"citationItems":[{"id":4892,"uris":["http://zotero.org/users/14350932/items/8ESBLTDI"],"itemData":{"id":4892,"type":"webpage","title":"NHS England » Fit for the Future: 10 Year Health Plan for England","URL":"https://www.england.nhs.uk/long-term-plan/","author":[{"family":"NHS long term plan","given":""}],"accessed":{"date-parts":[["2025",10,24]]},"issued":{"date-parts":[["2019"]]}}}],"schema":"https://github.com/citation-style-language/schema/raw/master/csl-citation.json"} </w:instrText>
      </w:r>
      <w:r w:rsidR="00094FBA">
        <w:rPr>
          <w:sz w:val="24"/>
          <w:szCs w:val="24"/>
        </w:rPr>
        <w:fldChar w:fldCharType="separate"/>
      </w:r>
      <w:r w:rsidR="00094FBA" w:rsidRPr="00094FBA">
        <w:rPr>
          <w:rFonts w:ascii="Calibri" w:hAnsi="Calibri" w:cs="Calibri"/>
          <w:sz w:val="24"/>
        </w:rPr>
        <w:t>(NHS long term plan, 2019)</w:t>
      </w:r>
      <w:r w:rsidR="00094FBA">
        <w:rPr>
          <w:sz w:val="24"/>
          <w:szCs w:val="24"/>
        </w:rPr>
        <w:fldChar w:fldCharType="end"/>
      </w:r>
      <w:r>
        <w:rPr>
          <w:sz w:val="24"/>
          <w:szCs w:val="24"/>
        </w:rPr>
        <w:t>.</w:t>
      </w:r>
      <w:r w:rsidR="00094FBA">
        <w:rPr>
          <w:sz w:val="24"/>
          <w:szCs w:val="24"/>
        </w:rPr>
        <w:t xml:space="preserve"> </w:t>
      </w:r>
    </w:p>
    <w:p w14:paraId="52A5C1CB" w14:textId="23C912E6" w:rsidR="0090406B" w:rsidRDefault="00E23F06" w:rsidP="00094FBA">
      <w:pPr>
        <w:jc w:val="both"/>
        <w:rPr>
          <w:sz w:val="24"/>
          <w:szCs w:val="24"/>
        </w:rPr>
      </w:pPr>
      <w:r>
        <w:rPr>
          <w:sz w:val="24"/>
          <w:szCs w:val="24"/>
        </w:rPr>
        <w:t>One major service delivery improvement is the reduction of hospital admissions and emergency visits</w:t>
      </w:r>
      <w:r w:rsidR="00C32731">
        <w:rPr>
          <w:sz w:val="24"/>
          <w:szCs w:val="24"/>
        </w:rPr>
        <w:t xml:space="preserve"> due to hypoglycaemic episodes</w:t>
      </w:r>
      <w:r w:rsidR="00094FBA">
        <w:rPr>
          <w:sz w:val="24"/>
          <w:szCs w:val="24"/>
        </w:rPr>
        <w:t xml:space="preserve"> </w:t>
      </w:r>
      <w:r w:rsidR="00094FBA">
        <w:rPr>
          <w:sz w:val="24"/>
          <w:szCs w:val="24"/>
        </w:rPr>
        <w:fldChar w:fldCharType="begin"/>
      </w:r>
      <w:r w:rsidR="00094FBA">
        <w:rPr>
          <w:sz w:val="24"/>
          <w:szCs w:val="24"/>
        </w:rPr>
        <w:instrText xml:space="preserve"> ADDIN ZOTERO_ITEM CSL_CITATION {"citationID":"9qxCuYrL","properties":{"formattedCitation":"(Tegegne {\\i{}et al.}, 2023)","plainCitation":"(Tegegne et al., 2023)","noteIndex":0},"citationItems":[{"id":4880,"uris":["http://zotero.org/users/14350932/items/KMPMFIDY"],"itemData":{"id":4880,"type":"article-journal","abstract":"BACKGROUND: In Ethiopia and other developing countries, electronic medical record systems and other health information technology are being introduced. However, a  small proportion of low-income countries have successfully implemented national  health information systems. One cause for this can be the lack of digital  literacy among medical practitioners. As a result, this study aimed to assess  health professionals' digital literacy level and associated factors in Northwest  Ethiopia. METHOD: A quantitative cross-sectional study was employed among 423  health professionals working in a teaching and referral hospital in Northwest  Ethiopia. We modified and applied the European commission's framework for digital  competency to assess the level of digital literacy among health professionals. We  used stratified random sampling with proportional allocation to the size of the  departments in the hospital to select study participants. Data were collected  using a semi-structured, self-administered, and pretested questionnaire.  Descriptive and binary logistic regression analysis techniques were used to  describe respondents' digital literacy level and identify its associated factor,  respectively. The odds ratio with 95% CI and value of p were used to assess the  strength of the association and statistical significance, respectively. RESULTS:  Out of 411 participants, 51.8% (95% CI, 46.9-56.6%) of health professionals had  adequate digital literacy. Holding a master's degree (Adjusted OR = 2.13, 95% CI:  1.18-3.85), access to digital technology (AOR = 1.89, 95% CI: 1.12-3.17), having  training in digital technology (AOR = 1.65, 95% CI: 1.05-2.59), and having a  positive attitude towards digital health technology (AOR = 1.64, 95% CI:  1.02-2.68) were found to be significant factors associated with health  professionals digital literacy level of health professionals. CONCLUSION: Low  level of digital literacy among health professionals was observed, with nearly  half (48.2%) of them having poor digital literacy levels. Access to digital  technology, training on digital technology, and attitude toward digital health  technology were significant factors associated with digital literacy. It is  suggested to increase computer accessibility, provide a training program on  digital health technology, and promote a positive attitude toward this technology  to improve the deployment of health information systems.","container-title":"Frontiers in public health","DOI":"10.3389/fpubh.2023.1130894","ISSN":"2296-2565","journalAbbreviation":"Front Public Health","language":"eng","license":"Copyright © 2023 Tegegne, Tilahun, Mamuye, Kerie, Nurhussien, Zemen, Mebratu, Sisay, Getachew, Gebeyehu, Seyoum, Tesfaye and Yilma.","note":"publisher-place: Switzerland\nPMID: 37113180 \nPMCID: PMC10126829","page":"1130894","title":"Digital literacy level and associated factors among health professionals in a referral and teaching hospital: An implication for future digital health systems  implementation.","volume":"11","author":[{"family":"Tegegne","given":"Masresha Derese"},{"family":"Tilahun","given":"Binyam"},{"family":"Mamuye","given":"Adane"},{"family":"Kerie","given":"Hailemariam"},{"family":"Nurhussien","given":"Fedlu"},{"family":"Zemen","given":"Endalkachew"},{"family":"Mebratu","given":"Aragaw"},{"family":"Sisay","given":"Girma"},{"family":"Getachew","given":"Redet"},{"family":"Gebeyehu","given":"Henok"},{"family":"Seyoum","given":"Abiy"},{"family":"Tesfaye","given":"Selamsew"},{"family":"Yilma","given":"Tesfahun Melese"}],"issued":{"date-parts":[["2023"]]}}}],"schema":"https://github.com/citation-style-language/schema/raw/master/csl-citation.json"} </w:instrText>
      </w:r>
      <w:r w:rsidR="00094FBA">
        <w:rPr>
          <w:sz w:val="24"/>
          <w:szCs w:val="24"/>
        </w:rPr>
        <w:fldChar w:fldCharType="separate"/>
      </w:r>
      <w:r w:rsidR="00094FBA" w:rsidRPr="00094FBA">
        <w:rPr>
          <w:rFonts w:ascii="Calibri" w:hAnsi="Calibri" w:cs="Calibri"/>
          <w:sz w:val="24"/>
          <w:szCs w:val="24"/>
        </w:rPr>
        <w:t xml:space="preserve">(Tegegne </w:t>
      </w:r>
      <w:r w:rsidR="00094FBA" w:rsidRPr="00094FBA">
        <w:rPr>
          <w:rFonts w:ascii="Calibri" w:hAnsi="Calibri" w:cs="Calibri"/>
          <w:i/>
          <w:iCs/>
          <w:sz w:val="24"/>
          <w:szCs w:val="24"/>
        </w:rPr>
        <w:t>et al.</w:t>
      </w:r>
      <w:r w:rsidR="00094FBA" w:rsidRPr="00094FBA">
        <w:rPr>
          <w:rFonts w:ascii="Calibri" w:hAnsi="Calibri" w:cs="Calibri"/>
          <w:sz w:val="24"/>
          <w:szCs w:val="24"/>
        </w:rPr>
        <w:t>, 2023)</w:t>
      </w:r>
      <w:r w:rsidR="00094FBA">
        <w:rPr>
          <w:sz w:val="24"/>
          <w:szCs w:val="24"/>
        </w:rPr>
        <w:fldChar w:fldCharType="end"/>
      </w:r>
      <w:r w:rsidR="00C32731">
        <w:rPr>
          <w:sz w:val="24"/>
          <w:szCs w:val="24"/>
        </w:rPr>
        <w:t>.</w:t>
      </w:r>
      <w:r w:rsidR="00094FBA">
        <w:rPr>
          <w:sz w:val="24"/>
          <w:szCs w:val="24"/>
        </w:rPr>
        <w:t xml:space="preserve"> </w:t>
      </w:r>
      <w:r w:rsidR="00C32731">
        <w:rPr>
          <w:sz w:val="24"/>
          <w:szCs w:val="24"/>
        </w:rPr>
        <w:t xml:space="preserve"> According to </w:t>
      </w:r>
      <w:r w:rsidR="00094FBA">
        <w:rPr>
          <w:sz w:val="24"/>
          <w:szCs w:val="24"/>
        </w:rPr>
        <w:fldChar w:fldCharType="begin"/>
      </w:r>
      <w:r w:rsidR="001E319E">
        <w:rPr>
          <w:sz w:val="24"/>
          <w:szCs w:val="24"/>
        </w:rPr>
        <w:instrText xml:space="preserve"> ADDIN ZOTERO_ITEM CSL_CITATION {"citationID":"THl9cDxt","properties":{"formattedCitation":"(NICE, 2022)","plainCitation":"(NICE, 2022)","dontUpdate":true,"noteIndex":0},"citationItems":[{"id":4895,"uris":["http://zotero.org/users/14350932/items/AQD9696V"],"itemData":{"id":4895,"type":"webpage","abstract":"It is important to note that the advice contained within the guidance does not override or replace the individual responsibility of health professionals to make appropriate decisions in the circumstances of their individual patients, in consultation with the patient and/or guardian or carer.","language":"en","title":"NICE - Endorsed Clinical Guidelines 2022/2023 | Department of Health","URL":"https://www.health-ni.gov.uk/articles/nice-endorsed-clinical-guidelines-20222023","author":[{"family":"NICE","given":""}],"accessed":{"date-parts":[["2025",10,24]]},"issued":{"date-parts":[["2022",5,16]]}}}],"schema":"https://github.com/citation-style-language/schema/raw/master/csl-citation.json"} </w:instrText>
      </w:r>
      <w:r w:rsidR="00094FBA">
        <w:rPr>
          <w:sz w:val="24"/>
          <w:szCs w:val="24"/>
        </w:rPr>
        <w:fldChar w:fldCharType="separate"/>
      </w:r>
      <w:r w:rsidR="00094FBA">
        <w:rPr>
          <w:rFonts w:ascii="Calibri" w:hAnsi="Calibri" w:cs="Calibri"/>
          <w:sz w:val="24"/>
        </w:rPr>
        <w:t>NICE (</w:t>
      </w:r>
      <w:r w:rsidR="00094FBA" w:rsidRPr="00094FBA">
        <w:rPr>
          <w:rFonts w:ascii="Calibri" w:hAnsi="Calibri" w:cs="Calibri"/>
          <w:sz w:val="24"/>
        </w:rPr>
        <w:t>2022)</w:t>
      </w:r>
      <w:r w:rsidR="00094FBA">
        <w:rPr>
          <w:sz w:val="24"/>
          <w:szCs w:val="24"/>
        </w:rPr>
        <w:fldChar w:fldCharType="end"/>
      </w:r>
      <w:r w:rsidR="00094FBA">
        <w:rPr>
          <w:sz w:val="24"/>
          <w:szCs w:val="24"/>
        </w:rPr>
        <w:t xml:space="preserve">, </w:t>
      </w:r>
      <w:r w:rsidR="00C32731">
        <w:rPr>
          <w:sz w:val="24"/>
          <w:szCs w:val="24"/>
        </w:rPr>
        <w:t xml:space="preserve">it is found that </w:t>
      </w:r>
      <w:r w:rsidR="00585105">
        <w:rPr>
          <w:sz w:val="24"/>
          <w:szCs w:val="24"/>
        </w:rPr>
        <w:t xml:space="preserve">the </w:t>
      </w:r>
      <w:r w:rsidR="00C32731">
        <w:rPr>
          <w:sz w:val="24"/>
          <w:szCs w:val="24"/>
        </w:rPr>
        <w:t xml:space="preserve">use of CGM </w:t>
      </w:r>
      <w:r w:rsidR="00585105">
        <w:rPr>
          <w:sz w:val="24"/>
          <w:szCs w:val="24"/>
        </w:rPr>
        <w:t>reduces</w:t>
      </w:r>
      <w:r w:rsidR="00C32731">
        <w:rPr>
          <w:sz w:val="24"/>
          <w:szCs w:val="24"/>
        </w:rPr>
        <w:t xml:space="preserve"> severe hypoglycaemia-related admissions by 40% among Type 1 diabetes patients. Moreover, integration of CGM data with electronic health records (EHRs) has improved continuity of care that </w:t>
      </w:r>
      <w:r w:rsidR="00585105">
        <w:rPr>
          <w:sz w:val="24"/>
          <w:szCs w:val="24"/>
        </w:rPr>
        <w:t>enabling</w:t>
      </w:r>
      <w:r w:rsidR="00C32731">
        <w:rPr>
          <w:sz w:val="24"/>
          <w:szCs w:val="24"/>
        </w:rPr>
        <w:t xml:space="preserve"> clinicians to make evidence-based medication adjustments in real time</w:t>
      </w:r>
      <w:r w:rsidR="00094FBA">
        <w:rPr>
          <w:sz w:val="24"/>
          <w:szCs w:val="24"/>
        </w:rPr>
        <w:t xml:space="preserve"> </w:t>
      </w:r>
      <w:r w:rsidR="00094FBA">
        <w:rPr>
          <w:sz w:val="24"/>
          <w:szCs w:val="24"/>
        </w:rPr>
        <w:fldChar w:fldCharType="begin"/>
      </w:r>
      <w:r w:rsidR="00094FBA">
        <w:rPr>
          <w:sz w:val="24"/>
          <w:szCs w:val="24"/>
        </w:rPr>
        <w:instrText xml:space="preserve"> ADDIN ZOTERO_ITEM CSL_CITATION {"citationID":"lFvKRVlq","properties":{"formattedCitation":"(Aleppo {\\i{}et al.}, 2025)","plainCitation":"(Aleppo et al., 2025)","noteIndex":0},"citationItems":[{"id":4897,"uris":["http://zotero.org/users/14350932/items/X9NJ8UTS"],"itemData":{"id":4897,"type":"article-journal","abstract":"Managing data from continuous glucose monitoring (CGM) systems presents challenges to health care provider teams that rely on the electronic health  record (EHR) during patient visits. A method of integrating CGM data with the EHR  that relies on the Dexcom API was developed by Northwestern Medicine and Dexcom  to address these challenges. Here, we describe the data management steps and user  interface of the integrated system. Providers can access patients' historical and  latest daily CGM data in the form of modal day plots and stacked columns showing  time in various glucose concentration ranges. The integration facilitates the  acquisition, storage, analysis, and display of CGM data within an EHR system and  may be appropriate for deployment in other health care facilities.","container-title":"Journal of diabetes science and technology","DOI":"10.1177/19322968231196168","ISSN":"1932-2968","issue":"2","journalAbbreviation":"J Diabetes Sci Technol","language":"eng","note":"publisher-place: United States\nPMID: 37644816 \nPMCID: PMC11874348","page":"426-430","title":"Integration of Continuous Glucose Monitoring Data into an Electronic Health Record System: Single-Center Implementation.","volume":"19","author":[{"family":"Aleppo","given":"Grazia"},{"family":"Chmiel","given":"Ryan"},{"family":"Zurn","given":"Andrew"},{"family":"Bandoske","given":"Ryan"},{"family":"Creamer","given":"Patrick"},{"family":"Neubauer","given":"Nicholas"},{"family":"Wong","given":"Jo"},{"family":"Andrade","given":"Sarah B."},{"family":"Hauptman","given":"Alexis"}],"issued":{"date-parts":[["2025",3]]}}}],"schema":"https://github.com/citation-style-language/schema/raw/master/csl-citation.json"} </w:instrText>
      </w:r>
      <w:r w:rsidR="00094FBA">
        <w:rPr>
          <w:sz w:val="24"/>
          <w:szCs w:val="24"/>
        </w:rPr>
        <w:fldChar w:fldCharType="separate"/>
      </w:r>
      <w:r w:rsidR="00094FBA" w:rsidRPr="00094FBA">
        <w:rPr>
          <w:rFonts w:ascii="Calibri" w:hAnsi="Calibri" w:cs="Calibri"/>
          <w:sz w:val="24"/>
          <w:szCs w:val="24"/>
        </w:rPr>
        <w:t xml:space="preserve">(Aleppo </w:t>
      </w:r>
      <w:r w:rsidR="00094FBA" w:rsidRPr="00094FBA">
        <w:rPr>
          <w:rFonts w:ascii="Calibri" w:hAnsi="Calibri" w:cs="Calibri"/>
          <w:i/>
          <w:iCs/>
          <w:sz w:val="24"/>
          <w:szCs w:val="24"/>
        </w:rPr>
        <w:t>et al.</w:t>
      </w:r>
      <w:r w:rsidR="00094FBA" w:rsidRPr="00094FBA">
        <w:rPr>
          <w:rFonts w:ascii="Calibri" w:hAnsi="Calibri" w:cs="Calibri"/>
          <w:sz w:val="24"/>
          <w:szCs w:val="24"/>
        </w:rPr>
        <w:t>, 2025)</w:t>
      </w:r>
      <w:r w:rsidR="00094FBA">
        <w:rPr>
          <w:sz w:val="24"/>
          <w:szCs w:val="24"/>
        </w:rPr>
        <w:fldChar w:fldCharType="end"/>
      </w:r>
      <w:r w:rsidR="00C32731">
        <w:rPr>
          <w:sz w:val="24"/>
          <w:szCs w:val="24"/>
        </w:rPr>
        <w:t xml:space="preserve">. </w:t>
      </w:r>
      <w:r w:rsidR="00182873">
        <w:rPr>
          <w:sz w:val="24"/>
          <w:szCs w:val="24"/>
        </w:rPr>
        <w:t>This method of integration relies on the Dexcom API</w:t>
      </w:r>
      <w:r w:rsidR="00585105">
        <w:rPr>
          <w:sz w:val="24"/>
          <w:szCs w:val="24"/>
        </w:rPr>
        <w:t>,</w:t>
      </w:r>
      <w:r w:rsidR="00182873">
        <w:rPr>
          <w:sz w:val="24"/>
          <w:szCs w:val="24"/>
        </w:rPr>
        <w:t xml:space="preserve"> which was developed by Northwestern Medicine and Dexcom. Through this integration, providers can access </w:t>
      </w:r>
      <w:r w:rsidR="00585105">
        <w:rPr>
          <w:sz w:val="24"/>
          <w:szCs w:val="24"/>
        </w:rPr>
        <w:t>patients'</w:t>
      </w:r>
      <w:r w:rsidR="00182873">
        <w:rPr>
          <w:sz w:val="24"/>
          <w:szCs w:val="24"/>
        </w:rPr>
        <w:t xml:space="preserve"> historical and latest data about daily CGM. Moreover, </w:t>
      </w:r>
      <w:r w:rsidR="00585105">
        <w:rPr>
          <w:sz w:val="24"/>
          <w:szCs w:val="24"/>
        </w:rPr>
        <w:t xml:space="preserve">the </w:t>
      </w:r>
      <w:r w:rsidR="00182873">
        <w:rPr>
          <w:sz w:val="24"/>
          <w:szCs w:val="24"/>
        </w:rPr>
        <w:t xml:space="preserve">Dexcom API OAuth 2.0 standard </w:t>
      </w:r>
      <w:r w:rsidR="00585105">
        <w:rPr>
          <w:sz w:val="24"/>
          <w:szCs w:val="24"/>
        </w:rPr>
        <w:t>enables</w:t>
      </w:r>
      <w:r w:rsidR="00182873">
        <w:rPr>
          <w:sz w:val="24"/>
          <w:szCs w:val="24"/>
        </w:rPr>
        <w:t xml:space="preserve"> individuals to </w:t>
      </w:r>
      <w:r w:rsidR="00585105">
        <w:rPr>
          <w:sz w:val="24"/>
          <w:szCs w:val="24"/>
        </w:rPr>
        <w:t>share</w:t>
      </w:r>
      <w:r w:rsidR="00182873">
        <w:rPr>
          <w:sz w:val="24"/>
          <w:szCs w:val="24"/>
        </w:rPr>
        <w:t xml:space="preserve"> their CGM data with </w:t>
      </w:r>
      <w:r w:rsidR="00585105">
        <w:rPr>
          <w:sz w:val="24"/>
          <w:szCs w:val="24"/>
        </w:rPr>
        <w:t>third parties</w:t>
      </w:r>
      <w:r w:rsidR="00182873">
        <w:rPr>
          <w:sz w:val="24"/>
          <w:szCs w:val="24"/>
        </w:rPr>
        <w:t xml:space="preserve">. </w:t>
      </w:r>
    </w:p>
    <w:p w14:paraId="3C085C5E" w14:textId="7B679C1A" w:rsidR="00D7520A" w:rsidRDefault="00182873" w:rsidP="00182873">
      <w:pPr>
        <w:jc w:val="both"/>
        <w:rPr>
          <w:sz w:val="24"/>
          <w:szCs w:val="24"/>
        </w:rPr>
      </w:pPr>
      <w:r>
        <w:rPr>
          <w:sz w:val="24"/>
          <w:szCs w:val="24"/>
        </w:rPr>
        <w:t xml:space="preserve">According to </w:t>
      </w:r>
      <w:r>
        <w:rPr>
          <w:sz w:val="24"/>
          <w:szCs w:val="24"/>
        </w:rPr>
        <w:fldChar w:fldCharType="begin"/>
      </w:r>
      <w:r w:rsidR="001E319E">
        <w:rPr>
          <w:sz w:val="24"/>
          <w:szCs w:val="24"/>
        </w:rPr>
        <w:instrText xml:space="preserve"> ADDIN ZOTERO_ITEM CSL_CITATION {"citationID":"rG2EqAsf","properties":{"formattedCitation":"(Jiao {\\i{}et al.}, 2022)","plainCitation":"(Jiao et al., 2022)","dontUpdate":true,"noteIndex":0},"citationItems":[{"id":4898,"uris":["http://zotero.org/users/14350932/items/75Z2A5TD"],"itemData":{"id":4898,"type":"article-journal","abstract":"Continuous glucose monitoring (CGM) is rapidly becoming a vital tool in the management of type 1 diabetes. Its use has been shown to improve glycaemic  management and reduce the risk of hypoglycaemic events. The cost of CGM remains a  barrier to its widespread application. We aimed to identify and synthesize  evidence about the cost-effectiveness of utilizing CGM in patients with type 1  diabetes. Studies were identified from MEDLINE, Embase and Cochrane Library from  January 2010 to February 2022. Those that assessed the cost-effectiveness of CGM  compared to self-monitored blood glucose (SMBG) in patients with type 1 diabetes  and reported lifetime incremental cost-effectiveness ratio (ICER) were included.  Studies on critically ill or pregnant patients were excluded. Nineteen studies  were identified. Most studies compared continuous subcutaneous insulin infusion  and SMBG to a sensor-augmented pump (SAP). The estimated ICER range was  [$18,734-$99,941] and the quality-adjusted life year (QALY) gain range was  [0.76-2.99]. Use in patients with suboptimal management or greater hypoglycaemic  risk revealed more homogenous results and lower ICERs. Limited studies assessed  CGM in the context of multiple daily injections (MDI) (n = 4), MDI and SMBG  versus SAP (n = 2) and three studies included hybrid closed-loop systems. Most  studies (n = 17) concluded that CGM is a cost-effective tool. This systematic  review suggests that CGM appears to be a cost-effective tool for individuals with  type 1 diabetes. Cost-effectiveness is driven by reducing short- and long-term  complications. Use in patients with suboptimal management or at risk of severe  hypoglycaemia is most cost-effective.","container-title":"Endocrinology, diabetes &amp; metabolism","DOI":"10.1002/edm2.369","ISSN":"2398-9238","issue":"6","journalAbbreviation":"Endocrinol Diabetes Metab","language":"eng","license":"© 2022 The Authors. Endocrinology, Diabetes &amp; Metabolism published by John Wiley &amp; Sons Ltd.","note":"publisher-place: England\nPMID: 36112608 \nPMCID: PMC9659662","page":"e369","title":"A systematic review: Cost-effectiveness of continuous glucose monitoring compared to self-monitoring of blood glucose in type 1 diabetes.","volume":"5","author":[{"family":"Jiao","given":"Yuxin"},{"family":"Lin","given":"Rose"},{"family":"Hua","given":"Xinyang"},{"family":"Churilov","given":"Leonid"},{"family":"Gaca","given":"Michele J."},{"family":"James","given":"Steven"},{"family":"Clarke","given":"Philip M."},{"family":"O'Neal","given":"David"},{"family":"Ekinci","given":"Elif I."}],"issued":{"date-parts":[["2022",11]]}}}],"schema":"https://github.com/citation-style-language/schema/raw/master/csl-citation.json"} </w:instrText>
      </w:r>
      <w:r>
        <w:rPr>
          <w:sz w:val="24"/>
          <w:szCs w:val="24"/>
        </w:rPr>
        <w:fldChar w:fldCharType="separate"/>
      </w:r>
      <w:r w:rsidRPr="00182873">
        <w:rPr>
          <w:rFonts w:ascii="Calibri" w:hAnsi="Calibri" w:cs="Calibri"/>
          <w:sz w:val="24"/>
          <w:szCs w:val="24"/>
        </w:rPr>
        <w:t xml:space="preserve">Jiao </w:t>
      </w:r>
      <w:r w:rsidRPr="00182873">
        <w:rPr>
          <w:rFonts w:ascii="Calibri" w:hAnsi="Calibri" w:cs="Calibri"/>
          <w:i/>
          <w:iCs/>
          <w:sz w:val="24"/>
          <w:szCs w:val="24"/>
        </w:rPr>
        <w:t>et al.</w:t>
      </w:r>
      <w:r>
        <w:rPr>
          <w:rFonts w:ascii="Calibri" w:hAnsi="Calibri" w:cs="Calibri"/>
          <w:sz w:val="24"/>
          <w:szCs w:val="24"/>
        </w:rPr>
        <w:t xml:space="preserve"> (</w:t>
      </w:r>
      <w:r w:rsidRPr="00182873">
        <w:rPr>
          <w:rFonts w:ascii="Calibri" w:hAnsi="Calibri" w:cs="Calibri"/>
          <w:sz w:val="24"/>
          <w:szCs w:val="24"/>
        </w:rPr>
        <w:t>2022)</w:t>
      </w:r>
      <w:r>
        <w:rPr>
          <w:sz w:val="24"/>
          <w:szCs w:val="24"/>
        </w:rPr>
        <w:fldChar w:fldCharType="end"/>
      </w:r>
      <w:r w:rsidR="00585105">
        <w:rPr>
          <w:sz w:val="24"/>
          <w:szCs w:val="24"/>
        </w:rPr>
        <w:t>Cost</w:t>
      </w:r>
      <w:r>
        <w:rPr>
          <w:sz w:val="24"/>
          <w:szCs w:val="24"/>
        </w:rPr>
        <w:t xml:space="preserve"> is one of the main </w:t>
      </w:r>
      <w:r w:rsidR="00585105">
        <w:rPr>
          <w:sz w:val="24"/>
          <w:szCs w:val="24"/>
        </w:rPr>
        <w:t>barriers</w:t>
      </w:r>
      <w:r>
        <w:rPr>
          <w:sz w:val="24"/>
          <w:szCs w:val="24"/>
        </w:rPr>
        <w:t xml:space="preserve"> </w:t>
      </w:r>
      <w:r w:rsidR="00585105">
        <w:rPr>
          <w:sz w:val="24"/>
          <w:szCs w:val="24"/>
        </w:rPr>
        <w:t>to</w:t>
      </w:r>
      <w:r>
        <w:rPr>
          <w:sz w:val="24"/>
          <w:szCs w:val="24"/>
        </w:rPr>
        <w:t xml:space="preserve"> the widespread use of CGM. </w:t>
      </w:r>
      <w:r w:rsidR="00D7520A">
        <w:rPr>
          <w:sz w:val="24"/>
          <w:szCs w:val="24"/>
        </w:rPr>
        <w:t xml:space="preserve">From a cost-efficiency standpoint, while CGM devices </w:t>
      </w:r>
      <w:r w:rsidR="00585105">
        <w:rPr>
          <w:sz w:val="24"/>
          <w:szCs w:val="24"/>
        </w:rPr>
        <w:t>have</w:t>
      </w:r>
      <w:r w:rsidR="00D7520A">
        <w:rPr>
          <w:sz w:val="24"/>
          <w:szCs w:val="24"/>
        </w:rPr>
        <w:t xml:space="preserve"> </w:t>
      </w:r>
      <w:r w:rsidR="00585105">
        <w:rPr>
          <w:sz w:val="24"/>
          <w:szCs w:val="24"/>
        </w:rPr>
        <w:t xml:space="preserve">a </w:t>
      </w:r>
      <w:r w:rsidR="00D7520A">
        <w:rPr>
          <w:sz w:val="24"/>
          <w:szCs w:val="24"/>
        </w:rPr>
        <w:t xml:space="preserve">high initial investment, the evidence suggests that long-term savings reduce complications, hospitalisations, and absenteeism. NHS has recognised these benefits as reflected in NICE guidance (NG17 and NG28), which </w:t>
      </w:r>
      <w:r w:rsidR="00585105">
        <w:rPr>
          <w:sz w:val="24"/>
          <w:szCs w:val="24"/>
        </w:rPr>
        <w:t>recommends</w:t>
      </w:r>
      <w:r w:rsidR="00D7520A">
        <w:rPr>
          <w:sz w:val="24"/>
          <w:szCs w:val="24"/>
        </w:rPr>
        <w:t xml:space="preserve"> CGM for all Type 1 diabetes patients and certain Type 2 patients on insulin therapy. </w:t>
      </w:r>
    </w:p>
    <w:p w14:paraId="27CC50E6" w14:textId="6FAC5C0B" w:rsidR="00945DE6" w:rsidRDefault="00945DE6" w:rsidP="0073278D">
      <w:pPr>
        <w:jc w:val="both"/>
        <w:rPr>
          <w:sz w:val="24"/>
          <w:szCs w:val="24"/>
        </w:rPr>
      </w:pPr>
      <w:r>
        <w:rPr>
          <w:sz w:val="24"/>
          <w:szCs w:val="24"/>
        </w:rPr>
        <w:t xml:space="preserve">However, </w:t>
      </w:r>
      <w:r w:rsidR="00585105">
        <w:rPr>
          <w:sz w:val="24"/>
          <w:szCs w:val="24"/>
        </w:rPr>
        <w:t xml:space="preserve">the </w:t>
      </w:r>
      <w:r>
        <w:rPr>
          <w:sz w:val="24"/>
          <w:szCs w:val="24"/>
        </w:rPr>
        <w:t>integration process presents different challenges</w:t>
      </w:r>
      <w:r w:rsidR="00585105">
        <w:rPr>
          <w:sz w:val="24"/>
          <w:szCs w:val="24"/>
        </w:rPr>
        <w:t>,</w:t>
      </w:r>
      <w:r>
        <w:rPr>
          <w:sz w:val="24"/>
          <w:szCs w:val="24"/>
        </w:rPr>
        <w:t xml:space="preserve"> such as data interoperability between CGM apps, NHS systems, and primary care software </w:t>
      </w:r>
      <w:r w:rsidR="00585105">
        <w:rPr>
          <w:sz w:val="24"/>
          <w:szCs w:val="24"/>
        </w:rPr>
        <w:t xml:space="preserve">that </w:t>
      </w:r>
      <w:r>
        <w:rPr>
          <w:sz w:val="24"/>
          <w:szCs w:val="24"/>
        </w:rPr>
        <w:t xml:space="preserve">remains inconsistent that </w:t>
      </w:r>
      <w:r w:rsidR="00585105">
        <w:rPr>
          <w:sz w:val="24"/>
          <w:szCs w:val="24"/>
        </w:rPr>
        <w:t>leading</w:t>
      </w:r>
      <w:r>
        <w:rPr>
          <w:sz w:val="24"/>
          <w:szCs w:val="24"/>
        </w:rPr>
        <w:t xml:space="preserve"> </w:t>
      </w:r>
      <w:r w:rsidR="00585105">
        <w:rPr>
          <w:sz w:val="24"/>
          <w:szCs w:val="24"/>
        </w:rPr>
        <w:t>to</w:t>
      </w:r>
      <w:r>
        <w:rPr>
          <w:sz w:val="24"/>
          <w:szCs w:val="24"/>
        </w:rPr>
        <w:t xml:space="preserve"> fragmented information pathways. </w:t>
      </w:r>
      <w:r w:rsidR="0073278D">
        <w:rPr>
          <w:sz w:val="24"/>
          <w:szCs w:val="24"/>
        </w:rPr>
        <w:fldChar w:fldCharType="begin"/>
      </w:r>
      <w:r w:rsidR="001E319E">
        <w:rPr>
          <w:sz w:val="24"/>
          <w:szCs w:val="24"/>
        </w:rPr>
        <w:instrText xml:space="preserve"> ADDIN ZOTERO_ITEM CSL_CITATION {"citationID":"IKWXlR8u","properties":{"formattedCitation":"(Walker {\\i{}et al.}, 2023)","plainCitation":"(Walker et al., 2023)","dontUpdate":true,"noteIndex":0},"citationItems":[{"id":4899,"uris":["http://zotero.org/users/14350932/items/SU4XITII"],"itemData":{"id":4899,"type":"article-journal","abstract":"BACKGROUND: Interoperability-the exchange and integration of data across the health care system-remains a challenge despite ongoing policy efforts aimed at  promoting interoperability. OBJECTIVE: This study aimed to identify current  challenges and opportunities to advancing interoperability across stakeholders.  METHODS: Primary data were collected through qualitative, semistructured  interviews with stakeholders (n=24) in Ohio from July to October 2021.  Interviewees were sampled using a stratified purposive sample of key informants  from 4 representative groups as follows: acute care and children's hospital  leaders, primary care providers, behavioral health providers, and regional health  information exchange networks. Interviews focused on key informant perspectives  on electronic health record implementation, the alignment of public policy with  organizational strategy, interoperability implementation challenges, and  opportunities for health information technology. The interviews were transcribed  verbatim followed by rigorous qualitative analysis using directed content  analysis. RESULTS: The findings illuminate themes related to challenges and  opportunities for interoperability that align with technological (ie,  implementation challenges, mismatches in interoperability capabilities across  stakeholders, and opportunities to leverage new technology and integrate social  determinants of health data), organizational (ie, facilitators of  interoperability and strategic alignment of participation in value-based payment  programs with interoperability), and environmental (ie, policy) domains.  CONCLUSIONS: Interoperability, although technically feasible for most providers,  remains challenging for technological, organizational, and environmental reasons.  Our findings suggest that the incorporation of end user considerations into  health information technology development, implementation, policy, and standard  deployment may support interoperability advancement.","container-title":"JMIR medical informatics","DOI":"10.2196/43848","ISSN":"2291-9694","journalAbbreviation":"JMIR Med Inform","language":"eng","license":"©Daniel M Walker, Willi L Tarver, Pallavi Jonnalagadda, Lorin Ranbom, Eric W Ford, Saurabh Rahurkar. Originally published in JMIR Medical Informatics  (https://medinform.jmir.org), 24.02.2023.","note":"publisher-place: Canada\nPMID: 36826979 \nPMCID: PMC10007006","page":"e43848","title":"Perspectives on Challenges and Opportunities for Interoperability: Findings From Key Informant Interviews With Stakeholders in Ohio.","volume":"11","author":[{"family":"Walker","given":"Daniel M."},{"family":"Tarver","given":"Willi L."},{"family":"Jonnalagadda","given":"Pallavi"},{"family":"Ranbom","given":"Lorin"},{"family":"Ford","given":"Eric W."},{"family":"Rahurkar","given":"Saurabh"}],"issued":{"date-parts":[["2023",2,24]]}}}],"schema":"https://github.com/citation-style-language/schema/raw/master/csl-citation.json"} </w:instrText>
      </w:r>
      <w:r w:rsidR="0073278D">
        <w:rPr>
          <w:sz w:val="24"/>
          <w:szCs w:val="24"/>
        </w:rPr>
        <w:fldChar w:fldCharType="separate"/>
      </w:r>
      <w:r w:rsidR="0073278D" w:rsidRPr="0073278D">
        <w:rPr>
          <w:rFonts w:ascii="Calibri" w:hAnsi="Calibri" w:cs="Calibri"/>
          <w:sz w:val="24"/>
          <w:szCs w:val="24"/>
        </w:rPr>
        <w:t xml:space="preserve">Walker </w:t>
      </w:r>
      <w:r w:rsidR="0073278D" w:rsidRPr="0073278D">
        <w:rPr>
          <w:rFonts w:ascii="Calibri" w:hAnsi="Calibri" w:cs="Calibri"/>
          <w:i/>
          <w:iCs/>
          <w:sz w:val="24"/>
          <w:szCs w:val="24"/>
        </w:rPr>
        <w:t>et al.</w:t>
      </w:r>
      <w:r w:rsidR="0073278D">
        <w:rPr>
          <w:rFonts w:ascii="Calibri" w:hAnsi="Calibri" w:cs="Calibri"/>
          <w:sz w:val="24"/>
          <w:szCs w:val="24"/>
        </w:rPr>
        <w:t xml:space="preserve"> (</w:t>
      </w:r>
      <w:r w:rsidR="0073278D" w:rsidRPr="0073278D">
        <w:rPr>
          <w:rFonts w:ascii="Calibri" w:hAnsi="Calibri" w:cs="Calibri"/>
          <w:sz w:val="24"/>
          <w:szCs w:val="24"/>
        </w:rPr>
        <w:t>2023)</w:t>
      </w:r>
      <w:r w:rsidR="0073278D">
        <w:rPr>
          <w:sz w:val="24"/>
          <w:szCs w:val="24"/>
        </w:rPr>
        <w:fldChar w:fldCharType="end"/>
      </w:r>
      <w:r w:rsidR="0073278D">
        <w:rPr>
          <w:sz w:val="24"/>
          <w:szCs w:val="24"/>
        </w:rPr>
        <w:t xml:space="preserve"> </w:t>
      </w:r>
      <w:r w:rsidR="00585105">
        <w:rPr>
          <w:sz w:val="24"/>
          <w:szCs w:val="24"/>
        </w:rPr>
        <w:t>Identify</w:t>
      </w:r>
      <w:r w:rsidR="0073278D">
        <w:rPr>
          <w:sz w:val="24"/>
          <w:szCs w:val="24"/>
        </w:rPr>
        <w:t xml:space="preserve"> current challenges and opportunities to advance interoperability across different stakeholders. </w:t>
      </w:r>
      <w:r>
        <w:rPr>
          <w:sz w:val="24"/>
          <w:szCs w:val="24"/>
        </w:rPr>
        <w:t xml:space="preserve">Furthermore, there are concerns about data privacy, cybersecurity, and patient consent, </w:t>
      </w:r>
      <w:r w:rsidR="00585105">
        <w:rPr>
          <w:sz w:val="24"/>
          <w:szCs w:val="24"/>
        </w:rPr>
        <w:t>which</w:t>
      </w:r>
      <w:r>
        <w:rPr>
          <w:sz w:val="24"/>
          <w:szCs w:val="24"/>
        </w:rPr>
        <w:t xml:space="preserve"> give the personal nature of glucose data transmission. </w:t>
      </w:r>
    </w:p>
    <w:p w14:paraId="64485DB8" w14:textId="4219C9B7" w:rsidR="00945DE6" w:rsidRDefault="00945DE6" w:rsidP="001622BF">
      <w:pPr>
        <w:jc w:val="both"/>
        <w:rPr>
          <w:sz w:val="24"/>
          <w:szCs w:val="24"/>
        </w:rPr>
      </w:pPr>
      <w:r>
        <w:rPr>
          <w:sz w:val="24"/>
          <w:szCs w:val="24"/>
        </w:rPr>
        <w:t xml:space="preserve">In rural and deprived areas, limited digital infrastructure restricts tele-monitoring effectiveness, </w:t>
      </w:r>
      <w:r w:rsidR="00585105">
        <w:rPr>
          <w:sz w:val="24"/>
          <w:szCs w:val="24"/>
        </w:rPr>
        <w:t>which</w:t>
      </w:r>
      <w:r>
        <w:rPr>
          <w:sz w:val="24"/>
          <w:szCs w:val="24"/>
        </w:rPr>
        <w:t xml:space="preserve"> </w:t>
      </w:r>
      <w:r w:rsidR="00585105">
        <w:rPr>
          <w:sz w:val="24"/>
          <w:szCs w:val="24"/>
        </w:rPr>
        <w:t>widens</w:t>
      </w:r>
      <w:r>
        <w:rPr>
          <w:sz w:val="24"/>
          <w:szCs w:val="24"/>
        </w:rPr>
        <w:t xml:space="preserve"> health inequalities. </w:t>
      </w:r>
      <w:r w:rsidR="001A1DE2">
        <w:rPr>
          <w:sz w:val="24"/>
          <w:szCs w:val="24"/>
        </w:rPr>
        <w:t xml:space="preserve">Thus, while CGMs exemplify innovation that enhances efficiency, quality, and continuity of care, equitable access and robust digital governance keep </w:t>
      </w:r>
      <w:r w:rsidR="00585105">
        <w:rPr>
          <w:sz w:val="24"/>
          <w:szCs w:val="24"/>
        </w:rPr>
        <w:t>pressing</w:t>
      </w:r>
      <w:r w:rsidR="001A1DE2">
        <w:rPr>
          <w:sz w:val="24"/>
          <w:szCs w:val="24"/>
        </w:rPr>
        <w:t xml:space="preserve"> policy priorities.</w:t>
      </w:r>
      <w:r w:rsidR="001622BF">
        <w:rPr>
          <w:sz w:val="24"/>
          <w:szCs w:val="24"/>
        </w:rPr>
        <w:t xml:space="preserve"> According to </w:t>
      </w:r>
      <w:r w:rsidR="001622BF">
        <w:rPr>
          <w:sz w:val="24"/>
          <w:szCs w:val="24"/>
        </w:rPr>
        <w:fldChar w:fldCharType="begin"/>
      </w:r>
      <w:r w:rsidR="001E319E">
        <w:rPr>
          <w:sz w:val="24"/>
          <w:szCs w:val="24"/>
        </w:rPr>
        <w:instrText xml:space="preserve"> ADDIN ZOTERO_ITEM CSL_CITATION {"citationID":"8iQ08o59","properties":{"formattedCitation":"(Maita {\\i{}et al.}, 2024)","plainCitation":"(Maita et al., 2024)","dontUpdate":true,"noteIndex":0},"citationItems":[{"id":4900,"uris":["http://zotero.org/users/14350932/items/XXE4KUJ4"],"itemData":{"id":4900,"type":"article-journal","abstract":"Digital health tools can improve health care access and outcomes for individuals with limited access to health care, particularly those residing in rural areas.  This scoping review examines the existing literature on using digital tools in  patients with limited access to health care in rural areas. It assesses their  effectiveness in improving health outcomes. The review adopts a comprehensive  search strategy to identify relevant studies from electronic databases, and the  selected studies are analyzed descriptively. The findings highlight the  advantages and barriers of digital health interventions in rural populations. The  advantages include increased access to health care practitioners through  teleconsultations, improved health care outcomes through remote monitoring,  better disease management through mobile health applications and wearable  devices, and enhanced access to specialized care and preventive programs.  However, limited internet connectivity and a lack of familiarity with digital  tools are barriers that must be addressed to ensure equitable access to digital  health interventions in rural areas. Overall, digital tools improve health  outcomes for individuals with limited health care access in rural areas.","container-title":"The Permanente journal","DOI":"10.7812/TPP/23.134","ISSN":"1552-5775 1552-5767","issue":"3","journalAbbreviation":"Perm J","language":"eng","note":"publisher-place: United States\nPMID: 39135461 \nPMCID: PMC11404635","page":"130-143","title":"The Impact of Digital Health Solutions on Bridging the Health Care Gap in Rural Areas: A Scoping Review.","volume":"28","author":[{"family":"Maita","given":"Karla C."},{"family":"Maniaci","given":"Michael J."},{"family":"Haider","given":"Clifton R."},{"family":"Avila","given":"Francisco R."},{"family":"Torres-Guzman","given":"Ricardo A."},{"family":"Borna","given":"Sahar"},{"family":"Lunde","given":"Julianne J."},{"family":"Coffey","given":"Jordan D."},{"family":"Demaerschalk","given":"Bart M."},{"family":"Forte","given":"Antonio Jorge"}],"issued":{"date-parts":[["2024",9,16]]}}}],"schema":"https://github.com/citation-style-language/schema/raw/master/csl-citation.json"} </w:instrText>
      </w:r>
      <w:r w:rsidR="001622BF">
        <w:rPr>
          <w:sz w:val="24"/>
          <w:szCs w:val="24"/>
        </w:rPr>
        <w:fldChar w:fldCharType="separate"/>
      </w:r>
      <w:r w:rsidR="001622BF" w:rsidRPr="001622BF">
        <w:rPr>
          <w:rFonts w:ascii="Calibri" w:hAnsi="Calibri" w:cs="Calibri"/>
          <w:sz w:val="24"/>
          <w:szCs w:val="24"/>
        </w:rPr>
        <w:t xml:space="preserve">Maita </w:t>
      </w:r>
      <w:r w:rsidR="001622BF" w:rsidRPr="001622BF">
        <w:rPr>
          <w:rFonts w:ascii="Calibri" w:hAnsi="Calibri" w:cs="Calibri"/>
          <w:i/>
          <w:iCs/>
          <w:sz w:val="24"/>
          <w:szCs w:val="24"/>
        </w:rPr>
        <w:t>et al.</w:t>
      </w:r>
      <w:r w:rsidR="001622BF">
        <w:rPr>
          <w:rFonts w:ascii="Calibri" w:hAnsi="Calibri" w:cs="Calibri"/>
          <w:sz w:val="24"/>
          <w:szCs w:val="24"/>
        </w:rPr>
        <w:t xml:space="preserve"> (</w:t>
      </w:r>
      <w:r w:rsidR="001622BF" w:rsidRPr="001622BF">
        <w:rPr>
          <w:rFonts w:ascii="Calibri" w:hAnsi="Calibri" w:cs="Calibri"/>
          <w:sz w:val="24"/>
          <w:szCs w:val="24"/>
        </w:rPr>
        <w:t>2024)</w:t>
      </w:r>
      <w:r w:rsidR="001622BF">
        <w:rPr>
          <w:sz w:val="24"/>
          <w:szCs w:val="24"/>
        </w:rPr>
        <w:fldChar w:fldCharType="end"/>
      </w:r>
      <w:r w:rsidR="00585105">
        <w:rPr>
          <w:sz w:val="24"/>
          <w:szCs w:val="24"/>
        </w:rPr>
        <w:t>Limited</w:t>
      </w:r>
      <w:r w:rsidR="001622BF">
        <w:rPr>
          <w:sz w:val="24"/>
          <w:szCs w:val="24"/>
        </w:rPr>
        <w:t xml:space="preserve"> internet connectivity and lack of knowledge and familiarity with such digital tools are also barriers that </w:t>
      </w:r>
      <w:r w:rsidR="00585105">
        <w:rPr>
          <w:sz w:val="24"/>
          <w:szCs w:val="24"/>
        </w:rPr>
        <w:t>prevent</w:t>
      </w:r>
      <w:r w:rsidR="001622BF">
        <w:rPr>
          <w:sz w:val="24"/>
          <w:szCs w:val="24"/>
        </w:rPr>
        <w:t xml:space="preserve"> equitable access to digital health interventions in rural areas. </w:t>
      </w:r>
    </w:p>
    <w:p w14:paraId="474057B3" w14:textId="77777777" w:rsidR="00E74B0A" w:rsidRDefault="00E74B0A" w:rsidP="00B8525E">
      <w:pPr>
        <w:pStyle w:val="Heading1"/>
      </w:pPr>
      <w:bookmarkStart w:id="3" w:name="_Toc1842266725"/>
      <w:r>
        <w:t>Impact on Patients and Service Users</w:t>
      </w:r>
      <w:bookmarkEnd w:id="3"/>
    </w:p>
    <w:p w14:paraId="0A715189" w14:textId="25C7E4F0" w:rsidR="00E74B0A" w:rsidRDefault="00585105" w:rsidP="003E2C8C">
      <w:pPr>
        <w:jc w:val="both"/>
        <w:rPr>
          <w:sz w:val="24"/>
          <w:szCs w:val="24"/>
        </w:rPr>
      </w:pPr>
      <w:r>
        <w:rPr>
          <w:sz w:val="24"/>
          <w:szCs w:val="24"/>
        </w:rPr>
        <w:t>The most</w:t>
      </w:r>
      <w:r w:rsidR="002D2A58">
        <w:rPr>
          <w:sz w:val="24"/>
          <w:szCs w:val="24"/>
        </w:rPr>
        <w:t xml:space="preserve"> profound impact of CGM lies in its transformation of patient experience and empo</w:t>
      </w:r>
      <w:r w:rsidR="004C66C0">
        <w:rPr>
          <w:sz w:val="24"/>
          <w:szCs w:val="24"/>
        </w:rPr>
        <w:t>werment. CGM provides</w:t>
      </w:r>
      <w:r w:rsidR="002D2A58">
        <w:rPr>
          <w:sz w:val="24"/>
          <w:szCs w:val="24"/>
        </w:rPr>
        <w:t xml:space="preserve"> real-time</w:t>
      </w:r>
      <w:r w:rsidR="004C66C0">
        <w:rPr>
          <w:sz w:val="24"/>
          <w:szCs w:val="24"/>
        </w:rPr>
        <w:t xml:space="preserve"> </w:t>
      </w:r>
      <w:r>
        <w:rPr>
          <w:sz w:val="24"/>
          <w:szCs w:val="24"/>
        </w:rPr>
        <w:t>user</w:t>
      </w:r>
      <w:r w:rsidR="002D2A58">
        <w:rPr>
          <w:sz w:val="24"/>
          <w:szCs w:val="24"/>
        </w:rPr>
        <w:t xml:space="preserve"> insights into their glucose fluctuations</w:t>
      </w:r>
      <w:r w:rsidR="00357510">
        <w:rPr>
          <w:sz w:val="24"/>
          <w:szCs w:val="24"/>
        </w:rPr>
        <w:t xml:space="preserve"> that foster greater self-awareness and engagement to manage their condition. </w:t>
      </w:r>
      <w:r w:rsidR="0038718D">
        <w:rPr>
          <w:sz w:val="24"/>
          <w:szCs w:val="24"/>
        </w:rPr>
        <w:t>Many users consistently experience enhanced confidence and reduced anxiety, thanks to continuous feedback that empowers them to effectively anticipate and prevent hypoglycaemia.</w:t>
      </w:r>
    </w:p>
    <w:p w14:paraId="3851B0A3" w14:textId="0A1B6C06" w:rsidR="00357510" w:rsidRDefault="00357510" w:rsidP="001640C5">
      <w:pPr>
        <w:jc w:val="both"/>
        <w:rPr>
          <w:sz w:val="24"/>
          <w:szCs w:val="24"/>
        </w:rPr>
      </w:pPr>
      <w:r>
        <w:rPr>
          <w:sz w:val="24"/>
          <w:szCs w:val="24"/>
        </w:rPr>
        <w:t xml:space="preserve">The </w:t>
      </w:r>
      <w:r w:rsidR="00585105">
        <w:rPr>
          <w:sz w:val="24"/>
          <w:szCs w:val="24"/>
        </w:rPr>
        <w:t>Freestyle</w:t>
      </w:r>
      <w:r>
        <w:rPr>
          <w:sz w:val="24"/>
          <w:szCs w:val="24"/>
        </w:rPr>
        <w:t xml:space="preserve"> Libre – a CGM device widely adopted in the UK since 2017, which has demonstrated significant benefits. </w:t>
      </w:r>
      <w:r w:rsidR="0046326C">
        <w:rPr>
          <w:sz w:val="24"/>
          <w:szCs w:val="24"/>
        </w:rPr>
        <w:t xml:space="preserve">According to </w:t>
      </w:r>
      <w:r w:rsidR="0046326C">
        <w:rPr>
          <w:sz w:val="24"/>
          <w:szCs w:val="24"/>
        </w:rPr>
        <w:fldChar w:fldCharType="begin"/>
      </w:r>
      <w:r w:rsidR="001E319E">
        <w:rPr>
          <w:sz w:val="24"/>
          <w:szCs w:val="24"/>
        </w:rPr>
        <w:instrText xml:space="preserve"> ADDIN ZOTERO_ITEM CSL_CITATION {"citationID":"LM2pLCOS","properties":{"formattedCitation":"(Blissett {\\i{}et al.}, 2022)","plainCitation":"(Blissett et al., 2022)","dontUpdate":true,"noteIndex":0},"citationItems":[{"id":4901,"uris":["http://zotero.org/users/14350932/items/F299LISN"],"itemData":{"id":4901,"type":"article-journal","abstract":"INTRODUCTION: This study aims to estimate the budget impact of increased uptake of the FreeStyle Libre Flash Glucose Monitoring system in people with type 1  diabetes mellitus (T1DM) in the UK. RESEARCH DESIGN AND METHODS: A budget impact  model was developed, applying real-world data collected in the Association of  British Clinical Diabetologists (ABCD) FreeStyle Libre Nationwide Audit. Costs of  diabetes glucose monitoring in a T1DM population (n=1790) using self-monitoring  of blood glucose (SMBG) or the FreeStyle Libre system were compared with a  scenario with increased use of the FreeStyle Libre system. RESULTS: The ABCD  audit demonstrates FreeStyle Libre system use reduces diabetes-related resource  utilization. The cost analysis found that higher acquisition costs are offset by  healthcare costs avoided (difference £168 per patient per year (PPPY)). Total  costs were £1116 PPPY with FreeStyle Libre system compared with £948 PPPY with  SMBG. In an average-sized UK local health economy, increasing FreeStyle Libre  system uptake from 30% to 50% increased costs by 3.4% (£1 787 345-£1 847 618) and  when increased to 70% increased by a further 3.3%. CONCLUSION: Increased uptake  of the FreeStyle Libre system in the T1DM population marginally increases the  cost to UK health economies and offers many system benefits.","container-title":"BMJ open diabetes research &amp; care","DOI":"10.1136/bmjdrc-2021-002580","ISSN":"2052-4897","issue":"2","journalAbbreviation":"BMJ Open Diabetes Res Care","language":"eng","license":"© Author(s) (or their employer(s)) 2022. Re-use permitted under CC BY-NC. No commercial re-use. See rights and permissions. Published by BMJ.","note":"publisher-place: England\nPMID: 35346970 \nPMCID: PMC8961112","title":"FreeStyle Libre Flash Glucose Monitoring system for people with type 1 diabetes in the UK: a budget impact analysis.","volume":"10","author":[{"family":"Blissett","given":"Robert"},{"family":"Blissett","given":"Deirdre"},{"family":"Levrat-Guillen","given":"Fleur"},{"family":"Deshmukh","given":"Harshal"},{"family":"Wilmot","given":"Emma G."},{"family":"Ryder","given":"Robert E. J."},{"family":"Walton","given":"Chris"},{"family":"Sathyapalan","given":"Thozhukat"}],"issued":{"date-parts":[["2022",3]]}}}],"schema":"https://github.com/citation-style-language/schema/raw/master/csl-citation.json"} </w:instrText>
      </w:r>
      <w:r w:rsidR="0046326C">
        <w:rPr>
          <w:sz w:val="24"/>
          <w:szCs w:val="24"/>
        </w:rPr>
        <w:fldChar w:fldCharType="separate"/>
      </w:r>
      <w:r w:rsidR="0046326C" w:rsidRPr="0046326C">
        <w:rPr>
          <w:rFonts w:ascii="Calibri" w:hAnsi="Calibri" w:cs="Calibri"/>
          <w:sz w:val="24"/>
          <w:szCs w:val="24"/>
        </w:rPr>
        <w:t xml:space="preserve">Blissett </w:t>
      </w:r>
      <w:r w:rsidR="0046326C" w:rsidRPr="0046326C">
        <w:rPr>
          <w:rFonts w:ascii="Calibri" w:hAnsi="Calibri" w:cs="Calibri"/>
          <w:i/>
          <w:iCs/>
          <w:sz w:val="24"/>
          <w:szCs w:val="24"/>
        </w:rPr>
        <w:t>et al.</w:t>
      </w:r>
      <w:r w:rsidR="0046326C">
        <w:rPr>
          <w:rFonts w:ascii="Calibri" w:hAnsi="Calibri" w:cs="Calibri"/>
          <w:sz w:val="24"/>
          <w:szCs w:val="24"/>
        </w:rPr>
        <w:t xml:space="preserve"> (</w:t>
      </w:r>
      <w:r w:rsidR="0046326C" w:rsidRPr="0046326C">
        <w:rPr>
          <w:rFonts w:ascii="Calibri" w:hAnsi="Calibri" w:cs="Calibri"/>
          <w:sz w:val="24"/>
          <w:szCs w:val="24"/>
        </w:rPr>
        <w:t>2022)</w:t>
      </w:r>
      <w:r w:rsidR="0046326C">
        <w:rPr>
          <w:sz w:val="24"/>
          <w:szCs w:val="24"/>
        </w:rPr>
        <w:fldChar w:fldCharType="end"/>
      </w:r>
      <w:r w:rsidR="0046326C">
        <w:rPr>
          <w:sz w:val="24"/>
          <w:szCs w:val="24"/>
        </w:rPr>
        <w:t xml:space="preserve">, widespread adoption of </w:t>
      </w:r>
      <w:r w:rsidR="00585105">
        <w:rPr>
          <w:sz w:val="24"/>
          <w:szCs w:val="24"/>
        </w:rPr>
        <w:t>the Freestyle</w:t>
      </w:r>
      <w:r w:rsidR="0046326C">
        <w:rPr>
          <w:sz w:val="24"/>
          <w:szCs w:val="24"/>
        </w:rPr>
        <w:t xml:space="preserve"> Libre system in T1DM populations has </w:t>
      </w:r>
      <w:r w:rsidR="00585105">
        <w:rPr>
          <w:sz w:val="24"/>
          <w:szCs w:val="24"/>
        </w:rPr>
        <w:t xml:space="preserve">a </w:t>
      </w:r>
      <w:r w:rsidR="0046326C">
        <w:rPr>
          <w:sz w:val="24"/>
          <w:szCs w:val="24"/>
        </w:rPr>
        <w:t xml:space="preserve">small budget impact as compared to the cost of glucose management. </w:t>
      </w:r>
      <w:r w:rsidR="001E319E">
        <w:rPr>
          <w:sz w:val="24"/>
          <w:szCs w:val="24"/>
        </w:rPr>
        <w:fldChar w:fldCharType="begin"/>
      </w:r>
      <w:r w:rsidR="008B0956">
        <w:rPr>
          <w:sz w:val="24"/>
          <w:szCs w:val="24"/>
        </w:rPr>
        <w:instrText xml:space="preserve"> ADDIN ZOTERO_ITEM CSL_CITATION {"citationID":"6LKLfMRZ","properties":{"formattedCitation":"(Evans, Welsh and Seibold, 2022)","plainCitation":"(Evans, Welsh and Seibold, 2022)","dontUpdate":true,"noteIndex":0},"citationItems":[{"id":4902,"uris":["http://zotero.org/users/14350932/items/Y8IG24QM"],"itemData":{"id":4902,"type":"article-journal","abstract":"INTRODUCTION: Real-world evidence (RWE) confirms that reductions in HbA1c for children and adults with type 1 diabetes (T1DM) and adults with type 2 diabetes  (T2DM) are associated with use of the FreeStyle Libre system. This current  meta-analysis aims to investigate whether HbA1c benefits are sustained over  24 months and to identify patterns of change in HbA1c for users of the FreeStyle  Libre system for people living with T1DM or T2DM. METHODS: A bibliographic search  up to December 2020 identified 75 studies reporting data on change in lab HbA1c  in 30,478 participants with type 1 (n = 28,063; 62 trials) or type 2 diabetes  (n = 2415; 13 trials) using the FreeStyle Libre system, including observations on  children, adolescents and adults. Meta-analysis was performed using a random  effects model. RESULTS: Reductions in HbA1c at 3-4 months were similar for adults  with T1DM (- 0.53%, 95% CI - 0.69 to - 0.38) or with T2DM (- 0.45%, 95% CI - 0.57  to - 0.33), continuing through 4.5-7.5 months in T1DM (- 0.42%, 95% CI - 0.58 to  - 0.27) and in T2DM (- 0.59%, 95% CI - 0.80 to - 0.39). Meta-regression analysis  shows that higher starting HbA1c is correlated with greater reductions in HbA1c  in T1DM and in T2DM. These patterns of change in HbA1c were sustained for  24 months in T1DM and for at least 12 months in T2DM. CONCLUSIONS: Meta-analysis  of RWE confirms that using the FreeStyle Libre system is associated with  significant reductions in HbA1c for adults with T1DM or with T2DM. Reductions are  greater for people with higher baseline HbA1c and are sustained for 24 and  12 months in T1DM and TD2M respectively.","container-title":"Diabetes therapy : research, treatment and education of diabetes and related disorders","DOI":"10.1007/s13300-022-01253-9","ISSN":"1869-6953 1869-6961","issue":"6","journalAbbreviation":"Diabetes Ther","language":"eng","license":"© 2022. The Author(s).","note":"publisher-place: United States\nPMID: 35476279 \nPMCID: PMC9174370","page":"1175-1185","title":"Reductions in HbA1c with Flash Glucose Monitoring Are Sustained for up to 24 Months: A Meta-Analysis of 75 Real-World Observational Studies.","volume":"13","author":[{"family":"Evans","given":"Mark"},{"family":"Welsh","given":"Zoë"},{"family":"Seibold","given":"Alexander"}],"issued":{"date-parts":[["2022",6]]}}}],"schema":"https://github.com/citation-style-language/schema/raw/master/csl-citation.json"} </w:instrText>
      </w:r>
      <w:r w:rsidR="001E319E">
        <w:rPr>
          <w:sz w:val="24"/>
          <w:szCs w:val="24"/>
        </w:rPr>
        <w:fldChar w:fldCharType="separate"/>
      </w:r>
      <w:r w:rsidR="001E319E">
        <w:rPr>
          <w:rFonts w:ascii="Calibri" w:hAnsi="Calibri" w:cs="Calibri"/>
          <w:sz w:val="24"/>
        </w:rPr>
        <w:t>Evans, Welsh and Seibold (</w:t>
      </w:r>
      <w:r w:rsidR="001E319E" w:rsidRPr="001E319E">
        <w:rPr>
          <w:rFonts w:ascii="Calibri" w:hAnsi="Calibri" w:cs="Calibri"/>
          <w:sz w:val="24"/>
        </w:rPr>
        <w:t>2022)</w:t>
      </w:r>
      <w:r w:rsidR="001E319E">
        <w:rPr>
          <w:sz w:val="24"/>
          <w:szCs w:val="24"/>
        </w:rPr>
        <w:fldChar w:fldCharType="end"/>
      </w:r>
      <w:r w:rsidR="001640C5">
        <w:rPr>
          <w:sz w:val="24"/>
          <w:szCs w:val="24"/>
        </w:rPr>
        <w:t xml:space="preserve"> and </w:t>
      </w:r>
      <w:r w:rsidR="001640C5">
        <w:rPr>
          <w:sz w:val="24"/>
          <w:szCs w:val="24"/>
        </w:rPr>
        <w:fldChar w:fldCharType="begin"/>
      </w:r>
      <w:r w:rsidR="008B0956">
        <w:rPr>
          <w:sz w:val="24"/>
          <w:szCs w:val="24"/>
        </w:rPr>
        <w:instrText xml:space="preserve"> ADDIN ZOTERO_ITEM CSL_CITATION {"citationID":"s7xwdBUW","properties":{"formattedCitation":"(NHS England, 2022)","plainCitation":"(NHS England, 2022)","dontUpdate":true,"noteIndex":0},"citationItems":[{"id":4903,"uris":["http://zotero.org/users/14350932/items/9PX8V8W2"],"itemData":{"id":4903,"type":"post-weblog","abstract":"NHS England » Annual report","language":"en-US","title":"NHS England » Annual report","URL":"https://www.england.nhs.uk/publications/annual-report/","author":[{"family":"NHS England","given":"."}],"accessed":{"date-parts":[["2025",10,24]]},"issued":{"date-parts":[["2022"]]}}}],"schema":"https://github.com/citation-style-language/schema/raw/master/csl-citation.json"} </w:instrText>
      </w:r>
      <w:r w:rsidR="001640C5">
        <w:rPr>
          <w:sz w:val="24"/>
          <w:szCs w:val="24"/>
        </w:rPr>
        <w:fldChar w:fldCharType="separate"/>
      </w:r>
      <w:r w:rsidR="001640C5">
        <w:rPr>
          <w:rFonts w:ascii="Calibri" w:hAnsi="Calibri" w:cs="Calibri"/>
          <w:sz w:val="24"/>
        </w:rPr>
        <w:t>NHS England (</w:t>
      </w:r>
      <w:r w:rsidR="001640C5" w:rsidRPr="001640C5">
        <w:rPr>
          <w:rFonts w:ascii="Calibri" w:hAnsi="Calibri" w:cs="Calibri"/>
          <w:sz w:val="24"/>
        </w:rPr>
        <w:t>2022)</w:t>
      </w:r>
      <w:r w:rsidR="001640C5">
        <w:rPr>
          <w:sz w:val="24"/>
          <w:szCs w:val="24"/>
        </w:rPr>
        <w:fldChar w:fldCharType="end"/>
      </w:r>
      <w:r w:rsidR="001E319E">
        <w:rPr>
          <w:sz w:val="24"/>
          <w:szCs w:val="24"/>
        </w:rPr>
        <w:t xml:space="preserve"> </w:t>
      </w:r>
      <w:r w:rsidR="00585105">
        <w:rPr>
          <w:sz w:val="24"/>
          <w:szCs w:val="24"/>
        </w:rPr>
        <w:t>Reported</w:t>
      </w:r>
      <w:r>
        <w:rPr>
          <w:sz w:val="24"/>
          <w:szCs w:val="24"/>
        </w:rPr>
        <w:t xml:space="preserve"> that Libre users experienced a reduction of average HbA1c levels by 0.4% and </w:t>
      </w:r>
      <w:r w:rsidR="00585105">
        <w:rPr>
          <w:sz w:val="24"/>
          <w:szCs w:val="24"/>
        </w:rPr>
        <w:t>an increase</w:t>
      </w:r>
      <w:r>
        <w:rPr>
          <w:sz w:val="24"/>
          <w:szCs w:val="24"/>
        </w:rPr>
        <w:t xml:space="preserve"> in time-in-range by 130 minutes per day. </w:t>
      </w:r>
      <w:r w:rsidR="00CC004F">
        <w:rPr>
          <w:sz w:val="24"/>
          <w:szCs w:val="24"/>
        </w:rPr>
        <w:t xml:space="preserve">Moreover, digital data sharing enables patients to collaborate more </w:t>
      </w:r>
      <w:r w:rsidR="00585105">
        <w:rPr>
          <w:sz w:val="24"/>
          <w:szCs w:val="24"/>
        </w:rPr>
        <w:t>actively</w:t>
      </w:r>
      <w:r w:rsidR="00CC004F">
        <w:rPr>
          <w:sz w:val="24"/>
          <w:szCs w:val="24"/>
        </w:rPr>
        <w:t xml:space="preserve"> with their healthcare teams</w:t>
      </w:r>
      <w:r w:rsidR="00585105">
        <w:rPr>
          <w:sz w:val="24"/>
          <w:szCs w:val="24"/>
        </w:rPr>
        <w:t>,</w:t>
      </w:r>
      <w:r w:rsidR="00CC004F">
        <w:rPr>
          <w:sz w:val="24"/>
          <w:szCs w:val="24"/>
        </w:rPr>
        <w:t xml:space="preserve"> </w:t>
      </w:r>
      <w:r w:rsidR="00585105">
        <w:rPr>
          <w:sz w:val="24"/>
          <w:szCs w:val="24"/>
        </w:rPr>
        <w:t>which</w:t>
      </w:r>
      <w:r w:rsidR="00CC004F">
        <w:rPr>
          <w:sz w:val="24"/>
          <w:szCs w:val="24"/>
        </w:rPr>
        <w:t xml:space="preserve"> is aligned with </w:t>
      </w:r>
      <w:r w:rsidR="00585105">
        <w:rPr>
          <w:sz w:val="24"/>
          <w:szCs w:val="24"/>
        </w:rPr>
        <w:t xml:space="preserve">the </w:t>
      </w:r>
      <w:r w:rsidR="00CC004F">
        <w:rPr>
          <w:sz w:val="24"/>
          <w:szCs w:val="24"/>
        </w:rPr>
        <w:t xml:space="preserve">NHS personalised care agenda. </w:t>
      </w:r>
    </w:p>
    <w:p w14:paraId="30F23C13" w14:textId="6E327263" w:rsidR="00512ED1" w:rsidRDefault="00095A44" w:rsidP="006A79A8">
      <w:pPr>
        <w:jc w:val="both"/>
        <w:rPr>
          <w:sz w:val="24"/>
          <w:szCs w:val="24"/>
        </w:rPr>
      </w:pPr>
      <w:r>
        <w:rPr>
          <w:sz w:val="24"/>
          <w:szCs w:val="24"/>
        </w:rPr>
        <w:t>However, different challenges exist in the form of digital literacy and affordability barriers</w:t>
      </w:r>
      <w:r w:rsidR="00585105">
        <w:rPr>
          <w:sz w:val="24"/>
          <w:szCs w:val="24"/>
        </w:rPr>
        <w:t>,</w:t>
      </w:r>
      <w:r>
        <w:rPr>
          <w:sz w:val="24"/>
          <w:szCs w:val="24"/>
        </w:rPr>
        <w:t xml:space="preserve"> which can exclude vulnerable groups</w:t>
      </w:r>
      <w:r w:rsidR="00585105">
        <w:rPr>
          <w:sz w:val="24"/>
          <w:szCs w:val="24"/>
        </w:rPr>
        <w:t>,</w:t>
      </w:r>
      <w:r>
        <w:rPr>
          <w:sz w:val="24"/>
          <w:szCs w:val="24"/>
        </w:rPr>
        <w:t xml:space="preserve"> including older adults or those </w:t>
      </w:r>
      <w:r w:rsidR="00585105">
        <w:rPr>
          <w:sz w:val="24"/>
          <w:szCs w:val="24"/>
        </w:rPr>
        <w:t>who</w:t>
      </w:r>
      <w:r>
        <w:rPr>
          <w:sz w:val="24"/>
          <w:szCs w:val="24"/>
        </w:rPr>
        <w:t xml:space="preserve"> are in lower socioeconomic areas. </w:t>
      </w:r>
      <w:r w:rsidR="006A79A8">
        <w:rPr>
          <w:sz w:val="24"/>
          <w:szCs w:val="24"/>
        </w:rPr>
        <w:t xml:space="preserve">According to </w:t>
      </w:r>
      <w:r w:rsidR="006A79A8">
        <w:rPr>
          <w:sz w:val="24"/>
          <w:szCs w:val="24"/>
        </w:rPr>
        <w:fldChar w:fldCharType="begin"/>
      </w:r>
      <w:r w:rsidR="008B0956">
        <w:rPr>
          <w:sz w:val="24"/>
          <w:szCs w:val="24"/>
        </w:rPr>
        <w:instrText xml:space="preserve"> ADDIN ZOTERO_ITEM CSL_CITATION {"citationID":"nANp4SLB","properties":{"formattedCitation":"(Natale {\\i{}et al.}, 2023)","plainCitation":"(Natale et al., 2023)","dontUpdate":true,"noteIndex":0},"citationItems":[{"id":4905,"uris":["http://zotero.org/users/14350932/items/RZID44VA"],"itemData":{"id":4905,"type":"article-journal","abstract":"AIMS: Blood glucose control is central to the management of diabetes, and continuous glucose monitoring (CGM) improves glycemic control. We aimed to  describe the perspectives of people with diabetes using CGM. MATERIALS AND  METHODS: We performed a systematic review of qualitative studies. RESULTS:  Fifty-four studies involving 1845 participants were included. Six themes were  identified: gaining control and convenience (reducing pain and time, safeguarding  against complications, achieving stricter glucose levels, and sharing  responsibility with family); motivating self-management (fostering ownership, and  increasing awareness of glycemic control); providing reassurance and freedom  (attaining peace of mind, and restoring social participation); developing  confidence (encouraged by the endorsement of others, gaining operational skills,  customizing settings for ease of use, and trust in the device); burdened with  device complexities (bewildered by unfamiliar technology, reluctant to rely on  algorithms, overwhelmed by data, frustrated with malfunctioning and inaccuracy,  distressed by alerts, and bulkiness of machines interfering with lifestyle); and  excluded by barriers to access (constrained by cost, lack of suppliers).  CONCLUSIONS: CGM can improve self-management and confidence in patients managing  diabetes. However, the technical issues, uncertainty in readings, and cost may  limit the uptake. Education and training from the health professionals may help  to reduce the practical and psychological burden for better patient outcomes.","container-title":"Journal of diabetes","DOI":"10.1111/1753-0407.13454","ISSN":"1753-0407 1753-0393","issue":"12","journalAbbreviation":"J Diabetes","language":"eng","license":"© 2023 The Authors. Journal of Diabetes published by Ruijin Hospital, Shanghai Jiaotong University School of Medicine and John Wiley &amp; Sons Australia, Ltd.","note":"publisher-place: Australia\nPMID: 37551735 \nPMCID: PMC10755613","page":"1048-1069","title":"Patient experiences of continuous glucose monitoring and sensor-augmented insulin pump therapy for diabetes: A systematic review of qualitative studies.","volume":"15","author":[{"family":"Natale","given":"Patrizia"},{"family":"Chen","given":"Sharon"},{"family":"Chow","given":"Clara K."},{"family":"Cheung","given":"Ngai Wah"},{"family":"Martinez-Martin","given":"David"},{"family":"Caillaud","given":"Corinne"},{"family":"Scholes-Robertson","given":"Nicole"},{"family":"Kelly","given":"Ayano"},{"family":"Craig","given":"Jonathan C."},{"family":"Strippoli","given":"Giovanni"},{"family":"Jaure","given":"Allison"}],"issued":{"date-parts":[["2023",12]]}}}],"schema":"https://github.com/citation-style-language/schema/raw/master/csl-citation.json"} </w:instrText>
      </w:r>
      <w:r w:rsidR="006A79A8">
        <w:rPr>
          <w:sz w:val="24"/>
          <w:szCs w:val="24"/>
        </w:rPr>
        <w:fldChar w:fldCharType="separate"/>
      </w:r>
      <w:r w:rsidR="006A79A8" w:rsidRPr="006A79A8">
        <w:rPr>
          <w:rFonts w:ascii="Calibri" w:hAnsi="Calibri" w:cs="Calibri"/>
          <w:sz w:val="24"/>
          <w:szCs w:val="24"/>
        </w:rPr>
        <w:t xml:space="preserve">Natale </w:t>
      </w:r>
      <w:r w:rsidR="006A79A8" w:rsidRPr="006A79A8">
        <w:rPr>
          <w:rFonts w:ascii="Calibri" w:hAnsi="Calibri" w:cs="Calibri"/>
          <w:i/>
          <w:iCs/>
          <w:sz w:val="24"/>
          <w:szCs w:val="24"/>
        </w:rPr>
        <w:t>et al.</w:t>
      </w:r>
      <w:r w:rsidR="006A79A8">
        <w:rPr>
          <w:rFonts w:ascii="Calibri" w:hAnsi="Calibri" w:cs="Calibri"/>
          <w:sz w:val="24"/>
          <w:szCs w:val="24"/>
        </w:rPr>
        <w:t xml:space="preserve"> (</w:t>
      </w:r>
      <w:r w:rsidR="006A79A8" w:rsidRPr="006A79A8">
        <w:rPr>
          <w:rFonts w:ascii="Calibri" w:hAnsi="Calibri" w:cs="Calibri"/>
          <w:sz w:val="24"/>
          <w:szCs w:val="24"/>
        </w:rPr>
        <w:t>2023)</w:t>
      </w:r>
      <w:r w:rsidR="006A79A8">
        <w:rPr>
          <w:sz w:val="24"/>
          <w:szCs w:val="24"/>
        </w:rPr>
        <w:fldChar w:fldCharType="end"/>
      </w:r>
      <w:r w:rsidR="006A79A8">
        <w:rPr>
          <w:sz w:val="24"/>
          <w:szCs w:val="24"/>
        </w:rPr>
        <w:t xml:space="preserve">, technical issues, uncertainty in readings, and cost also put </w:t>
      </w:r>
      <w:r w:rsidR="00585105">
        <w:rPr>
          <w:sz w:val="24"/>
          <w:szCs w:val="24"/>
        </w:rPr>
        <w:t xml:space="preserve">a </w:t>
      </w:r>
      <w:r w:rsidR="006A79A8">
        <w:rPr>
          <w:sz w:val="24"/>
          <w:szCs w:val="24"/>
        </w:rPr>
        <w:t>burden. Whereas s</w:t>
      </w:r>
      <w:r>
        <w:rPr>
          <w:sz w:val="24"/>
          <w:szCs w:val="24"/>
        </w:rPr>
        <w:t xml:space="preserve">ome patients experience data anxiety </w:t>
      </w:r>
      <w:r w:rsidR="00585105">
        <w:rPr>
          <w:sz w:val="24"/>
          <w:szCs w:val="24"/>
        </w:rPr>
        <w:t>and</w:t>
      </w:r>
      <w:r>
        <w:rPr>
          <w:sz w:val="24"/>
          <w:szCs w:val="24"/>
        </w:rPr>
        <w:t xml:space="preserve"> feel overwhelmed by constant monitoring or guilty about readings outside target ranges. Privacy concerns also arise regarding data sharing with third-party software and manufacturers. </w:t>
      </w:r>
    </w:p>
    <w:p w14:paraId="57F77D18" w14:textId="319794AF" w:rsidR="00095A44" w:rsidRDefault="00095A44" w:rsidP="006A79A8">
      <w:pPr>
        <w:jc w:val="both"/>
        <w:rPr>
          <w:sz w:val="24"/>
          <w:szCs w:val="24"/>
        </w:rPr>
      </w:pPr>
      <w:r>
        <w:rPr>
          <w:sz w:val="24"/>
          <w:szCs w:val="24"/>
        </w:rPr>
        <w:t xml:space="preserve">Hence, when adequate support </w:t>
      </w:r>
      <w:r w:rsidR="00585105">
        <w:rPr>
          <w:sz w:val="24"/>
          <w:szCs w:val="24"/>
        </w:rPr>
        <w:t xml:space="preserve">is </w:t>
      </w:r>
      <w:r>
        <w:rPr>
          <w:sz w:val="24"/>
          <w:szCs w:val="24"/>
        </w:rPr>
        <w:t xml:space="preserve">available, CGM enhances self-management, adherence, and psychological well-being </w:t>
      </w:r>
      <w:r w:rsidR="00585105">
        <w:rPr>
          <w:sz w:val="24"/>
          <w:szCs w:val="24"/>
        </w:rPr>
        <w:t>through</w:t>
      </w:r>
      <w:r>
        <w:rPr>
          <w:sz w:val="24"/>
          <w:szCs w:val="24"/>
        </w:rPr>
        <w:t xml:space="preserve"> the integration of structured education programmes such as DESMOND and DAFNE. </w:t>
      </w:r>
      <w:r w:rsidR="006A79A8">
        <w:rPr>
          <w:sz w:val="24"/>
          <w:szCs w:val="24"/>
        </w:rPr>
        <w:t xml:space="preserve">According to </w:t>
      </w:r>
      <w:r w:rsidR="006A79A8">
        <w:rPr>
          <w:sz w:val="24"/>
          <w:szCs w:val="24"/>
        </w:rPr>
        <w:fldChar w:fldCharType="begin"/>
      </w:r>
      <w:r w:rsidR="008B0956">
        <w:rPr>
          <w:sz w:val="24"/>
          <w:szCs w:val="24"/>
        </w:rPr>
        <w:instrText xml:space="preserve"> ADDIN ZOTERO_ITEM CSL_CITATION {"citationID":"2aI3uslj","properties":{"formattedCitation":"(Speight {\\i{}et al.}, 2010)","plainCitation":"(Speight et al., 2010)","dontUpdate":true,"noteIndex":0},"citationItems":[{"id":4906,"uris":["http://zotero.org/users/14350932/items/9QNVQFKZ"],"itemData":{"id":4906,"type":"article-journal","abstract":"Aims\nTo explore long-term outcomes of participation in a Dose Adjustment For Normal Eating (DAFNE) training course, which provided one-off exposure to structured education in intensive insulin therapy to people with established Type 1 diabetes.\nMethods\nA cohort design follow-up of original trial participants at a mean of 44 months (range: 37–51 months) in hospital diabetes clinics in three English health districts. 104 (74%) original participants provided biomedical data; 88 (63%) completed questionnaires including the ADDQoL, measuring impact of diabetes on quality of life (QoL).\nResults\nAt 44 months, mean improvement in HbA1c from baseline was 0.36% (9.32±1.1% to 8.96±1.2%, p&lt;0.01) remaining significant but deteriorated from 12 months (p&lt;0.05). Improvements in QoL seen at 12 months were sustained at 44 (e.g. impact of diabetes on dietary freedom: −1.78±2.33 at 44 months versus −4.27±2.94, baseline, p&lt;0.0001; versus 1.80±2.32 at 12 months, ns). Similar results were obtained using last observation carried forward for patients not supplying follow-up data.\nConclusions\nThe impact of a single DAFNE course on glycaemic control remains apparent in the long term, although further interventions will be required to achieve recommended HbA1c. In contrast, improvements in QoL and other patient-reported outcomes are well maintained over approximately 4 years.","container-title":"Diabetes Research and Clinical Practice","DOI":"10.1016/j.diabres.2010.03.017","ISSN":"0168-8227","issue":"1","journalAbbreviation":"Diabetes Research and Clinical Practice","page":"22-29","title":"Long-term biomedical and psychosocial outcomes following DAFNE (Dose Adjustment For Normal Eating) structured education to promote intensive insulin therapy in adults with sub-optimally controlled Type 1 diabetes","volume":"89","author":[{"family":"Speight","given":"J."},{"family":"Amiel","given":"S.A."},{"family":"Bradley","given":"C."},{"family":"Heller","given":"S."},{"family":"Oliver","given":"L."},{"family":"Roberts","given":"S."},{"family":"Rogers","given":"H."},{"family":"Taylor","given":"C."},{"family":"Thompson","given":"G."}],"issued":{"date-parts":[["2010",7,1]]}}}],"schema":"https://github.com/citation-style-language/schema/raw/master/csl-citation.json"} </w:instrText>
      </w:r>
      <w:r w:rsidR="006A79A8">
        <w:rPr>
          <w:sz w:val="24"/>
          <w:szCs w:val="24"/>
        </w:rPr>
        <w:fldChar w:fldCharType="separate"/>
      </w:r>
      <w:r w:rsidR="006A79A8" w:rsidRPr="006A79A8">
        <w:rPr>
          <w:rFonts w:ascii="Calibri" w:hAnsi="Calibri" w:cs="Calibri"/>
          <w:sz w:val="24"/>
          <w:szCs w:val="24"/>
        </w:rPr>
        <w:t xml:space="preserve">Speight </w:t>
      </w:r>
      <w:r w:rsidR="006A79A8" w:rsidRPr="006A79A8">
        <w:rPr>
          <w:rFonts w:ascii="Calibri" w:hAnsi="Calibri" w:cs="Calibri"/>
          <w:i/>
          <w:iCs/>
          <w:sz w:val="24"/>
          <w:szCs w:val="24"/>
        </w:rPr>
        <w:t>et al.</w:t>
      </w:r>
      <w:r w:rsidR="006A79A8">
        <w:rPr>
          <w:rFonts w:ascii="Calibri" w:hAnsi="Calibri" w:cs="Calibri"/>
          <w:sz w:val="24"/>
          <w:szCs w:val="24"/>
        </w:rPr>
        <w:t xml:space="preserve"> (</w:t>
      </w:r>
      <w:r w:rsidR="006A79A8" w:rsidRPr="006A79A8">
        <w:rPr>
          <w:rFonts w:ascii="Calibri" w:hAnsi="Calibri" w:cs="Calibri"/>
          <w:sz w:val="24"/>
          <w:szCs w:val="24"/>
        </w:rPr>
        <w:t>2010)</w:t>
      </w:r>
      <w:r w:rsidR="006A79A8">
        <w:rPr>
          <w:sz w:val="24"/>
          <w:szCs w:val="24"/>
        </w:rPr>
        <w:fldChar w:fldCharType="end"/>
      </w:r>
      <w:r w:rsidR="006A79A8">
        <w:rPr>
          <w:sz w:val="24"/>
          <w:szCs w:val="24"/>
        </w:rPr>
        <w:t xml:space="preserve">, impact of </w:t>
      </w:r>
      <w:r w:rsidR="00585105">
        <w:rPr>
          <w:sz w:val="24"/>
          <w:szCs w:val="24"/>
        </w:rPr>
        <w:t xml:space="preserve">a </w:t>
      </w:r>
      <w:r w:rsidR="006A79A8">
        <w:rPr>
          <w:sz w:val="24"/>
          <w:szCs w:val="24"/>
        </w:rPr>
        <w:t xml:space="preserve">single DAFNE course on glycaemic control </w:t>
      </w:r>
      <w:r w:rsidR="00585105">
        <w:rPr>
          <w:sz w:val="24"/>
          <w:szCs w:val="24"/>
        </w:rPr>
        <w:t xml:space="preserve">is </w:t>
      </w:r>
      <w:r w:rsidR="006A79A8">
        <w:rPr>
          <w:sz w:val="24"/>
          <w:szCs w:val="24"/>
        </w:rPr>
        <w:t xml:space="preserve">apparent in </w:t>
      </w:r>
      <w:r w:rsidR="00585105">
        <w:rPr>
          <w:sz w:val="24"/>
          <w:szCs w:val="24"/>
        </w:rPr>
        <w:t xml:space="preserve">the </w:t>
      </w:r>
      <w:r w:rsidR="006A79A8">
        <w:rPr>
          <w:sz w:val="24"/>
          <w:szCs w:val="24"/>
        </w:rPr>
        <w:t>long term. Such</w:t>
      </w:r>
      <w:r>
        <w:rPr>
          <w:sz w:val="24"/>
          <w:szCs w:val="24"/>
        </w:rPr>
        <w:t xml:space="preserve"> technology exemplifies co-production in care, where patients act as informed partners rather than passive recipients. </w:t>
      </w:r>
    </w:p>
    <w:p w14:paraId="4C86D38A" w14:textId="559AB977" w:rsidR="00095A44" w:rsidRDefault="00095A44" w:rsidP="003E2C8C">
      <w:pPr>
        <w:jc w:val="both"/>
        <w:rPr>
          <w:sz w:val="24"/>
          <w:szCs w:val="24"/>
        </w:rPr>
      </w:pPr>
      <w:r>
        <w:rPr>
          <w:sz w:val="24"/>
          <w:szCs w:val="24"/>
        </w:rPr>
        <w:t>In conclusion, CGMs improve clinical outcomes and patient autonomy</w:t>
      </w:r>
      <w:r w:rsidR="00585105">
        <w:rPr>
          <w:sz w:val="24"/>
          <w:szCs w:val="24"/>
        </w:rPr>
        <w:t>,</w:t>
      </w:r>
      <w:r>
        <w:rPr>
          <w:sz w:val="24"/>
          <w:szCs w:val="24"/>
        </w:rPr>
        <w:t xml:space="preserve"> but </w:t>
      </w:r>
      <w:r w:rsidR="00585105">
        <w:rPr>
          <w:sz w:val="24"/>
          <w:szCs w:val="24"/>
        </w:rPr>
        <w:t>they</w:t>
      </w:r>
      <w:r>
        <w:rPr>
          <w:sz w:val="24"/>
          <w:szCs w:val="24"/>
        </w:rPr>
        <w:t xml:space="preserve"> </w:t>
      </w:r>
      <w:r w:rsidR="00585105">
        <w:rPr>
          <w:sz w:val="24"/>
          <w:szCs w:val="24"/>
        </w:rPr>
        <w:t>require</w:t>
      </w:r>
      <w:r>
        <w:rPr>
          <w:sz w:val="24"/>
          <w:szCs w:val="24"/>
        </w:rPr>
        <w:t xml:space="preserve"> parallel investment in digital inclusion strategies to ensure equitable benefit distribution across populations.</w:t>
      </w:r>
    </w:p>
    <w:p w14:paraId="6B6E3C75" w14:textId="77777777" w:rsidR="008D7F66" w:rsidRDefault="008D7F66" w:rsidP="001565B8">
      <w:pPr>
        <w:pStyle w:val="Heading1"/>
      </w:pPr>
      <w:bookmarkStart w:id="4" w:name="_Toc502343994"/>
      <w:r>
        <w:t>Impact on the Community</w:t>
      </w:r>
      <w:bookmarkEnd w:id="4"/>
    </w:p>
    <w:p w14:paraId="7F1240D9" w14:textId="122AA8A6" w:rsidR="0090186D" w:rsidRDefault="001565B8" w:rsidP="003E2C8C">
      <w:pPr>
        <w:jc w:val="both"/>
        <w:rPr>
          <w:sz w:val="24"/>
          <w:szCs w:val="24"/>
        </w:rPr>
      </w:pPr>
      <w:r>
        <w:rPr>
          <w:sz w:val="24"/>
          <w:szCs w:val="24"/>
        </w:rPr>
        <w:t xml:space="preserve">Continuous Glucose Monitoring (CGM) </w:t>
      </w:r>
      <w:r w:rsidR="00585105">
        <w:rPr>
          <w:sz w:val="24"/>
          <w:szCs w:val="24"/>
        </w:rPr>
        <w:t>transforms</w:t>
      </w:r>
      <w:r>
        <w:rPr>
          <w:sz w:val="24"/>
          <w:szCs w:val="24"/>
        </w:rPr>
        <w:t xml:space="preserve"> individual diabetes management and produces wider ripple effects across families, carers, and communities. Its implementation within </w:t>
      </w:r>
      <w:r w:rsidR="00585105">
        <w:rPr>
          <w:sz w:val="24"/>
          <w:szCs w:val="24"/>
        </w:rPr>
        <w:t xml:space="preserve">the </w:t>
      </w:r>
      <w:r>
        <w:rPr>
          <w:sz w:val="24"/>
          <w:szCs w:val="24"/>
        </w:rPr>
        <w:t xml:space="preserve">UK health and social care landscape demonstrates digital innovation beyond </w:t>
      </w:r>
      <w:r w:rsidR="00585105">
        <w:rPr>
          <w:sz w:val="24"/>
          <w:szCs w:val="24"/>
        </w:rPr>
        <w:t xml:space="preserve">the </w:t>
      </w:r>
      <w:r>
        <w:rPr>
          <w:sz w:val="24"/>
          <w:szCs w:val="24"/>
        </w:rPr>
        <w:t xml:space="preserve">clinic that </w:t>
      </w:r>
      <w:r w:rsidR="00585105">
        <w:rPr>
          <w:sz w:val="24"/>
          <w:szCs w:val="24"/>
        </w:rPr>
        <w:t>influences</w:t>
      </w:r>
      <w:r>
        <w:rPr>
          <w:sz w:val="24"/>
          <w:szCs w:val="24"/>
        </w:rPr>
        <w:t xml:space="preserve"> public-health outcomes, social inclusion, and patterns of community wellbeing. </w:t>
      </w:r>
    </w:p>
    <w:p w14:paraId="7A4EB7D8" w14:textId="669859BA" w:rsidR="008D7F66" w:rsidRDefault="0090186D" w:rsidP="00D4057C">
      <w:pPr>
        <w:jc w:val="both"/>
        <w:rPr>
          <w:sz w:val="24"/>
          <w:szCs w:val="24"/>
        </w:rPr>
      </w:pPr>
      <w:r>
        <w:rPr>
          <w:sz w:val="24"/>
          <w:szCs w:val="24"/>
        </w:rPr>
        <w:t>Rural and deprived areas often face limited endocrinology services, transport barriers and staff shortages</w:t>
      </w:r>
      <w:r w:rsidR="00585105">
        <w:rPr>
          <w:sz w:val="24"/>
          <w:szCs w:val="24"/>
        </w:rPr>
        <w:t>.</w:t>
      </w:r>
      <w:r w:rsidR="00D4057C">
        <w:rPr>
          <w:sz w:val="24"/>
          <w:szCs w:val="24"/>
        </w:rPr>
        <w:t xml:space="preserve"> </w:t>
      </w:r>
      <w:r w:rsidR="00D4057C">
        <w:rPr>
          <w:sz w:val="24"/>
          <w:szCs w:val="24"/>
        </w:rPr>
        <w:fldChar w:fldCharType="begin"/>
      </w:r>
      <w:r w:rsidR="00D4057C">
        <w:rPr>
          <w:sz w:val="24"/>
          <w:szCs w:val="24"/>
        </w:rPr>
        <w:instrText xml:space="preserve"> ADDIN ZOTERO_ITEM CSL_CITATION {"citationID":"5L9GiMv3","properties":{"formattedCitation":"(Tilden {\\i{}et al.}, 2024)","plainCitation":"(Tilden et al., 2024)","noteIndex":0},"citationItems":[{"id":4908,"uris":["http://zotero.org/users/14350932/items/YSVNNNSZ"],"itemData":{"id":4908,"type":"article-journal","abstract":"OBJECTIVE: Despite evidence that continuous glucose monitoring (CGM) use is associated with lower HbA1c among children with type 1 diabetes, uptake of this  technology remains lower among those with difficulty accessing health care,  including those from lower socioeconomic status backgrounds and racial and ethnic  minorities. In this study, we sought to explore the impact of rural location in  use of CGM technology to guide patient and provider decision making. RESEARCH  DESIGN AND METHODS: In this retrospective study of electronic health record  demographic and visits data from a single diabetes program from 1 January 2018  through 31 December 2021, we compared the odds of completing a visit with (+) and  without (-) CGM interpretation between rural-urban commuting area (RUCA)  designations. RESULTS: Among the 13,645 visits completed by 2,008 patients with  type 1 diabetes younger than age 18 years, we found children living in small  rural towns had 31% lower odds (6.3% of CGM+ visits, 8.6% of CGM- visits;  adjusted odds ratio [aOR] 0.69, 95% CI 0.51-0.94) and those living in isolated  rural towns had 49% lower odds (2.0% of CGM+ visits, 3.4% of CGM- visits; aOR  0.51, 95% CI 0.28-0.92) of completing a CGM-billed clinic visit compared with  those living in urban areas (70.0% of CGM+ visits, 67.2% of CGM- visits). We also  found significant differences in CGM-billed visits by neighborhood deprivation as  well as race/ethnicity and insurance payor. CONCLUSIONS: Geographic location  presents a meaningful barrier to access to care for patients living with type 1  diabetes. Further work is needed to identify and address the needs of children  and families living in rural areas to improve the care of these patients.","container-title":"Diabetes care","DOI":"10.2337/dc23-1564","ISSN":"1935-5548 0149-5992","issue":"3","journalAbbreviation":"Diabetes Care","language":"eng","license":"© 2024 by the American Diabetes Association.","note":"publisher-place: United States\nPMID: 37906202 \nPMCID: PMC10909681","page":"346-352","title":"Disparities in Continuous Glucose Monitor Use Between Children With Type 1 Diabetes Living in Urban and Rural Areas.","volume":"47","author":[{"family":"Tilden","given":"Daniel R."},{"family":"French","given":"Benjamin"},{"family":"Datye","given":"Karishma A."},{"family":"Jaser","given":"Sarah S."}],"issued":{"date-parts":[["2024",3,1]]}}}],"schema":"https://github.com/citation-style-language/schema/raw/master/csl-citation.json"} </w:instrText>
      </w:r>
      <w:r w:rsidR="00D4057C">
        <w:rPr>
          <w:sz w:val="24"/>
          <w:szCs w:val="24"/>
        </w:rPr>
        <w:fldChar w:fldCharType="separate"/>
      </w:r>
      <w:r w:rsidR="00D4057C" w:rsidRPr="00D4057C">
        <w:rPr>
          <w:rFonts w:ascii="Calibri" w:hAnsi="Calibri" w:cs="Calibri"/>
          <w:sz w:val="24"/>
          <w:szCs w:val="24"/>
        </w:rPr>
        <w:t xml:space="preserve">(Tilden </w:t>
      </w:r>
      <w:r w:rsidR="00D4057C" w:rsidRPr="00D4057C">
        <w:rPr>
          <w:rFonts w:ascii="Calibri" w:hAnsi="Calibri" w:cs="Calibri"/>
          <w:i/>
          <w:iCs/>
          <w:sz w:val="24"/>
          <w:szCs w:val="24"/>
        </w:rPr>
        <w:t>et al.</w:t>
      </w:r>
      <w:r w:rsidR="00D4057C" w:rsidRPr="00D4057C">
        <w:rPr>
          <w:rFonts w:ascii="Calibri" w:hAnsi="Calibri" w:cs="Calibri"/>
          <w:sz w:val="24"/>
          <w:szCs w:val="24"/>
        </w:rPr>
        <w:t>, 2024)</w:t>
      </w:r>
      <w:r w:rsidR="00D4057C">
        <w:rPr>
          <w:sz w:val="24"/>
          <w:szCs w:val="24"/>
        </w:rPr>
        <w:fldChar w:fldCharType="end"/>
      </w:r>
      <w:r>
        <w:rPr>
          <w:sz w:val="24"/>
          <w:szCs w:val="24"/>
        </w:rPr>
        <w:t>. CGM</w:t>
      </w:r>
      <w:r w:rsidR="001565B8">
        <w:rPr>
          <w:sz w:val="24"/>
          <w:szCs w:val="24"/>
        </w:rPr>
        <w:t xml:space="preserve"> </w:t>
      </w:r>
      <w:r>
        <w:rPr>
          <w:sz w:val="24"/>
          <w:szCs w:val="24"/>
        </w:rPr>
        <w:t xml:space="preserve">technology, </w:t>
      </w:r>
      <w:r w:rsidR="00585105">
        <w:rPr>
          <w:sz w:val="24"/>
          <w:szCs w:val="24"/>
        </w:rPr>
        <w:t>integrated</w:t>
      </w:r>
      <w:r>
        <w:rPr>
          <w:sz w:val="24"/>
          <w:szCs w:val="24"/>
        </w:rPr>
        <w:t xml:space="preserve"> in </w:t>
      </w:r>
      <w:r w:rsidR="00585105">
        <w:rPr>
          <w:sz w:val="24"/>
          <w:szCs w:val="24"/>
        </w:rPr>
        <w:t xml:space="preserve">a </w:t>
      </w:r>
      <w:r>
        <w:rPr>
          <w:sz w:val="24"/>
          <w:szCs w:val="24"/>
        </w:rPr>
        <w:t xml:space="preserve">telehealth platform, helps to mitigate gaps that enable remote glucose monitoring and virtual consultations. This </w:t>
      </w:r>
      <w:r w:rsidR="00585105">
        <w:rPr>
          <w:sz w:val="24"/>
          <w:szCs w:val="24"/>
        </w:rPr>
        <w:t>aligns</w:t>
      </w:r>
      <w:r>
        <w:rPr>
          <w:sz w:val="24"/>
          <w:szCs w:val="24"/>
        </w:rPr>
        <w:t xml:space="preserve"> </w:t>
      </w:r>
      <w:r w:rsidR="00585105">
        <w:rPr>
          <w:sz w:val="24"/>
          <w:szCs w:val="24"/>
        </w:rPr>
        <w:t>with</w:t>
      </w:r>
      <w:r>
        <w:rPr>
          <w:sz w:val="24"/>
          <w:szCs w:val="24"/>
        </w:rPr>
        <w:t xml:space="preserve"> </w:t>
      </w:r>
      <w:r w:rsidR="00585105">
        <w:rPr>
          <w:sz w:val="24"/>
          <w:szCs w:val="24"/>
        </w:rPr>
        <w:t xml:space="preserve">the </w:t>
      </w:r>
      <w:r>
        <w:rPr>
          <w:sz w:val="24"/>
          <w:szCs w:val="24"/>
        </w:rPr>
        <w:t xml:space="preserve">UK </w:t>
      </w:r>
      <w:r w:rsidR="00585105">
        <w:rPr>
          <w:sz w:val="24"/>
          <w:szCs w:val="24"/>
        </w:rPr>
        <w:t>Government's</w:t>
      </w:r>
      <w:r>
        <w:rPr>
          <w:sz w:val="24"/>
          <w:szCs w:val="24"/>
        </w:rPr>
        <w:t xml:space="preserve"> digital-transformation agenda to “digitise, connect and transform” services and ensure that citizens, regardless of location, can access equitable care</w:t>
      </w:r>
      <w:r w:rsidR="00585105">
        <w:rPr>
          <w:sz w:val="24"/>
          <w:szCs w:val="24"/>
        </w:rPr>
        <w:t>.</w:t>
      </w:r>
      <w:r w:rsidR="00D4057C">
        <w:rPr>
          <w:sz w:val="24"/>
          <w:szCs w:val="24"/>
        </w:rPr>
        <w:t xml:space="preserve"> </w:t>
      </w:r>
      <w:r w:rsidR="00D4057C">
        <w:rPr>
          <w:sz w:val="24"/>
          <w:szCs w:val="24"/>
        </w:rPr>
        <w:fldChar w:fldCharType="begin"/>
      </w:r>
      <w:r w:rsidR="00D4057C">
        <w:rPr>
          <w:sz w:val="24"/>
          <w:szCs w:val="24"/>
        </w:rPr>
        <w:instrText xml:space="preserve"> ADDIN ZOTERO_ITEM CSL_CITATION {"citationID":"scWOvHHd","properties":{"formattedCitation":"({\\i{}Digitise, connect, transform}, no date)","plainCitation":"(Digitise, connect, transform, no date)","noteIndex":0},"citationItems":[{"id":4909,"uris":["http://zotero.org/users/14350932/items/FVK9DED4"],"itemData":{"id":4909,"type":"webpage","abstract":"Guidelines for digitised healthcare","container-title":"NHS Transformation Directorate","language":"en","title":"Digitise, connect, transform","URL":"https://transform.england.nhs.uk/digitise-connect-transform/","accessed":{"date-parts":[["2025",10,24]]}}}],"schema":"https://github.com/citation-style-language/schema/raw/master/csl-citation.json"} </w:instrText>
      </w:r>
      <w:r w:rsidR="00D4057C">
        <w:rPr>
          <w:sz w:val="24"/>
          <w:szCs w:val="24"/>
        </w:rPr>
        <w:fldChar w:fldCharType="separate"/>
      </w:r>
      <w:r w:rsidR="00D4057C" w:rsidRPr="00D4057C">
        <w:rPr>
          <w:rFonts w:ascii="Calibri" w:hAnsi="Calibri" w:cs="Calibri"/>
          <w:sz w:val="24"/>
          <w:szCs w:val="24"/>
        </w:rPr>
        <w:t>(</w:t>
      </w:r>
      <w:r w:rsidR="00D4057C" w:rsidRPr="00D4057C">
        <w:rPr>
          <w:rFonts w:ascii="Calibri" w:hAnsi="Calibri" w:cs="Calibri"/>
          <w:i/>
          <w:iCs/>
          <w:sz w:val="24"/>
          <w:szCs w:val="24"/>
        </w:rPr>
        <w:t>Digitise, connect, transform</w:t>
      </w:r>
      <w:r w:rsidR="00D4057C" w:rsidRPr="00D4057C">
        <w:rPr>
          <w:rFonts w:ascii="Calibri" w:hAnsi="Calibri" w:cs="Calibri"/>
          <w:sz w:val="24"/>
          <w:szCs w:val="24"/>
        </w:rPr>
        <w:t>, no date)</w:t>
      </w:r>
      <w:r w:rsidR="00D4057C">
        <w:rPr>
          <w:sz w:val="24"/>
          <w:szCs w:val="24"/>
        </w:rPr>
        <w:fldChar w:fldCharType="end"/>
      </w:r>
      <w:r>
        <w:rPr>
          <w:sz w:val="24"/>
          <w:szCs w:val="24"/>
        </w:rPr>
        <w:t>. Hence, digital infrastructure limitation includes poor broadband coverage and lower digital literacy</w:t>
      </w:r>
      <w:r w:rsidR="00585105">
        <w:rPr>
          <w:sz w:val="24"/>
          <w:szCs w:val="24"/>
        </w:rPr>
        <w:t>,</w:t>
      </w:r>
      <w:r>
        <w:rPr>
          <w:sz w:val="24"/>
          <w:szCs w:val="24"/>
        </w:rPr>
        <w:t xml:space="preserve"> </w:t>
      </w:r>
      <w:r w:rsidR="00585105">
        <w:rPr>
          <w:sz w:val="24"/>
          <w:szCs w:val="24"/>
        </w:rPr>
        <w:t>which</w:t>
      </w:r>
      <w:r>
        <w:rPr>
          <w:sz w:val="24"/>
          <w:szCs w:val="24"/>
        </w:rPr>
        <w:t xml:space="preserve"> remain significant barriers to CGM adoption in rural communities</w:t>
      </w:r>
      <w:r w:rsidR="00585105">
        <w:rPr>
          <w:sz w:val="24"/>
          <w:szCs w:val="24"/>
        </w:rPr>
        <w:t>.</w:t>
      </w:r>
      <w:r w:rsidR="00D4057C">
        <w:rPr>
          <w:sz w:val="24"/>
          <w:szCs w:val="24"/>
        </w:rPr>
        <w:t xml:space="preserve"> </w:t>
      </w:r>
      <w:r w:rsidR="00D4057C">
        <w:rPr>
          <w:sz w:val="24"/>
          <w:szCs w:val="24"/>
        </w:rPr>
        <w:fldChar w:fldCharType="begin"/>
      </w:r>
      <w:r w:rsidR="00D4057C">
        <w:rPr>
          <w:sz w:val="24"/>
          <w:szCs w:val="24"/>
        </w:rPr>
        <w:instrText xml:space="preserve"> ADDIN ZOTERO_ITEM CSL_CITATION {"citationID":"hSHyNDyn","properties":{"formattedCitation":"(Cummins {\\i{}et al.}, 2025)","plainCitation":"(Cummins et al., 2025)","noteIndex":0},"citationItems":[{"id":4911,"uris":["http://zotero.org/users/14350932/items/WEFL4KZL"],"itemData":{"id":4911,"type":"article-journal","abstract":"OBJECTIVE: Our objective was to determine how social vulnerabilities, broadband access, and rurality relate to telemedicine use across the United States through  large-scale analysis of real-world telemedicine data. MATERIALS AND METHODS: We  conducted a retrospective, observational study of dyadic U.S. telemedicine  sessions that occurred January 1, 2022 to December 31, 2022, linked to the 2020  Centers for Disease Control and Prevention Social Vulnerability Index (SVI) and  the National Center for Health Statistics Urban-Rural Classification Scheme for  Counties. We examined county-level telemedicine use rates (sessions per 1000  population) in relation to SVI indexes, broadband internet access, and rurality  classifications using polynomial regression and data visualization. RESULTS: We  found a negative, nonlinear association between overall social and socioeconomic  status vulnerabilities and telemedicine use. Telemedicine rates in urban counties  exceeded that of rural counties. There was more variability in telemedicine use  for the urban counties according to social vulnerability and broadband access.  DISCUSSION: Rurality and broadband access demonstrated a greater effect on  telemedicine use than social vulnerability, and the relationship between social  vulnerability, broadband access, and telemedicine use differed for rural versus  urban areas. CONCLUSION: This observational study of nearly 8 million U.S.  telemedicine sessions showed that rurality and broadband access are key drivers  of telemedicine use and may be more important than many social vulnerabilities in  determining community-level telemedicine use. We also found nuanced differences  in the relationship between social vulnerability and telemedicine use between  rural and urban counties, and at different levels of broadband access.","container-title":"JAMIA open","DOI":"10.1093/jamiaopen/ooaf056","ISSN":"2574-2531","issue":"4","journalAbbreviation":"JAMIA Open","language":"eng","license":"© The Author(s) 2025. Published by Oxford University Press on behalf of the American Medical Informatics Association.","note":"publisher-place: United States\nPMID: 40718759 \nPMCID: PMC12296349","page":"ooaf056","title":"Social vulnerability, lower broadband internet access, and rurality associated with lower telemedicine use in U.S. Counties.","volume":"8","author":[{"family":"Cummins","given":"Mollie R."},{"family":"Wong","given":"Bob"},{"family":"Wan","given":"Neng"},{"family":"Han","given":"Jiuying"},{"family":"Shishupal","given":"Sukrut D."},{"family":"Gouripeddi","given":"Ramkiran"},{"family":"Ivanova","given":"Julia"},{"family":"Franklin","given":"Asiyah"},{"family":"Johnny","given":"Jace"},{"family":"Ong","given":"Triton"},{"family":"Welch","given":"Brandon M."},{"family":"Bunnell","given":"Brian E."}],"issued":{"date-parts":[["2025",8]]}}}],"schema":"https://github.com/citation-style-language/schema/raw/master/csl-citation.json"} </w:instrText>
      </w:r>
      <w:r w:rsidR="00D4057C">
        <w:rPr>
          <w:sz w:val="24"/>
          <w:szCs w:val="24"/>
        </w:rPr>
        <w:fldChar w:fldCharType="separate"/>
      </w:r>
      <w:r w:rsidR="00D4057C" w:rsidRPr="00D4057C">
        <w:rPr>
          <w:rFonts w:ascii="Calibri" w:hAnsi="Calibri" w:cs="Calibri"/>
          <w:sz w:val="24"/>
          <w:szCs w:val="24"/>
        </w:rPr>
        <w:t xml:space="preserve">(Cummins </w:t>
      </w:r>
      <w:r w:rsidR="00D4057C" w:rsidRPr="00D4057C">
        <w:rPr>
          <w:rFonts w:ascii="Calibri" w:hAnsi="Calibri" w:cs="Calibri"/>
          <w:i/>
          <w:iCs/>
          <w:sz w:val="24"/>
          <w:szCs w:val="24"/>
        </w:rPr>
        <w:t>et al.</w:t>
      </w:r>
      <w:r w:rsidR="00D4057C" w:rsidRPr="00D4057C">
        <w:rPr>
          <w:rFonts w:ascii="Calibri" w:hAnsi="Calibri" w:cs="Calibri"/>
          <w:sz w:val="24"/>
          <w:szCs w:val="24"/>
        </w:rPr>
        <w:t>, 2025)</w:t>
      </w:r>
      <w:r w:rsidR="00D4057C">
        <w:rPr>
          <w:sz w:val="24"/>
          <w:szCs w:val="24"/>
        </w:rPr>
        <w:fldChar w:fldCharType="end"/>
      </w:r>
      <w:r>
        <w:rPr>
          <w:sz w:val="24"/>
          <w:szCs w:val="24"/>
        </w:rPr>
        <w:t xml:space="preserve">. CGM also redefines </w:t>
      </w:r>
      <w:r w:rsidR="00585105">
        <w:rPr>
          <w:sz w:val="24"/>
          <w:szCs w:val="24"/>
        </w:rPr>
        <w:t xml:space="preserve">the </w:t>
      </w:r>
      <w:r>
        <w:rPr>
          <w:sz w:val="24"/>
          <w:szCs w:val="24"/>
        </w:rPr>
        <w:t>experiences of families and informal carers</w:t>
      </w:r>
      <w:r w:rsidR="00D4057C">
        <w:rPr>
          <w:sz w:val="24"/>
          <w:szCs w:val="24"/>
        </w:rPr>
        <w:t xml:space="preserve"> </w:t>
      </w:r>
      <w:r w:rsidR="00D4057C">
        <w:rPr>
          <w:sz w:val="24"/>
          <w:szCs w:val="24"/>
        </w:rPr>
        <w:fldChar w:fldCharType="begin"/>
      </w:r>
      <w:r w:rsidR="00D4057C">
        <w:rPr>
          <w:sz w:val="24"/>
          <w:szCs w:val="24"/>
        </w:rPr>
        <w:instrText xml:space="preserve"> ADDIN ZOTERO_ITEM CSL_CITATION {"citationID":"pxjMdyuu","properties":{"formattedCitation":"(Hart {\\i{}et al.}, 2022)","plainCitation":"(Hart et al., 2022)","noteIndex":0},"citationItems":[{"id":4912,"uris":["http://zotero.org/users/14350932/items/K3R78DKS"],"itemData":{"id":4912,"type":"article-journal","abstract":"AIMS: To explore parents' experiences of using remote monitoring technology when caring for a very young child with type 1 diabetes during a clinical trial.  METHODS: Interviews were conducted with parents of 30 children (aged 1-7 years)  participating in a trial (the KidsAP02 study) comparing hybrid closed-loop  insulin delivery with sensor-augmented pump therapy. In both arms, parents had  access to remote monitoring technology. Data analysis focused on identification  of descriptive themes. RESULTS: Remote monitoring technology gave parents  improved access to data which helped them pre-empt and manage glucose excursions.  Parents observed how, when children were in their own care, they could be more  absent while present, as their attention could shift to non-diabetes-related  activities. Conversely, when children were others' care, remote monitoring  enabled parents to be present while absent, by facilitating oversight and  collaboration with caregivers. Parents described how remote monitoring made them  feel more confident allowing others to care for their children. Parents'  confidence increased when using a hybrid closed-loop system, as less work was  required to keep glucose in range. Benefits to children were also highlighted,  including being able to play and sleep uninterrupted and attend parties and  sleepovers without their parents. While most parents welcomed the increased sense  of control remote monitoring offered, some noted downsides, such as lack of  respite from caregiving responsibilities. CONCLUSIONS: Remote monitoring can  offer manifold benefits to both parents and very young children with type 1  diabetes. Some parents, however, may profit from opportunities to take 'time  out'.","container-title":"Diabetic medicine : a journal of the British Diabetic Association","DOI":"10.1111/dme.14828","ISSN":"1464-5491 0742-3071","issue":"7","journalAbbreviation":"Diabet Med","language":"eng","license":"© 2022 The Authors. Diabetic Medicine published by John Wiley &amp; Sons Ltd on behalf of Diabetes UK.","note":"publisher-place: England\nPMID: 35274356 \nPMCID: PMC9311187","page":"e14828","title":"Parents' experiences of using remote monitoring technology to manage type 1 diabetes in very young children during a clinical trial: Qualitative study.","volume":"39","author":[{"family":"Hart","given":"Ruth I."},{"family":"Kimbell","given":"Barbara"},{"family":"Rankin","given":"David"},{"family":"Allen","given":"Janet M."},{"family":"Boughton","given":"Charlotte K."},{"family":"Campbell","given":"Fiona"},{"family":"Beaufort","given":"Carine","non-dropping-particle":"de"},{"family":"Fröhlich-Reiterer","given":"Elke"},{"family":"Ware","given":"Julia"},{"family":"Hofer","given":"Sabine E."},{"family":"Kapellen","given":"Thomas M."},{"family":"Rami-Merhar","given":"Birgit"},{"family":"Thankamony","given":"Ajay"},{"family":"Hovorka","given":"Roman"},{"family":"Lawton","given":"Julia"}],"issued":{"date-parts":[["2022",7]]}}}],"schema":"https://github.com/citation-style-language/schema/raw/master/csl-citation.json"} </w:instrText>
      </w:r>
      <w:r w:rsidR="00D4057C">
        <w:rPr>
          <w:sz w:val="24"/>
          <w:szCs w:val="24"/>
        </w:rPr>
        <w:fldChar w:fldCharType="separate"/>
      </w:r>
      <w:r w:rsidR="00D4057C" w:rsidRPr="00D4057C">
        <w:rPr>
          <w:rFonts w:ascii="Calibri" w:hAnsi="Calibri" w:cs="Calibri"/>
          <w:sz w:val="24"/>
          <w:szCs w:val="24"/>
        </w:rPr>
        <w:t xml:space="preserve">(Hart </w:t>
      </w:r>
      <w:r w:rsidR="00D4057C" w:rsidRPr="00D4057C">
        <w:rPr>
          <w:rFonts w:ascii="Calibri" w:hAnsi="Calibri" w:cs="Calibri"/>
          <w:i/>
          <w:iCs/>
          <w:sz w:val="24"/>
          <w:szCs w:val="24"/>
        </w:rPr>
        <w:t>et al.</w:t>
      </w:r>
      <w:r w:rsidR="00D4057C" w:rsidRPr="00D4057C">
        <w:rPr>
          <w:rFonts w:ascii="Calibri" w:hAnsi="Calibri" w:cs="Calibri"/>
          <w:sz w:val="24"/>
          <w:szCs w:val="24"/>
        </w:rPr>
        <w:t>, 2022)</w:t>
      </w:r>
      <w:r w:rsidR="00D4057C">
        <w:rPr>
          <w:sz w:val="24"/>
          <w:szCs w:val="24"/>
        </w:rPr>
        <w:fldChar w:fldCharType="end"/>
      </w:r>
      <w:r>
        <w:rPr>
          <w:sz w:val="24"/>
          <w:szCs w:val="24"/>
        </w:rPr>
        <w:t xml:space="preserve">. </w:t>
      </w:r>
      <w:r w:rsidR="00D4057C">
        <w:rPr>
          <w:sz w:val="24"/>
          <w:szCs w:val="24"/>
        </w:rPr>
        <w:t xml:space="preserve">Remote monitoring technology </w:t>
      </w:r>
      <w:r w:rsidR="00585105">
        <w:rPr>
          <w:sz w:val="24"/>
          <w:szCs w:val="24"/>
        </w:rPr>
        <w:t>helps</w:t>
      </w:r>
      <w:r w:rsidR="00D4057C">
        <w:rPr>
          <w:sz w:val="24"/>
          <w:szCs w:val="24"/>
        </w:rPr>
        <w:t xml:space="preserve"> to </w:t>
      </w:r>
      <w:r w:rsidR="00585105">
        <w:rPr>
          <w:sz w:val="24"/>
          <w:szCs w:val="24"/>
        </w:rPr>
        <w:t>improve</w:t>
      </w:r>
      <w:r w:rsidR="00D4057C">
        <w:rPr>
          <w:sz w:val="24"/>
          <w:szCs w:val="24"/>
        </w:rPr>
        <w:t xml:space="preserve"> access </w:t>
      </w:r>
      <w:r w:rsidR="00585105">
        <w:rPr>
          <w:sz w:val="24"/>
          <w:szCs w:val="24"/>
        </w:rPr>
        <w:t>to</w:t>
      </w:r>
      <w:r w:rsidR="00D4057C">
        <w:rPr>
          <w:sz w:val="24"/>
          <w:szCs w:val="24"/>
        </w:rPr>
        <w:t xml:space="preserve"> data. </w:t>
      </w:r>
      <w:r>
        <w:rPr>
          <w:sz w:val="24"/>
          <w:szCs w:val="24"/>
        </w:rPr>
        <w:t xml:space="preserve">Real-time glucose shared data through mobile apps that enable parents, spouses, and carers to monitor loved ones remotely, </w:t>
      </w:r>
      <w:r w:rsidR="00585105">
        <w:rPr>
          <w:sz w:val="24"/>
          <w:szCs w:val="24"/>
        </w:rPr>
        <w:t>which</w:t>
      </w:r>
      <w:r>
        <w:rPr>
          <w:sz w:val="24"/>
          <w:szCs w:val="24"/>
        </w:rPr>
        <w:t xml:space="preserve"> offer reassurance and earlier intervention during hypoglycaemia episodes</w:t>
      </w:r>
      <w:r w:rsidR="00347F98">
        <w:rPr>
          <w:sz w:val="24"/>
          <w:szCs w:val="24"/>
        </w:rPr>
        <w:t xml:space="preserve">. </w:t>
      </w:r>
    </w:p>
    <w:p w14:paraId="38EFD2C7" w14:textId="7C4542E8" w:rsidR="00347F98" w:rsidRDefault="00347F98" w:rsidP="00501B1B">
      <w:pPr>
        <w:jc w:val="both"/>
        <w:rPr>
          <w:sz w:val="24"/>
          <w:szCs w:val="24"/>
        </w:rPr>
      </w:pPr>
      <w:r>
        <w:rPr>
          <w:sz w:val="24"/>
          <w:szCs w:val="24"/>
        </w:rPr>
        <w:t>Continuous data sharing can blur boundaries between support and surveillance. Studies report that some families experience “data fatigue” or anxiety due to frequent alerts. Hence, professional guidance is vital to help carers interpret CGM data in order to avoid unnecessary stress. NHS digital-literacy workshops and community diabetes education sessions also help such families in building confidence.</w:t>
      </w:r>
      <w:r w:rsidR="00501B1B">
        <w:rPr>
          <w:sz w:val="24"/>
          <w:szCs w:val="24"/>
        </w:rPr>
        <w:t xml:space="preserve"> Moreover, structured education for type 2 diabetes </w:t>
      </w:r>
      <w:r w:rsidR="00585105">
        <w:rPr>
          <w:sz w:val="24"/>
          <w:szCs w:val="24"/>
        </w:rPr>
        <w:t>provides</w:t>
      </w:r>
      <w:r w:rsidR="00501B1B">
        <w:rPr>
          <w:sz w:val="24"/>
          <w:szCs w:val="24"/>
        </w:rPr>
        <w:t xml:space="preserve"> information about </w:t>
      </w:r>
      <w:r w:rsidR="00585105">
        <w:rPr>
          <w:sz w:val="24"/>
          <w:szCs w:val="24"/>
        </w:rPr>
        <w:t xml:space="preserve">the </w:t>
      </w:r>
      <w:r w:rsidR="00501B1B">
        <w:rPr>
          <w:sz w:val="24"/>
          <w:szCs w:val="24"/>
        </w:rPr>
        <w:t xml:space="preserve">management of diabetes through diet and medication in </w:t>
      </w:r>
      <w:r w:rsidR="00585105">
        <w:rPr>
          <w:sz w:val="24"/>
          <w:szCs w:val="24"/>
        </w:rPr>
        <w:t xml:space="preserve">a </w:t>
      </w:r>
      <w:r w:rsidR="00501B1B">
        <w:rPr>
          <w:sz w:val="24"/>
          <w:szCs w:val="24"/>
        </w:rPr>
        <w:t>digital way.</w:t>
      </w:r>
      <w:r>
        <w:rPr>
          <w:sz w:val="24"/>
          <w:szCs w:val="24"/>
        </w:rPr>
        <w:t xml:space="preserve"> </w:t>
      </w:r>
    </w:p>
    <w:p w14:paraId="6375F921" w14:textId="0824BEF0" w:rsidR="00347F98" w:rsidRDefault="00347F98" w:rsidP="003E2C8C">
      <w:pPr>
        <w:jc w:val="both"/>
        <w:rPr>
          <w:sz w:val="24"/>
          <w:szCs w:val="24"/>
        </w:rPr>
      </w:pPr>
      <w:r>
        <w:rPr>
          <w:sz w:val="24"/>
          <w:szCs w:val="24"/>
        </w:rPr>
        <w:t xml:space="preserve">CGM exemplifies co-production in care, where patients and healthcare professionals collaborate to interpret data and treatment decisions. </w:t>
      </w:r>
      <w:r w:rsidR="00A559F8">
        <w:rPr>
          <w:sz w:val="24"/>
          <w:szCs w:val="24"/>
        </w:rPr>
        <w:t xml:space="preserve">Evidence from UK pilot programmes indicates that co-production improves adherence and satisfaction as patients feel their insight </w:t>
      </w:r>
      <w:r w:rsidR="00585105">
        <w:rPr>
          <w:sz w:val="24"/>
          <w:szCs w:val="24"/>
        </w:rPr>
        <w:t xml:space="preserve">is </w:t>
      </w:r>
      <w:r w:rsidR="00A559F8">
        <w:rPr>
          <w:sz w:val="24"/>
          <w:szCs w:val="24"/>
        </w:rPr>
        <w:t xml:space="preserve">more valuable. </w:t>
      </w:r>
    </w:p>
    <w:p w14:paraId="3FE342DA" w14:textId="31C39014" w:rsidR="00A559F8" w:rsidRDefault="00A559F8" w:rsidP="003E2C8C">
      <w:pPr>
        <w:jc w:val="both"/>
        <w:rPr>
          <w:sz w:val="24"/>
          <w:szCs w:val="24"/>
        </w:rPr>
      </w:pPr>
      <w:r>
        <w:rPr>
          <w:sz w:val="24"/>
          <w:szCs w:val="24"/>
        </w:rPr>
        <w:t xml:space="preserve">At the population level, CGM also contributes </w:t>
      </w:r>
      <w:r w:rsidR="00585105">
        <w:rPr>
          <w:sz w:val="24"/>
          <w:szCs w:val="24"/>
        </w:rPr>
        <w:t>to</w:t>
      </w:r>
      <w:r>
        <w:rPr>
          <w:sz w:val="24"/>
          <w:szCs w:val="24"/>
        </w:rPr>
        <w:t xml:space="preserve"> public-health objectives and </w:t>
      </w:r>
      <w:r w:rsidR="00585105">
        <w:rPr>
          <w:sz w:val="24"/>
          <w:szCs w:val="24"/>
        </w:rPr>
        <w:t>reduces</w:t>
      </w:r>
      <w:r>
        <w:rPr>
          <w:sz w:val="24"/>
          <w:szCs w:val="24"/>
        </w:rPr>
        <w:t xml:space="preserve"> diabetes-related complications and unplanned admissions. People from lower socioeconomic backgrounds or ethnic-</w:t>
      </w:r>
      <w:r w:rsidR="00D4057C">
        <w:rPr>
          <w:sz w:val="24"/>
          <w:szCs w:val="24"/>
        </w:rPr>
        <w:t>minority</w:t>
      </w:r>
      <w:r>
        <w:rPr>
          <w:sz w:val="24"/>
          <w:szCs w:val="24"/>
        </w:rPr>
        <w:t xml:space="preserve"> groups access CGM devices much less</w:t>
      </w:r>
      <w:r w:rsidR="00585105">
        <w:rPr>
          <w:sz w:val="24"/>
          <w:szCs w:val="24"/>
        </w:rPr>
        <w:t>,</w:t>
      </w:r>
      <w:r>
        <w:rPr>
          <w:sz w:val="24"/>
          <w:szCs w:val="24"/>
        </w:rPr>
        <w:t xml:space="preserve"> and hence, inequalities persist. </w:t>
      </w:r>
    </w:p>
    <w:p w14:paraId="0C887333" w14:textId="77777777" w:rsidR="00095A44" w:rsidRDefault="00095A44" w:rsidP="00B8525E">
      <w:pPr>
        <w:pStyle w:val="Heading1"/>
      </w:pPr>
      <w:bookmarkStart w:id="5" w:name="_Toc1654281359"/>
      <w:r>
        <w:t>Conclusion and Recommendations</w:t>
      </w:r>
      <w:bookmarkEnd w:id="5"/>
    </w:p>
    <w:p w14:paraId="69B8225F" w14:textId="5966EAC7" w:rsidR="00095A44" w:rsidRDefault="00FB1569" w:rsidP="003E2C8C">
      <w:pPr>
        <w:jc w:val="both"/>
        <w:rPr>
          <w:sz w:val="24"/>
          <w:szCs w:val="24"/>
        </w:rPr>
      </w:pPr>
      <w:r>
        <w:rPr>
          <w:sz w:val="24"/>
          <w:szCs w:val="24"/>
        </w:rPr>
        <w:t xml:space="preserve">Continuous Glucose Monitoring has redefined diabetes care in the UK, </w:t>
      </w:r>
      <w:r w:rsidR="00585105">
        <w:rPr>
          <w:sz w:val="24"/>
          <w:szCs w:val="24"/>
        </w:rPr>
        <w:t>epitomising</w:t>
      </w:r>
      <w:r>
        <w:rPr>
          <w:sz w:val="24"/>
          <w:szCs w:val="24"/>
        </w:rPr>
        <w:t xml:space="preserve"> changes toward digital, person-centred, and data-informed healthcare. It has enhanced professional efficiency, optimised service delivery, and empowered patients to take proactive roles to manage their conditions. However, these advancements are accompanied by challenges related to workforce readiness, digital inequality, and data governance. </w:t>
      </w:r>
    </w:p>
    <w:p w14:paraId="580B9537" w14:textId="77777777" w:rsidR="00FB1569" w:rsidRDefault="00FB1569" w:rsidP="003E2C8C">
      <w:pPr>
        <w:jc w:val="both"/>
        <w:rPr>
          <w:sz w:val="24"/>
          <w:szCs w:val="24"/>
        </w:rPr>
      </w:pPr>
      <w:r>
        <w:rPr>
          <w:sz w:val="24"/>
          <w:szCs w:val="24"/>
        </w:rPr>
        <w:t>To maximise the transformative potential of CGMs, the following recommendations are proposed:</w:t>
      </w:r>
    </w:p>
    <w:p w14:paraId="4F683EBD" w14:textId="77777777" w:rsidR="00FB1569" w:rsidRPr="009E5FA2" w:rsidRDefault="00FB1569" w:rsidP="009E5FA2">
      <w:pPr>
        <w:pStyle w:val="ListParagraph"/>
        <w:numPr>
          <w:ilvl w:val="0"/>
          <w:numId w:val="2"/>
        </w:numPr>
        <w:jc w:val="both"/>
        <w:rPr>
          <w:sz w:val="24"/>
          <w:szCs w:val="24"/>
        </w:rPr>
      </w:pPr>
      <w:r w:rsidRPr="009E5FA2">
        <w:rPr>
          <w:sz w:val="24"/>
          <w:szCs w:val="24"/>
        </w:rPr>
        <w:t>Strengthen workforce training in digital diabetes management and data analytics through mandatory CDP modules.</w:t>
      </w:r>
    </w:p>
    <w:p w14:paraId="6D3BB7BE" w14:textId="77777777" w:rsidR="00FB1569" w:rsidRPr="009E5FA2" w:rsidRDefault="00FB1569" w:rsidP="009E5FA2">
      <w:pPr>
        <w:pStyle w:val="ListParagraph"/>
        <w:numPr>
          <w:ilvl w:val="0"/>
          <w:numId w:val="2"/>
        </w:numPr>
        <w:jc w:val="both"/>
        <w:rPr>
          <w:sz w:val="24"/>
          <w:szCs w:val="24"/>
        </w:rPr>
      </w:pPr>
      <w:r w:rsidRPr="009E5FA2">
        <w:rPr>
          <w:sz w:val="24"/>
          <w:szCs w:val="24"/>
        </w:rPr>
        <w:t>Standardise data integration across NHS systems to ensure interoperability and continuity of care.</w:t>
      </w:r>
    </w:p>
    <w:p w14:paraId="2704E11F" w14:textId="77777777" w:rsidR="00FB1569" w:rsidRPr="009E5FA2" w:rsidRDefault="00FB1569" w:rsidP="009E5FA2">
      <w:pPr>
        <w:pStyle w:val="ListParagraph"/>
        <w:numPr>
          <w:ilvl w:val="0"/>
          <w:numId w:val="2"/>
        </w:numPr>
        <w:jc w:val="both"/>
        <w:rPr>
          <w:sz w:val="24"/>
          <w:szCs w:val="24"/>
        </w:rPr>
      </w:pPr>
      <w:r w:rsidRPr="009E5FA2">
        <w:rPr>
          <w:sz w:val="24"/>
          <w:szCs w:val="24"/>
        </w:rPr>
        <w:t>Expand equitable access to subsidise devices to underrepresented or deprived populations.</w:t>
      </w:r>
    </w:p>
    <w:p w14:paraId="013D27B9" w14:textId="77777777" w:rsidR="00FB1569" w:rsidRPr="009E5FA2" w:rsidRDefault="00FB1569" w:rsidP="009E5FA2">
      <w:pPr>
        <w:pStyle w:val="ListParagraph"/>
        <w:numPr>
          <w:ilvl w:val="0"/>
          <w:numId w:val="2"/>
        </w:numPr>
        <w:jc w:val="both"/>
        <w:rPr>
          <w:sz w:val="24"/>
          <w:szCs w:val="24"/>
        </w:rPr>
      </w:pPr>
      <w:r w:rsidRPr="009E5FA2">
        <w:rPr>
          <w:sz w:val="24"/>
          <w:szCs w:val="24"/>
        </w:rPr>
        <w:t>Enhance patient education to reduce data anxiety and promote informed self-management.</w:t>
      </w:r>
    </w:p>
    <w:p w14:paraId="2229A64C" w14:textId="5C49C25C" w:rsidR="00FB1569" w:rsidRPr="009E5FA2" w:rsidRDefault="00FB1569" w:rsidP="009E5FA2">
      <w:pPr>
        <w:pStyle w:val="ListParagraph"/>
        <w:numPr>
          <w:ilvl w:val="0"/>
          <w:numId w:val="2"/>
        </w:numPr>
        <w:jc w:val="both"/>
        <w:rPr>
          <w:sz w:val="24"/>
          <w:szCs w:val="24"/>
        </w:rPr>
      </w:pPr>
      <w:r w:rsidRPr="009E5FA2">
        <w:rPr>
          <w:sz w:val="24"/>
          <w:szCs w:val="24"/>
        </w:rPr>
        <w:t xml:space="preserve">Implement robust privacy frameworks </w:t>
      </w:r>
      <w:r w:rsidR="00585105">
        <w:rPr>
          <w:sz w:val="24"/>
          <w:szCs w:val="24"/>
        </w:rPr>
        <w:t xml:space="preserve">to </w:t>
      </w:r>
      <w:r w:rsidRPr="009E5FA2">
        <w:rPr>
          <w:sz w:val="24"/>
          <w:szCs w:val="24"/>
        </w:rPr>
        <w:t xml:space="preserve">ensure transparent consent and ethical data use. </w:t>
      </w:r>
    </w:p>
    <w:p w14:paraId="32DD6D08" w14:textId="14DF0E0D" w:rsidR="00FB1569" w:rsidRDefault="00FB1569" w:rsidP="003E2C8C">
      <w:pPr>
        <w:jc w:val="both"/>
        <w:rPr>
          <w:sz w:val="24"/>
          <w:szCs w:val="24"/>
        </w:rPr>
      </w:pPr>
      <w:r>
        <w:rPr>
          <w:sz w:val="24"/>
          <w:szCs w:val="24"/>
        </w:rPr>
        <w:t xml:space="preserve">Hence, by addressing these challenges, CGMs can continue to exemplify digital transformation that </w:t>
      </w:r>
      <w:r w:rsidR="00585105">
        <w:rPr>
          <w:sz w:val="24"/>
          <w:szCs w:val="24"/>
        </w:rPr>
        <w:t>enhances</w:t>
      </w:r>
      <w:r>
        <w:rPr>
          <w:sz w:val="24"/>
          <w:szCs w:val="24"/>
        </w:rPr>
        <w:t xml:space="preserve"> care efficiency but also upholds inclusivity, safety, and patient empowerment within the UK health and social care landscape.</w:t>
      </w:r>
    </w:p>
    <w:p w14:paraId="73AC8C74" w14:textId="77777777" w:rsidR="008B0956" w:rsidRDefault="008B0956" w:rsidP="008B0956">
      <w:pPr>
        <w:pStyle w:val="Heading1"/>
      </w:pPr>
      <w:bookmarkStart w:id="6" w:name="_Toc31147501"/>
      <w:r>
        <w:t>References</w:t>
      </w:r>
      <w:bookmarkEnd w:id="6"/>
    </w:p>
    <w:p w14:paraId="3D953DB5" w14:textId="4C2AC903" w:rsidR="008B0956" w:rsidRPr="008B0956" w:rsidRDefault="008B0956" w:rsidP="002E1BC0">
      <w:pPr>
        <w:pStyle w:val="Bibliography"/>
        <w:spacing w:line="360" w:lineRule="auto"/>
        <w:jc w:val="both"/>
        <w:rPr>
          <w:rFonts w:ascii="Calibri" w:hAnsi="Calibri" w:cs="Calibri"/>
          <w:sz w:val="24"/>
        </w:rPr>
      </w:pPr>
      <w:r>
        <w:fldChar w:fldCharType="begin"/>
      </w:r>
      <w:r>
        <w:instrText xml:space="preserve"> ADDIN ZOTERO_BIBL {"uncited":[],"omitted":[],"custom":[]} CSL_BIBLIOGRAPHY </w:instrText>
      </w:r>
      <w:r>
        <w:fldChar w:fldCharType="separate"/>
      </w:r>
      <w:r w:rsidRPr="008B0956">
        <w:rPr>
          <w:rFonts w:ascii="Calibri" w:hAnsi="Calibri" w:cs="Calibri"/>
          <w:sz w:val="24"/>
        </w:rPr>
        <w:t xml:space="preserve">Afridi, Z. </w:t>
      </w:r>
      <w:r w:rsidRPr="008B0956">
        <w:rPr>
          <w:rFonts w:ascii="Calibri" w:hAnsi="Calibri" w:cs="Calibri"/>
          <w:i/>
          <w:iCs/>
          <w:sz w:val="24"/>
        </w:rPr>
        <w:t>et al.</w:t>
      </w:r>
      <w:r w:rsidRPr="008B0956">
        <w:rPr>
          <w:rFonts w:ascii="Calibri" w:hAnsi="Calibri" w:cs="Calibri"/>
          <w:sz w:val="24"/>
        </w:rPr>
        <w:t xml:space="preserve"> (2025) “Transformative Advances in Continuous Glucose Monitoring and the Impact of FDA Over-the-Counter Approval on Diabetes Care.” </w:t>
      </w:r>
      <w:r w:rsidRPr="008B0956">
        <w:rPr>
          <w:rFonts w:ascii="Calibri" w:hAnsi="Calibri" w:cs="Calibri"/>
          <w:i/>
          <w:iCs/>
          <w:sz w:val="24"/>
        </w:rPr>
        <w:t>Health science reports</w:t>
      </w:r>
      <w:r w:rsidRPr="008B0956">
        <w:rPr>
          <w:rFonts w:ascii="Calibri" w:hAnsi="Calibri" w:cs="Calibri"/>
          <w:sz w:val="24"/>
        </w:rPr>
        <w:t>, 8(4), p. e70747. Available at: https://doi.org/10.1002/hsr2.70747.</w:t>
      </w:r>
    </w:p>
    <w:p w14:paraId="216D18DB"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Al Hayek, A. </w:t>
      </w:r>
      <w:r w:rsidRPr="008B0956">
        <w:rPr>
          <w:rFonts w:ascii="Calibri" w:hAnsi="Calibri" w:cs="Calibri"/>
          <w:i/>
          <w:iCs/>
          <w:sz w:val="24"/>
        </w:rPr>
        <w:t>et al.</w:t>
      </w:r>
      <w:r w:rsidRPr="008B0956">
        <w:rPr>
          <w:rFonts w:ascii="Calibri" w:hAnsi="Calibri" w:cs="Calibri"/>
          <w:sz w:val="24"/>
        </w:rPr>
        <w:t xml:space="preserve"> (2025) “Impact of transitioning from conventional blood glucose monitoring to continuous glucose monitoring on glycemic control and self-management in adults with type 2 diabetes on oral glucose-lowering medications,” </w:t>
      </w:r>
      <w:r w:rsidRPr="008B0956">
        <w:rPr>
          <w:rFonts w:ascii="Calibri" w:hAnsi="Calibri" w:cs="Calibri"/>
          <w:i/>
          <w:iCs/>
          <w:sz w:val="24"/>
        </w:rPr>
        <w:t>Diabetes Research and Clinical Practice</w:t>
      </w:r>
      <w:r w:rsidRPr="008B0956">
        <w:rPr>
          <w:rFonts w:ascii="Calibri" w:hAnsi="Calibri" w:cs="Calibri"/>
          <w:sz w:val="24"/>
        </w:rPr>
        <w:t>, 229, p. 112458. Available at: https://doi.org/10.1016/j.diabres.2025.112458.</w:t>
      </w:r>
    </w:p>
    <w:p w14:paraId="715F43B3" w14:textId="07DF3614"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Aleppo, G. </w:t>
      </w:r>
      <w:r w:rsidRPr="008B0956">
        <w:rPr>
          <w:rFonts w:ascii="Calibri" w:hAnsi="Calibri" w:cs="Calibri"/>
          <w:i/>
          <w:iCs/>
          <w:sz w:val="24"/>
        </w:rPr>
        <w:t>et al.</w:t>
      </w:r>
      <w:r w:rsidRPr="008B0956">
        <w:rPr>
          <w:rFonts w:ascii="Calibri" w:hAnsi="Calibri" w:cs="Calibri"/>
          <w:sz w:val="24"/>
        </w:rPr>
        <w:t xml:space="preserve"> (2025) “Integration of Continuous Glucose Monitoring Data into an Electronic Health Record System: </w:t>
      </w:r>
      <w:r w:rsidR="00585105">
        <w:rPr>
          <w:rFonts w:ascii="Calibri" w:hAnsi="Calibri" w:cs="Calibri"/>
          <w:sz w:val="24"/>
        </w:rPr>
        <w:t>Single-Centre</w:t>
      </w:r>
      <w:r w:rsidRPr="008B0956">
        <w:rPr>
          <w:rFonts w:ascii="Calibri" w:hAnsi="Calibri" w:cs="Calibri"/>
          <w:sz w:val="24"/>
        </w:rPr>
        <w:t xml:space="preserve"> Implementation,” </w:t>
      </w:r>
      <w:r w:rsidRPr="008B0956">
        <w:rPr>
          <w:rFonts w:ascii="Calibri" w:hAnsi="Calibri" w:cs="Calibri"/>
          <w:i/>
          <w:iCs/>
          <w:sz w:val="24"/>
        </w:rPr>
        <w:t xml:space="preserve">Journal of diabetes science and </w:t>
      </w:r>
      <w:r w:rsidR="00585105">
        <w:rPr>
          <w:rFonts w:ascii="Calibri" w:hAnsi="Calibri" w:cs="Calibri"/>
          <w:i/>
          <w:iCs/>
          <w:sz w:val="24"/>
        </w:rPr>
        <w:t>Technology</w:t>
      </w:r>
      <w:r w:rsidRPr="008B0956">
        <w:rPr>
          <w:rFonts w:ascii="Calibri" w:hAnsi="Calibri" w:cs="Calibri"/>
          <w:sz w:val="24"/>
        </w:rPr>
        <w:t>, 19(2), pp. 426–430. Available at: https://doi.org/10.1177/19322968231196168.</w:t>
      </w:r>
    </w:p>
    <w:p w14:paraId="6EB5286E" w14:textId="29A6A536"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Blissett, R. </w:t>
      </w:r>
      <w:r w:rsidRPr="008B0956">
        <w:rPr>
          <w:rFonts w:ascii="Calibri" w:hAnsi="Calibri" w:cs="Calibri"/>
          <w:i/>
          <w:iCs/>
          <w:sz w:val="24"/>
        </w:rPr>
        <w:t>et al.</w:t>
      </w:r>
      <w:r w:rsidRPr="008B0956">
        <w:rPr>
          <w:rFonts w:ascii="Calibri" w:hAnsi="Calibri" w:cs="Calibri"/>
          <w:sz w:val="24"/>
        </w:rPr>
        <w:t xml:space="preserve"> (2022) “FreeStyle Libre Flash Glucose Monitoring system for people with type 1 diabetes in the UK: a budget impact analysis.” </w:t>
      </w:r>
      <w:r w:rsidRPr="008B0956">
        <w:rPr>
          <w:rFonts w:ascii="Calibri" w:hAnsi="Calibri" w:cs="Calibri"/>
          <w:i/>
          <w:iCs/>
          <w:sz w:val="24"/>
        </w:rPr>
        <w:t>BMJ open diabetes research &amp; care</w:t>
      </w:r>
      <w:r w:rsidRPr="008B0956">
        <w:rPr>
          <w:rFonts w:ascii="Calibri" w:hAnsi="Calibri" w:cs="Calibri"/>
          <w:sz w:val="24"/>
        </w:rPr>
        <w:t>, 10(2). Available at: https://doi.org/10.1136/bmjdrc-2021-002580.</w:t>
      </w:r>
    </w:p>
    <w:p w14:paraId="36DCEE49" w14:textId="7D971FAA"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Cummins, M.R. </w:t>
      </w:r>
      <w:r w:rsidRPr="008B0956">
        <w:rPr>
          <w:rFonts w:ascii="Calibri" w:hAnsi="Calibri" w:cs="Calibri"/>
          <w:i/>
          <w:iCs/>
          <w:sz w:val="24"/>
        </w:rPr>
        <w:t>et al.</w:t>
      </w:r>
      <w:r w:rsidRPr="008B0956">
        <w:rPr>
          <w:rFonts w:ascii="Calibri" w:hAnsi="Calibri" w:cs="Calibri"/>
          <w:sz w:val="24"/>
        </w:rPr>
        <w:t xml:space="preserve"> (2025) “Social vulnerability, lower broadband internet access, and rurality associated with lower telemedicine use in U.S. Counties,” </w:t>
      </w:r>
      <w:r w:rsidRPr="008B0956">
        <w:rPr>
          <w:rFonts w:ascii="Calibri" w:hAnsi="Calibri" w:cs="Calibri"/>
          <w:i/>
          <w:iCs/>
          <w:sz w:val="24"/>
        </w:rPr>
        <w:t>JAMIA open</w:t>
      </w:r>
      <w:r w:rsidRPr="008B0956">
        <w:rPr>
          <w:rFonts w:ascii="Calibri" w:hAnsi="Calibri" w:cs="Calibri"/>
          <w:sz w:val="24"/>
        </w:rPr>
        <w:t>, 8(4), p. ooaf056. Available at: https://doi.org/10.1093/jamiaopen/ooaf056.</w:t>
      </w:r>
    </w:p>
    <w:p w14:paraId="54AE36C4"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i/>
          <w:iCs/>
          <w:sz w:val="24"/>
        </w:rPr>
        <w:t>Digitise, connect, transform</w:t>
      </w:r>
      <w:r w:rsidRPr="008B0956">
        <w:rPr>
          <w:rFonts w:ascii="Calibri" w:hAnsi="Calibri" w:cs="Calibri"/>
          <w:sz w:val="24"/>
        </w:rPr>
        <w:t xml:space="preserve"> (no date) </w:t>
      </w:r>
      <w:r w:rsidRPr="008B0956">
        <w:rPr>
          <w:rFonts w:ascii="Calibri" w:hAnsi="Calibri" w:cs="Calibri"/>
          <w:i/>
          <w:iCs/>
          <w:sz w:val="24"/>
        </w:rPr>
        <w:t>NHS Transformation Directorate</w:t>
      </w:r>
      <w:r w:rsidRPr="008B0956">
        <w:rPr>
          <w:rFonts w:ascii="Calibri" w:hAnsi="Calibri" w:cs="Calibri"/>
          <w:sz w:val="24"/>
        </w:rPr>
        <w:t>. Available at: https://transform.england.nhs.uk/digitise-connect-transform/ (Accessed: October 24, 2025).</w:t>
      </w:r>
    </w:p>
    <w:p w14:paraId="3A77EBA6" w14:textId="35DD15B9"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Evans, M., Welsh, Z. and Seibold, A. (2022) “Reductions in HbA1c with Flash Glucose Monitoring Are Sustained for up to 24 Months: A Meta-Analysis of 75 Real-World Observational Studies.” </w:t>
      </w:r>
      <w:r w:rsidRPr="008B0956">
        <w:rPr>
          <w:rFonts w:ascii="Calibri" w:hAnsi="Calibri" w:cs="Calibri"/>
          <w:i/>
          <w:iCs/>
          <w:sz w:val="24"/>
        </w:rPr>
        <w:t>Diabetes therapy : research, treatment and education of diabetes and related disorders</w:t>
      </w:r>
      <w:r w:rsidRPr="008B0956">
        <w:rPr>
          <w:rFonts w:ascii="Calibri" w:hAnsi="Calibri" w:cs="Calibri"/>
          <w:sz w:val="24"/>
        </w:rPr>
        <w:t>, 13(6), pp. 1175–1185. Available at: https://doi.org/10.1007/s13300-022-01253-9.</w:t>
      </w:r>
    </w:p>
    <w:p w14:paraId="25980F1B" w14:textId="70E90120"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Hart, R.I. </w:t>
      </w:r>
      <w:r w:rsidRPr="008B0956">
        <w:rPr>
          <w:rFonts w:ascii="Calibri" w:hAnsi="Calibri" w:cs="Calibri"/>
          <w:i/>
          <w:iCs/>
          <w:sz w:val="24"/>
        </w:rPr>
        <w:t>et al.</w:t>
      </w:r>
      <w:r w:rsidRPr="008B0956">
        <w:rPr>
          <w:rFonts w:ascii="Calibri" w:hAnsi="Calibri" w:cs="Calibri"/>
          <w:sz w:val="24"/>
        </w:rPr>
        <w:t xml:space="preserve"> (2022) “Parents’ experiences of using remote monitoring technology to manage type 1 diabetes in very young children during a clinical trial: Qualitative study.” </w:t>
      </w:r>
      <w:r w:rsidRPr="008B0956">
        <w:rPr>
          <w:rFonts w:ascii="Calibri" w:hAnsi="Calibri" w:cs="Calibri"/>
          <w:i/>
          <w:iCs/>
          <w:sz w:val="24"/>
        </w:rPr>
        <w:t>Diabetic medicine : a journal of the British Diabetic Association</w:t>
      </w:r>
      <w:r w:rsidRPr="008B0956">
        <w:rPr>
          <w:rFonts w:ascii="Calibri" w:hAnsi="Calibri" w:cs="Calibri"/>
          <w:sz w:val="24"/>
        </w:rPr>
        <w:t>, 39(7), p. e14828. Available at: https://doi.org/10.1111/dme.14828.</w:t>
      </w:r>
    </w:p>
    <w:p w14:paraId="55884371"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Health, D. of and Care, S. (2022) “A Plan for Digital Health and Social Care.” UK Government. Available at: https://www.gov.uk/government/publications/a-plan-for-digital-health-and-social-care.</w:t>
      </w:r>
    </w:p>
    <w:p w14:paraId="67902E93" w14:textId="43500BFF"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Jiao, Y. </w:t>
      </w:r>
      <w:r w:rsidRPr="008B0956">
        <w:rPr>
          <w:rFonts w:ascii="Calibri" w:hAnsi="Calibri" w:cs="Calibri"/>
          <w:i/>
          <w:iCs/>
          <w:sz w:val="24"/>
        </w:rPr>
        <w:t>et al.</w:t>
      </w:r>
      <w:r w:rsidRPr="008B0956">
        <w:rPr>
          <w:rFonts w:ascii="Calibri" w:hAnsi="Calibri" w:cs="Calibri"/>
          <w:sz w:val="24"/>
        </w:rPr>
        <w:t xml:space="preserve"> (2022) “A systematic review: Cost-effectiveness of continuous glucose monitoring compared to self-monitoring of blood glucose in type 1 diabetes.” </w:t>
      </w:r>
      <w:r w:rsidRPr="008B0956">
        <w:rPr>
          <w:rFonts w:ascii="Calibri" w:hAnsi="Calibri" w:cs="Calibri"/>
          <w:i/>
          <w:iCs/>
          <w:sz w:val="24"/>
        </w:rPr>
        <w:t>Endocrinology, diabetes &amp; metabolism</w:t>
      </w:r>
      <w:r w:rsidRPr="008B0956">
        <w:rPr>
          <w:rFonts w:ascii="Calibri" w:hAnsi="Calibri" w:cs="Calibri"/>
          <w:sz w:val="24"/>
        </w:rPr>
        <w:t>, 5(6), p. e369. Available at: https://doi.org/10.1002/edm2.369.</w:t>
      </w:r>
    </w:p>
    <w:p w14:paraId="2157A627" w14:textId="2D196BF9"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Klonoff, D.C. </w:t>
      </w:r>
      <w:r w:rsidRPr="008B0956">
        <w:rPr>
          <w:rFonts w:ascii="Calibri" w:hAnsi="Calibri" w:cs="Calibri"/>
          <w:i/>
          <w:iCs/>
          <w:sz w:val="24"/>
        </w:rPr>
        <w:t>et al.</w:t>
      </w:r>
      <w:r w:rsidRPr="008B0956">
        <w:rPr>
          <w:rFonts w:ascii="Calibri" w:hAnsi="Calibri" w:cs="Calibri"/>
          <w:sz w:val="24"/>
        </w:rPr>
        <w:t xml:space="preserve"> (2025) “CGM Data Analysis 2.0: Functional Data Pattern Recognition and Artificial Intelligence Applications,” </w:t>
      </w:r>
      <w:r w:rsidRPr="008B0956">
        <w:rPr>
          <w:rFonts w:ascii="Calibri" w:hAnsi="Calibri" w:cs="Calibri"/>
          <w:i/>
          <w:iCs/>
          <w:sz w:val="24"/>
        </w:rPr>
        <w:t xml:space="preserve">Journal of diabetes science and </w:t>
      </w:r>
      <w:r w:rsidR="00585105">
        <w:rPr>
          <w:rFonts w:ascii="Calibri" w:hAnsi="Calibri" w:cs="Calibri"/>
          <w:i/>
          <w:iCs/>
          <w:sz w:val="24"/>
        </w:rPr>
        <w:t>Technology</w:t>
      </w:r>
      <w:r w:rsidRPr="008B0956">
        <w:rPr>
          <w:rFonts w:ascii="Calibri" w:hAnsi="Calibri" w:cs="Calibri"/>
          <w:sz w:val="24"/>
        </w:rPr>
        <w:t>, p. 19322968251353228. Available at: https://doi.org/10.1177/19322968251353228.</w:t>
      </w:r>
    </w:p>
    <w:p w14:paraId="3A8DFD76" w14:textId="0CA73E2D"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Maita, K.C. </w:t>
      </w:r>
      <w:r w:rsidRPr="008B0956">
        <w:rPr>
          <w:rFonts w:ascii="Calibri" w:hAnsi="Calibri" w:cs="Calibri"/>
          <w:i/>
          <w:iCs/>
          <w:sz w:val="24"/>
        </w:rPr>
        <w:t>et al.</w:t>
      </w:r>
      <w:r w:rsidRPr="008B0956">
        <w:rPr>
          <w:rFonts w:ascii="Calibri" w:hAnsi="Calibri" w:cs="Calibri"/>
          <w:sz w:val="24"/>
        </w:rPr>
        <w:t xml:space="preserve"> (2024) “The Impact of Digital Health Solutions on Bridging the Health Care Gap in Rural Areas: A Scoping Review.” </w:t>
      </w:r>
      <w:r w:rsidRPr="008B0956">
        <w:rPr>
          <w:rFonts w:ascii="Calibri" w:hAnsi="Calibri" w:cs="Calibri"/>
          <w:i/>
          <w:iCs/>
          <w:sz w:val="24"/>
        </w:rPr>
        <w:t>The Permanente journal</w:t>
      </w:r>
      <w:r w:rsidRPr="008B0956">
        <w:rPr>
          <w:rFonts w:ascii="Calibri" w:hAnsi="Calibri" w:cs="Calibri"/>
          <w:sz w:val="24"/>
        </w:rPr>
        <w:t>, 28(3), pp. 130–143. Available at: https://doi.org/10.7812/TPP/23.134.</w:t>
      </w:r>
    </w:p>
    <w:p w14:paraId="744162CB" w14:textId="18BFAEF2"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Manov, A.E. </w:t>
      </w:r>
      <w:r w:rsidRPr="008B0956">
        <w:rPr>
          <w:rFonts w:ascii="Calibri" w:hAnsi="Calibri" w:cs="Calibri"/>
          <w:i/>
          <w:iCs/>
          <w:sz w:val="24"/>
        </w:rPr>
        <w:t>et al.</w:t>
      </w:r>
      <w:r w:rsidRPr="008B0956">
        <w:rPr>
          <w:rFonts w:ascii="Calibri" w:hAnsi="Calibri" w:cs="Calibri"/>
          <w:sz w:val="24"/>
        </w:rPr>
        <w:t xml:space="preserve"> (2023) “The Effectiveness of Continuous Glucose Monitoring Devices in Managing Uncontrolled Diabetes Mellitus: A Retrospective Study,” </w:t>
      </w:r>
      <w:r w:rsidRPr="008B0956">
        <w:rPr>
          <w:rFonts w:ascii="Calibri" w:hAnsi="Calibri" w:cs="Calibri"/>
          <w:i/>
          <w:iCs/>
          <w:sz w:val="24"/>
        </w:rPr>
        <w:t>Cureus</w:t>
      </w:r>
      <w:r w:rsidRPr="008B0956">
        <w:rPr>
          <w:rFonts w:ascii="Calibri" w:hAnsi="Calibri" w:cs="Calibri"/>
          <w:sz w:val="24"/>
        </w:rPr>
        <w:t>, 15(7), p. e42545. Available at: https://doi.org/10.7759/cureus.42545.</w:t>
      </w:r>
    </w:p>
    <w:p w14:paraId="0B77F82A" w14:textId="2585CABE"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Natale, P. </w:t>
      </w:r>
      <w:r w:rsidRPr="008B0956">
        <w:rPr>
          <w:rFonts w:ascii="Calibri" w:hAnsi="Calibri" w:cs="Calibri"/>
          <w:i/>
          <w:iCs/>
          <w:sz w:val="24"/>
        </w:rPr>
        <w:t>et al.</w:t>
      </w:r>
      <w:r w:rsidRPr="008B0956">
        <w:rPr>
          <w:rFonts w:ascii="Calibri" w:hAnsi="Calibri" w:cs="Calibri"/>
          <w:sz w:val="24"/>
        </w:rPr>
        <w:t xml:space="preserve"> (2023) “Patient experiences of continuous glucose monitoring and sensor-augmented insulin pump therapy for diabetes: A systematic review of qualitative studies.” </w:t>
      </w:r>
      <w:r w:rsidRPr="008B0956">
        <w:rPr>
          <w:rFonts w:ascii="Calibri" w:hAnsi="Calibri" w:cs="Calibri"/>
          <w:i/>
          <w:iCs/>
          <w:sz w:val="24"/>
        </w:rPr>
        <w:t>Journal of diabetes</w:t>
      </w:r>
      <w:r w:rsidRPr="008B0956">
        <w:rPr>
          <w:rFonts w:ascii="Calibri" w:hAnsi="Calibri" w:cs="Calibri"/>
          <w:sz w:val="24"/>
        </w:rPr>
        <w:t>, 15(12), pp. 1048–1069. Available at: https://doi.org/10.1111/1753-0407.13454.</w:t>
      </w:r>
    </w:p>
    <w:p w14:paraId="147824D3"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NHS (2025) “NHS App and your NHS account.” NHS. Available at: https://www.nhs.uk/nhs-app.</w:t>
      </w:r>
    </w:p>
    <w:p w14:paraId="602963A7"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NHS Digital Transformation (2021) “What Good Looks Like: A Framework for NHS Digital Transformation.” NHS England. Available at: https://www.england.nhs.uk/transforming-health-and-care-through-digital-technology/what-good-looks-like-framework.</w:t>
      </w:r>
    </w:p>
    <w:p w14:paraId="2EE0F5EE"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NHS England (2024) “NHS England » NHS identifies over half a million more people at risk of type 2 diabetes in a Year,” 12 June. Available at: https://www.england.nhs.uk/2024/06/nhs-identifies-over-half-a-million-more-people-at-risk-of-type-2-diabetes-in-a-year/ (Accessed: October 24, 2025).</w:t>
      </w:r>
    </w:p>
    <w:p w14:paraId="07477365" w14:textId="2CA73415"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NHS England (2025)</w:t>
      </w:r>
      <w:r w:rsidR="00585105">
        <w:rPr>
          <w:rFonts w:ascii="Calibri" w:hAnsi="Calibri" w:cs="Calibri"/>
          <w:sz w:val="24"/>
        </w:rPr>
        <w:t>.</w:t>
      </w:r>
      <w:r w:rsidRPr="008B0956">
        <w:rPr>
          <w:rFonts w:ascii="Calibri" w:hAnsi="Calibri" w:cs="Calibri"/>
          <w:sz w:val="24"/>
        </w:rPr>
        <w:t xml:space="preserve"> </w:t>
      </w:r>
      <w:r w:rsidRPr="008B0956">
        <w:rPr>
          <w:rFonts w:ascii="Calibri" w:hAnsi="Calibri" w:cs="Calibri"/>
          <w:i/>
          <w:iCs/>
          <w:sz w:val="24"/>
        </w:rPr>
        <w:t>Our strategy to digitise, connect and transform - Digitise, connect, transform - NHS Transformation Directorate</w:t>
      </w:r>
      <w:r w:rsidRPr="008B0956">
        <w:rPr>
          <w:rFonts w:ascii="Calibri" w:hAnsi="Calibri" w:cs="Calibri"/>
          <w:sz w:val="24"/>
        </w:rPr>
        <w:t>. Available at: https://transform.england.nhs.uk/digitise-connect-transform/our-strategy-to-digitise-connect-and-transform/ (Accessed: October 24, 2025).</w:t>
      </w:r>
    </w:p>
    <w:p w14:paraId="5B22AB8D" w14:textId="27E8E508"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NHS England. (2022) “NHS England » Annual report.” Available at: https://www.england.nhs.uk/publications/annual-report/ (Accessed: October 24, 2025).</w:t>
      </w:r>
    </w:p>
    <w:p w14:paraId="5C1C3376" w14:textId="3E0A303A"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NHS </w:t>
      </w:r>
      <w:r w:rsidR="00585105">
        <w:rPr>
          <w:rFonts w:ascii="Calibri" w:hAnsi="Calibri" w:cs="Calibri"/>
          <w:sz w:val="24"/>
        </w:rPr>
        <w:t>long-term</w:t>
      </w:r>
      <w:r w:rsidRPr="008B0956">
        <w:rPr>
          <w:rFonts w:ascii="Calibri" w:hAnsi="Calibri" w:cs="Calibri"/>
          <w:sz w:val="24"/>
        </w:rPr>
        <w:t xml:space="preserve"> plan (2019) </w:t>
      </w:r>
      <w:r w:rsidRPr="008B0956">
        <w:rPr>
          <w:rFonts w:ascii="Calibri" w:hAnsi="Calibri" w:cs="Calibri"/>
          <w:i/>
          <w:iCs/>
          <w:sz w:val="24"/>
        </w:rPr>
        <w:t>NHS England » Fit for the Future: 10 Year Health Plan for England</w:t>
      </w:r>
      <w:r w:rsidRPr="008B0956">
        <w:rPr>
          <w:rFonts w:ascii="Calibri" w:hAnsi="Calibri" w:cs="Calibri"/>
          <w:sz w:val="24"/>
        </w:rPr>
        <w:t>. Available at: https://www.england.nhs.uk/long-term-plan/ (Accessed: October 24, 2025).</w:t>
      </w:r>
    </w:p>
    <w:p w14:paraId="40EF1DA5"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NICE (2022) </w:t>
      </w:r>
      <w:r w:rsidRPr="008B0956">
        <w:rPr>
          <w:rFonts w:ascii="Calibri" w:hAnsi="Calibri" w:cs="Calibri"/>
          <w:i/>
          <w:iCs/>
          <w:sz w:val="24"/>
        </w:rPr>
        <w:t>NICE - Endorsed Clinical Guidelines 2022/2023 | Department of Health</w:t>
      </w:r>
      <w:r w:rsidRPr="008B0956">
        <w:rPr>
          <w:rFonts w:ascii="Calibri" w:hAnsi="Calibri" w:cs="Calibri"/>
          <w:sz w:val="24"/>
        </w:rPr>
        <w:t>. Available at: https://www.health-ni.gov.uk/articles/nice-endorsed-clinical-guidelines-20222023 (Accessed: October 24, 2025).</w:t>
      </w:r>
    </w:p>
    <w:p w14:paraId="30510C5F"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i/>
          <w:iCs/>
          <w:sz w:val="24"/>
        </w:rPr>
        <w:t>Reviews</w:t>
      </w:r>
      <w:r w:rsidRPr="008B0956">
        <w:rPr>
          <w:rFonts w:ascii="Calibri" w:hAnsi="Calibri" w:cs="Calibri"/>
          <w:sz w:val="24"/>
        </w:rPr>
        <w:t xml:space="preserve"> (2024) </w:t>
      </w:r>
      <w:r w:rsidRPr="008B0956">
        <w:rPr>
          <w:rFonts w:ascii="Calibri" w:hAnsi="Calibri" w:cs="Calibri"/>
          <w:i/>
          <w:iCs/>
          <w:sz w:val="24"/>
        </w:rPr>
        <w:t>NHS England Digital</w:t>
      </w:r>
      <w:r w:rsidRPr="008B0956">
        <w:rPr>
          <w:rFonts w:ascii="Calibri" w:hAnsi="Calibri" w:cs="Calibri"/>
          <w:sz w:val="24"/>
        </w:rPr>
        <w:t>. Available at: https://digital.nhs.uk/data-and-information/publications/statistical/adult-social-care-activity-and-finance-report/2023-24/reviews (Accessed: October 24, 2025).</w:t>
      </w:r>
    </w:p>
    <w:p w14:paraId="305472A7" w14:textId="33CE7944"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Scharf, J. </w:t>
      </w:r>
      <w:r w:rsidRPr="008B0956">
        <w:rPr>
          <w:rFonts w:ascii="Calibri" w:hAnsi="Calibri" w:cs="Calibri"/>
          <w:i/>
          <w:iCs/>
          <w:sz w:val="24"/>
        </w:rPr>
        <w:t>et al.</w:t>
      </w:r>
      <w:r w:rsidRPr="008B0956">
        <w:rPr>
          <w:rFonts w:ascii="Calibri" w:hAnsi="Calibri" w:cs="Calibri"/>
          <w:sz w:val="24"/>
        </w:rPr>
        <w:t xml:space="preserve"> (2019) “Perceived Usefulness of Continuous Glucose Monitoring Devices at the Workplace: Secondary Analysis of Data From a Qualitative Study.” </w:t>
      </w:r>
      <w:r w:rsidRPr="008B0956">
        <w:rPr>
          <w:rFonts w:ascii="Calibri" w:hAnsi="Calibri" w:cs="Calibri"/>
          <w:i/>
          <w:iCs/>
          <w:sz w:val="24"/>
        </w:rPr>
        <w:t xml:space="preserve">Journal of diabetes science and </w:t>
      </w:r>
      <w:r w:rsidR="00585105">
        <w:rPr>
          <w:rFonts w:ascii="Calibri" w:hAnsi="Calibri" w:cs="Calibri"/>
          <w:i/>
          <w:iCs/>
          <w:sz w:val="24"/>
        </w:rPr>
        <w:t>Technology</w:t>
      </w:r>
      <w:r w:rsidRPr="008B0956">
        <w:rPr>
          <w:rFonts w:ascii="Calibri" w:hAnsi="Calibri" w:cs="Calibri"/>
          <w:sz w:val="24"/>
        </w:rPr>
        <w:t>, 13(2), pp. 242–247. Available at: https://doi.org/10.1177/1932296818789143.</w:t>
      </w:r>
    </w:p>
    <w:p w14:paraId="32BF37DA" w14:textId="77777777"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Speight, J. </w:t>
      </w:r>
      <w:r w:rsidRPr="008B0956">
        <w:rPr>
          <w:rFonts w:ascii="Calibri" w:hAnsi="Calibri" w:cs="Calibri"/>
          <w:i/>
          <w:iCs/>
          <w:sz w:val="24"/>
        </w:rPr>
        <w:t>et al.</w:t>
      </w:r>
      <w:r w:rsidRPr="008B0956">
        <w:rPr>
          <w:rFonts w:ascii="Calibri" w:hAnsi="Calibri" w:cs="Calibri"/>
          <w:sz w:val="24"/>
        </w:rPr>
        <w:t xml:space="preserve"> (2010) “Long-term biomedical and psychosocial outcomes following DAFNE (Dose Adjustment For Normal Eating) structured education to promote intensive insulin therapy in adults with sub-optimally controlled Type 1 diabetes,” </w:t>
      </w:r>
      <w:r w:rsidRPr="008B0956">
        <w:rPr>
          <w:rFonts w:ascii="Calibri" w:hAnsi="Calibri" w:cs="Calibri"/>
          <w:i/>
          <w:iCs/>
          <w:sz w:val="24"/>
        </w:rPr>
        <w:t>Diabetes Research and Clinical Practice</w:t>
      </w:r>
      <w:r w:rsidRPr="008B0956">
        <w:rPr>
          <w:rFonts w:ascii="Calibri" w:hAnsi="Calibri" w:cs="Calibri"/>
          <w:sz w:val="24"/>
        </w:rPr>
        <w:t>, 89(1), pp. 22–29. Available at: https://doi.org/10.1016/j.diabres.2010.03.017.</w:t>
      </w:r>
    </w:p>
    <w:p w14:paraId="6CCE6F19" w14:textId="7649F360"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Tegegne, M.D. </w:t>
      </w:r>
      <w:r w:rsidRPr="008B0956">
        <w:rPr>
          <w:rFonts w:ascii="Calibri" w:hAnsi="Calibri" w:cs="Calibri"/>
          <w:i/>
          <w:iCs/>
          <w:sz w:val="24"/>
        </w:rPr>
        <w:t>et al.</w:t>
      </w:r>
      <w:r w:rsidRPr="008B0956">
        <w:rPr>
          <w:rFonts w:ascii="Calibri" w:hAnsi="Calibri" w:cs="Calibri"/>
          <w:sz w:val="24"/>
        </w:rPr>
        <w:t xml:space="preserve"> (2023) “Digital literacy level and associated factors among health professionals in a referral and teaching hospital: An implication for future digital health systems  implementation.” </w:t>
      </w:r>
      <w:r w:rsidRPr="008B0956">
        <w:rPr>
          <w:rFonts w:ascii="Calibri" w:hAnsi="Calibri" w:cs="Calibri"/>
          <w:i/>
          <w:iCs/>
          <w:sz w:val="24"/>
        </w:rPr>
        <w:t>Frontiers in public health</w:t>
      </w:r>
      <w:r w:rsidRPr="008B0956">
        <w:rPr>
          <w:rFonts w:ascii="Calibri" w:hAnsi="Calibri" w:cs="Calibri"/>
          <w:sz w:val="24"/>
        </w:rPr>
        <w:t>, 11, p. 1130894. Available at: https://doi.org/10.3389/fpubh.2023.1130894.</w:t>
      </w:r>
    </w:p>
    <w:p w14:paraId="4689082B" w14:textId="7D1A555E"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Tilden, D.R. </w:t>
      </w:r>
      <w:r w:rsidRPr="008B0956">
        <w:rPr>
          <w:rFonts w:ascii="Calibri" w:hAnsi="Calibri" w:cs="Calibri"/>
          <w:i/>
          <w:iCs/>
          <w:sz w:val="24"/>
        </w:rPr>
        <w:t>et al.</w:t>
      </w:r>
      <w:r w:rsidRPr="008B0956">
        <w:rPr>
          <w:rFonts w:ascii="Calibri" w:hAnsi="Calibri" w:cs="Calibri"/>
          <w:sz w:val="24"/>
        </w:rPr>
        <w:t xml:space="preserve"> (2024) “Disparities in Continuous Glucose Monitor Use Between Children With Type 1 Diabetes Living in Urban and Rural Areas,” </w:t>
      </w:r>
      <w:r w:rsidRPr="008B0956">
        <w:rPr>
          <w:rFonts w:ascii="Calibri" w:hAnsi="Calibri" w:cs="Calibri"/>
          <w:i/>
          <w:iCs/>
          <w:sz w:val="24"/>
        </w:rPr>
        <w:t>Diabetes care</w:t>
      </w:r>
      <w:r w:rsidRPr="008B0956">
        <w:rPr>
          <w:rFonts w:ascii="Calibri" w:hAnsi="Calibri" w:cs="Calibri"/>
          <w:sz w:val="24"/>
        </w:rPr>
        <w:t>, 47(3), pp. 346–352. Available at: https://doi.org/10.2337/dc23-1564.</w:t>
      </w:r>
    </w:p>
    <w:p w14:paraId="120B3DA7" w14:textId="5640556F"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Walker, D.M. </w:t>
      </w:r>
      <w:r w:rsidRPr="008B0956">
        <w:rPr>
          <w:rFonts w:ascii="Calibri" w:hAnsi="Calibri" w:cs="Calibri"/>
          <w:i/>
          <w:iCs/>
          <w:sz w:val="24"/>
        </w:rPr>
        <w:t>et al.</w:t>
      </w:r>
      <w:r w:rsidRPr="008B0956">
        <w:rPr>
          <w:rFonts w:ascii="Calibri" w:hAnsi="Calibri" w:cs="Calibri"/>
          <w:sz w:val="24"/>
        </w:rPr>
        <w:t xml:space="preserve"> (2023) “Perspectives on Challenges and Opportunities for Interoperability: Findings From Key Informant Interviews With Stakeholders in Ohio.” </w:t>
      </w:r>
      <w:r w:rsidRPr="008B0956">
        <w:rPr>
          <w:rFonts w:ascii="Calibri" w:hAnsi="Calibri" w:cs="Calibri"/>
          <w:i/>
          <w:iCs/>
          <w:sz w:val="24"/>
        </w:rPr>
        <w:t>JMIR medical informatics</w:t>
      </w:r>
      <w:r w:rsidRPr="008B0956">
        <w:rPr>
          <w:rFonts w:ascii="Calibri" w:hAnsi="Calibri" w:cs="Calibri"/>
          <w:sz w:val="24"/>
        </w:rPr>
        <w:t>, 11, p. e43848. Available at: https://doi.org/10.2196/43848.</w:t>
      </w:r>
    </w:p>
    <w:p w14:paraId="5448F5F3" w14:textId="6C0D5344" w:rsidR="008B0956" w:rsidRPr="008B0956" w:rsidRDefault="008B0956" w:rsidP="002E1BC0">
      <w:pPr>
        <w:pStyle w:val="Bibliography"/>
        <w:spacing w:line="360" w:lineRule="auto"/>
        <w:jc w:val="both"/>
        <w:rPr>
          <w:rFonts w:ascii="Calibri" w:hAnsi="Calibri" w:cs="Calibri"/>
          <w:sz w:val="24"/>
        </w:rPr>
      </w:pPr>
      <w:r w:rsidRPr="008B0956">
        <w:rPr>
          <w:rFonts w:ascii="Calibri" w:hAnsi="Calibri" w:cs="Calibri"/>
          <w:sz w:val="24"/>
        </w:rPr>
        <w:t xml:space="preserve">Zhang, K. </w:t>
      </w:r>
      <w:r w:rsidRPr="008B0956">
        <w:rPr>
          <w:rFonts w:ascii="Calibri" w:hAnsi="Calibri" w:cs="Calibri"/>
          <w:i/>
          <w:iCs/>
          <w:sz w:val="24"/>
        </w:rPr>
        <w:t>et al.</w:t>
      </w:r>
      <w:r w:rsidRPr="008B0956">
        <w:rPr>
          <w:rFonts w:ascii="Calibri" w:hAnsi="Calibri" w:cs="Calibri"/>
          <w:sz w:val="24"/>
        </w:rPr>
        <w:t xml:space="preserve"> (2025) “Future horizons in diabetes: integrating AI and </w:t>
      </w:r>
      <w:r w:rsidR="00585105">
        <w:rPr>
          <w:rFonts w:ascii="Calibri" w:hAnsi="Calibri" w:cs="Calibri"/>
          <w:sz w:val="24"/>
        </w:rPr>
        <w:t>personalised</w:t>
      </w:r>
      <w:r w:rsidRPr="008B0956">
        <w:rPr>
          <w:rFonts w:ascii="Calibri" w:hAnsi="Calibri" w:cs="Calibri"/>
          <w:sz w:val="24"/>
        </w:rPr>
        <w:t xml:space="preserve"> care.” </w:t>
      </w:r>
      <w:r w:rsidRPr="008B0956">
        <w:rPr>
          <w:rFonts w:ascii="Calibri" w:hAnsi="Calibri" w:cs="Calibri"/>
          <w:i/>
          <w:iCs/>
          <w:sz w:val="24"/>
        </w:rPr>
        <w:t>Frontiers in endocrinology</w:t>
      </w:r>
      <w:r w:rsidRPr="008B0956">
        <w:rPr>
          <w:rFonts w:ascii="Calibri" w:hAnsi="Calibri" w:cs="Calibri"/>
          <w:sz w:val="24"/>
        </w:rPr>
        <w:t>, 16, p. 1583227. Available at: https://doi.org/10.3389/fendo.2025.1583227.</w:t>
      </w:r>
    </w:p>
    <w:p w14:paraId="0E1053A8" w14:textId="77777777" w:rsidR="0063429B" w:rsidRPr="008C551C" w:rsidRDefault="008B0956" w:rsidP="002E1BC0">
      <w:pPr>
        <w:spacing w:line="360" w:lineRule="auto"/>
        <w:jc w:val="both"/>
        <w:rPr>
          <w:sz w:val="24"/>
          <w:szCs w:val="24"/>
        </w:rPr>
      </w:pPr>
      <w:r>
        <w:rPr>
          <w:sz w:val="24"/>
          <w:szCs w:val="24"/>
        </w:rPr>
        <w:fldChar w:fldCharType="end"/>
      </w:r>
    </w:p>
    <w:sectPr w:rsidR="0063429B" w:rsidRPr="008C55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26494"/>
    <w:multiLevelType w:val="hybridMultilevel"/>
    <w:tmpl w:val="B6185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951025"/>
    <w:multiLevelType w:val="hybridMultilevel"/>
    <w:tmpl w:val="8E165E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3221745">
    <w:abstractNumId w:val="1"/>
  </w:num>
  <w:num w:numId="2" w16cid:durableId="660696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A11"/>
    <w:rsid w:val="0000405F"/>
    <w:rsid w:val="00015882"/>
    <w:rsid w:val="0005405C"/>
    <w:rsid w:val="0006547B"/>
    <w:rsid w:val="000766DD"/>
    <w:rsid w:val="00094FBA"/>
    <w:rsid w:val="00095A44"/>
    <w:rsid w:val="000E05CE"/>
    <w:rsid w:val="000F3EAF"/>
    <w:rsid w:val="001565B8"/>
    <w:rsid w:val="001622BF"/>
    <w:rsid w:val="001640C5"/>
    <w:rsid w:val="00182873"/>
    <w:rsid w:val="0019524E"/>
    <w:rsid w:val="001A1DE2"/>
    <w:rsid w:val="001C5BD4"/>
    <w:rsid w:val="001E319E"/>
    <w:rsid w:val="00215D7C"/>
    <w:rsid w:val="00297F71"/>
    <w:rsid w:val="002D2A58"/>
    <w:rsid w:val="002E122B"/>
    <w:rsid w:val="002E1BC0"/>
    <w:rsid w:val="002E6A11"/>
    <w:rsid w:val="00321CF5"/>
    <w:rsid w:val="00347F98"/>
    <w:rsid w:val="00357510"/>
    <w:rsid w:val="00371F7A"/>
    <w:rsid w:val="00386AAC"/>
    <w:rsid w:val="0038718D"/>
    <w:rsid w:val="003D03A3"/>
    <w:rsid w:val="003E2C8C"/>
    <w:rsid w:val="0046326C"/>
    <w:rsid w:val="004C66C0"/>
    <w:rsid w:val="00501B1B"/>
    <w:rsid w:val="0050571C"/>
    <w:rsid w:val="00512ED1"/>
    <w:rsid w:val="00524110"/>
    <w:rsid w:val="00585105"/>
    <w:rsid w:val="00586A83"/>
    <w:rsid w:val="005A1012"/>
    <w:rsid w:val="0063429B"/>
    <w:rsid w:val="00696280"/>
    <w:rsid w:val="006A79A8"/>
    <w:rsid w:val="006D51D8"/>
    <w:rsid w:val="0073278D"/>
    <w:rsid w:val="00733B6A"/>
    <w:rsid w:val="007B6B80"/>
    <w:rsid w:val="007D6B4B"/>
    <w:rsid w:val="007E2A93"/>
    <w:rsid w:val="008500E2"/>
    <w:rsid w:val="008A78BB"/>
    <w:rsid w:val="008B0956"/>
    <w:rsid w:val="008C551C"/>
    <w:rsid w:val="008D7EA7"/>
    <w:rsid w:val="008D7F66"/>
    <w:rsid w:val="008E4060"/>
    <w:rsid w:val="0090021C"/>
    <w:rsid w:val="0090186D"/>
    <w:rsid w:val="0090406B"/>
    <w:rsid w:val="00945DE6"/>
    <w:rsid w:val="00986BD4"/>
    <w:rsid w:val="009E5FA2"/>
    <w:rsid w:val="00A12513"/>
    <w:rsid w:val="00A226E4"/>
    <w:rsid w:val="00A522F5"/>
    <w:rsid w:val="00A559F8"/>
    <w:rsid w:val="00A575FB"/>
    <w:rsid w:val="00A86FDB"/>
    <w:rsid w:val="00AD32F2"/>
    <w:rsid w:val="00AF10B6"/>
    <w:rsid w:val="00AF27E1"/>
    <w:rsid w:val="00AF5D23"/>
    <w:rsid w:val="00B151A5"/>
    <w:rsid w:val="00B8525E"/>
    <w:rsid w:val="00B9027B"/>
    <w:rsid w:val="00BF62F0"/>
    <w:rsid w:val="00BF672A"/>
    <w:rsid w:val="00C246C5"/>
    <w:rsid w:val="00C32731"/>
    <w:rsid w:val="00C3326F"/>
    <w:rsid w:val="00C47788"/>
    <w:rsid w:val="00C56837"/>
    <w:rsid w:val="00C93B84"/>
    <w:rsid w:val="00C9591E"/>
    <w:rsid w:val="00CC004F"/>
    <w:rsid w:val="00CD41AF"/>
    <w:rsid w:val="00CE1CF2"/>
    <w:rsid w:val="00CE6576"/>
    <w:rsid w:val="00D4057C"/>
    <w:rsid w:val="00D55753"/>
    <w:rsid w:val="00D7520A"/>
    <w:rsid w:val="00D959E6"/>
    <w:rsid w:val="00DE0DB8"/>
    <w:rsid w:val="00E23F06"/>
    <w:rsid w:val="00E34B20"/>
    <w:rsid w:val="00E74B0A"/>
    <w:rsid w:val="00ED12A2"/>
    <w:rsid w:val="00F7777F"/>
    <w:rsid w:val="00FB0E08"/>
    <w:rsid w:val="00FB1569"/>
    <w:rsid w:val="00FB600C"/>
    <w:rsid w:val="00FD5C77"/>
    <w:rsid w:val="00FF0C79"/>
    <w:rsid w:val="08A61382"/>
    <w:rsid w:val="146E5D15"/>
    <w:rsid w:val="2050DFE6"/>
    <w:rsid w:val="79E9D8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0F03C7"/>
  <w15:chartTrackingRefBased/>
  <w15:docId w15:val="{46464824-0430-4DA4-866C-F99DDB6C4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852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51C"/>
    <w:pPr>
      <w:ind w:left="720"/>
      <w:contextualSpacing/>
    </w:pPr>
  </w:style>
  <w:style w:type="character" w:customStyle="1" w:styleId="Heading1Char">
    <w:name w:val="Heading 1 Char"/>
    <w:basedOn w:val="DefaultParagraphFont"/>
    <w:link w:val="Heading1"/>
    <w:uiPriority w:val="9"/>
    <w:rsid w:val="00B8525E"/>
    <w:rPr>
      <w:rFonts w:asciiTheme="majorHAnsi" w:eastAsiaTheme="majorEastAsia" w:hAnsiTheme="majorHAnsi" w:cstheme="majorBidi"/>
      <w:color w:val="2E74B5" w:themeColor="accent1" w:themeShade="BF"/>
      <w:sz w:val="32"/>
      <w:szCs w:val="32"/>
      <w:lang w:val="en-GB"/>
    </w:rPr>
  </w:style>
  <w:style w:type="paragraph" w:styleId="Bibliography">
    <w:name w:val="Bibliography"/>
    <w:basedOn w:val="Normal"/>
    <w:next w:val="Normal"/>
    <w:uiPriority w:val="37"/>
    <w:unhideWhenUsed/>
    <w:rsid w:val="008B0956"/>
    <w:pPr>
      <w:spacing w:after="240" w:line="240" w:lineRule="auto"/>
    </w:pPr>
  </w:style>
  <w:style w:type="paragraph" w:styleId="TOC1">
    <w:name w:val="toc 1"/>
    <w:basedOn w:val="Normal"/>
    <w:next w:val="Normal"/>
    <w:uiPriority w:val="39"/>
    <w:unhideWhenUsed/>
    <w:rsid w:val="146E5D15"/>
    <w:pPr>
      <w:spacing w:after="100"/>
    </w:pPr>
  </w:style>
  <w:style w:type="character" w:styleId="Hyperlink">
    <w:name w:val="Hyperlink"/>
    <w:basedOn w:val="DefaultParagraphFont"/>
    <w:uiPriority w:val="99"/>
    <w:unhideWhenUsed/>
    <w:rsid w:val="146E5D1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13171</Words>
  <Characters>75081</Characters>
  <Application>Microsoft Office Word</Application>
  <DocSecurity>4</DocSecurity>
  <Lines>625</Lines>
  <Paragraphs>176</Paragraphs>
  <ScaleCrop>false</ScaleCrop>
  <Company/>
  <LinksUpToDate>false</LinksUpToDate>
  <CharactersWithSpaces>88076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Shaira Hussain (2314799)</cp:lastModifiedBy>
  <cp:revision>4</cp:revision>
  <dcterms:created xsi:type="dcterms:W3CDTF">2025-10-24T21:49:00Z</dcterms:created>
  <dcterms:modified xsi:type="dcterms:W3CDTF">2025-10-24T21:54:00Z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id="4W8IJ6BS"/&gt;&lt;style id="http://www.zotero.org/styles/harvard-cite-them-right" locale="en-US"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y fmtid="{D5CDD505-2E9C-101B-9397-08002B2CF9AE}" pid="4" name="GrammarlyDocumentId">
    <vt:lpwstr>18723229-1b33-4f7e-a3b1-24fc9f661c87</vt:lpwstr>
  </property>
</Properties>
</file>