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DC7F99">
        <w:t>Tom Herbert</w:t>
      </w:r>
    </w:p>
    <w:p w:rsidR="007E4409" w:rsidRDefault="00DC7F99">
      <w:r>
        <w:t>PC 6620</w:t>
      </w:r>
      <w:r w:rsidR="00575AC9">
        <w:t xml:space="preserve"> </w:t>
      </w:r>
      <w:r w:rsidR="007E4409">
        <w:t>South Wales Police</w:t>
      </w:r>
    </w:p>
    <w:p w:rsidR="0070091B" w:rsidRDefault="007E4409">
      <w:r>
        <w:t xml:space="preserve">Student Number: </w:t>
      </w:r>
      <w:r w:rsidR="00DC7F99">
        <w:t>1920681</w:t>
      </w:r>
    </w:p>
    <w:p w:rsidR="007E4409" w:rsidRDefault="00DC7F99">
      <w:r>
        <w:t>Exam 2 – 17/08</w:t>
      </w:r>
      <w:r w:rsidR="007E4409">
        <w:t>/2020</w:t>
      </w:r>
    </w:p>
    <w:p w:rsidR="00682F3B" w:rsidRDefault="00682F3B"/>
    <w:p w:rsidR="00682F3B" w:rsidRDefault="00682F3B">
      <w:r>
        <w:t>Question 1</w:t>
      </w:r>
    </w:p>
    <w:p w:rsidR="00682F3B" w:rsidRDefault="0070091B">
      <w:r>
        <w:t>A person driving a mechanically propelled vehicle on a road or other public place must stop when required to do so by a constable in uniform or a traffic officer.</w:t>
      </w:r>
      <w:r w:rsidR="00BA6974">
        <w:t xml:space="preserve"> Section 163(3) is the offence of failing to stop when required to do so.</w:t>
      </w:r>
    </w:p>
    <w:p w:rsidR="00682F3B" w:rsidRDefault="00682F3B"/>
    <w:p w:rsidR="00682F3B" w:rsidRDefault="00682F3B">
      <w:r>
        <w:t>Question 2</w:t>
      </w:r>
    </w:p>
    <w:p w:rsidR="00682F3B" w:rsidRDefault="0070091B">
      <w:r>
        <w:t>A constable may require a person to do a preliminary test if the officer has reasonable suspicion when in uniform or reasonable grounds to believe when not in uniform that the person is or was driving and has committed a moving road traffic offence.</w:t>
      </w:r>
      <w:r w:rsidR="00BA6974">
        <w:t xml:space="preserve"> The person must then do then preliminary test unless they have reasonable grounds not to do so which would usually be medical reasons. Section 6(6) is the offence of failing to provide a preliminary test.</w:t>
      </w:r>
    </w:p>
    <w:p w:rsidR="00682F3B" w:rsidRDefault="00682F3B"/>
    <w:p w:rsidR="00682F3B" w:rsidRDefault="00682F3B" w:rsidP="00682F3B">
      <w:r>
        <w:t>Question 3</w:t>
      </w:r>
    </w:p>
    <w:p w:rsidR="00682F3B" w:rsidRDefault="0070091B">
      <w:r>
        <w:t>Section 3 of the Road Traffic Act 1988 provides for driving without due care and attention or reasonable consideration, it states that a person commits an offence if they drive a mechanically propelled vehicle on a road or other public place without due care and attention or without reasonable consideration for the others using that road or place.</w:t>
      </w:r>
    </w:p>
    <w:p w:rsidR="00682F3B" w:rsidRDefault="00682F3B"/>
    <w:p w:rsidR="00682F3B" w:rsidRDefault="00682F3B" w:rsidP="00682F3B">
      <w:r>
        <w:t>Question 4</w:t>
      </w:r>
    </w:p>
    <w:p w:rsidR="00682F3B" w:rsidRDefault="0070091B">
      <w:r>
        <w:t>Automatism – an involuntary action</w:t>
      </w:r>
      <w:r w:rsidR="00BA6974">
        <w:t xml:space="preserve"> which affects driving such as sneezing</w:t>
      </w:r>
      <w:r>
        <w:t>,</w:t>
      </w:r>
      <w:r w:rsidR="00BA6974">
        <w:t xml:space="preserve"> the driver is</w:t>
      </w:r>
      <w:r>
        <w:t xml:space="preserve"> under duress, a mechanical</w:t>
      </w:r>
      <w:r w:rsidR="00BA6974">
        <w:t xml:space="preserve"> fault or failure, the drivers’</w:t>
      </w:r>
      <w:r>
        <w:t xml:space="preserve"> actions were reasonable in all the circumstances,</w:t>
      </w:r>
      <w:r w:rsidR="00BA6974">
        <w:t xml:space="preserve"> a medical emergency or other medical reasoning as to why the driving was driving in such a way.</w:t>
      </w:r>
      <w:r>
        <w:t xml:space="preserve"> </w:t>
      </w:r>
    </w:p>
    <w:p w:rsidR="00682F3B" w:rsidRDefault="00682F3B"/>
    <w:p w:rsidR="00682F3B" w:rsidRDefault="00682F3B" w:rsidP="00682F3B">
      <w:r>
        <w:t>Question 5</w:t>
      </w:r>
    </w:p>
    <w:p w:rsidR="00682F3B" w:rsidRDefault="0070091B">
      <w:r>
        <w:t xml:space="preserve">If a motor vehicle is or has been driven with no insurance or no driving licence/ been driven otherwise </w:t>
      </w:r>
      <w:r w:rsidR="00BA6974">
        <w:t>that in accordance with a licenc</w:t>
      </w:r>
      <w:r>
        <w:t>e or has failed to stop and the constable has reason</w:t>
      </w:r>
      <w:r w:rsidR="00BA6974">
        <w:t xml:space="preserve"> to believe any of the above is</w:t>
      </w:r>
      <w:r>
        <w:t xml:space="preserve"> true then the vehicle may be </w:t>
      </w:r>
      <w:r w:rsidR="00BA6974">
        <w:t xml:space="preserve">stopped and </w:t>
      </w:r>
      <w:r>
        <w:t>seized. There is a power of entry here but the vehicle must be seized within 24 hours of having failed to stop.</w:t>
      </w:r>
    </w:p>
    <w:p w:rsidR="00682F3B" w:rsidRDefault="00682F3B"/>
    <w:p w:rsidR="00682F3B" w:rsidRDefault="00682F3B" w:rsidP="00682F3B">
      <w:r>
        <w:t>Question 6</w:t>
      </w:r>
    </w:p>
    <w:p w:rsidR="00682F3B" w:rsidRDefault="0070091B">
      <w:r>
        <w:lastRenderedPageBreak/>
        <w:t>Owing to the presence of a mechanically propelled vehicle on a road or other public place, an accident occurs whe</w:t>
      </w:r>
      <w:r w:rsidR="00BA6974">
        <w:t>reby:</w:t>
      </w:r>
      <w:r>
        <w:t xml:space="preserve"> personal injury is caused to a person or </w:t>
      </w:r>
      <w:r w:rsidR="00BA6974">
        <w:t>damage is caused to the vehicle or an animal</w:t>
      </w:r>
      <w:r>
        <w:t xml:space="preserve"> or damage is done to any other property </w:t>
      </w:r>
      <w:r w:rsidR="00BA6974">
        <w:t xml:space="preserve">either </w:t>
      </w:r>
      <w:r>
        <w:t>constructed</w:t>
      </w:r>
      <w:r w:rsidR="00BA6974">
        <w:t xml:space="preserve"> on</w:t>
      </w:r>
      <w:r>
        <w:t xml:space="preserve">, fixed to or </w:t>
      </w:r>
      <w:r w:rsidR="00BA6974">
        <w:t>g</w:t>
      </w:r>
      <w:r>
        <w:t>rowing on the land or on any land adjacent to where the accident has occurs.</w:t>
      </w:r>
    </w:p>
    <w:p w:rsidR="00682F3B" w:rsidRDefault="00682F3B"/>
    <w:p w:rsidR="00682F3B" w:rsidRDefault="00682F3B" w:rsidP="00682F3B">
      <w:r>
        <w:t>Question 7</w:t>
      </w:r>
    </w:p>
    <w:p w:rsidR="00682F3B" w:rsidRDefault="004E46E4">
      <w:r>
        <w:t>A road is anything constructed or made for use by motor vehicles and includes passageways over bridges. A public place is any place to which the public has access to, paid or otherwise. A mechanically propelled vehicle is a vehicle which is propelled by steam, petrol,</w:t>
      </w:r>
      <w:r w:rsidR="00BA6974">
        <w:t xml:space="preserve"> diesel,</w:t>
      </w:r>
      <w:r>
        <w:t xml:space="preserve"> gas, electricity or anything else.</w:t>
      </w:r>
      <w:r w:rsidR="00BA6974">
        <w:t xml:space="preserve"> An animal is a living organism which is living on a bit of land and includes an ass, donkey, horse, cow, dog or pig.</w:t>
      </w:r>
    </w:p>
    <w:p w:rsidR="00682F3B" w:rsidRDefault="00682F3B"/>
    <w:p w:rsidR="00682F3B" w:rsidRDefault="00682F3B" w:rsidP="00682F3B">
      <w:r>
        <w:t>Question 8</w:t>
      </w:r>
    </w:p>
    <w:p w:rsidR="008D3BC6" w:rsidRDefault="004E46E4" w:rsidP="008D3BC6">
      <w:r>
        <w:t>A driver of a motor vehicle must stop and remain at the scene of an accident long enough to allow a person with reasonable grounds to do so to ask for details. Section 170(4) makes it an offence to fail to stop and report an accident and section 170(7) makes it an offence to fail to provide proof of insurance following a personal injury accident.</w:t>
      </w:r>
      <w:r w:rsidR="008D3BC6">
        <w:t xml:space="preserve"> Should a person not stop at a reportable traffic collision then they must report it in person to a police constable or at the police station as soon as is practicable. In all cases this must be within 24 hours.</w:t>
      </w:r>
      <w:r>
        <w:t xml:space="preserve"> </w:t>
      </w:r>
      <w:r w:rsidR="008D3BC6">
        <w:t xml:space="preserve">A person may also be required to produce their driving license and proof of insurance to a police constable or within 7 days at the police station. </w:t>
      </w:r>
      <w:r>
        <w:t xml:space="preserve">A reportable road traffic collision occurs </w:t>
      </w:r>
      <w:r w:rsidR="008D3BC6">
        <w:t>owing to the presence of a mechanically propelled vehicle on a road or other public place, an accident occurs whereby: personal injury is caused to a person or damage is caused to the vehicle or an animal or damage is done to any other property either constructed on, fixed to or growing on the land or on any land adjacent to where the accident has occurs.</w:t>
      </w:r>
    </w:p>
    <w:p w:rsidR="00682F3B" w:rsidRDefault="00682F3B"/>
    <w:p w:rsidR="008D3BC6" w:rsidRDefault="008D3BC6"/>
    <w:p w:rsidR="00682F3B" w:rsidRDefault="00682F3B"/>
    <w:p w:rsidR="00682F3B" w:rsidRDefault="00682F3B" w:rsidP="00682F3B">
      <w:r>
        <w:t>Question 9</w:t>
      </w:r>
    </w:p>
    <w:p w:rsidR="00682F3B" w:rsidRDefault="008D3BC6">
      <w:r>
        <w:t>A constable may enter any premises to which he has reasonable grounds to believe a person is on</w:t>
      </w:r>
      <w:r w:rsidR="004E46E4">
        <w:t xml:space="preserve"> to arrest someone who has given a positive preliminary test result or has failed to provide a preliminary test and the officer has reasonable grounds to suspect that that person was driving under the influence of drink or drugs. A constable also has a power of entry to require a person to do a preliminary test when he has reasonable grounds to believe that they were driving under the influence of drink or drugs, have been driving under the influence of drink or drugs, has been driving and committed a moving traffic offence or was driving at the time of a road traffic collision or other accident. </w:t>
      </w:r>
      <w:r w:rsidR="00AF404B">
        <w:t>Should the person then fail to co-operate with the preliminary test then the powers of arrest under Section 6D(1) and Section 6D(2) would allow you to arrest that person on the premises.</w:t>
      </w:r>
    </w:p>
    <w:p w:rsidR="00682F3B" w:rsidRDefault="00682F3B"/>
    <w:p w:rsidR="00682F3B" w:rsidRDefault="00682F3B" w:rsidP="00682F3B">
      <w:r>
        <w:t>Question 10</w:t>
      </w:r>
    </w:p>
    <w:p w:rsidR="00682F3B" w:rsidRDefault="004E46E4">
      <w:r>
        <w:lastRenderedPageBreak/>
        <w:t xml:space="preserve">A person who causes the death of another person by driving a mechanically propelled vehicle dangerously </w:t>
      </w:r>
      <w:r w:rsidR="002B5B09">
        <w:t>on a road or other public place.</w:t>
      </w:r>
    </w:p>
    <w:p w:rsidR="00682F3B" w:rsidRDefault="00682F3B"/>
    <w:p w:rsidR="00682F3B" w:rsidRDefault="00682F3B" w:rsidP="00682F3B">
      <w:r>
        <w:t>Question 11</w:t>
      </w:r>
    </w:p>
    <w:p w:rsidR="00682F3B" w:rsidRDefault="002B5B09">
      <w:r>
        <w:t xml:space="preserve">The prescribed limits for alcohol are 35mg/1000 in breath, 80mg/1000 in blood or 107mg/1000 in your urine.  </w:t>
      </w:r>
    </w:p>
    <w:p w:rsidR="00682F3B" w:rsidRDefault="002B5B09">
      <w:r>
        <w:t>The prescribed limits for weed is 2mg/1000 in your blood.</w:t>
      </w:r>
    </w:p>
    <w:p w:rsidR="00AF404B" w:rsidRDefault="00AF404B">
      <w:r>
        <w:t>When a person tests over this limits and has been driving or attempting to drive or in charge of a vehicle then they commit an offence. They will then need to be tested on the evidential machines in the police station to prove the offence.</w:t>
      </w:r>
    </w:p>
    <w:p w:rsidR="00682F3B" w:rsidRDefault="00682F3B" w:rsidP="00682F3B">
      <w:r>
        <w:t>Question 12</w:t>
      </w:r>
    </w:p>
    <w:p w:rsidR="00682F3B" w:rsidRDefault="002B5B09">
      <w:r>
        <w:t>A solicitor could be present at a suspect interview and their role is to provide free legal advice to their client and ensure the polic</w:t>
      </w:r>
      <w:r w:rsidR="00D31572">
        <w:t>e act within the law and uphold</w:t>
      </w:r>
      <w:r>
        <w:t xml:space="preserve"> the requirements set out in PACE 1984. </w:t>
      </w:r>
      <w:r w:rsidR="00D31572">
        <w:t xml:space="preserve">A solicitor may not answer for their client but will direct them on what to say and any relevant points of law. </w:t>
      </w:r>
      <w:r>
        <w:t>An appropriate adult may also be present if the suspect if vulnerable, their role is different from a solicitor as they are simply they to ensure that the suspect understands what is going on and to aids communicate between the interviewers and the suspect. They should not give legal advice to the suspect not answer questions for them.</w:t>
      </w:r>
      <w:r w:rsidR="00D31572">
        <w:t xml:space="preserve"> A second interviewer may also be present in a suspect interview and their role is to provide support for the first interviewer and to ensure best evidence is gained.</w:t>
      </w:r>
    </w:p>
    <w:p w:rsidR="00682F3B" w:rsidRDefault="00682F3B"/>
    <w:p w:rsidR="00682F3B" w:rsidRDefault="00682F3B" w:rsidP="00682F3B">
      <w:r>
        <w:t>Question 13</w:t>
      </w:r>
    </w:p>
    <w:p w:rsidR="00682F3B" w:rsidRDefault="002B5B09">
      <w:r>
        <w:t>The national police interviewing model was set up after PACE 1984 and is known as the PEACE model. It helps to ensure all interviews are professional and gain best evidence. The first stage is planning and preparation and involves doing work before conducting the interview to plan what questions you may ask and how you would like the interview to go. The next stage is the engage and explain stage and this starts as soon as the person arrives for the interview. The person should be told about the interview and what to expect as well as being made to feel welcomed. The next stage is the account, here interviewers ask open questions to allow the person being interviewed to explain what has happened in as much details as they wish.</w:t>
      </w:r>
      <w:r w:rsidR="00C43316">
        <w:t xml:space="preserve"> They should not be interrupted at this point and allowed to free flow. The next stage is the clarify and challenge stage and is where the interviewer may ask closed questions and probe more into the topics of a person account. They may also challenge the persons account by bringing up any evidence to hand. The final stage is the ending where the person should be told about what to expect next and so on.</w:t>
      </w:r>
      <w:r w:rsidR="00D31572">
        <w:t xml:space="preserve"> </w:t>
      </w:r>
    </w:p>
    <w:p w:rsidR="00682F3B" w:rsidRDefault="00682F3B"/>
    <w:p w:rsidR="00682F3B" w:rsidRDefault="00682F3B" w:rsidP="00682F3B">
      <w:r>
        <w:t>Question 14</w:t>
      </w:r>
    </w:p>
    <w:p w:rsidR="00682F3B" w:rsidRDefault="00E03B9C">
      <w:r>
        <w:t xml:space="preserve">Any acts or range of acts designed to make a person subordinate/ dependant by isolating them from sources of support, exploiting their resources </w:t>
      </w:r>
      <w:r w:rsidR="00D31572">
        <w:t>or capacities for personal gain</w:t>
      </w:r>
      <w:r>
        <w:t xml:space="preserve"> or depriving them of the means needed for independence, resistance or escape. </w:t>
      </w:r>
    </w:p>
    <w:p w:rsidR="00682F3B" w:rsidRDefault="00682F3B"/>
    <w:p w:rsidR="00682F3B" w:rsidRDefault="00682F3B" w:rsidP="00682F3B">
      <w:r>
        <w:lastRenderedPageBreak/>
        <w:t>Question 15</w:t>
      </w:r>
    </w:p>
    <w:p w:rsidR="00682F3B" w:rsidRDefault="00E03B9C">
      <w:r>
        <w:t>It allows the police to prosecute people who abuse others via means which are not always physical. It recognises that domestic abuse and control is not all about physical stuff and is also a mental and financial offence. The offence is also easier to prove as there is no need for physical injuries so the police can prosecute on things that happen behind closed doors and are more secretive.</w:t>
      </w:r>
      <w:r w:rsidR="00D31572">
        <w:t xml:space="preserve"> </w:t>
      </w:r>
    </w:p>
    <w:p w:rsidR="00682F3B" w:rsidRDefault="00682F3B"/>
    <w:p w:rsidR="00682F3B" w:rsidRDefault="00682F3B" w:rsidP="00682F3B">
      <w:r>
        <w:t>Question 16</w:t>
      </w:r>
    </w:p>
    <w:p w:rsidR="00682F3B" w:rsidRDefault="00D31572">
      <w:r>
        <w:t xml:space="preserve">Section 46 Children Act 1989 allows the police to use police protection orders. </w:t>
      </w:r>
      <w:r w:rsidR="00E03B9C">
        <w:t>Section 46 states that if a constable has reason to believe that a child would otherwise likely suffer significant harm then the constable may: remove that child to suitable accommodation and keep them there or take such steps as are reasonable to ensure the removal of that child from any hospital or any other accommodation in which they are being accommodated, is prevented. If I had reason to believe this then I would be taking that child out of the environment and looking to contact social services to ensure they get into care. My first goal would always be to safeguard that child and prevent any harm from occurring. An independent officer usually an inspector or above would then look at all the circumstances that the child was brought into care and review it.</w:t>
      </w:r>
      <w:r>
        <w:t xml:space="preserve"> However, under no circumstances, may a child be kept in police care for longer than 72 hours.</w:t>
      </w:r>
    </w:p>
    <w:p w:rsidR="00682F3B" w:rsidRDefault="00682F3B"/>
    <w:p w:rsidR="00682F3B" w:rsidRDefault="00682F3B" w:rsidP="00682F3B">
      <w:r>
        <w:t>Question 17</w:t>
      </w:r>
    </w:p>
    <w:p w:rsidR="00E03B9C" w:rsidRDefault="00E03B9C" w:rsidP="00682F3B">
      <w:r>
        <w:t xml:space="preserve">A person over the </w:t>
      </w:r>
      <w:r w:rsidR="00A40BDF">
        <w:t xml:space="preserve">age of 16, </w:t>
      </w:r>
      <w:r w:rsidR="00D31572">
        <w:t xml:space="preserve">who </w:t>
      </w:r>
      <w:r w:rsidR="00A40BDF">
        <w:t>having responsibility for a child under the age of 16, wilfully assaults, ill-treats, neglects,</w:t>
      </w:r>
      <w:r w:rsidR="00D31572">
        <w:t xml:space="preserve"> abandons or expose the child</w:t>
      </w:r>
      <w:r w:rsidR="00A40BDF">
        <w:t xml:space="preserve"> in a way that would </w:t>
      </w:r>
      <w:r w:rsidR="00D31572">
        <w:t xml:space="preserve">likely </w:t>
      </w:r>
      <w:r w:rsidR="00A40BDF">
        <w:t>cause the child to suffer significant physical harm or any psychological harm which would affect the development of that child.</w:t>
      </w:r>
    </w:p>
    <w:p w:rsidR="00682F3B" w:rsidRDefault="00682F3B"/>
    <w:p w:rsidR="00682F3B" w:rsidRDefault="00682F3B"/>
    <w:p w:rsidR="00682F3B" w:rsidRDefault="00682F3B" w:rsidP="00682F3B">
      <w:r>
        <w:t>Question 18</w:t>
      </w:r>
    </w:p>
    <w:p w:rsidR="00682F3B" w:rsidRDefault="00A40BDF">
      <w:r>
        <w:t>The domestic abuse, stalking and harassment model should always be looked at, known as the DASH model. This is a set of 29 questions which grade the situation and puts incidents into categories of normal, medium or high risk. The results of that will allow the police to put extra safeguarding measures in place or contact other services for extra support.</w:t>
      </w:r>
      <w:r w:rsidR="00D31572">
        <w:t xml:space="preserve"> This model looks at all the factors affecting person and allows Police to categories certain incidents. It also allows Police to link certain incidents together and build up a better picture of previous events as the DASH model should alway</w:t>
      </w:r>
      <w:r w:rsidR="00306694">
        <w:t>s be used in such incidents alongside a public protection notification.</w:t>
      </w:r>
    </w:p>
    <w:p w:rsidR="00682F3B" w:rsidRDefault="00682F3B"/>
    <w:p w:rsidR="00682F3B" w:rsidRDefault="00682F3B" w:rsidP="00682F3B">
      <w:r>
        <w:t>Question 19</w:t>
      </w:r>
    </w:p>
    <w:p w:rsidR="00682F3B" w:rsidRDefault="00A40BDF">
      <w:r>
        <w:t>This process should always include the name of the person to whom it is attached to and also all the circumstances leading up to its submittal. It should include the actions taken as well as the thoughts of the officer on the current situation. It should be marked with a risk level and brought to the attention of any relevant external agencies to ensure the best possible safeguarding</w:t>
      </w:r>
      <w:r w:rsidR="00F47276">
        <w:t xml:space="preserve"> is done.  A PPN must always be put in whenever attending a DASH incident and aims to bring greater protection to </w:t>
      </w:r>
      <w:r w:rsidR="00F47276">
        <w:lastRenderedPageBreak/>
        <w:t xml:space="preserve">vulnerable and repeat victims. </w:t>
      </w:r>
      <w:r w:rsidR="00C52F24">
        <w:t xml:space="preserve">All PPNs must be evidence on the occurrence log of the incident as well as being sent to PVPU. This allows all officers to see when a PPN has been put in and can be used as evidence of safeguarding. </w:t>
      </w:r>
    </w:p>
    <w:p w:rsidR="00682F3B" w:rsidRDefault="00682F3B"/>
    <w:p w:rsidR="00682F3B" w:rsidRDefault="00682F3B" w:rsidP="00682F3B">
      <w:r>
        <w:t>Question 20</w:t>
      </w:r>
    </w:p>
    <w:p w:rsidR="00682F3B" w:rsidRDefault="00A40BDF">
      <w:r>
        <w:t>A domestic violence protection notice helps to safeguard victims in the immediate aftermath of a domestic violence incidents. A DVPN is applied for under S</w:t>
      </w:r>
      <w:r w:rsidR="00C52F24">
        <w:t xml:space="preserve">ection </w:t>
      </w:r>
      <w:r>
        <w:t xml:space="preserve">24 usually by a superintendent, the DVPN must include prohibitions and will usually only last 48 hours. </w:t>
      </w:r>
      <w:r w:rsidR="00C52F24">
        <w:t xml:space="preserve">This is a victimless process but the thoughts of the victim should be taken into account when applying for a DVPN. </w:t>
      </w:r>
      <w:r>
        <w:t xml:space="preserve">After a DVPN has been sort, it must be heard in a magistrates court within 48 hours where the police will apply to make it a DVPO. This is granted by the magistrates and is similar to a DVPN as it has prohibitions but this may last between 14 and 28 days. If a person </w:t>
      </w:r>
      <w:r w:rsidR="009569EB">
        <w:t>breaches this then it is an arrestable offence and is dealt with under S63 Magistrates Court Act as contempt of court.</w:t>
      </w:r>
    </w:p>
    <w:p w:rsidR="00682F3B" w:rsidRDefault="00682F3B"/>
    <w:p w:rsidR="00682F3B" w:rsidRDefault="00682F3B" w:rsidP="00682F3B">
      <w:r>
        <w:t>Question 21</w:t>
      </w:r>
    </w:p>
    <w:p w:rsidR="00682F3B" w:rsidRDefault="009569EB">
      <w:r>
        <w:t xml:space="preserve">Child sexual exploitation is where a person abuses their position of power to make a child engage in sexual activity with themselves or others. This may take form in the inappropriate relationships or the fake boyfriend model. There is a grooming phase first </w:t>
      </w:r>
      <w:r w:rsidR="004423CA">
        <w:t xml:space="preserve">where the child may be made to feel like they are loved or be given loads of presents to make them feel wanted. A major sign of child sexual exploitation is unexplained gifts or staying out very late. </w:t>
      </w:r>
      <w:r w:rsidR="00C52F24">
        <w:t>Sometimes the child may not even be aware that they are being abused.</w:t>
      </w:r>
      <w:r w:rsidR="00EF3E8B">
        <w:t xml:space="preserve"> Children who lack friends of their own age or live in a hostile and unstable household are most vulnerable to child sexual exploitation.</w:t>
      </w:r>
      <w:r w:rsidR="00C52F24">
        <w:t xml:space="preserve"> </w:t>
      </w:r>
      <w:r w:rsidR="004423CA">
        <w:t>There is no actual offence of child sexual exploitation but Section 14 Sexual Offences Act 2003 states an offence of causing or allowing a child to enter into sexual activity and Section 15 Sexual Offences Act 2003 states an offence of meeting a child following sexual grooming. The Children Act 2004 says that child under 18 may not consent to their own sexual abuse in child sexual exploitation causes. A child abduction warning notice may be applied to individuals who place child at risk of offences being committed against them under S2 Child Abduction Act 1984 is the child is under 16 or S49 Children Act 1989 if the child is under 18 and in local authority care.</w:t>
      </w:r>
    </w:p>
    <w:p w:rsidR="00682F3B" w:rsidRDefault="00682F3B" w:rsidP="00682F3B">
      <w:r>
        <w:t>Question 22</w:t>
      </w:r>
    </w:p>
    <w:p w:rsidR="00682F3B" w:rsidRDefault="009569EB">
      <w:r>
        <w:t xml:space="preserve">A person (A) commits rape if </w:t>
      </w:r>
      <w:r w:rsidR="00EF3E8B">
        <w:t xml:space="preserve">he </w:t>
      </w:r>
      <w:r>
        <w:t>intentionally penetrates the vagina, anus or mouth of another person (B) with his penis and (B) does not consent to the penetration and (A) does not reasonably believe that (B) consents.</w:t>
      </w:r>
    </w:p>
    <w:p w:rsidR="00682F3B" w:rsidRDefault="00682F3B"/>
    <w:p w:rsidR="00682F3B" w:rsidRDefault="00682F3B" w:rsidP="00682F3B">
      <w:r>
        <w:t>Question 23</w:t>
      </w:r>
    </w:p>
    <w:p w:rsidR="00682F3B" w:rsidRDefault="009569EB">
      <w:r>
        <w:t xml:space="preserve">Section 75(A) states that if it is proved in court that: 1. The defendant did the sexual act, 2. Any of the </w:t>
      </w:r>
      <w:r w:rsidR="00EF3E8B">
        <w:t xml:space="preserve">stated </w:t>
      </w:r>
      <w:r>
        <w:t>circumstances existed and 3. The defen</w:t>
      </w:r>
      <w:r w:rsidR="00EF3E8B">
        <w:t xml:space="preserve">dant knew that the stated circumstances existed </w:t>
      </w:r>
      <w:r>
        <w:t>then it is held that the victim did not consent. Section 75(B) states the cir</w:t>
      </w:r>
      <w:r w:rsidR="00EF3E8B">
        <w:t>cumstances to which Section 75(A</w:t>
      </w:r>
      <w:r>
        <w:t>) applies to as the person being held without their</w:t>
      </w:r>
      <w:r w:rsidR="00EF3E8B">
        <w:t xml:space="preserve"> consent, the person</w:t>
      </w:r>
      <w:r>
        <w:t xml:space="preserve"> is under duress, the person is unconscious or the person has been administered without their consent any substance capable of overpowering or stupefying.</w:t>
      </w:r>
    </w:p>
    <w:p w:rsidR="00682F3B" w:rsidRDefault="00682F3B"/>
    <w:p w:rsidR="00682F3B" w:rsidRDefault="00682F3B" w:rsidP="00682F3B">
      <w:r>
        <w:t>Question 24</w:t>
      </w:r>
    </w:p>
    <w:p w:rsidR="00682F3B" w:rsidRDefault="004423CA">
      <w:r>
        <w:t>A constable may enter and search any premises occupied or controlled by a person under arrest for an indictable or either way offence if the constable has reasona</w:t>
      </w:r>
      <w:r w:rsidR="00EF3E8B">
        <w:t>ble grounds to believe that there</w:t>
      </w:r>
      <w:r>
        <w:t xml:space="preserve"> is evidence on that p</w:t>
      </w:r>
      <w:r w:rsidR="00EF3E8B">
        <w:t>remises relating to the offence for which they were arrested</w:t>
      </w:r>
      <w:r w:rsidR="00DC516B">
        <w:t xml:space="preserve"> for</w:t>
      </w:r>
      <w:r>
        <w:t xml:space="preserve"> or another indictable offe</w:t>
      </w:r>
      <w:r w:rsidR="00DC516B">
        <w:t>nce which is similar or connected to</w:t>
      </w:r>
      <w:r>
        <w:t xml:space="preserve"> that offence. An inspector must authorise a constable to carry out this type of search.</w:t>
      </w:r>
    </w:p>
    <w:p w:rsidR="00682F3B" w:rsidRDefault="00682F3B"/>
    <w:p w:rsidR="00682F3B" w:rsidRDefault="00682F3B" w:rsidP="00682F3B">
      <w:r>
        <w:t>Question 25</w:t>
      </w:r>
    </w:p>
    <w:p w:rsidR="00682F3B" w:rsidRDefault="004423CA" w:rsidP="00682F3B">
      <w:r>
        <w:t>Section 19 PACE relates to the powers of seizure which the police possess. The police may seize any ‘connected property’ to an offence. This means any property which relates to the commission of an offence or has been obtained through the commission of any offence. The power of seizure is wide reaching and the constable must have reason to believe it is connected to an offence. It does not need to be connected directly to an offence for which the person has been arrested for, but in order to seize property believed to be connected to a different offence then that offence must be an indictable offence only.</w:t>
      </w:r>
      <w:r w:rsidR="00FD2880">
        <w:t xml:space="preserve"> </w:t>
      </w:r>
      <w:r w:rsidR="00212424">
        <w:t xml:space="preserve">The power of seizure under Section 19(1) covers all offences committed by a person. </w:t>
      </w:r>
      <w:bookmarkStart w:id="0" w:name="_GoBack"/>
      <w:bookmarkEnd w:id="0"/>
    </w:p>
    <w:p w:rsidR="00682F3B" w:rsidRDefault="00682F3B" w:rsidP="00682F3B"/>
    <w:sectPr w:rsidR="00682F3B" w:rsidSect="00E73B66">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3E8B" w:rsidRDefault="00EF3E8B" w:rsidP="00E73B66">
      <w:pPr>
        <w:spacing w:after="0" w:line="240" w:lineRule="auto"/>
      </w:pPr>
      <w:r>
        <w:separator/>
      </w:r>
    </w:p>
  </w:endnote>
  <w:endnote w:type="continuationSeparator" w:id="0">
    <w:p w:rsidR="00EF3E8B" w:rsidRDefault="00EF3E8B" w:rsidP="00E73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E8B" w:rsidRDefault="00FD2281" w:rsidP="00FD2281">
    <w:pPr>
      <w:pStyle w:val="Footer"/>
      <w:rPr>
        <w:color w:val="000000"/>
        <w:sz w:val="17"/>
      </w:rPr>
    </w:pPr>
    <w:bookmarkStart w:id="3" w:name="TITUS1FooterEvenPages"/>
    <w:r>
      <w:rPr>
        <w:color w:val="000000"/>
        <w:sz w:val="17"/>
      </w:rPr>
      <w:t> </w:t>
    </w:r>
  </w:p>
  <w:bookmarkEnd w:id="3"/>
  <w:p w:rsidR="00EF3E8B" w:rsidRDefault="00EF3E8B" w:rsidP="00C43316">
    <w:pPr>
      <w:pStyle w:val="Footer"/>
    </w:pPr>
  </w:p>
  <w:p w:rsidR="00EF3E8B" w:rsidRDefault="00EF3E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E8B" w:rsidRDefault="00FD2281" w:rsidP="00FD2281">
    <w:pPr>
      <w:pStyle w:val="Footer"/>
      <w:rPr>
        <w:color w:val="000000"/>
        <w:sz w:val="17"/>
      </w:rPr>
    </w:pPr>
    <w:bookmarkStart w:id="4" w:name="TITUS1FooterPrimary"/>
    <w:r>
      <w:rPr>
        <w:color w:val="000000"/>
        <w:sz w:val="17"/>
      </w:rPr>
      <w:t> </w:t>
    </w:r>
  </w:p>
  <w:bookmarkEnd w:id="4"/>
  <w:p w:rsidR="00EF3E8B" w:rsidRDefault="00EF3E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E8B" w:rsidRDefault="00FD2281" w:rsidP="00FD2281">
    <w:pPr>
      <w:pStyle w:val="Footer"/>
      <w:rPr>
        <w:color w:val="000000"/>
        <w:sz w:val="17"/>
      </w:rPr>
    </w:pPr>
    <w:bookmarkStart w:id="6" w:name="TITUS1FooterFirstPage"/>
    <w:r>
      <w:rPr>
        <w:color w:val="000000"/>
        <w:sz w:val="17"/>
      </w:rPr>
      <w:t> </w:t>
    </w:r>
  </w:p>
  <w:bookmarkEnd w:id="6"/>
  <w:p w:rsidR="00EF3E8B" w:rsidRDefault="00EF3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3E8B" w:rsidRDefault="00EF3E8B" w:rsidP="00E73B66">
      <w:pPr>
        <w:spacing w:after="0" w:line="240" w:lineRule="auto"/>
      </w:pPr>
      <w:r>
        <w:separator/>
      </w:r>
    </w:p>
  </w:footnote>
  <w:footnote w:type="continuationSeparator" w:id="0">
    <w:p w:rsidR="00EF3E8B" w:rsidRDefault="00EF3E8B" w:rsidP="00E73B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E8B" w:rsidRDefault="00FD2281" w:rsidP="00FD2281">
    <w:pPr>
      <w:pStyle w:val="Header"/>
      <w:rPr>
        <w:color w:val="000000"/>
        <w:sz w:val="17"/>
      </w:rPr>
    </w:pPr>
    <w:bookmarkStart w:id="1" w:name="TITUS1HeaderEvenPages"/>
    <w:r>
      <w:rPr>
        <w:color w:val="000000"/>
        <w:sz w:val="17"/>
      </w:rPr>
      <w:t> </w:t>
    </w:r>
  </w:p>
  <w:bookmarkEnd w:id="1"/>
  <w:p w:rsidR="00EF3E8B" w:rsidRDefault="00EF3E8B" w:rsidP="00C43316">
    <w:pPr>
      <w:pStyle w:val="Header"/>
    </w:pPr>
  </w:p>
  <w:p w:rsidR="00EF3E8B" w:rsidRDefault="00EF3E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E8B" w:rsidRDefault="00FD2281" w:rsidP="00FD2281">
    <w:pPr>
      <w:pStyle w:val="Header"/>
      <w:rPr>
        <w:color w:val="000000"/>
        <w:sz w:val="17"/>
      </w:rPr>
    </w:pPr>
    <w:bookmarkStart w:id="2" w:name="TITUS1HeaderPrimary"/>
    <w:r>
      <w:rPr>
        <w:color w:val="000000"/>
        <w:sz w:val="17"/>
      </w:rPr>
      <w:t> </w:t>
    </w:r>
  </w:p>
  <w:bookmarkEnd w:id="2"/>
  <w:p w:rsidR="00EF3E8B" w:rsidRDefault="00EF3E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E8B" w:rsidRDefault="00FD2281" w:rsidP="00FD2281">
    <w:pPr>
      <w:pStyle w:val="Header"/>
      <w:rPr>
        <w:color w:val="000000"/>
        <w:sz w:val="17"/>
      </w:rPr>
    </w:pPr>
    <w:bookmarkStart w:id="5" w:name="TITUS1HeaderFirstPage"/>
    <w:r>
      <w:rPr>
        <w:color w:val="000000"/>
        <w:sz w:val="17"/>
      </w:rPr>
      <w:t> </w:t>
    </w:r>
  </w:p>
  <w:bookmarkEnd w:id="5"/>
  <w:p w:rsidR="00EF3E8B" w:rsidRDefault="00EF3E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47242"/>
    <w:rsid w:val="00212424"/>
    <w:rsid w:val="002B5B09"/>
    <w:rsid w:val="00306694"/>
    <w:rsid w:val="003E099C"/>
    <w:rsid w:val="004423CA"/>
    <w:rsid w:val="004E46E4"/>
    <w:rsid w:val="00575AC9"/>
    <w:rsid w:val="00682F3B"/>
    <w:rsid w:val="0070091B"/>
    <w:rsid w:val="007E4409"/>
    <w:rsid w:val="00877432"/>
    <w:rsid w:val="008D3BC6"/>
    <w:rsid w:val="009569EB"/>
    <w:rsid w:val="00A40BDF"/>
    <w:rsid w:val="00AF404B"/>
    <w:rsid w:val="00BA6974"/>
    <w:rsid w:val="00C43316"/>
    <w:rsid w:val="00C52F24"/>
    <w:rsid w:val="00D31572"/>
    <w:rsid w:val="00DC516B"/>
    <w:rsid w:val="00DC7F99"/>
    <w:rsid w:val="00E03B9C"/>
    <w:rsid w:val="00E73B66"/>
    <w:rsid w:val="00EF3E8B"/>
    <w:rsid w:val="00F47276"/>
    <w:rsid w:val="00FD2281"/>
    <w:rsid w:val="00FD2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D2D3E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B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B66"/>
  </w:style>
  <w:style w:type="paragraph" w:styleId="Footer">
    <w:name w:val="footer"/>
    <w:basedOn w:val="Normal"/>
    <w:link w:val="FooterChar"/>
    <w:uiPriority w:val="99"/>
    <w:unhideWhenUsed/>
    <w:rsid w:val="00E73B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B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6</Pages>
  <Words>2195</Words>
  <Characters>12517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Herbert,Tom swp6620</cp:lastModifiedBy>
  <cp:revision>15</cp:revision>
  <dcterms:created xsi:type="dcterms:W3CDTF">2020-08-17T11:31:00Z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e90351cb-41ad-4e9f-8259-034a40e1a58a</vt:lpwstr>
  </property>
  <property fmtid="{D5CDD505-2E9C-101B-9397-08002B2CF9AE}" pid="3" name="Classification">
    <vt:lpwstr>OFFICIAL</vt:lpwstr>
  </property>
  <property fmtid="{D5CDD505-2E9C-101B-9397-08002B2CF9AE}" pid="4" name="Visibility">
    <vt:lpwstr>NOT VISIBLE</vt:lpwstr>
  </property>
</Properties>
</file>