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ED74B" w14:textId="77777777" w:rsidR="00CD3317" w:rsidRPr="00A00CE8" w:rsidRDefault="00CD3317" w:rsidP="00CD3317">
      <w:pPr>
        <w:pStyle w:val="Heading3"/>
        <w:keepNext w:val="0"/>
        <w:keepLines w:val="0"/>
        <w:spacing w:before="0"/>
        <w:jc w:val="center"/>
        <w:rPr>
          <w:rFonts w:ascii="Arial" w:hAnsi="Arial" w:cs="Arial"/>
          <w:color w:val="000000"/>
          <w:sz w:val="36"/>
          <w:szCs w:val="36"/>
        </w:rPr>
      </w:pPr>
      <w:r w:rsidRPr="00A00CE8">
        <w:rPr>
          <w:rFonts w:ascii="Arial" w:hAnsi="Arial" w:cs="Arial"/>
          <w:color w:val="000000"/>
          <w:sz w:val="36"/>
          <w:szCs w:val="36"/>
        </w:rPr>
        <w:t xml:space="preserve">Name: </w:t>
      </w:r>
      <w:proofErr w:type="spellStart"/>
      <w:r w:rsidRPr="00A00CE8">
        <w:rPr>
          <w:rFonts w:ascii="Arial" w:hAnsi="Arial" w:cs="Arial"/>
          <w:color w:val="000000"/>
          <w:sz w:val="36"/>
          <w:szCs w:val="36"/>
        </w:rPr>
        <w:t>Meheret</w:t>
      </w:r>
      <w:proofErr w:type="spellEnd"/>
      <w:r w:rsidRPr="00A00CE8">
        <w:rPr>
          <w:rFonts w:ascii="Arial" w:hAnsi="Arial" w:cs="Arial"/>
          <w:color w:val="000000"/>
          <w:sz w:val="36"/>
          <w:szCs w:val="36"/>
        </w:rPr>
        <w:t xml:space="preserve"> Zeleke</w:t>
      </w:r>
    </w:p>
    <w:p w14:paraId="72562C63" w14:textId="77777777" w:rsidR="00CD3317" w:rsidRPr="00A00CE8" w:rsidRDefault="00CD3317" w:rsidP="00CD3317">
      <w:pPr>
        <w:jc w:val="center"/>
        <w:rPr>
          <w:rFonts w:ascii="Arial" w:hAnsi="Arial" w:cs="Arial"/>
          <w:sz w:val="36"/>
          <w:szCs w:val="36"/>
        </w:rPr>
      </w:pPr>
      <w:r w:rsidRPr="00A00CE8">
        <w:rPr>
          <w:rFonts w:ascii="Arial" w:hAnsi="Arial" w:cs="Arial"/>
          <w:sz w:val="36"/>
          <w:szCs w:val="36"/>
        </w:rPr>
        <w:t>Student number: 2426669</w:t>
      </w:r>
    </w:p>
    <w:p w14:paraId="299A0BA8" w14:textId="77777777" w:rsidR="00CD3317" w:rsidRDefault="00CD3317" w:rsidP="00CD3317">
      <w:pPr>
        <w:spacing w:line="360" w:lineRule="auto"/>
        <w:jc w:val="center"/>
        <w:rPr>
          <w:rFonts w:ascii="Arial" w:eastAsia="Arial Nova" w:hAnsi="Arial" w:cs="Arial"/>
          <w:sz w:val="36"/>
          <w:szCs w:val="36"/>
        </w:rPr>
      </w:pPr>
      <w:bookmarkStart w:id="0" w:name="_uoigufqz43z0" w:colFirst="0" w:colLast="0"/>
      <w:bookmarkEnd w:id="0"/>
      <w:r w:rsidRPr="00A00CE8">
        <w:rPr>
          <w:rFonts w:ascii="Arial" w:hAnsi="Arial" w:cs="Arial"/>
          <w:color w:val="000000"/>
          <w:sz w:val="36"/>
          <w:szCs w:val="36"/>
        </w:rPr>
        <w:t>Module: Changemakers</w:t>
      </w:r>
      <w:r>
        <w:rPr>
          <w:rFonts w:ascii="Arial" w:hAnsi="Arial" w:cs="Arial"/>
          <w:color w:val="000000"/>
          <w:sz w:val="36"/>
          <w:szCs w:val="36"/>
        </w:rPr>
        <w:t xml:space="preserve"> </w:t>
      </w:r>
      <w:r w:rsidRPr="00A00CE8">
        <w:rPr>
          <w:rFonts w:ascii="Arial" w:hAnsi="Arial" w:cs="Arial"/>
          <w:color w:val="000000"/>
          <w:sz w:val="36"/>
          <w:szCs w:val="36"/>
        </w:rPr>
        <w:t>Creativity and Value Creation BMHP5014</w:t>
      </w:r>
    </w:p>
    <w:p w14:paraId="72C2BF98" w14:textId="6B049376" w:rsidR="00CD3317" w:rsidRPr="00CD3317" w:rsidRDefault="00CD3317" w:rsidP="00CD3317">
      <w:pPr>
        <w:spacing w:line="360" w:lineRule="auto"/>
        <w:jc w:val="center"/>
        <w:rPr>
          <w:rFonts w:ascii="Arial" w:eastAsia="Arial Nova" w:hAnsi="Arial" w:cs="Arial"/>
          <w:sz w:val="36"/>
          <w:szCs w:val="36"/>
        </w:rPr>
        <w:sectPr w:rsidR="00CD3317" w:rsidRPr="00CD3317" w:rsidSect="00CD3317">
          <w:pgSz w:w="11906" w:h="16838"/>
          <w:pgMar w:top="1440" w:right="1440" w:bottom="1440" w:left="1440" w:header="709" w:footer="709" w:gutter="0"/>
          <w:cols w:space="708"/>
          <w:docGrid w:linePitch="360"/>
        </w:sectPr>
      </w:pPr>
      <w:r w:rsidRPr="00CD3317">
        <w:rPr>
          <w:rFonts w:ascii="Arial" w:hAnsi="Arial" w:cs="Arial"/>
          <w:color w:val="000000"/>
          <w:sz w:val="36"/>
          <w:szCs w:val="36"/>
        </w:rPr>
        <w:t>Component 2: Written Assignment (Report)</w:t>
      </w:r>
    </w:p>
    <w:p w14:paraId="5FFEC99E" w14:textId="71910D32" w:rsidR="00CD3317" w:rsidRDefault="002D2FDB" w:rsidP="002D2FDB">
      <w:pPr>
        <w:spacing w:before="100" w:beforeAutospacing="1" w:after="100" w:afterAutospacing="1" w:line="240" w:lineRule="auto"/>
        <w:rPr>
          <w:rFonts w:ascii="Times New Roman" w:eastAsia="Times New Roman" w:hAnsi="Times New Roman" w:cs="Times New Roman"/>
          <w:kern w:val="0"/>
          <w:lang w:eastAsia="en-GB"/>
          <w14:ligatures w14:val="none"/>
        </w:rPr>
        <w:sectPr w:rsidR="00CD3317" w:rsidSect="002D2FDB">
          <w:pgSz w:w="11906" w:h="16838"/>
          <w:pgMar w:top="1440" w:right="1440" w:bottom="1440" w:left="1440" w:header="708" w:footer="708" w:gutter="0"/>
          <w:cols w:space="708"/>
          <w:docGrid w:linePitch="360"/>
        </w:sectPr>
      </w:pPr>
      <w:r>
        <w:rPr>
          <w:rFonts w:ascii="Times New Roman" w:eastAsia="Times New Roman" w:hAnsi="Times New Roman" w:cs="Times New Roman"/>
          <w:noProof/>
          <w:kern w:val="0"/>
          <w:lang w:eastAsia="en-GB"/>
        </w:rPr>
        <w:lastRenderedPageBreak/>
        <w:drawing>
          <wp:anchor distT="0" distB="0" distL="114300" distR="114300" simplePos="0" relativeHeight="251658240" behindDoc="0" locked="0" layoutInCell="1" allowOverlap="1" wp14:anchorId="440968BA" wp14:editId="424B4F8B">
            <wp:simplePos x="0" y="0"/>
            <wp:positionH relativeFrom="margin">
              <wp:posOffset>-435610</wp:posOffset>
            </wp:positionH>
            <wp:positionV relativeFrom="paragraph">
              <wp:posOffset>0</wp:posOffset>
            </wp:positionV>
            <wp:extent cx="6509385" cy="7064375"/>
            <wp:effectExtent l="0" t="0" r="5715" b="3175"/>
            <wp:wrapTopAndBottom/>
            <wp:docPr id="1981755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755290" name="Picture 1981755290"/>
                    <pic:cNvPicPr/>
                  </pic:nvPicPr>
                  <pic:blipFill>
                    <a:blip r:embed="rId4" cstate="print">
                      <a:extLst>
                        <a:ext uri="{28A0092B-C50C-407E-A947-70E740481C1C}">
                          <a14:useLocalDpi xmlns:a14="http://schemas.microsoft.com/office/drawing/2010/main" val="0"/>
                        </a:ext>
                      </a:extLst>
                    </a:blip>
                    <a:stretch>
                      <a:fillRect/>
                    </a:stretch>
                  </pic:blipFill>
                  <pic:spPr>
                    <a:xfrm>
                      <a:off x="0" y="0"/>
                      <a:ext cx="6509385" cy="7064375"/>
                    </a:xfrm>
                    <a:prstGeom prst="rect">
                      <a:avLst/>
                    </a:prstGeom>
                  </pic:spPr>
                </pic:pic>
              </a:graphicData>
            </a:graphic>
            <wp14:sizeRelH relativeFrom="margin">
              <wp14:pctWidth>0</wp14:pctWidth>
            </wp14:sizeRelH>
            <wp14:sizeRelV relativeFrom="margin">
              <wp14:pctHeight>0</wp14:pctHeight>
            </wp14:sizeRelV>
          </wp:anchor>
        </w:drawing>
      </w:r>
    </w:p>
    <w:p w14:paraId="4AC5C35B" w14:textId="736AFD89" w:rsidR="00A33853" w:rsidRPr="00CD3317" w:rsidRDefault="00A33853" w:rsidP="00CD3317">
      <w:pPr>
        <w:spacing w:before="100" w:beforeAutospacing="1" w:after="100" w:afterAutospacing="1" w:line="360" w:lineRule="auto"/>
        <w:rPr>
          <w:rFonts w:ascii="Arial" w:eastAsia="Times New Roman" w:hAnsi="Arial" w:cs="Arial"/>
          <w:kern w:val="0"/>
          <w:sz w:val="22"/>
          <w:szCs w:val="22"/>
          <w:lang w:eastAsia="en-GB"/>
          <w14:ligatures w14:val="none"/>
        </w:rPr>
      </w:pPr>
      <w:r w:rsidRPr="00CD3317">
        <w:rPr>
          <w:rFonts w:ascii="Arial" w:eastAsia="Times New Roman" w:hAnsi="Arial" w:cs="Arial"/>
          <w:kern w:val="0"/>
          <w:sz w:val="22"/>
          <w:szCs w:val="22"/>
          <w:lang w:eastAsia="en-GB"/>
          <w14:ligatures w14:val="none"/>
        </w:rPr>
        <w:lastRenderedPageBreak/>
        <w:t>Nutri-Hub: Mobile Cooking &amp; Nutrition Clinics Bringing the Kitchen Classroom to the UK's Food Deserts</w:t>
      </w:r>
    </w:p>
    <w:p w14:paraId="1FE45390" w14:textId="77777777" w:rsidR="00A33853" w:rsidRPr="00CD3317" w:rsidRDefault="00A33853" w:rsidP="00CD3317">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CD3317">
        <w:rPr>
          <w:rFonts w:ascii="Arial" w:eastAsia="Times New Roman" w:hAnsi="Arial" w:cs="Arial"/>
          <w:b/>
          <w:bCs/>
          <w:kern w:val="0"/>
          <w:sz w:val="22"/>
          <w:szCs w:val="22"/>
          <w:lang w:eastAsia="en-GB"/>
          <w14:ligatures w14:val="none"/>
        </w:rPr>
        <w:t>The Challenge</w:t>
      </w:r>
    </w:p>
    <w:p w14:paraId="156680D9" w14:textId="77777777" w:rsidR="00A33853" w:rsidRPr="00CD3317" w:rsidRDefault="00A33853" w:rsidP="00CD3317">
      <w:pPr>
        <w:spacing w:before="100" w:beforeAutospacing="1" w:after="100" w:afterAutospacing="1" w:line="360" w:lineRule="auto"/>
        <w:rPr>
          <w:rFonts w:ascii="Arial" w:eastAsia="Times New Roman" w:hAnsi="Arial" w:cs="Arial"/>
          <w:kern w:val="0"/>
          <w:sz w:val="22"/>
          <w:szCs w:val="22"/>
          <w:lang w:eastAsia="en-GB"/>
          <w14:ligatures w14:val="none"/>
        </w:rPr>
      </w:pPr>
      <w:r w:rsidRPr="00CD3317">
        <w:rPr>
          <w:rFonts w:ascii="Arial" w:eastAsia="Times New Roman" w:hAnsi="Arial" w:cs="Arial"/>
          <w:kern w:val="0"/>
          <w:sz w:val="22"/>
          <w:szCs w:val="22"/>
          <w:lang w:eastAsia="en-GB"/>
          <w14:ligatures w14:val="none"/>
        </w:rPr>
        <w:t>Access to affordable, nutritious food is not evenly distributed across the United Kingdom. Areas with limited access to supermarkets or major grocery shops offering fresh produce, commonly termed "food deserts," are instead marked by a denser concentration of fast-food outlets and convenience stores, a pattern linked to poorer nutritional quality and a heightened risk of obesity, diabetes and cardiovascular disease (Beydoun et al., 2026; Titis, Procter and Walasek, 2021). Beydoun et al. (2026) mapped food desert risk against the Indices of Multiple Deprivation across 41,729 small areas in England, Wales and Scotland and found that, while the two measures were correlated, nearly a third of areas showed discordant classifications, with rural communities in Scotland particularly likely to combine low deprivation scores with high food desert risk. This means that deprivation indices alone will miss real pockets of food insecurity, a gap Titis, Procter and Walasek (2021) also identify in their systematic review of how physical food access is measured across the UK, noting that most methods rely on simple distance or density metrics that overlook the lived, day-to-day experience of accessing healthy food. Left unaddressed, this exposure compounds the broader burden of non-communicable disease, which behavioural risk factors such as poor diet and inactivity continue to drive globally (Kurniawan et al., 2025). Nutri-Hub is designed to close this specific, geographically uneven gap.</w:t>
      </w:r>
    </w:p>
    <w:p w14:paraId="1869CDE4" w14:textId="77777777" w:rsidR="00A33853" w:rsidRPr="00CD3317" w:rsidRDefault="00A33853" w:rsidP="00CD3317">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CD3317">
        <w:rPr>
          <w:rFonts w:ascii="Arial" w:eastAsia="Times New Roman" w:hAnsi="Arial" w:cs="Arial"/>
          <w:b/>
          <w:bCs/>
          <w:kern w:val="0"/>
          <w:sz w:val="22"/>
          <w:szCs w:val="22"/>
          <w:lang w:eastAsia="en-GB"/>
          <w14:ligatures w14:val="none"/>
        </w:rPr>
        <w:t>The Innovation</w:t>
      </w:r>
    </w:p>
    <w:p w14:paraId="2E0C5B20" w14:textId="38C2BF07" w:rsidR="00A33853" w:rsidRPr="00CD3317" w:rsidRDefault="00A33853" w:rsidP="00CD3317">
      <w:pPr>
        <w:spacing w:before="100" w:beforeAutospacing="1" w:after="100" w:afterAutospacing="1" w:line="360" w:lineRule="auto"/>
        <w:rPr>
          <w:rFonts w:ascii="Arial" w:eastAsia="Times New Roman" w:hAnsi="Arial" w:cs="Arial"/>
          <w:kern w:val="0"/>
          <w:sz w:val="22"/>
          <w:szCs w:val="22"/>
          <w:lang w:eastAsia="en-GB"/>
          <w14:ligatures w14:val="none"/>
        </w:rPr>
      </w:pPr>
      <w:r w:rsidRPr="00CD3317">
        <w:rPr>
          <w:rFonts w:ascii="Arial" w:eastAsia="Times New Roman" w:hAnsi="Arial" w:cs="Arial"/>
          <w:kern w:val="0"/>
          <w:sz w:val="22"/>
          <w:szCs w:val="22"/>
          <w:lang w:eastAsia="en-GB"/>
          <w14:ligatures w14:val="none"/>
        </w:rPr>
        <w:t xml:space="preserve">Nutri-Hub retrofits electric buses into mobile teaching kitchens that travel directly to community centres and schools located in identified UK food deserts. The underlying delivery model is not speculative: mobile health units already have a substantial track record of reaching populations that fixed-site services struggle to serve. Malone et al. (2020), analysing data from 811 US mobile clinics, found that more than half of clients served were women and 59% were racial or ethnic minorities, with clinics overcoming the transportation, time and trust barriers that keep vulnerable groups away from conventional facilities. Yu et al. (2017) similarly conclude that mobile health clinics succeed precisely because they deliver services at the </w:t>
      </w:r>
      <w:r w:rsidRPr="00CD3317">
        <w:rPr>
          <w:rFonts w:ascii="Arial" w:eastAsia="Times New Roman" w:hAnsi="Arial" w:cs="Arial"/>
          <w:kern w:val="0"/>
          <w:sz w:val="22"/>
          <w:szCs w:val="22"/>
          <w:lang w:eastAsia="en-GB"/>
          <w14:ligatures w14:val="none"/>
        </w:rPr>
        <w:t>curb side</w:t>
      </w:r>
      <w:r w:rsidRPr="00CD3317">
        <w:rPr>
          <w:rFonts w:ascii="Arial" w:eastAsia="Times New Roman" w:hAnsi="Arial" w:cs="Arial"/>
          <w:kern w:val="0"/>
          <w:sz w:val="22"/>
          <w:szCs w:val="22"/>
          <w:lang w:eastAsia="en-GB"/>
          <w14:ligatures w14:val="none"/>
        </w:rPr>
        <w:t xml:space="preserve">, in communities of need, and can flexibly adapt to a target population's changing requirements. Nutri-Hub applies this same </w:t>
      </w:r>
      <w:r w:rsidRPr="00CD3317">
        <w:rPr>
          <w:rFonts w:ascii="Arial" w:eastAsia="Times New Roman" w:hAnsi="Arial" w:cs="Arial"/>
          <w:kern w:val="0"/>
          <w:sz w:val="22"/>
          <w:szCs w:val="22"/>
          <w:lang w:eastAsia="en-GB"/>
          <w14:ligatures w14:val="none"/>
        </w:rPr>
        <w:t>physically embedded</w:t>
      </w:r>
      <w:r w:rsidRPr="00CD3317">
        <w:rPr>
          <w:rFonts w:ascii="Arial" w:eastAsia="Times New Roman" w:hAnsi="Arial" w:cs="Arial"/>
          <w:kern w:val="0"/>
          <w:sz w:val="22"/>
          <w:szCs w:val="22"/>
          <w:lang w:eastAsia="en-GB"/>
          <w14:ligatures w14:val="none"/>
        </w:rPr>
        <w:t xml:space="preserve">, trust-building logic to nutrition rather than clinical care, meeting people where the food access barrier </w:t>
      </w:r>
      <w:proofErr w:type="gramStart"/>
      <w:r w:rsidRPr="00CD3317">
        <w:rPr>
          <w:rFonts w:ascii="Arial" w:eastAsia="Times New Roman" w:hAnsi="Arial" w:cs="Arial"/>
          <w:kern w:val="0"/>
          <w:sz w:val="22"/>
          <w:szCs w:val="22"/>
          <w:lang w:eastAsia="en-GB"/>
          <w14:ligatures w14:val="none"/>
        </w:rPr>
        <w:t>actually exists</w:t>
      </w:r>
      <w:proofErr w:type="gramEnd"/>
      <w:r w:rsidRPr="00CD3317">
        <w:rPr>
          <w:rFonts w:ascii="Arial" w:eastAsia="Times New Roman" w:hAnsi="Arial" w:cs="Arial"/>
          <w:kern w:val="0"/>
          <w:sz w:val="22"/>
          <w:szCs w:val="22"/>
          <w:lang w:eastAsia="en-GB"/>
          <w14:ligatures w14:val="none"/>
        </w:rPr>
        <w:t xml:space="preserve"> rather than expecting them to travel toward a fixed centre.</w:t>
      </w:r>
    </w:p>
    <w:p w14:paraId="2B10B66A" w14:textId="77777777" w:rsidR="00A33853" w:rsidRPr="00CD3317" w:rsidRDefault="00A33853" w:rsidP="00CD3317">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CD3317">
        <w:rPr>
          <w:rFonts w:ascii="Arial" w:eastAsia="Times New Roman" w:hAnsi="Arial" w:cs="Arial"/>
          <w:b/>
          <w:bCs/>
          <w:kern w:val="0"/>
          <w:sz w:val="22"/>
          <w:szCs w:val="22"/>
          <w:lang w:eastAsia="en-GB"/>
          <w14:ligatures w14:val="none"/>
        </w:rPr>
        <w:lastRenderedPageBreak/>
        <w:t>How It Works</w:t>
      </w:r>
    </w:p>
    <w:p w14:paraId="3B32C78A" w14:textId="77777777" w:rsidR="00A33853" w:rsidRPr="00CD3317" w:rsidRDefault="00A33853" w:rsidP="00CD3317">
      <w:pPr>
        <w:spacing w:before="100" w:beforeAutospacing="1" w:after="100" w:afterAutospacing="1" w:line="360" w:lineRule="auto"/>
        <w:rPr>
          <w:rFonts w:ascii="Arial" w:eastAsia="Times New Roman" w:hAnsi="Arial" w:cs="Arial"/>
          <w:kern w:val="0"/>
          <w:sz w:val="22"/>
          <w:szCs w:val="22"/>
          <w:lang w:eastAsia="en-GB"/>
          <w14:ligatures w14:val="none"/>
        </w:rPr>
      </w:pPr>
      <w:r w:rsidRPr="00CD3317">
        <w:rPr>
          <w:rFonts w:ascii="Arial" w:eastAsia="Times New Roman" w:hAnsi="Arial" w:cs="Arial"/>
          <w:kern w:val="0"/>
          <w:sz w:val="22"/>
          <w:szCs w:val="22"/>
          <w:lang w:eastAsia="en-GB"/>
          <w14:ligatures w14:val="none"/>
        </w:rPr>
        <w:t>Aboard the bus, healthcare professionals and community dietitians deliver free, hands-on cooking classes centred on meals that are affordable, healthy and culturally appropriate. This format is grounded in the emerging field of culinary medicine and culinary nutrition, which blends practical food skills with nutrition science to support behaviour change (Asher et al., 2021). In their scoping review of 33 culinary medicine and nutrition programmes, Asher et al. (2021) found that over half were delivered directly to community members, including children, adolescents, adults and pregnant women, by health or education professionals trained in the approach, and that these programmes reported improvements in culinary skill, nutrition knowledge, dietary intake and cooking-related confidence. Nutri-Hub mirrors this facilitator-led, community-based structure, using qualified dietitians to ensure the same rigour that underpins the programmes Asher et al. (2021) reviewed, while keeping sessions short and accessible enough to fit around school hours and community centre schedules.</w:t>
      </w:r>
    </w:p>
    <w:p w14:paraId="261DDA77" w14:textId="77777777" w:rsidR="00A33853" w:rsidRPr="00CD3317" w:rsidRDefault="00A33853" w:rsidP="00CD3317">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CD3317">
        <w:rPr>
          <w:rFonts w:ascii="Arial" w:eastAsia="Times New Roman" w:hAnsi="Arial" w:cs="Arial"/>
          <w:b/>
          <w:bCs/>
          <w:kern w:val="0"/>
          <w:sz w:val="22"/>
          <w:szCs w:val="22"/>
          <w:lang w:eastAsia="en-GB"/>
          <w14:ligatures w14:val="none"/>
        </w:rPr>
        <w:t>Impact and Target Demographic</w:t>
      </w:r>
    </w:p>
    <w:p w14:paraId="6252DF32" w14:textId="77777777" w:rsidR="00A33853" w:rsidRPr="00CD3317" w:rsidRDefault="00A33853" w:rsidP="00CD3317">
      <w:pPr>
        <w:spacing w:before="100" w:beforeAutospacing="1" w:after="100" w:afterAutospacing="1" w:line="360" w:lineRule="auto"/>
        <w:rPr>
          <w:rFonts w:ascii="Arial" w:eastAsia="Times New Roman" w:hAnsi="Arial" w:cs="Arial"/>
          <w:kern w:val="0"/>
          <w:sz w:val="22"/>
          <w:szCs w:val="22"/>
          <w:lang w:eastAsia="en-GB"/>
          <w14:ligatures w14:val="none"/>
        </w:rPr>
      </w:pPr>
      <w:r w:rsidRPr="00CD3317">
        <w:rPr>
          <w:rFonts w:ascii="Arial" w:eastAsia="Times New Roman" w:hAnsi="Arial" w:cs="Arial"/>
          <w:kern w:val="0"/>
          <w:sz w:val="22"/>
          <w:szCs w:val="22"/>
          <w:lang w:eastAsia="en-GB"/>
          <w14:ligatures w14:val="none"/>
        </w:rPr>
        <w:t>Nutri-Hub is targeted at vulnerable community members and school-age children living in food deserts, groups who carry a disproportionate share of diet-related disease risk (Beydoun et al., 2026; Titis, Procter and Walasek, 2021). Beyond individual skill-building, the initiative supports the common good by strengthening the same "community-clinical linkage" that mobile health literature identifies as a mechanism for connecting disenfranchised groups back to wider health and social resources (Yu et al., 2017; Malone et al., 2020). This is not only a health argument but an economic one. Yu et al. (2017) report that mobile health delivery models have produced measurable cost savings and calculated returns on investment, including one programme returning $15 for every dollar invested in preventive screening and another producing $24.4 million in quality-adjusted life years saved over five years. If a comparable proportion of the value mobile clinics generate through prevention can be replicated through mobile nutrition education, the long-term case for local authority or NHS commissioning becomes considerably stronger.</w:t>
      </w:r>
    </w:p>
    <w:p w14:paraId="20496472" w14:textId="77777777" w:rsidR="00A33853" w:rsidRPr="00CD3317" w:rsidRDefault="00A33853" w:rsidP="00CD3317">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CD3317">
        <w:rPr>
          <w:rFonts w:ascii="Arial" w:eastAsia="Times New Roman" w:hAnsi="Arial" w:cs="Arial"/>
          <w:b/>
          <w:bCs/>
          <w:kern w:val="0"/>
          <w:sz w:val="22"/>
          <w:szCs w:val="22"/>
          <w:lang w:eastAsia="en-GB"/>
          <w14:ligatures w14:val="none"/>
        </w:rPr>
        <w:t>Technology Integration</w:t>
      </w:r>
    </w:p>
    <w:p w14:paraId="3A9F36BE" w14:textId="77777777" w:rsidR="00A33853" w:rsidRPr="00CD3317" w:rsidRDefault="00A33853" w:rsidP="00CD3317">
      <w:pPr>
        <w:spacing w:before="100" w:beforeAutospacing="1" w:after="100" w:afterAutospacing="1" w:line="360" w:lineRule="auto"/>
        <w:rPr>
          <w:rFonts w:ascii="Arial" w:eastAsia="Times New Roman" w:hAnsi="Arial" w:cs="Arial"/>
          <w:kern w:val="0"/>
          <w:sz w:val="22"/>
          <w:szCs w:val="22"/>
          <w:lang w:eastAsia="en-GB"/>
          <w14:ligatures w14:val="none"/>
        </w:rPr>
      </w:pPr>
      <w:r w:rsidRPr="00CD3317">
        <w:rPr>
          <w:rFonts w:ascii="Arial" w:eastAsia="Times New Roman" w:hAnsi="Arial" w:cs="Arial"/>
          <w:kern w:val="0"/>
          <w:sz w:val="22"/>
          <w:szCs w:val="22"/>
          <w:lang w:eastAsia="en-GB"/>
          <w14:ligatures w14:val="none"/>
        </w:rPr>
        <w:t xml:space="preserve">Service users book their place on the bus through a localised app, addressing the accessibility gap that digital nutrition tools are increasingly used to close. Kurniawan et al. (2025), reviewing 53 studies of digital nutrition and physical activity interventions in low- and middle-income countries, found that mobile apps, video and multicomponent platforms </w:t>
      </w:r>
      <w:r w:rsidRPr="00CD3317">
        <w:rPr>
          <w:rFonts w:ascii="Arial" w:eastAsia="Times New Roman" w:hAnsi="Arial" w:cs="Arial"/>
          <w:kern w:val="0"/>
          <w:sz w:val="22"/>
          <w:szCs w:val="22"/>
          <w:lang w:eastAsia="en-GB"/>
          <w14:ligatures w14:val="none"/>
        </w:rPr>
        <w:lastRenderedPageBreak/>
        <w:t>produced significant improvements in nutrition knowledge, attitudes and healthy food consumption among children, adolescents and youth, though effects on anthropometric outcomes were less consistent. Talens et al. (2025) reached a comparable conclusion in a systematic review focused specifically on children and adolescents in higher-income settings, reporting that game-based and web-based tools improved nutrition knowledge and fruit intake, even as evidence for sustained changes in body composition and physical activity remained limited. Both reviews therefore support the recipe cards with QR-linked video tutorials that Nutri-Hub sends home with participants: this extends the in-person lesson through a format with a demonstrated evidence base, while acknowledging that digital reinforcement works best as a supplement to, rather than a replacement for, direct facilitator contact.</w:t>
      </w:r>
    </w:p>
    <w:p w14:paraId="0903DBE3" w14:textId="77777777" w:rsidR="00A33853" w:rsidRPr="00CD3317" w:rsidRDefault="00A33853" w:rsidP="00CD3317">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CD3317">
        <w:rPr>
          <w:rFonts w:ascii="Arial" w:eastAsia="Times New Roman" w:hAnsi="Arial" w:cs="Arial"/>
          <w:b/>
          <w:bCs/>
          <w:kern w:val="0"/>
          <w:sz w:val="22"/>
          <w:szCs w:val="22"/>
          <w:lang w:eastAsia="en-GB"/>
          <w14:ligatures w14:val="none"/>
        </w:rPr>
        <w:t>Conclusion</w:t>
      </w:r>
    </w:p>
    <w:p w14:paraId="7417442A" w14:textId="77777777" w:rsidR="00A33853" w:rsidRPr="00CD3317" w:rsidRDefault="00A33853" w:rsidP="00CD3317">
      <w:pPr>
        <w:spacing w:before="100" w:beforeAutospacing="1" w:after="100" w:afterAutospacing="1" w:line="360" w:lineRule="auto"/>
        <w:rPr>
          <w:rFonts w:ascii="Arial" w:eastAsia="Times New Roman" w:hAnsi="Arial" w:cs="Arial"/>
          <w:kern w:val="0"/>
          <w:sz w:val="22"/>
          <w:szCs w:val="22"/>
          <w:lang w:eastAsia="en-GB"/>
          <w14:ligatures w14:val="none"/>
        </w:rPr>
      </w:pPr>
      <w:r w:rsidRPr="00CD3317">
        <w:rPr>
          <w:rFonts w:ascii="Arial" w:eastAsia="Times New Roman" w:hAnsi="Arial" w:cs="Arial"/>
          <w:kern w:val="0"/>
          <w:sz w:val="22"/>
          <w:szCs w:val="22"/>
          <w:lang w:eastAsia="en-GB"/>
          <w14:ligatures w14:val="none"/>
        </w:rPr>
        <w:t>Nutri-Hub combines three separately evidenced components into a single service: the geographically targeted, trust-building reach of mobile health delivery (Malone et al., 2020; Yu et al., 2017); the facilitator-led culinary skills education shown to improve dietary behaviour (Asher et al., 2021); and app- and video-based digital reinforcement shown to strengthen nutrition knowledge among children and families (Kurniawan et al., 2025; Talens et al., 2025). Layered onto precise UK food desert mapping (Beydoun et al., 2026; Titis, Procter and Walasek, 2021), this positions Nutri-Hub to reach the specific communities existing services overlook, converting a well-evidenced public health model into direct, practical action.</w:t>
      </w:r>
    </w:p>
    <w:p w14:paraId="3B9F0202" w14:textId="77777777" w:rsidR="00A33853" w:rsidRPr="00CD3317" w:rsidRDefault="00A33853" w:rsidP="00CD3317">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CD3317">
        <w:rPr>
          <w:rFonts w:ascii="Arial" w:eastAsia="Times New Roman" w:hAnsi="Arial" w:cs="Arial"/>
          <w:b/>
          <w:bCs/>
          <w:kern w:val="0"/>
          <w:sz w:val="22"/>
          <w:szCs w:val="22"/>
          <w:lang w:eastAsia="en-GB"/>
          <w14:ligatures w14:val="none"/>
        </w:rPr>
        <w:t>References</w:t>
      </w:r>
    </w:p>
    <w:p w14:paraId="5E1CDF37" w14:textId="77777777" w:rsidR="00A33853" w:rsidRPr="00CD3317" w:rsidRDefault="00A33853" w:rsidP="00CD3317">
      <w:pPr>
        <w:spacing w:before="100" w:beforeAutospacing="1" w:after="100" w:afterAutospacing="1" w:line="360" w:lineRule="auto"/>
        <w:rPr>
          <w:rFonts w:ascii="Arial" w:eastAsia="Times New Roman" w:hAnsi="Arial" w:cs="Arial"/>
          <w:kern w:val="0"/>
          <w:sz w:val="22"/>
          <w:szCs w:val="22"/>
          <w:lang w:eastAsia="en-GB"/>
          <w14:ligatures w14:val="none"/>
        </w:rPr>
      </w:pPr>
      <w:r w:rsidRPr="00CD3317">
        <w:rPr>
          <w:rFonts w:ascii="Arial" w:eastAsia="Times New Roman" w:hAnsi="Arial" w:cs="Arial"/>
          <w:kern w:val="0"/>
          <w:sz w:val="22"/>
          <w:szCs w:val="22"/>
          <w:lang w:eastAsia="en-GB"/>
          <w14:ligatures w14:val="none"/>
        </w:rPr>
        <w:t xml:space="preserve">Asher, R.C., Shrewsbury, V.A., Bucher, T. and Collins, C.E. (2021) 'Culinary medicine and culinary nutrition education for individuals with the capacity to influence health related behaviour change: A scoping review', </w:t>
      </w:r>
      <w:r w:rsidRPr="00CD3317">
        <w:rPr>
          <w:rFonts w:ascii="Arial" w:eastAsia="Times New Roman" w:hAnsi="Arial" w:cs="Arial"/>
          <w:i/>
          <w:iCs/>
          <w:kern w:val="0"/>
          <w:sz w:val="22"/>
          <w:szCs w:val="22"/>
          <w:lang w:eastAsia="en-GB"/>
          <w14:ligatures w14:val="none"/>
        </w:rPr>
        <w:t>Journal of Human Nutrition and Dietetics</w:t>
      </w:r>
      <w:r w:rsidRPr="00CD3317">
        <w:rPr>
          <w:rFonts w:ascii="Arial" w:eastAsia="Times New Roman" w:hAnsi="Arial" w:cs="Arial"/>
          <w:kern w:val="0"/>
          <w:sz w:val="22"/>
          <w:szCs w:val="22"/>
          <w:lang w:eastAsia="en-GB"/>
          <w14:ligatures w14:val="none"/>
        </w:rPr>
        <w:t>, 35(2), pp. 388–395.</w:t>
      </w:r>
    </w:p>
    <w:p w14:paraId="14AC2EAE" w14:textId="77777777" w:rsidR="00A33853" w:rsidRPr="00CD3317" w:rsidRDefault="00A33853" w:rsidP="00CD3317">
      <w:pPr>
        <w:spacing w:before="100" w:beforeAutospacing="1" w:after="100" w:afterAutospacing="1" w:line="360" w:lineRule="auto"/>
        <w:rPr>
          <w:rFonts w:ascii="Arial" w:eastAsia="Times New Roman" w:hAnsi="Arial" w:cs="Arial"/>
          <w:kern w:val="0"/>
          <w:sz w:val="22"/>
          <w:szCs w:val="22"/>
          <w:lang w:eastAsia="en-GB"/>
          <w14:ligatures w14:val="none"/>
        </w:rPr>
      </w:pPr>
      <w:r w:rsidRPr="00CD3317">
        <w:rPr>
          <w:rFonts w:ascii="Arial" w:eastAsia="Times New Roman" w:hAnsi="Arial" w:cs="Arial"/>
          <w:kern w:val="0"/>
          <w:sz w:val="22"/>
          <w:szCs w:val="22"/>
          <w:lang w:eastAsia="en-GB"/>
          <w14:ligatures w14:val="none"/>
        </w:rPr>
        <w:t xml:space="preserve">Beydoun, M.A., Georgescu, M.F., Banerjee, S., Beydoun, H.A., Noren Hooten, N., Khubchandani, J., Maldonado, A.I., Tsai, J., Weiss, J., Evans, M.K. and </w:t>
      </w:r>
      <w:proofErr w:type="spellStart"/>
      <w:r w:rsidRPr="00CD3317">
        <w:rPr>
          <w:rFonts w:ascii="Arial" w:eastAsia="Times New Roman" w:hAnsi="Arial" w:cs="Arial"/>
          <w:kern w:val="0"/>
          <w:sz w:val="22"/>
          <w:szCs w:val="22"/>
          <w:lang w:eastAsia="en-GB"/>
          <w14:ligatures w14:val="none"/>
        </w:rPr>
        <w:t>Zonderman</w:t>
      </w:r>
      <w:proofErr w:type="spellEnd"/>
      <w:r w:rsidRPr="00CD3317">
        <w:rPr>
          <w:rFonts w:ascii="Arial" w:eastAsia="Times New Roman" w:hAnsi="Arial" w:cs="Arial"/>
          <w:kern w:val="0"/>
          <w:sz w:val="22"/>
          <w:szCs w:val="22"/>
          <w:lang w:eastAsia="en-GB"/>
          <w14:ligatures w14:val="none"/>
        </w:rPr>
        <w:t xml:space="preserve">, A.B. (2026) 'Mapping food access: how </w:t>
      </w:r>
      <w:proofErr w:type="spellStart"/>
      <w:r w:rsidRPr="00CD3317">
        <w:rPr>
          <w:rFonts w:ascii="Arial" w:eastAsia="Times New Roman" w:hAnsi="Arial" w:cs="Arial"/>
          <w:kern w:val="0"/>
          <w:sz w:val="22"/>
          <w:szCs w:val="22"/>
          <w:lang w:eastAsia="en-GB"/>
          <w14:ligatures w14:val="none"/>
        </w:rPr>
        <w:t>neighborhood</w:t>
      </w:r>
      <w:proofErr w:type="spellEnd"/>
      <w:r w:rsidRPr="00CD3317">
        <w:rPr>
          <w:rFonts w:ascii="Arial" w:eastAsia="Times New Roman" w:hAnsi="Arial" w:cs="Arial"/>
          <w:kern w:val="0"/>
          <w:sz w:val="22"/>
          <w:szCs w:val="22"/>
          <w:lang w:eastAsia="en-GB"/>
          <w14:ligatures w14:val="none"/>
        </w:rPr>
        <w:t xml:space="preserve"> deprivation shapes healthy food availability in the United Kingdom', </w:t>
      </w:r>
      <w:r w:rsidRPr="00CD3317">
        <w:rPr>
          <w:rFonts w:ascii="Arial" w:eastAsia="Times New Roman" w:hAnsi="Arial" w:cs="Arial"/>
          <w:i/>
          <w:iCs/>
          <w:kern w:val="0"/>
          <w:sz w:val="22"/>
          <w:szCs w:val="22"/>
          <w:lang w:eastAsia="en-GB"/>
          <w14:ligatures w14:val="none"/>
        </w:rPr>
        <w:t>BMC Public Health</w:t>
      </w:r>
      <w:r w:rsidRPr="00CD3317">
        <w:rPr>
          <w:rFonts w:ascii="Arial" w:eastAsia="Times New Roman" w:hAnsi="Arial" w:cs="Arial"/>
          <w:kern w:val="0"/>
          <w:sz w:val="22"/>
          <w:szCs w:val="22"/>
          <w:lang w:eastAsia="en-GB"/>
          <w14:ligatures w14:val="none"/>
        </w:rPr>
        <w:t>, 26, p. 1048.</w:t>
      </w:r>
    </w:p>
    <w:p w14:paraId="2C8779B1" w14:textId="77777777" w:rsidR="00A33853" w:rsidRPr="00CD3317" w:rsidRDefault="00A33853" w:rsidP="00CD3317">
      <w:pPr>
        <w:spacing w:before="100" w:beforeAutospacing="1" w:after="100" w:afterAutospacing="1" w:line="360" w:lineRule="auto"/>
        <w:rPr>
          <w:rFonts w:ascii="Arial" w:eastAsia="Times New Roman" w:hAnsi="Arial" w:cs="Arial"/>
          <w:kern w:val="0"/>
          <w:sz w:val="22"/>
          <w:szCs w:val="22"/>
          <w:lang w:eastAsia="en-GB"/>
          <w14:ligatures w14:val="none"/>
        </w:rPr>
      </w:pPr>
      <w:r w:rsidRPr="00CD3317">
        <w:rPr>
          <w:rFonts w:ascii="Arial" w:eastAsia="Times New Roman" w:hAnsi="Arial" w:cs="Arial"/>
          <w:kern w:val="0"/>
          <w:sz w:val="22"/>
          <w:szCs w:val="22"/>
          <w:lang w:eastAsia="en-GB"/>
          <w14:ligatures w14:val="none"/>
        </w:rPr>
        <w:t xml:space="preserve">Kurniawan, A.L., Theresia, T., </w:t>
      </w:r>
      <w:proofErr w:type="spellStart"/>
      <w:r w:rsidRPr="00CD3317">
        <w:rPr>
          <w:rFonts w:ascii="Arial" w:eastAsia="Times New Roman" w:hAnsi="Arial" w:cs="Arial"/>
          <w:kern w:val="0"/>
          <w:sz w:val="22"/>
          <w:szCs w:val="22"/>
          <w:lang w:eastAsia="en-GB"/>
          <w14:ligatures w14:val="none"/>
        </w:rPr>
        <w:t>Faradina</w:t>
      </w:r>
      <w:proofErr w:type="spellEnd"/>
      <w:r w:rsidRPr="00CD3317">
        <w:rPr>
          <w:rFonts w:ascii="Arial" w:eastAsia="Times New Roman" w:hAnsi="Arial" w:cs="Arial"/>
          <w:kern w:val="0"/>
          <w:sz w:val="22"/>
          <w:szCs w:val="22"/>
          <w:lang w:eastAsia="en-GB"/>
          <w14:ligatures w14:val="none"/>
        </w:rPr>
        <w:t xml:space="preserve">, A., </w:t>
      </w:r>
      <w:proofErr w:type="spellStart"/>
      <w:r w:rsidRPr="00CD3317">
        <w:rPr>
          <w:rFonts w:ascii="Arial" w:eastAsia="Times New Roman" w:hAnsi="Arial" w:cs="Arial"/>
          <w:kern w:val="0"/>
          <w:sz w:val="22"/>
          <w:szCs w:val="22"/>
          <w:lang w:eastAsia="en-GB"/>
          <w14:ligatures w14:val="none"/>
        </w:rPr>
        <w:t>Paramastri</w:t>
      </w:r>
      <w:proofErr w:type="spellEnd"/>
      <w:r w:rsidRPr="00CD3317">
        <w:rPr>
          <w:rFonts w:ascii="Arial" w:eastAsia="Times New Roman" w:hAnsi="Arial" w:cs="Arial"/>
          <w:kern w:val="0"/>
          <w:sz w:val="22"/>
          <w:szCs w:val="22"/>
          <w:lang w:eastAsia="en-GB"/>
          <w14:ligatures w14:val="none"/>
        </w:rPr>
        <w:t xml:space="preserve">, R., Haryana, N.R., Ginting, R.M.S., </w:t>
      </w:r>
      <w:proofErr w:type="spellStart"/>
      <w:r w:rsidRPr="00CD3317">
        <w:rPr>
          <w:rFonts w:ascii="Arial" w:eastAsia="Times New Roman" w:hAnsi="Arial" w:cs="Arial"/>
          <w:kern w:val="0"/>
          <w:sz w:val="22"/>
          <w:szCs w:val="22"/>
          <w:lang w:eastAsia="en-GB"/>
          <w14:ligatures w14:val="none"/>
        </w:rPr>
        <w:t>Nurrahma</w:t>
      </w:r>
      <w:proofErr w:type="spellEnd"/>
      <w:r w:rsidRPr="00CD3317">
        <w:rPr>
          <w:rFonts w:ascii="Arial" w:eastAsia="Times New Roman" w:hAnsi="Arial" w:cs="Arial"/>
          <w:kern w:val="0"/>
          <w:sz w:val="22"/>
          <w:szCs w:val="22"/>
          <w:lang w:eastAsia="en-GB"/>
          <w14:ligatures w14:val="none"/>
        </w:rPr>
        <w:t xml:space="preserve">, B.A., </w:t>
      </w:r>
      <w:proofErr w:type="spellStart"/>
      <w:r w:rsidRPr="00CD3317">
        <w:rPr>
          <w:rFonts w:ascii="Arial" w:eastAsia="Times New Roman" w:hAnsi="Arial" w:cs="Arial"/>
          <w:kern w:val="0"/>
          <w:sz w:val="22"/>
          <w:szCs w:val="22"/>
          <w:lang w:eastAsia="en-GB"/>
          <w14:ligatures w14:val="none"/>
        </w:rPr>
        <w:t>Kinasih</w:t>
      </w:r>
      <w:proofErr w:type="spellEnd"/>
      <w:r w:rsidRPr="00CD3317">
        <w:rPr>
          <w:rFonts w:ascii="Arial" w:eastAsia="Times New Roman" w:hAnsi="Arial" w:cs="Arial"/>
          <w:kern w:val="0"/>
          <w:sz w:val="22"/>
          <w:szCs w:val="22"/>
          <w:lang w:eastAsia="en-GB"/>
          <w14:ligatures w14:val="none"/>
        </w:rPr>
        <w:t xml:space="preserve">, L.S., Khan, A.F., Aji, A.S., Umami, Z., Putri, O.Q. and </w:t>
      </w:r>
      <w:proofErr w:type="spellStart"/>
      <w:r w:rsidRPr="00CD3317">
        <w:rPr>
          <w:rFonts w:ascii="Arial" w:eastAsia="Times New Roman" w:hAnsi="Arial" w:cs="Arial"/>
          <w:kern w:val="0"/>
          <w:sz w:val="22"/>
          <w:szCs w:val="22"/>
          <w:lang w:eastAsia="en-GB"/>
          <w14:ligatures w14:val="none"/>
        </w:rPr>
        <w:t>Mayasari</w:t>
      </w:r>
      <w:proofErr w:type="spellEnd"/>
      <w:r w:rsidRPr="00CD3317">
        <w:rPr>
          <w:rFonts w:ascii="Arial" w:eastAsia="Times New Roman" w:hAnsi="Arial" w:cs="Arial"/>
          <w:kern w:val="0"/>
          <w:sz w:val="22"/>
          <w:szCs w:val="22"/>
          <w:lang w:eastAsia="en-GB"/>
          <w14:ligatures w14:val="none"/>
        </w:rPr>
        <w:t xml:space="preserve">, </w:t>
      </w:r>
      <w:r w:rsidRPr="00CD3317">
        <w:rPr>
          <w:rFonts w:ascii="Arial" w:eastAsia="Times New Roman" w:hAnsi="Arial" w:cs="Arial"/>
          <w:kern w:val="0"/>
          <w:sz w:val="22"/>
          <w:szCs w:val="22"/>
          <w:lang w:eastAsia="en-GB"/>
          <w14:ligatures w14:val="none"/>
        </w:rPr>
        <w:lastRenderedPageBreak/>
        <w:t xml:space="preserve">N.R. (2025) 'Digital intervention targeting nutrition and physical activity behaviours among healthy individuals in low- and middle-income countries: a scoping review', </w:t>
      </w:r>
      <w:r w:rsidRPr="00CD3317">
        <w:rPr>
          <w:rFonts w:ascii="Arial" w:eastAsia="Times New Roman" w:hAnsi="Arial" w:cs="Arial"/>
          <w:i/>
          <w:iCs/>
          <w:kern w:val="0"/>
          <w:sz w:val="22"/>
          <w:szCs w:val="22"/>
          <w:lang w:eastAsia="en-GB"/>
          <w14:ligatures w14:val="none"/>
        </w:rPr>
        <w:t>Journal of Health, Population and Nutrition</w:t>
      </w:r>
      <w:r w:rsidRPr="00CD3317">
        <w:rPr>
          <w:rFonts w:ascii="Arial" w:eastAsia="Times New Roman" w:hAnsi="Arial" w:cs="Arial"/>
          <w:kern w:val="0"/>
          <w:sz w:val="22"/>
          <w:szCs w:val="22"/>
          <w:lang w:eastAsia="en-GB"/>
          <w14:ligatures w14:val="none"/>
        </w:rPr>
        <w:t>, 44, p. 348.</w:t>
      </w:r>
    </w:p>
    <w:p w14:paraId="645442C8" w14:textId="77777777" w:rsidR="00A33853" w:rsidRPr="00CD3317" w:rsidRDefault="00A33853" w:rsidP="00CD3317">
      <w:pPr>
        <w:spacing w:before="100" w:beforeAutospacing="1" w:after="100" w:afterAutospacing="1" w:line="360" w:lineRule="auto"/>
        <w:rPr>
          <w:rFonts w:ascii="Arial" w:eastAsia="Times New Roman" w:hAnsi="Arial" w:cs="Arial"/>
          <w:kern w:val="0"/>
          <w:sz w:val="22"/>
          <w:szCs w:val="22"/>
          <w:lang w:eastAsia="en-GB"/>
          <w14:ligatures w14:val="none"/>
        </w:rPr>
      </w:pPr>
      <w:r w:rsidRPr="00CD3317">
        <w:rPr>
          <w:rFonts w:ascii="Arial" w:eastAsia="Times New Roman" w:hAnsi="Arial" w:cs="Arial"/>
          <w:kern w:val="0"/>
          <w:sz w:val="22"/>
          <w:szCs w:val="22"/>
          <w:lang w:eastAsia="en-GB"/>
          <w14:ligatures w14:val="none"/>
        </w:rPr>
        <w:t xml:space="preserve">Malone, N.C., Williams, M.M., Smith Fawzi, M.C., Bennet, J., Hill, C., Katz, J.N. and Oriol, N.E. (2020) 'Mobile health clinics in the United States', </w:t>
      </w:r>
      <w:r w:rsidRPr="00CD3317">
        <w:rPr>
          <w:rFonts w:ascii="Arial" w:eastAsia="Times New Roman" w:hAnsi="Arial" w:cs="Arial"/>
          <w:i/>
          <w:iCs/>
          <w:kern w:val="0"/>
          <w:sz w:val="22"/>
          <w:szCs w:val="22"/>
          <w:lang w:eastAsia="en-GB"/>
          <w14:ligatures w14:val="none"/>
        </w:rPr>
        <w:t>International Journal for Equity in Health</w:t>
      </w:r>
      <w:r w:rsidRPr="00CD3317">
        <w:rPr>
          <w:rFonts w:ascii="Arial" w:eastAsia="Times New Roman" w:hAnsi="Arial" w:cs="Arial"/>
          <w:kern w:val="0"/>
          <w:sz w:val="22"/>
          <w:szCs w:val="22"/>
          <w:lang w:eastAsia="en-GB"/>
          <w14:ligatures w14:val="none"/>
        </w:rPr>
        <w:t>, 19, p. 40.</w:t>
      </w:r>
    </w:p>
    <w:p w14:paraId="0F92D770" w14:textId="77777777" w:rsidR="00A33853" w:rsidRPr="00CD3317" w:rsidRDefault="00A33853" w:rsidP="00CD3317">
      <w:pPr>
        <w:spacing w:before="100" w:beforeAutospacing="1" w:after="100" w:afterAutospacing="1" w:line="360" w:lineRule="auto"/>
        <w:rPr>
          <w:rFonts w:ascii="Arial" w:eastAsia="Times New Roman" w:hAnsi="Arial" w:cs="Arial"/>
          <w:kern w:val="0"/>
          <w:sz w:val="22"/>
          <w:szCs w:val="22"/>
          <w:lang w:eastAsia="en-GB"/>
          <w14:ligatures w14:val="none"/>
        </w:rPr>
      </w:pPr>
      <w:r w:rsidRPr="00CD3317">
        <w:rPr>
          <w:rFonts w:ascii="Arial" w:eastAsia="Times New Roman" w:hAnsi="Arial" w:cs="Arial"/>
          <w:kern w:val="0"/>
          <w:sz w:val="22"/>
          <w:szCs w:val="22"/>
          <w:lang w:eastAsia="en-GB"/>
          <w14:ligatures w14:val="none"/>
        </w:rPr>
        <w:t xml:space="preserve">Talens, C., da Quinta, N., Adebayo, F.A., </w:t>
      </w:r>
      <w:proofErr w:type="spellStart"/>
      <w:r w:rsidRPr="00CD3317">
        <w:rPr>
          <w:rFonts w:ascii="Arial" w:eastAsia="Times New Roman" w:hAnsi="Arial" w:cs="Arial"/>
          <w:kern w:val="0"/>
          <w:sz w:val="22"/>
          <w:szCs w:val="22"/>
          <w:lang w:eastAsia="en-GB"/>
          <w14:ligatures w14:val="none"/>
        </w:rPr>
        <w:t>Erkkola</w:t>
      </w:r>
      <w:proofErr w:type="spellEnd"/>
      <w:r w:rsidRPr="00CD3317">
        <w:rPr>
          <w:rFonts w:ascii="Arial" w:eastAsia="Times New Roman" w:hAnsi="Arial" w:cs="Arial"/>
          <w:kern w:val="0"/>
          <w:sz w:val="22"/>
          <w:szCs w:val="22"/>
          <w:lang w:eastAsia="en-GB"/>
          <w14:ligatures w14:val="none"/>
        </w:rPr>
        <w:t xml:space="preserve">, M., Heikkilä, M., Bargiel-Matusiewicz, K., </w:t>
      </w:r>
      <w:proofErr w:type="spellStart"/>
      <w:r w:rsidRPr="00CD3317">
        <w:rPr>
          <w:rFonts w:ascii="Arial" w:eastAsia="Times New Roman" w:hAnsi="Arial" w:cs="Arial"/>
          <w:kern w:val="0"/>
          <w:sz w:val="22"/>
          <w:szCs w:val="22"/>
          <w:lang w:eastAsia="en-GB"/>
          <w14:ligatures w14:val="none"/>
        </w:rPr>
        <w:t>Ziółkowska</w:t>
      </w:r>
      <w:proofErr w:type="spellEnd"/>
      <w:r w:rsidRPr="00CD3317">
        <w:rPr>
          <w:rFonts w:ascii="Arial" w:eastAsia="Times New Roman" w:hAnsi="Arial" w:cs="Arial"/>
          <w:kern w:val="0"/>
          <w:sz w:val="22"/>
          <w:szCs w:val="22"/>
          <w:lang w:eastAsia="en-GB"/>
          <w14:ligatures w14:val="none"/>
        </w:rPr>
        <w:t xml:space="preserve">, N., Rioja, P., </w:t>
      </w:r>
      <w:proofErr w:type="spellStart"/>
      <w:r w:rsidRPr="00CD3317">
        <w:rPr>
          <w:rFonts w:ascii="Arial" w:eastAsia="Times New Roman" w:hAnsi="Arial" w:cs="Arial"/>
          <w:kern w:val="0"/>
          <w:sz w:val="22"/>
          <w:szCs w:val="22"/>
          <w:lang w:eastAsia="en-GB"/>
          <w14:ligatures w14:val="none"/>
        </w:rPr>
        <w:t>Łyś</w:t>
      </w:r>
      <w:proofErr w:type="spellEnd"/>
      <w:r w:rsidRPr="00CD3317">
        <w:rPr>
          <w:rFonts w:ascii="Arial" w:eastAsia="Times New Roman" w:hAnsi="Arial" w:cs="Arial"/>
          <w:kern w:val="0"/>
          <w:sz w:val="22"/>
          <w:szCs w:val="22"/>
          <w:lang w:eastAsia="en-GB"/>
          <w14:ligatures w14:val="none"/>
        </w:rPr>
        <w:t xml:space="preserve">, A.E., Santa Cruz, E. and </w:t>
      </w:r>
      <w:proofErr w:type="spellStart"/>
      <w:r w:rsidRPr="00CD3317">
        <w:rPr>
          <w:rFonts w:ascii="Arial" w:eastAsia="Times New Roman" w:hAnsi="Arial" w:cs="Arial"/>
          <w:kern w:val="0"/>
          <w:sz w:val="22"/>
          <w:szCs w:val="22"/>
          <w:lang w:eastAsia="en-GB"/>
          <w14:ligatures w14:val="none"/>
        </w:rPr>
        <w:t>Meinilä</w:t>
      </w:r>
      <w:proofErr w:type="spellEnd"/>
      <w:r w:rsidRPr="00CD3317">
        <w:rPr>
          <w:rFonts w:ascii="Arial" w:eastAsia="Times New Roman" w:hAnsi="Arial" w:cs="Arial"/>
          <w:kern w:val="0"/>
          <w:sz w:val="22"/>
          <w:szCs w:val="22"/>
          <w:lang w:eastAsia="en-GB"/>
          <w14:ligatures w14:val="none"/>
        </w:rPr>
        <w:t xml:space="preserve">, J. (2025) 'Mobile- and web-based interventions for promoting healthy diets, preventing obesity, and improving health </w:t>
      </w:r>
      <w:proofErr w:type="spellStart"/>
      <w:r w:rsidRPr="00CD3317">
        <w:rPr>
          <w:rFonts w:ascii="Arial" w:eastAsia="Times New Roman" w:hAnsi="Arial" w:cs="Arial"/>
          <w:kern w:val="0"/>
          <w:sz w:val="22"/>
          <w:szCs w:val="22"/>
          <w:lang w:eastAsia="en-GB"/>
          <w14:ligatures w14:val="none"/>
        </w:rPr>
        <w:t>behaviors</w:t>
      </w:r>
      <w:proofErr w:type="spellEnd"/>
      <w:r w:rsidRPr="00CD3317">
        <w:rPr>
          <w:rFonts w:ascii="Arial" w:eastAsia="Times New Roman" w:hAnsi="Arial" w:cs="Arial"/>
          <w:kern w:val="0"/>
          <w:sz w:val="22"/>
          <w:szCs w:val="22"/>
          <w:lang w:eastAsia="en-GB"/>
          <w14:ligatures w14:val="none"/>
        </w:rPr>
        <w:t xml:space="preserve"> in children and adolescents: systematic review of randomized controlled trials', </w:t>
      </w:r>
      <w:r w:rsidRPr="00CD3317">
        <w:rPr>
          <w:rFonts w:ascii="Arial" w:eastAsia="Times New Roman" w:hAnsi="Arial" w:cs="Arial"/>
          <w:i/>
          <w:iCs/>
          <w:kern w:val="0"/>
          <w:sz w:val="22"/>
          <w:szCs w:val="22"/>
          <w:lang w:eastAsia="en-GB"/>
          <w14:ligatures w14:val="none"/>
        </w:rPr>
        <w:t>Journal of Medical Internet Research</w:t>
      </w:r>
      <w:r w:rsidRPr="00CD3317">
        <w:rPr>
          <w:rFonts w:ascii="Arial" w:eastAsia="Times New Roman" w:hAnsi="Arial" w:cs="Arial"/>
          <w:kern w:val="0"/>
          <w:sz w:val="22"/>
          <w:szCs w:val="22"/>
          <w:lang w:eastAsia="en-GB"/>
          <w14:ligatures w14:val="none"/>
        </w:rPr>
        <w:t>, 27, e60602.</w:t>
      </w:r>
    </w:p>
    <w:p w14:paraId="0F5FA2EE" w14:textId="77777777" w:rsidR="00A33853" w:rsidRPr="00CD3317" w:rsidRDefault="00A33853" w:rsidP="00CD3317">
      <w:pPr>
        <w:spacing w:before="100" w:beforeAutospacing="1" w:after="100" w:afterAutospacing="1" w:line="360" w:lineRule="auto"/>
        <w:rPr>
          <w:rFonts w:ascii="Arial" w:eastAsia="Times New Roman" w:hAnsi="Arial" w:cs="Arial"/>
          <w:kern w:val="0"/>
          <w:sz w:val="22"/>
          <w:szCs w:val="22"/>
          <w:lang w:eastAsia="en-GB"/>
          <w14:ligatures w14:val="none"/>
        </w:rPr>
      </w:pPr>
      <w:r w:rsidRPr="00CD3317">
        <w:rPr>
          <w:rFonts w:ascii="Arial" w:eastAsia="Times New Roman" w:hAnsi="Arial" w:cs="Arial"/>
          <w:kern w:val="0"/>
          <w:sz w:val="22"/>
          <w:szCs w:val="22"/>
          <w:lang w:eastAsia="en-GB"/>
          <w14:ligatures w14:val="none"/>
        </w:rPr>
        <w:t xml:space="preserve">Titis, E., Procter, R. and Walasek, L. (2021) 'Assessing physical access to healthy food across United Kingdom: A systematic review of measures and findings', </w:t>
      </w:r>
      <w:r w:rsidRPr="00CD3317">
        <w:rPr>
          <w:rFonts w:ascii="Arial" w:eastAsia="Times New Roman" w:hAnsi="Arial" w:cs="Arial"/>
          <w:i/>
          <w:iCs/>
          <w:kern w:val="0"/>
          <w:sz w:val="22"/>
          <w:szCs w:val="22"/>
          <w:lang w:eastAsia="en-GB"/>
          <w14:ligatures w14:val="none"/>
        </w:rPr>
        <w:t>Obesity Science &amp; Practice</w:t>
      </w:r>
      <w:r w:rsidRPr="00CD3317">
        <w:rPr>
          <w:rFonts w:ascii="Arial" w:eastAsia="Times New Roman" w:hAnsi="Arial" w:cs="Arial"/>
          <w:kern w:val="0"/>
          <w:sz w:val="22"/>
          <w:szCs w:val="22"/>
          <w:lang w:eastAsia="en-GB"/>
          <w14:ligatures w14:val="none"/>
        </w:rPr>
        <w:t>, 8(2), pp. 233–246.</w:t>
      </w:r>
    </w:p>
    <w:p w14:paraId="62FA43A0" w14:textId="77777777" w:rsidR="00A33853" w:rsidRDefault="00A33853" w:rsidP="00CD3317">
      <w:pPr>
        <w:spacing w:before="100" w:beforeAutospacing="1" w:after="100" w:afterAutospacing="1" w:line="360" w:lineRule="auto"/>
        <w:rPr>
          <w:rFonts w:ascii="Arial" w:eastAsia="Times New Roman" w:hAnsi="Arial" w:cs="Arial"/>
          <w:kern w:val="0"/>
          <w:sz w:val="22"/>
          <w:szCs w:val="22"/>
          <w:lang w:eastAsia="en-GB"/>
          <w14:ligatures w14:val="none"/>
        </w:rPr>
      </w:pPr>
      <w:r w:rsidRPr="00CD3317">
        <w:rPr>
          <w:rFonts w:ascii="Arial" w:eastAsia="Times New Roman" w:hAnsi="Arial" w:cs="Arial"/>
          <w:kern w:val="0"/>
          <w:sz w:val="22"/>
          <w:szCs w:val="22"/>
          <w:lang w:eastAsia="en-GB"/>
          <w14:ligatures w14:val="none"/>
        </w:rPr>
        <w:t xml:space="preserve">Yu, S.W.Y., Hill, C., Ricks, M.L., Bennet, J. and Oriol, N.E. (2017) 'The scope and impact of mobile health clinics in the United States: a literature review', </w:t>
      </w:r>
      <w:r w:rsidRPr="00CD3317">
        <w:rPr>
          <w:rFonts w:ascii="Arial" w:eastAsia="Times New Roman" w:hAnsi="Arial" w:cs="Arial"/>
          <w:i/>
          <w:iCs/>
          <w:kern w:val="0"/>
          <w:sz w:val="22"/>
          <w:szCs w:val="22"/>
          <w:lang w:eastAsia="en-GB"/>
          <w14:ligatures w14:val="none"/>
        </w:rPr>
        <w:t>International Journal for Equity in Health</w:t>
      </w:r>
      <w:r w:rsidRPr="00CD3317">
        <w:rPr>
          <w:rFonts w:ascii="Arial" w:eastAsia="Times New Roman" w:hAnsi="Arial" w:cs="Arial"/>
          <w:kern w:val="0"/>
          <w:sz w:val="22"/>
          <w:szCs w:val="22"/>
          <w:lang w:eastAsia="en-GB"/>
          <w14:ligatures w14:val="none"/>
        </w:rPr>
        <w:t>, 16, p. 178.</w:t>
      </w:r>
    </w:p>
    <w:p w14:paraId="078A65D1" w14:textId="77777777" w:rsidR="000739F2" w:rsidRPr="000739F2" w:rsidRDefault="000739F2" w:rsidP="000739F2">
      <w:pPr>
        <w:spacing w:before="100" w:beforeAutospacing="1" w:after="100" w:afterAutospacing="1" w:line="360" w:lineRule="auto"/>
        <w:rPr>
          <w:rFonts w:ascii="Arial" w:eastAsia="Times New Roman" w:hAnsi="Arial" w:cs="Arial"/>
          <w:kern w:val="0"/>
          <w:sz w:val="22"/>
          <w:szCs w:val="22"/>
          <w:lang w:eastAsia="en-GB"/>
          <w14:ligatures w14:val="none"/>
        </w:rPr>
      </w:pPr>
      <w:r w:rsidRPr="000739F2">
        <w:rPr>
          <w:rFonts w:ascii="Arial" w:eastAsia="Times New Roman" w:hAnsi="Arial" w:cs="Arial"/>
          <w:kern w:val="0"/>
          <w:sz w:val="22"/>
          <w:szCs w:val="22"/>
          <w:lang w:eastAsia="en-GB"/>
          <w14:ligatures w14:val="none"/>
        </w:rPr>
        <w:t xml:space="preserve">Beaumont, J.D., Ioannou, E., Harish, K., </w:t>
      </w:r>
      <w:proofErr w:type="spellStart"/>
      <w:r w:rsidRPr="000739F2">
        <w:rPr>
          <w:rFonts w:ascii="Arial" w:eastAsia="Times New Roman" w:hAnsi="Arial" w:cs="Arial"/>
          <w:kern w:val="0"/>
          <w:sz w:val="22"/>
          <w:szCs w:val="22"/>
          <w:lang w:eastAsia="en-GB"/>
          <w14:ligatures w14:val="none"/>
        </w:rPr>
        <w:t>Elewendu</w:t>
      </w:r>
      <w:proofErr w:type="spellEnd"/>
      <w:r w:rsidRPr="000739F2">
        <w:rPr>
          <w:rFonts w:ascii="Arial" w:eastAsia="Times New Roman" w:hAnsi="Arial" w:cs="Arial"/>
          <w:kern w:val="0"/>
          <w:sz w:val="22"/>
          <w:szCs w:val="22"/>
          <w:lang w:eastAsia="en-GB"/>
          <w14:ligatures w14:val="none"/>
        </w:rPr>
        <w:t xml:space="preserve">, N., Corrigan, N. and Nield, L. (2024) '"We're one small piece of the puzzle": evaluating the impact of short-term funding for tier two weight management services', </w:t>
      </w:r>
      <w:r w:rsidRPr="000739F2">
        <w:rPr>
          <w:rFonts w:ascii="Arial" w:eastAsia="Times New Roman" w:hAnsi="Arial" w:cs="Arial"/>
          <w:i/>
          <w:iCs/>
          <w:kern w:val="0"/>
          <w:sz w:val="22"/>
          <w:szCs w:val="22"/>
          <w:lang w:eastAsia="en-GB"/>
          <w14:ligatures w14:val="none"/>
        </w:rPr>
        <w:t>Frontiers in Public Health</w:t>
      </w:r>
      <w:r w:rsidRPr="000739F2">
        <w:rPr>
          <w:rFonts w:ascii="Arial" w:eastAsia="Times New Roman" w:hAnsi="Arial" w:cs="Arial"/>
          <w:kern w:val="0"/>
          <w:sz w:val="22"/>
          <w:szCs w:val="22"/>
          <w:lang w:eastAsia="en-GB"/>
          <w14:ligatures w14:val="none"/>
        </w:rPr>
        <w:t>, 12.</w:t>
      </w:r>
    </w:p>
    <w:p w14:paraId="6370AE75" w14:textId="77777777" w:rsidR="000739F2" w:rsidRPr="000739F2" w:rsidRDefault="000739F2" w:rsidP="000739F2">
      <w:pPr>
        <w:spacing w:before="100" w:beforeAutospacing="1" w:after="100" w:afterAutospacing="1" w:line="360" w:lineRule="auto"/>
        <w:rPr>
          <w:rFonts w:ascii="Arial" w:eastAsia="Times New Roman" w:hAnsi="Arial" w:cs="Arial"/>
          <w:kern w:val="0"/>
          <w:sz w:val="22"/>
          <w:szCs w:val="22"/>
          <w:lang w:eastAsia="en-GB"/>
          <w14:ligatures w14:val="none"/>
        </w:rPr>
      </w:pPr>
      <w:r w:rsidRPr="000739F2">
        <w:rPr>
          <w:rFonts w:ascii="Arial" w:eastAsia="Times New Roman" w:hAnsi="Arial" w:cs="Arial"/>
          <w:kern w:val="0"/>
          <w:sz w:val="22"/>
          <w:szCs w:val="22"/>
          <w:lang w:eastAsia="en-GB"/>
          <w14:ligatures w14:val="none"/>
        </w:rPr>
        <w:t xml:space="preserve">Dapre, E. (2023) 'Are GLP-1 agonists the answer to our obesity epidemic?', </w:t>
      </w:r>
      <w:r w:rsidRPr="000739F2">
        <w:rPr>
          <w:rFonts w:ascii="Arial" w:eastAsia="Times New Roman" w:hAnsi="Arial" w:cs="Arial"/>
          <w:i/>
          <w:iCs/>
          <w:kern w:val="0"/>
          <w:sz w:val="22"/>
          <w:szCs w:val="22"/>
          <w:lang w:eastAsia="en-GB"/>
          <w14:ligatures w14:val="none"/>
        </w:rPr>
        <w:t>British Journal of General Practice</w:t>
      </w:r>
      <w:r w:rsidRPr="000739F2">
        <w:rPr>
          <w:rFonts w:ascii="Arial" w:eastAsia="Times New Roman" w:hAnsi="Arial" w:cs="Arial"/>
          <w:kern w:val="0"/>
          <w:sz w:val="22"/>
          <w:szCs w:val="22"/>
          <w:lang w:eastAsia="en-GB"/>
          <w14:ligatures w14:val="none"/>
        </w:rPr>
        <w:t>, 73, p. 365.</w:t>
      </w:r>
    </w:p>
    <w:p w14:paraId="74E1ACCC" w14:textId="77777777" w:rsidR="000739F2" w:rsidRPr="000739F2" w:rsidRDefault="000739F2" w:rsidP="000739F2">
      <w:pPr>
        <w:spacing w:before="100" w:beforeAutospacing="1" w:after="100" w:afterAutospacing="1" w:line="360" w:lineRule="auto"/>
        <w:rPr>
          <w:rFonts w:ascii="Arial" w:eastAsia="Times New Roman" w:hAnsi="Arial" w:cs="Arial"/>
          <w:kern w:val="0"/>
          <w:sz w:val="22"/>
          <w:szCs w:val="22"/>
          <w:lang w:eastAsia="en-GB"/>
          <w14:ligatures w14:val="none"/>
        </w:rPr>
      </w:pPr>
      <w:r w:rsidRPr="000739F2">
        <w:rPr>
          <w:rFonts w:ascii="Arial" w:eastAsia="Times New Roman" w:hAnsi="Arial" w:cs="Arial"/>
          <w:kern w:val="0"/>
          <w:sz w:val="22"/>
          <w:szCs w:val="22"/>
          <w:lang w:eastAsia="en-GB"/>
          <w14:ligatures w14:val="none"/>
        </w:rPr>
        <w:t xml:space="preserve">Page, B. and Marshall, L. (2023) </w:t>
      </w:r>
      <w:r w:rsidRPr="000739F2">
        <w:rPr>
          <w:rFonts w:ascii="Arial" w:eastAsia="Times New Roman" w:hAnsi="Arial" w:cs="Arial"/>
          <w:i/>
          <w:iCs/>
          <w:kern w:val="0"/>
          <w:sz w:val="22"/>
          <w:szCs w:val="22"/>
          <w:lang w:eastAsia="en-GB"/>
          <w14:ligatures w14:val="none"/>
        </w:rPr>
        <w:t>Food insecurity – what can local government do?</w:t>
      </w:r>
      <w:r w:rsidRPr="000739F2">
        <w:rPr>
          <w:rFonts w:ascii="Arial" w:eastAsia="Times New Roman" w:hAnsi="Arial" w:cs="Arial"/>
          <w:kern w:val="0"/>
          <w:sz w:val="22"/>
          <w:szCs w:val="22"/>
          <w:lang w:eastAsia="en-GB"/>
          <w14:ligatures w14:val="none"/>
        </w:rPr>
        <w:t xml:space="preserve"> Available at: </w:t>
      </w:r>
      <w:hyperlink r:id="rId5" w:history="1">
        <w:r w:rsidRPr="000739F2">
          <w:rPr>
            <w:rStyle w:val="Hyperlink"/>
            <w:rFonts w:ascii="Arial" w:eastAsia="Times New Roman" w:hAnsi="Arial" w:cs="Arial"/>
            <w:kern w:val="0"/>
            <w:sz w:val="22"/>
            <w:szCs w:val="22"/>
            <w:lang w:eastAsia="en-GB"/>
            <w14:ligatures w14:val="none"/>
          </w:rPr>
          <w:t>https://doi.org/10.37829/hf-2023-hl02</w:t>
        </w:r>
      </w:hyperlink>
      <w:r w:rsidRPr="000739F2">
        <w:rPr>
          <w:rFonts w:ascii="Arial" w:eastAsia="Times New Roman" w:hAnsi="Arial" w:cs="Arial"/>
          <w:kern w:val="0"/>
          <w:sz w:val="22"/>
          <w:szCs w:val="22"/>
          <w:lang w:eastAsia="en-GB"/>
          <w14:ligatures w14:val="none"/>
        </w:rPr>
        <w:t>.</w:t>
      </w:r>
    </w:p>
    <w:p w14:paraId="165DD8C6" w14:textId="77777777" w:rsidR="000739F2" w:rsidRPr="00CD3317" w:rsidRDefault="000739F2" w:rsidP="00CD3317">
      <w:pPr>
        <w:spacing w:before="100" w:beforeAutospacing="1" w:after="100" w:afterAutospacing="1" w:line="360" w:lineRule="auto"/>
        <w:rPr>
          <w:rFonts w:ascii="Arial" w:eastAsia="Times New Roman" w:hAnsi="Arial" w:cs="Arial"/>
          <w:kern w:val="0"/>
          <w:sz w:val="22"/>
          <w:szCs w:val="22"/>
          <w:lang w:eastAsia="en-GB"/>
          <w14:ligatures w14:val="none"/>
        </w:rPr>
      </w:pPr>
    </w:p>
    <w:p w14:paraId="327C4E30" w14:textId="77777777" w:rsidR="00F25B36" w:rsidRPr="00CD3317" w:rsidRDefault="00F25B36" w:rsidP="00CD3317">
      <w:pPr>
        <w:spacing w:line="360" w:lineRule="auto"/>
        <w:rPr>
          <w:rFonts w:ascii="Arial" w:hAnsi="Arial" w:cs="Arial"/>
          <w:sz w:val="22"/>
          <w:szCs w:val="22"/>
        </w:rPr>
      </w:pPr>
    </w:p>
    <w:sectPr w:rsidR="00F25B36" w:rsidRPr="00CD3317" w:rsidSect="00CD3317">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853"/>
    <w:rsid w:val="00066AA0"/>
    <w:rsid w:val="000739F2"/>
    <w:rsid w:val="002D2FDB"/>
    <w:rsid w:val="00A33853"/>
    <w:rsid w:val="00B12C12"/>
    <w:rsid w:val="00CD3317"/>
    <w:rsid w:val="00F25B36"/>
    <w:rsid w:val="00F65E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86553"/>
  <w15:chartTrackingRefBased/>
  <w15:docId w15:val="{A14F3C6A-3281-4854-913A-87ABA2370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38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38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38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38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38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38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38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38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38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38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38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38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38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38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38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38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38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3853"/>
    <w:rPr>
      <w:rFonts w:eastAsiaTheme="majorEastAsia" w:cstheme="majorBidi"/>
      <w:color w:val="272727" w:themeColor="text1" w:themeTint="D8"/>
    </w:rPr>
  </w:style>
  <w:style w:type="paragraph" w:styleId="Title">
    <w:name w:val="Title"/>
    <w:basedOn w:val="Normal"/>
    <w:next w:val="Normal"/>
    <w:link w:val="TitleChar"/>
    <w:uiPriority w:val="10"/>
    <w:qFormat/>
    <w:rsid w:val="00A338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38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38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38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3853"/>
    <w:pPr>
      <w:spacing w:before="160"/>
      <w:jc w:val="center"/>
    </w:pPr>
    <w:rPr>
      <w:i/>
      <w:iCs/>
      <w:color w:val="404040" w:themeColor="text1" w:themeTint="BF"/>
    </w:rPr>
  </w:style>
  <w:style w:type="character" w:customStyle="1" w:styleId="QuoteChar">
    <w:name w:val="Quote Char"/>
    <w:basedOn w:val="DefaultParagraphFont"/>
    <w:link w:val="Quote"/>
    <w:uiPriority w:val="29"/>
    <w:rsid w:val="00A33853"/>
    <w:rPr>
      <w:i/>
      <w:iCs/>
      <w:color w:val="404040" w:themeColor="text1" w:themeTint="BF"/>
    </w:rPr>
  </w:style>
  <w:style w:type="paragraph" w:styleId="ListParagraph">
    <w:name w:val="List Paragraph"/>
    <w:basedOn w:val="Normal"/>
    <w:uiPriority w:val="34"/>
    <w:qFormat/>
    <w:rsid w:val="00A33853"/>
    <w:pPr>
      <w:ind w:left="720"/>
      <w:contextualSpacing/>
    </w:pPr>
  </w:style>
  <w:style w:type="character" w:styleId="IntenseEmphasis">
    <w:name w:val="Intense Emphasis"/>
    <w:basedOn w:val="DefaultParagraphFont"/>
    <w:uiPriority w:val="21"/>
    <w:qFormat/>
    <w:rsid w:val="00A33853"/>
    <w:rPr>
      <w:i/>
      <w:iCs/>
      <w:color w:val="0F4761" w:themeColor="accent1" w:themeShade="BF"/>
    </w:rPr>
  </w:style>
  <w:style w:type="paragraph" w:styleId="IntenseQuote">
    <w:name w:val="Intense Quote"/>
    <w:basedOn w:val="Normal"/>
    <w:next w:val="Normal"/>
    <w:link w:val="IntenseQuoteChar"/>
    <w:uiPriority w:val="30"/>
    <w:qFormat/>
    <w:rsid w:val="00A338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3853"/>
    <w:rPr>
      <w:i/>
      <w:iCs/>
      <w:color w:val="0F4761" w:themeColor="accent1" w:themeShade="BF"/>
    </w:rPr>
  </w:style>
  <w:style w:type="character" w:styleId="IntenseReference">
    <w:name w:val="Intense Reference"/>
    <w:basedOn w:val="DefaultParagraphFont"/>
    <w:uiPriority w:val="32"/>
    <w:qFormat/>
    <w:rsid w:val="00A33853"/>
    <w:rPr>
      <w:b/>
      <w:bCs/>
      <w:smallCaps/>
      <w:color w:val="0F4761" w:themeColor="accent1" w:themeShade="BF"/>
      <w:spacing w:val="5"/>
    </w:rPr>
  </w:style>
  <w:style w:type="character" w:styleId="Hyperlink">
    <w:name w:val="Hyperlink"/>
    <w:basedOn w:val="DefaultParagraphFont"/>
    <w:uiPriority w:val="99"/>
    <w:unhideWhenUsed/>
    <w:rsid w:val="000739F2"/>
    <w:rPr>
      <w:color w:val="467886" w:themeColor="hyperlink"/>
      <w:u w:val="single"/>
    </w:rPr>
  </w:style>
  <w:style w:type="character" w:styleId="UnresolvedMention">
    <w:name w:val="Unresolved Mention"/>
    <w:basedOn w:val="DefaultParagraphFont"/>
    <w:uiPriority w:val="99"/>
    <w:semiHidden/>
    <w:unhideWhenUsed/>
    <w:rsid w:val="000739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oi.org/10.37829/hf-2023-hl02"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TotalTime>
  <Pages>6</Pages>
  <Words>1456</Words>
  <Characters>8303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Yonathan Wondimu</dc:creator>
  <cp:keywords/>
  <dc:description/>
  <cp:lastModifiedBy>Yonathan Wondimu</cp:lastModifiedBy>
  <cp:revision>4</cp:revision>
  <dcterms:created xsi:type="dcterms:W3CDTF">2026-07-19T12:12:00Z</dcterms:created>
  <dcterms:modified xsi:type="dcterms:W3CDTF">2026-07-19T12:53:00Z</dcterms:modified>
</cp:coreProperties>
</file>