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2679F" w14:textId="61C6F6F0" w:rsidR="008C7A7D" w:rsidRDefault="008C7A7D"/>
    <w:p w14:paraId="28FC4967" w14:textId="7198C3B0" w:rsidR="00EF6C94" w:rsidRDefault="00EF6C94"/>
    <w:p w14:paraId="0C983DE3" w14:textId="37DB5FCF" w:rsidR="00EF6C94" w:rsidRPr="00C3384D" w:rsidRDefault="00C3384D" w:rsidP="00C3384D">
      <w:pPr>
        <w:pStyle w:val="IntenseQuote"/>
        <w:rPr>
          <w:color w:val="0D0D0D" w:themeColor="text1" w:themeTint="F2"/>
          <w:sz w:val="36"/>
        </w:rPr>
      </w:pPr>
      <w:bookmarkStart w:id="0" w:name="_GoBack"/>
      <w:r w:rsidRPr="00C3384D">
        <w:rPr>
          <w:color w:val="0D0D0D" w:themeColor="text1" w:themeTint="F2"/>
          <w:sz w:val="36"/>
        </w:rPr>
        <w:t>I</w:t>
      </w:r>
      <w:r w:rsidR="00EF6C94" w:rsidRPr="00C3384D">
        <w:rPr>
          <w:color w:val="0D0D0D" w:themeColor="text1" w:themeTint="F2"/>
          <w:sz w:val="36"/>
        </w:rPr>
        <w:t xml:space="preserve">ntegrity </w:t>
      </w:r>
      <w:r w:rsidRPr="00C3384D">
        <w:rPr>
          <w:color w:val="0D0D0D" w:themeColor="text1" w:themeTint="F2"/>
          <w:sz w:val="36"/>
        </w:rPr>
        <w:t>of Evidence</w:t>
      </w:r>
      <w:r w:rsidR="00EF6C94" w:rsidRPr="00C3384D">
        <w:rPr>
          <w:color w:val="0D0D0D" w:themeColor="text1" w:themeTint="F2"/>
          <w:sz w:val="36"/>
        </w:rPr>
        <w:t xml:space="preserve"> and</w:t>
      </w:r>
      <w:r w:rsidRPr="00C3384D">
        <w:rPr>
          <w:color w:val="0D0D0D" w:themeColor="text1" w:themeTint="F2"/>
          <w:sz w:val="36"/>
        </w:rPr>
        <w:t xml:space="preserve"> H</w:t>
      </w:r>
      <w:r w:rsidR="00EF6C94" w:rsidRPr="00C3384D">
        <w:rPr>
          <w:color w:val="0D0D0D" w:themeColor="text1" w:themeTint="F2"/>
          <w:sz w:val="36"/>
        </w:rPr>
        <w:t xml:space="preserve">ow </w:t>
      </w:r>
      <w:r w:rsidRPr="00C3384D">
        <w:rPr>
          <w:color w:val="0D0D0D" w:themeColor="text1" w:themeTint="F2"/>
          <w:sz w:val="36"/>
        </w:rPr>
        <w:t>T</w:t>
      </w:r>
      <w:r w:rsidR="00EF6C94" w:rsidRPr="00C3384D">
        <w:rPr>
          <w:color w:val="0D0D0D" w:themeColor="text1" w:themeTint="F2"/>
          <w:sz w:val="36"/>
        </w:rPr>
        <w:t xml:space="preserve">his </w:t>
      </w:r>
      <w:r w:rsidRPr="00C3384D">
        <w:rPr>
          <w:color w:val="0D0D0D" w:themeColor="text1" w:themeTint="F2"/>
          <w:sz w:val="36"/>
        </w:rPr>
        <w:t>M</w:t>
      </w:r>
      <w:r w:rsidR="00EF6C94" w:rsidRPr="00C3384D">
        <w:rPr>
          <w:color w:val="0D0D0D" w:themeColor="text1" w:themeTint="F2"/>
          <w:sz w:val="36"/>
        </w:rPr>
        <w:t xml:space="preserve">ay </w:t>
      </w:r>
      <w:r w:rsidRPr="00C3384D">
        <w:rPr>
          <w:color w:val="0D0D0D" w:themeColor="text1" w:themeTint="F2"/>
          <w:sz w:val="36"/>
        </w:rPr>
        <w:t>B</w:t>
      </w:r>
      <w:r w:rsidR="00EF6C94" w:rsidRPr="00C3384D">
        <w:rPr>
          <w:color w:val="0D0D0D" w:themeColor="text1" w:themeTint="F2"/>
          <w:sz w:val="36"/>
        </w:rPr>
        <w:t xml:space="preserve">e </w:t>
      </w:r>
      <w:r w:rsidRPr="00C3384D">
        <w:rPr>
          <w:color w:val="0D0D0D" w:themeColor="text1" w:themeTint="F2"/>
          <w:sz w:val="36"/>
        </w:rPr>
        <w:t>E</w:t>
      </w:r>
      <w:r w:rsidR="00EF6C94" w:rsidRPr="00C3384D">
        <w:rPr>
          <w:color w:val="0D0D0D" w:themeColor="text1" w:themeTint="F2"/>
          <w:sz w:val="36"/>
        </w:rPr>
        <w:t>nsured.</w:t>
      </w:r>
    </w:p>
    <w:bookmarkEnd w:id="0"/>
    <w:p w14:paraId="18EF0C97" w14:textId="25C2B787" w:rsidR="00F773CB" w:rsidRDefault="00F773CB" w:rsidP="00F773CB"/>
    <w:p w14:paraId="3A077223" w14:textId="3A805226" w:rsidR="00F773CB" w:rsidRDefault="00F945F6" w:rsidP="00F773CB">
      <w:r>
        <w:t xml:space="preserve">Crime </w:t>
      </w:r>
      <w:r w:rsidR="00915019">
        <w:t xml:space="preserve">can often differ based on the level of severity. Some crimes can be considered as petty and </w:t>
      </w:r>
      <w:r w:rsidR="00C3384D">
        <w:t>non-threating</w:t>
      </w:r>
      <w:r w:rsidR="00915019">
        <w:t xml:space="preserve"> whilst others can be deemed as a punishable offence. In order to convict an individual for a crime, official investigations must be conduc</w:t>
      </w:r>
      <w:r w:rsidR="00CF3959">
        <w:t>ted</w:t>
      </w:r>
      <w:r w:rsidR="00915019">
        <w:t xml:space="preserve"> to determine whether the person is guilty of the </w:t>
      </w:r>
      <w:r w:rsidR="00C3384D">
        <w:t>crime, how</w:t>
      </w:r>
      <w:r w:rsidR="00915019">
        <w:t xml:space="preserve"> </w:t>
      </w:r>
      <w:r w:rsidR="00CF3959">
        <w:t xml:space="preserve">and </w:t>
      </w:r>
      <w:r w:rsidR="00915019">
        <w:t xml:space="preserve">why the conducted the crime. In order to do this, evidence must be carefully and meticulously gathered before being moved to an official laboratory which then can run several tests. The crime scene must be </w:t>
      </w:r>
      <w:r w:rsidR="00E157FD">
        <w:t xml:space="preserve">protected, </w:t>
      </w:r>
      <w:r w:rsidR="00915019">
        <w:t xml:space="preserve">and its environment controlled </w:t>
      </w:r>
      <w:r w:rsidR="00CF3959">
        <w:t>to</w:t>
      </w:r>
      <w:r w:rsidR="00915019">
        <w:t xml:space="preserve"> protect the its </w:t>
      </w:r>
      <w:r w:rsidR="00E157FD">
        <w:t>integrity</w:t>
      </w:r>
      <w:r w:rsidR="00915019">
        <w:t xml:space="preserve">.  </w:t>
      </w:r>
      <w:r w:rsidR="00F773CB">
        <w:t xml:space="preserve">The oxford </w:t>
      </w:r>
      <w:r w:rsidR="00BD645D">
        <w:t xml:space="preserve">definition of word </w:t>
      </w:r>
      <w:r w:rsidR="00E157FD">
        <w:t>Integrity</w:t>
      </w:r>
      <w:r w:rsidR="00BD645D">
        <w:t xml:space="preserve"> stands as “</w:t>
      </w:r>
      <w:r w:rsidRPr="00F945F6">
        <w:t>The quality of being honest and having strong moral principles.</w:t>
      </w:r>
      <w:r>
        <w:t xml:space="preserve">” </w:t>
      </w:r>
      <w:r w:rsidR="00CF3959">
        <w:t>(2018)</w:t>
      </w:r>
    </w:p>
    <w:p w14:paraId="4C1A3B20" w14:textId="4C4AF657" w:rsidR="001837D7" w:rsidRDefault="00CD7600" w:rsidP="00F773CB">
      <w:r>
        <w:t xml:space="preserve">In this instance, the </w:t>
      </w:r>
      <w:r w:rsidR="00E157FD">
        <w:t>integrity</w:t>
      </w:r>
      <w:r>
        <w:t xml:space="preserve"> of evidence means that evidence should be collected in the right manner in order to lead into a th</w:t>
      </w:r>
      <w:r w:rsidR="00E157FD">
        <w:t>orough</w:t>
      </w:r>
      <w:r>
        <w:t xml:space="preserve"> investigation. Evidence collectors must have the high</w:t>
      </w:r>
      <w:r w:rsidR="00E157FD">
        <w:t>est</w:t>
      </w:r>
      <w:r>
        <w:t xml:space="preserve"> form of </w:t>
      </w:r>
      <w:r w:rsidR="00E157FD">
        <w:t>integrity</w:t>
      </w:r>
      <w:r>
        <w:t xml:space="preserve"> meaning that from the moment they set foot into the crime scene, they must be wearing personal protective equipment which not only protects them from the crime scene but also protects the crime scene from them and potential contamination. </w:t>
      </w:r>
      <w:r w:rsidR="00E157FD">
        <w:t>Contamination</w:t>
      </w:r>
      <w:r>
        <w:t xml:space="preserve"> can often lead to a wrongful conviction or even at times lead to a suspected criminal not being charged for the crime they are accused off. </w:t>
      </w:r>
      <w:r w:rsidR="004A39B2">
        <w:t>As of November 21</w:t>
      </w:r>
      <w:r w:rsidR="004A39B2" w:rsidRPr="004A39B2">
        <w:rPr>
          <w:vertAlign w:val="superscript"/>
        </w:rPr>
        <w:t>s</w:t>
      </w:r>
      <w:r w:rsidR="004A39B2">
        <w:rPr>
          <w:vertAlign w:val="superscript"/>
        </w:rPr>
        <w:t xml:space="preserve">t, </w:t>
      </w:r>
      <w:r w:rsidR="004A39B2">
        <w:t>it</w:t>
      </w:r>
      <w:r w:rsidR="00E157FD">
        <w:t xml:space="preserve"> i</w:t>
      </w:r>
      <w:r w:rsidR="004A39B2">
        <w:t>s was reported</w:t>
      </w:r>
      <w:r w:rsidR="007516F3">
        <w:t xml:space="preserve"> that more than 10,000</w:t>
      </w:r>
      <w:r w:rsidR="00B37F23">
        <w:t xml:space="preserve"> </w:t>
      </w:r>
      <w:r w:rsidR="00993B51">
        <w:t xml:space="preserve">cases were affected with the </w:t>
      </w:r>
      <w:r w:rsidR="00E157FD">
        <w:t>integrity</w:t>
      </w:r>
      <w:r w:rsidR="00993B51">
        <w:t xml:space="preserve"> of evidence not being present </w:t>
      </w:r>
      <w:r w:rsidR="004A39B2">
        <w:t>“</w:t>
      </w:r>
      <w:r w:rsidR="004A39B2" w:rsidRPr="004A39B2">
        <w:t>Around 50 cases that were due to go to trial have been dropped over the scandal at a Randox Testing Services laboratory in Manchester</w:t>
      </w:r>
      <w:r w:rsidR="004A39B2">
        <w:t xml:space="preserve">…” </w:t>
      </w:r>
      <w:r w:rsidR="001C2201">
        <w:t>(</w:t>
      </w:r>
      <w:r w:rsidR="008F5F2F">
        <w:t>Dearden</w:t>
      </w:r>
      <w:r w:rsidR="007516F3">
        <w:t>,:2017)</w:t>
      </w:r>
      <w:r w:rsidR="00993B51">
        <w:t xml:space="preserve"> </w:t>
      </w:r>
    </w:p>
    <w:p w14:paraId="71FB5873" w14:textId="500B1CCB" w:rsidR="00993B51" w:rsidRDefault="00993B51" w:rsidP="00F773CB">
      <w:r>
        <w:t xml:space="preserve">For this report, I will be using </w:t>
      </w:r>
      <w:r w:rsidR="00E157FD">
        <w:t>the</w:t>
      </w:r>
      <w:r>
        <w:t xml:space="preserve"> Amanda Knox case. The case is one of the most prolific and </w:t>
      </w:r>
      <w:r w:rsidR="00E157FD">
        <w:t>well-remembered</w:t>
      </w:r>
      <w:r>
        <w:t xml:space="preserve"> case of the 21</w:t>
      </w:r>
      <w:r w:rsidRPr="00993B51">
        <w:rPr>
          <w:vertAlign w:val="superscript"/>
        </w:rPr>
        <w:t>st</w:t>
      </w:r>
      <w:r>
        <w:t xml:space="preserve"> </w:t>
      </w:r>
      <w:r w:rsidR="00E157FD">
        <w:t>century</w:t>
      </w:r>
      <w:r>
        <w:t>. On the 1</w:t>
      </w:r>
      <w:r w:rsidRPr="00993B51">
        <w:rPr>
          <w:vertAlign w:val="superscript"/>
        </w:rPr>
        <w:t>st</w:t>
      </w:r>
      <w:r>
        <w:t xml:space="preserve"> of November 2007, the body of a 21 year old </w:t>
      </w:r>
      <w:r w:rsidR="00E157FD">
        <w:t>British</w:t>
      </w:r>
      <w:r>
        <w:t xml:space="preserve"> student named Meredith Kercher was found in Italy in an apartment she shared with her American flatmate, Amanda Knox. The victim was found dead on her bedroom floor covered in a blanket. With the state of the scene, the Italian police quickly called it a murder and within four days of the murder, Amanda Knox and then boyfriend Raffaele Sollecito. The following months and years, the case would </w:t>
      </w:r>
      <w:r w:rsidR="00E157FD">
        <w:t>solicit</w:t>
      </w:r>
      <w:r>
        <w:t xml:space="preserve"> a media frenzy </w:t>
      </w:r>
      <w:r w:rsidR="001B61E3">
        <w:t>surrounding not only the events that lead to a young girl losing her life but also the strange and unremorseful behaviour exhibited by Ms Knox</w:t>
      </w:r>
      <w:r w:rsidR="00CF3959">
        <w:t xml:space="preserve"> which would become the focus of the investigation and not the physical evidence presented at the crime scene</w:t>
      </w:r>
      <w:r w:rsidR="001B61E3">
        <w:t>.</w:t>
      </w:r>
    </w:p>
    <w:p w14:paraId="5DC21D49" w14:textId="4C786308" w:rsidR="009C6962" w:rsidRDefault="001B61E3" w:rsidP="00F773CB">
      <w:r>
        <w:t xml:space="preserve">With all the controversy that came with the case, the most notable was the absolute carelessness that the Italian investigators had shown when gathering the evidence thus </w:t>
      </w:r>
      <w:r w:rsidR="00E157FD">
        <w:t>compromising</w:t>
      </w:r>
      <w:r>
        <w:t xml:space="preserve"> its </w:t>
      </w:r>
      <w:r w:rsidR="00E157FD">
        <w:t>integrity</w:t>
      </w:r>
      <w:r>
        <w:t xml:space="preserve">. The leading prosecutor, </w:t>
      </w:r>
      <w:r w:rsidR="00E157FD">
        <w:t>Giuliano</w:t>
      </w:r>
      <w:r>
        <w:t xml:space="preserve"> Miginini and detective Napoleoni, w</w:t>
      </w:r>
      <w:r w:rsidR="004F52A5">
        <w:t>ere</w:t>
      </w:r>
      <w:r>
        <w:t xml:space="preserve"> recorded wearing protective shoe covers outside of the apartment, in grass and pavement. First of all, they should be </w:t>
      </w:r>
      <w:r w:rsidR="00E157FD">
        <w:t>commended</w:t>
      </w:r>
      <w:r>
        <w:t xml:space="preserve"> for thinking about wearing shoe covers but in this case, the crime occurred within the building and </w:t>
      </w:r>
      <w:r w:rsidR="00CF3959">
        <w:t xml:space="preserve">not </w:t>
      </w:r>
      <w:r>
        <w:t xml:space="preserve">the outside thus it becomes confusing as to why they are wearing shoe covers when they are about to enter the scene of the crime. The more logical step they could have taken was having a </w:t>
      </w:r>
      <w:r w:rsidR="00E157FD">
        <w:t>decontamination</w:t>
      </w:r>
      <w:r>
        <w:t xml:space="preserve"> area near the </w:t>
      </w:r>
      <w:r w:rsidR="00E157FD">
        <w:t>entrance</w:t>
      </w:r>
      <w:r>
        <w:t xml:space="preserve"> of the building to </w:t>
      </w:r>
      <w:r w:rsidR="001A6FA4">
        <w:t xml:space="preserve">minimise the chances of </w:t>
      </w:r>
      <w:r w:rsidR="00E157FD">
        <w:lastRenderedPageBreak/>
        <w:t>contamination</w:t>
      </w:r>
      <w:r w:rsidR="001A6FA4">
        <w:t>. According to the Forensic Magazine “</w:t>
      </w:r>
      <w:r w:rsidR="001A6FA4" w:rsidRPr="001A6FA4">
        <w:t>Set up a tent outside the main crime scene for this purpose. This area gives officers a convenient place to change into booties, Tyvek suits, gloves, and masks.</w:t>
      </w:r>
      <w:r w:rsidR="009C6962">
        <w:t xml:space="preserve">” (Warrington:2014) this ensures that unwanted pathogens, chemicals, </w:t>
      </w:r>
      <w:r w:rsidR="00E157FD">
        <w:t>fingerprints and</w:t>
      </w:r>
      <w:r w:rsidR="009C6962">
        <w:t xml:space="preserve"> fibres are prevented from entering the scene </w:t>
      </w:r>
      <w:r w:rsidR="00CF3959">
        <w:t>and</w:t>
      </w:r>
      <w:r w:rsidR="009C6962">
        <w:t xml:space="preserve"> ruling out any of the investigators from becoming potential suspects or hindering the progression of the case but in this instance, it seems the Italian law enforcement was unware. The prio</w:t>
      </w:r>
      <w:r w:rsidR="005663E4">
        <w:t>ri</w:t>
      </w:r>
      <w:r w:rsidR="009C6962">
        <w:t xml:space="preserve">ty should have been preserving the scene and not the removal of the body. As crass as it sounds, the body is one part of the evidence, </w:t>
      </w:r>
      <w:r w:rsidR="00E157FD">
        <w:t>there’s</w:t>
      </w:r>
      <w:r w:rsidR="009C6962">
        <w:t xml:space="preserve"> more evidence around it that could help the investigators catch and convict the individual for had done or partaken in the crime</w:t>
      </w:r>
      <w:r w:rsidR="00BA46A1">
        <w:t>. Even with that said, a pattern of failing by the investigative team became apparent. Soon after the body was found by investigators, the coroner failed to record the body temperature as well as the temperature of the room “</w:t>
      </w:r>
      <w:r w:rsidR="00BA46A1" w:rsidRPr="00BA46A1">
        <w:t xml:space="preserve">When a murder victim is found a fundamental procedure is measurement of body temperature and room temperature as a means </w:t>
      </w:r>
      <w:r w:rsidR="00CF3959" w:rsidRPr="00BA46A1">
        <w:t>of indicating</w:t>
      </w:r>
      <w:r w:rsidR="00BA46A1" w:rsidRPr="00BA46A1">
        <w:t xml:space="preserve"> time of death. These measurements need to be taken as soon as possible for the most accurate information.</w:t>
      </w:r>
      <w:r w:rsidR="00BA46A1">
        <w:t xml:space="preserve">” (Waterbury:2010) with the inability to take the body temperature, the time of death can not be determined which expands the suspect pool and make it even more difficult to pinpoint the </w:t>
      </w:r>
      <w:r w:rsidR="00CF3959">
        <w:t>victim’s</w:t>
      </w:r>
      <w:r w:rsidR="00BA46A1">
        <w:t xml:space="preserve"> movements throughout the night.</w:t>
      </w:r>
      <w:r w:rsidR="00CF3959">
        <w:t xml:space="preserve"> The integrity of the body becomes rather hard to be reliant on.</w:t>
      </w:r>
    </w:p>
    <w:p w14:paraId="2D889204" w14:textId="73266699" w:rsidR="001B61E3" w:rsidRDefault="009C6962" w:rsidP="00F773CB">
      <w:r>
        <w:t xml:space="preserve">For scene preservation, the Italian officials should </w:t>
      </w:r>
      <w:r w:rsidR="005663E4">
        <w:t>have taken</w:t>
      </w:r>
      <w:r>
        <w:t xml:space="preserve"> notes of anything notable that they could have found in and outside the scene.</w:t>
      </w:r>
      <w:r w:rsidR="00CF3959">
        <w:t xml:space="preserve"> Names</w:t>
      </w:r>
      <w:r>
        <w:t xml:space="preserve"> of all the people that were </w:t>
      </w:r>
      <w:r w:rsidR="001823CE">
        <w:t>present at the scene and those who where leaving</w:t>
      </w:r>
      <w:r w:rsidR="00CF3959">
        <w:t xml:space="preserve"> should have been recorded</w:t>
      </w:r>
      <w:r w:rsidR="001823CE">
        <w:t xml:space="preserve">. This could rule out a number of people from the suspect list as well as help the police narrow down the search pool. The third form of scene preservation that could have been taken into account should have been the limitation of </w:t>
      </w:r>
      <w:r w:rsidR="005663E4">
        <w:t>induvial</w:t>
      </w:r>
      <w:r w:rsidR="001823CE">
        <w:t xml:space="preserve"> trying to </w:t>
      </w:r>
      <w:r w:rsidR="005663E4">
        <w:t>access</w:t>
      </w:r>
      <w:r w:rsidR="001823CE">
        <w:t xml:space="preserve"> the scene. Too many people in the scene can disrupt and damage evidence. Another preservation method should be the route that is taken into </w:t>
      </w:r>
      <w:r w:rsidR="008A2961">
        <w:t xml:space="preserve">the crime scene and the route taken as you clear the crime scene. This is to </w:t>
      </w:r>
      <w:r w:rsidR="005663E4">
        <w:t>minimise</w:t>
      </w:r>
      <w:r w:rsidR="008A2961">
        <w:t xml:space="preserve"> the chances of evidence being trampled on. The removal of witness’ to the crime the crime insures that they cannot manipulate or take evidence away from the scene of the crime. Tap should be placed around the outside area of the building in order to ensure that any unwanted </w:t>
      </w:r>
      <w:r w:rsidR="00E157FD">
        <w:t>visitors</w:t>
      </w:r>
      <w:r w:rsidR="008A2961">
        <w:t xml:space="preserve"> do not enter the scene and they should be made aware as to wh</w:t>
      </w:r>
      <w:r w:rsidR="001D593A">
        <w:t xml:space="preserve">y they cannot enter the scene and the disturbance they may cause. A book log should be kept with the recording of every persons in the scene whether they are anthropologists, police </w:t>
      </w:r>
      <w:r w:rsidR="005663E4">
        <w:t>officers</w:t>
      </w:r>
      <w:r w:rsidR="001D593A">
        <w:t xml:space="preserve">, CSOs or pathologist. Name badges should also be kept handy to identify personnel that is inside the scene and afterwards, the personnel can collect their form of identity as they leave the crime scene, this means everyone is </w:t>
      </w:r>
      <w:r w:rsidR="00E157FD">
        <w:t>accounted</w:t>
      </w:r>
      <w:r w:rsidR="001D593A">
        <w:t xml:space="preserve"> for when they enter and leave the scene</w:t>
      </w:r>
      <w:r w:rsidR="00944866">
        <w:t xml:space="preserve">. One of the few things that the Italian police managed to get right, was the video recording of the scene as it was found along side some photographic evidence to aid the video. And due to the video recording, the defence for Ms Knox was able to point out the investigative failings of the prosecution. The scene </w:t>
      </w:r>
      <w:r w:rsidR="005663E4">
        <w:t>must</w:t>
      </w:r>
      <w:r w:rsidR="00944866">
        <w:t xml:space="preserve"> be paused. And by that, the ability to keep the scene the way it was found until investigators are given the go ahead to move evidence. The freezing of the scene can be seen as taking a snapshot of the crime and investigators can try to work out the series of incidents that led to the murder of Ms Kercher. </w:t>
      </w:r>
      <w:r w:rsidR="00FE072F">
        <w:t xml:space="preserve"> Another issue to insure the </w:t>
      </w:r>
      <w:r w:rsidR="00E157FD">
        <w:t>integrity</w:t>
      </w:r>
      <w:r w:rsidR="00FE072F">
        <w:t xml:space="preserve"> of evidence is how continuity is carried out. “Continuity, as the name suggests, involves the movements of something from one place to another. Basically it is the question whether the thing at point A is the same thing at point B.”</w:t>
      </w:r>
      <w:r w:rsidR="00984B3A">
        <w:t xml:space="preserve">(Pierce:2018) and often in large and publicised investigations, there should be no error when it comes to continuity, as the law expects someone to be held accountable for the crime and in such a society where media opinion can often sway public opinion, it is the </w:t>
      </w:r>
      <w:r w:rsidR="00E157FD">
        <w:t>responsibility</w:t>
      </w:r>
      <w:r w:rsidR="00984B3A">
        <w:t xml:space="preserve"> of the investigators to attain a high standard of investigating.</w:t>
      </w:r>
      <w:r w:rsidR="00884E48">
        <w:t xml:space="preserve"> Furthermore, to protect the integrity of the evidence, continuity must further </w:t>
      </w:r>
      <w:r w:rsidR="00347C4E">
        <w:t>have demonstrated</w:t>
      </w:r>
      <w:r w:rsidR="00884E48">
        <w:t>. The Health and Safety Executive continues by saying “I</w:t>
      </w:r>
      <w:r w:rsidR="00884E48" w:rsidRPr="00884E48">
        <w:t xml:space="preserve">n </w:t>
      </w:r>
      <w:r w:rsidR="00884E48" w:rsidRPr="00884E48">
        <w:lastRenderedPageBreak/>
        <w:t>establishing this chain of evidence, each person handling an exhibit must write a brief statement identifying the exhibit and its whereabouts, stating when they received it and who they received it from, and saying to whom they passed it and when</w:t>
      </w:r>
      <w:r w:rsidR="00884E48">
        <w:t xml:space="preserve">.” (HSE:2018) This chain of reporting means that the defence or the prosecuting team can pinpoint the exact moment the piece of evidence was </w:t>
      </w:r>
      <w:r w:rsidR="00347C4E">
        <w:t xml:space="preserve">changed or contaminated and can then be either thrown out or the uncontaminated documentation can be revised. </w:t>
      </w:r>
    </w:p>
    <w:p w14:paraId="7141F6CC" w14:textId="4DAFE9E3" w:rsidR="00984B3A" w:rsidRDefault="00984B3A" w:rsidP="00F773CB">
      <w:r>
        <w:t>When assessing the crime scene footage from the case, a few diabolical mistakes can be spotted which then attribute to the acquittal of Ms Knox and her then boyfriend. On the tape marked with the date of 3.11.2007, an unidentified male is seen in the property without wearing any form of PPE. This is on the 3</w:t>
      </w:r>
      <w:r w:rsidRPr="00984B3A">
        <w:rPr>
          <w:vertAlign w:val="superscript"/>
        </w:rPr>
        <w:t>rd</w:t>
      </w:r>
      <w:r>
        <w:t xml:space="preserve"> day of the murder and it is safe to assume the individual was perhaps not accounted for and has contaminated the scene with his un</w:t>
      </w:r>
      <w:r w:rsidR="00991953">
        <w:t xml:space="preserve">sealed shoes which can carry pathogens and dirt material that was not present at the scene. Another piece of the footage shows </w:t>
      </w:r>
      <w:r w:rsidR="005663E4">
        <w:t>pathologists</w:t>
      </w:r>
      <w:r w:rsidR="00991953">
        <w:t xml:space="preserve"> not wearing the correct form of PPE and holding the victim’s bra. Due to this negligence, pathogens and unsanitary air particles are being barrowed within the bra and the pathologists are also inhaling what ever pathogens are within the bra. This not highly problematic as for people who should be aware of the rules, regulations and procedures are unaware of what they are doing and how it can ruin the evidence. As the footage progresses, it becomes more and more increasingly evident that the investigators are </w:t>
      </w:r>
      <w:r w:rsidR="005663E4">
        <w:t>in fact</w:t>
      </w:r>
      <w:r w:rsidR="00991953">
        <w:t xml:space="preserve"> placing themselves in the scene. One investigator can be seen examining the bloody finger prints on the wall with the hood of her </w:t>
      </w:r>
      <w:r w:rsidR="00E36F44">
        <w:t>over</w:t>
      </w:r>
      <w:r w:rsidR="00CF3959">
        <w:t>-</w:t>
      </w:r>
      <w:r w:rsidR="00991953">
        <w:t>suit removed and exposing her hair which also happens to be not tied up.</w:t>
      </w:r>
      <w:r w:rsidR="00E36F44">
        <w:t xml:space="preserve"> “</w:t>
      </w:r>
      <w:r w:rsidR="00E36F44">
        <w:t>Over-suit: This shall be worn at all times, including the hood, at the scene. It shall not be modified by making holes or openings in the suit that expose skin or clothing, or be otherwise handled unnecessarily at the scene.</w:t>
      </w:r>
      <w:r w:rsidR="00E36F44">
        <w:t xml:space="preserve">”(FSR:2015) </w:t>
      </w:r>
      <w:r w:rsidR="00991953">
        <w:t>I</w:t>
      </w:r>
      <w:r w:rsidR="00CF3959">
        <w:t>t i</w:t>
      </w:r>
      <w:r w:rsidR="00991953">
        <w:t xml:space="preserve">s a frustrating sight to witness as for it should be common sense. Hair falls off the heads of individuals all the time, dandruff can be transferred to pieces of clothing and other materials which could be collected and then later of flagging the investigator as a potential suspect which then once again hinders the investigative process and gives Ms. Knox’s defence team more ammunition and </w:t>
      </w:r>
      <w:r w:rsidR="008C7A7D">
        <w:t xml:space="preserve">cause doubt with the </w:t>
      </w:r>
      <w:r w:rsidR="005663E4">
        <w:t>integrity</w:t>
      </w:r>
      <w:r w:rsidR="008C7A7D">
        <w:t xml:space="preserve"> of evidence. Doubting evidence then begins to make Ms. Knox’s defence team have an easy time with defending. If two pieces of evidence are contaminated or gathered in an inappro</w:t>
      </w:r>
      <w:r w:rsidR="005663E4">
        <w:t>priate</w:t>
      </w:r>
      <w:r w:rsidR="008C7A7D">
        <w:t xml:space="preserve"> manner, what other evidence can solely prove that she had anything to d</w:t>
      </w:r>
      <w:r w:rsidR="002A0B4C">
        <w:t xml:space="preserve">o </w:t>
      </w:r>
      <w:r w:rsidR="008C7A7D">
        <w:t>with the crime</w:t>
      </w:r>
      <w:r w:rsidR="002A0B4C">
        <w:t xml:space="preserve">? Another investigative error done by the Italians includes the collection of the </w:t>
      </w:r>
      <w:r w:rsidR="00D91D2B">
        <w:t>victim’s</w:t>
      </w:r>
      <w:r w:rsidR="002A0B4C">
        <w:t xml:space="preserve"> blood. No masks </w:t>
      </w:r>
      <w:r w:rsidR="00A41BAD">
        <w:t>are</w:t>
      </w:r>
      <w:r w:rsidR="002A0B4C">
        <w:t xml:space="preserve"> present thus transferring pathogens is easily as well as placing the investigators DNA within the samples thus making the evidence somewhat inconclusive.</w:t>
      </w:r>
      <w:r w:rsidR="00991743">
        <w:t xml:space="preserve"> Retired forensics expert stated “</w:t>
      </w:r>
      <w:r w:rsidR="00991743">
        <w:t>From the time of discovery, such evidence is exposed to the risk of contamination, mainly by personnel during their access to the scene inadvertently transferring material from one part of a scene</w:t>
      </w:r>
      <w:r w:rsidR="00C3384D">
        <w:t>…”</w:t>
      </w:r>
      <w:r w:rsidR="00991743">
        <w:t xml:space="preserve">(Sawyer,2011:63) </w:t>
      </w:r>
      <w:r w:rsidR="00C3384D">
        <w:t>Contamination becomes likely when investigators do not have a designated area to search for evidence. Moving from place to place without care can lead to evidence becoming problematic.</w:t>
      </w:r>
      <w:r w:rsidR="00991743">
        <w:t xml:space="preserve"> </w:t>
      </w:r>
      <w:r w:rsidR="002A0B4C">
        <w:t xml:space="preserve"> The investigator</w:t>
      </w:r>
      <w:r w:rsidR="00A41BAD">
        <w:t>’</w:t>
      </w:r>
      <w:r w:rsidR="002A0B4C">
        <w:t xml:space="preserve">s hood was also taken off which increased the likelihood of hair not belonging to </w:t>
      </w:r>
      <w:r w:rsidR="00D91D2B">
        <w:t>Meredith</w:t>
      </w:r>
      <w:r w:rsidR="002A0B4C">
        <w:t xml:space="preserve">, Amanda or Raffaele even more apparent. One of the biggest and most frustrating error conducted by one of the investigators is the inability to wear gloves. In </w:t>
      </w:r>
      <w:r w:rsidR="00A41BAD">
        <w:t>a</w:t>
      </w:r>
      <w:r w:rsidR="002A0B4C">
        <w:t xml:space="preserve"> crime scene where an individual has been murdered and somewhat, an individual did not take one of the biggest steps to insure they do not contaminate scene. Gloves are a form of PPE. They ensure that the investigator does not destroy </w:t>
      </w:r>
      <w:r w:rsidR="00D91D2B">
        <w:t>integrity</w:t>
      </w:r>
      <w:r w:rsidR="002A0B4C">
        <w:t xml:space="preserve"> of evidence but also protect the investigator from the scene which perhaps maybe </w:t>
      </w:r>
      <w:r w:rsidR="00D91D2B">
        <w:t>be</w:t>
      </w:r>
      <w:r w:rsidR="002A0B4C">
        <w:t xml:space="preserve"> teeming with dangerous paraphernalia. </w:t>
      </w:r>
    </w:p>
    <w:p w14:paraId="2E526EDF" w14:textId="75240A1A" w:rsidR="00E157FD" w:rsidRDefault="00C81FC0" w:rsidP="00F773CB">
      <w:r>
        <w:t xml:space="preserve">More video evidence suggests that the investigators did not collect every item of clothing the victim appeared to be wearing prior </w:t>
      </w:r>
      <w:r w:rsidR="00464873">
        <w:t xml:space="preserve">to it being </w:t>
      </w:r>
      <w:r w:rsidR="00D91D2B">
        <w:t>forcibly</w:t>
      </w:r>
      <w:r w:rsidR="00464873">
        <w:t xml:space="preserve"> removed from her body by her attacker/s. The victim’s items such as a blue adidas hoodie, socks, bra clasp, brown bag and trainers where all left at </w:t>
      </w:r>
      <w:r w:rsidR="00464873">
        <w:lastRenderedPageBreak/>
        <w:t xml:space="preserve">the crime scene for 47 days until a second search of the premises was conducted. The items all contained the victims blood and due to negligence and </w:t>
      </w:r>
      <w:r w:rsidR="00D91D2B">
        <w:t>malpractice</w:t>
      </w:r>
      <w:r w:rsidR="00464873">
        <w:t>, the items of clothing were all moved to different locations within Meredith’s room thus an evident disturbance of the scene had taken place. If the items had been taken into evidence straight wa</w:t>
      </w:r>
      <w:r w:rsidR="00376BEB">
        <w:t xml:space="preserve">y and handled in the correct </w:t>
      </w:r>
      <w:r w:rsidR="00A41BAD">
        <w:t>manner, they</w:t>
      </w:r>
      <w:r w:rsidR="00464873">
        <w:t xml:space="preserve"> could have given a clear DNA sample that was reliable and not likely contaminated.</w:t>
      </w:r>
      <w:r w:rsidR="00376BEB">
        <w:t xml:space="preserve"> When it came to the bra clasp, the defence attorney </w:t>
      </w:r>
      <w:r w:rsidR="00A41BAD">
        <w:t>argued</w:t>
      </w:r>
      <w:r w:rsidR="00376BEB">
        <w:t xml:space="preserve"> “</w:t>
      </w:r>
      <w:r w:rsidR="00376BEB" w:rsidRPr="00376BEB">
        <w:t>Regarding the possible contamination of the sample, the appellate judges ignored the photographic materials included in the court records, which clearly demonstrated possible contamination in the way the clasp was treated, being passed from hand to hand by persons wearing dirty latex gloves.”</w:t>
      </w:r>
      <w:r w:rsidR="00376BEB">
        <w:t xml:space="preserve"> (Gill:2016) the cross</w:t>
      </w:r>
      <w:r w:rsidR="00A41BAD">
        <w:t>-</w:t>
      </w:r>
      <w:r w:rsidR="00376BEB">
        <w:t xml:space="preserve">contamination of this sample meant that the prosecution could not have solid and concrete answer as to whom had taken the clothes </w:t>
      </w:r>
      <w:r w:rsidR="00797A95">
        <w:t>off</w:t>
      </w:r>
      <w:r w:rsidR="00376BEB">
        <w:t xml:space="preserve"> the victim prior to her death. </w:t>
      </w:r>
      <w:r w:rsidR="00464873">
        <w:t xml:space="preserve"> </w:t>
      </w:r>
      <w:r w:rsidR="00E70A54">
        <w:t xml:space="preserve">If the hoodie was collected the day the body was found, investigators would have been able to freeze it and thaw it at a later state but with that said, investigators needed to be aware that the constant and freezing thawing the same piece of evidence can become problematic </w:t>
      </w:r>
      <w:r w:rsidR="00030524">
        <w:t>as prior cases such the O</w:t>
      </w:r>
      <w:r w:rsidR="00D91D2B">
        <w:t>.J</w:t>
      </w:r>
      <w:r w:rsidR="00030524">
        <w:t xml:space="preserve"> Simpson trial indicated with the glove that had subsequently changed shape due to the constant freezing and thawing. “</w:t>
      </w:r>
      <w:r w:rsidR="00030524">
        <w:t>This fact makes it extremely difficult to maintain the evidence in a constant frozen state. Scientific evidence shows that thawing and re-freezing biological evidence degrades the DNA and hinders analysis.</w:t>
      </w:r>
      <w:r w:rsidR="00030524">
        <w:t xml:space="preserve">” (NIST:2014) the freezing </w:t>
      </w:r>
      <w:r w:rsidR="00E157FD">
        <w:t xml:space="preserve">of the hoodie may have destroyed the DNA evidence in the blood but there were other bodily substances that could be tested. In one of the toilets situated in the apartment, </w:t>
      </w:r>
      <w:r w:rsidR="00D91D2B">
        <w:t>faeces</w:t>
      </w:r>
      <w:r w:rsidR="00E157FD">
        <w:t xml:space="preserve"> and tissue were found. The investigators could have gathered this evidence and frozen it to try and attain a DNA sample of some kind to narrow down the suspect pool. Many people believe that DNA only comes from blood and saliva but almost every bodily fluid has DNA  “</w:t>
      </w:r>
      <w:r w:rsidR="00E157FD" w:rsidRPr="00E157FD">
        <w:t xml:space="preserve">In every case, what is being tested is the DNA contained in cells of human tissue, whether found on their own or carried by another substance, like earwax, sweat or mucus. Shed cells are also found in urine and </w:t>
      </w:r>
      <w:r w:rsidR="00D91D2B" w:rsidRPr="00E157FD">
        <w:t>faeces</w:t>
      </w:r>
      <w:r w:rsidR="00E157FD" w:rsidRPr="00E157FD">
        <w:t>, vomit, and even tears.</w:t>
      </w:r>
      <w:r w:rsidR="00E157FD">
        <w:t>”</w:t>
      </w:r>
      <w:r w:rsidR="00797A95">
        <w:t xml:space="preserve"> (Ray:2010) All techniques should have been taken into account if the investigation team was competent enough to execute that was expected from them. </w:t>
      </w:r>
    </w:p>
    <w:p w14:paraId="3848A029" w14:textId="0D48A7A3" w:rsidR="00775C6E" w:rsidRDefault="00797A95" w:rsidP="00775C6E">
      <w:r>
        <w:t xml:space="preserve">So overall to conclude, </w:t>
      </w:r>
      <w:r w:rsidR="00A41BAD">
        <w:t>integrity</w:t>
      </w:r>
      <w:r>
        <w:t xml:space="preserve"> of evidence means that the evidence must be truthful and only that truth can be shown if evidence is assessed and gathered in the correct manner to help the court decide whether an individual is guilty or not. The British Health and Safety </w:t>
      </w:r>
      <w:r w:rsidR="00775C6E">
        <w:t>Executive</w:t>
      </w:r>
      <w:r>
        <w:t xml:space="preserve"> highlights the importance of collecting all forms of evidence “</w:t>
      </w:r>
      <w:r w:rsidRPr="00797A95">
        <w:t>Facts may be proved in court not just by oral evidence on oath, but also by ‘documentary’ and ‘real’ evidence (i.e. physical evidence).</w:t>
      </w:r>
      <w:r w:rsidR="003E4EC1">
        <w:t xml:space="preserve">” (2018) Evidence has the power to place somebody into the scene but also has the </w:t>
      </w:r>
      <w:r w:rsidR="00775C6E">
        <w:t>ability</w:t>
      </w:r>
      <w:r w:rsidR="003E4EC1">
        <w:t xml:space="preserve"> to take them out of the scene. In the trial of Amanda Knox, so much evidence was contaminated that it just disproved evidence that was not contaminated due to the </w:t>
      </w:r>
      <w:r w:rsidR="00775C6E">
        <w:t>integrity</w:t>
      </w:r>
      <w:r w:rsidR="003E4EC1">
        <w:t xml:space="preserve"> of that evidence being </w:t>
      </w:r>
      <w:r w:rsidR="00775C6E">
        <w:t>tampered</w:t>
      </w:r>
      <w:r w:rsidR="003E4EC1">
        <w:t xml:space="preserve"> with by the investigators</w:t>
      </w:r>
      <w:r w:rsidR="00775C6E">
        <w:t xml:space="preserve">. It could be argued that the video recording of the evidence helped the investigation but only demonstrated and showed the failings of the investigators. The recording of Meridith’s clothing came at a far much later date when those items should have been recorded the day the body was found but they were not seen as priority. The UK </w:t>
      </w:r>
      <w:r w:rsidR="00775C6E">
        <w:t>Criminal Procedure and Investigations Act 1996</w:t>
      </w:r>
      <w:r w:rsidR="00775C6E">
        <w:t xml:space="preserve"> states </w:t>
      </w:r>
      <w:r w:rsidR="00BD421E">
        <w:t>“</w:t>
      </w:r>
      <w:r w:rsidR="00BD421E">
        <w:t>the officer in charge of an investigation</w:t>
      </w:r>
      <w:r w:rsidR="00BD421E">
        <w:t>…</w:t>
      </w:r>
      <w:r w:rsidR="00BD421E">
        <w:t>is also responsible for ensuring that proper procedures are in place for recording information, and retaining records of information and other material, in the investigation</w:t>
      </w:r>
      <w:r w:rsidR="00BD421E">
        <w:t xml:space="preserve">.” (MoJ:1996) The recording would mean that all recorded evidence is </w:t>
      </w:r>
      <w:r w:rsidR="004F52A5">
        <w:t>bagged,</w:t>
      </w:r>
      <w:r w:rsidR="00BD421E">
        <w:t xml:space="preserve"> </w:t>
      </w:r>
      <w:r w:rsidR="00884E48">
        <w:t xml:space="preserve">and the time stamp can show how fast investigators acted and what they </w:t>
      </w:r>
      <w:r w:rsidR="00884E48" w:rsidRPr="00884E48">
        <w:t>prioritised</w:t>
      </w:r>
      <w:r w:rsidR="00884E48">
        <w:t xml:space="preserve">. </w:t>
      </w:r>
      <w:r w:rsidR="004F52A5">
        <w:t xml:space="preserve">Overall in this case, the integrity of evidence was just none existent which led to the acquittal of Ms. Knox. The conviction of the third suspect Rudy Guede was justified but problematic. His conviction comes as the investigators managed to find a palm print that matched to him but the crime is something that could have not been enacted alone and that was very clear. He may have done the stabbing but there is evidence that shows that they played a role in the killing of </w:t>
      </w:r>
      <w:r w:rsidR="00A41BAD">
        <w:t>Meredith</w:t>
      </w:r>
      <w:r w:rsidR="004F52A5">
        <w:t xml:space="preserve"> </w:t>
      </w:r>
      <w:r w:rsidR="004F52A5">
        <w:lastRenderedPageBreak/>
        <w:t>Kercher, but the lack of care, competency was not present thus the evidence against Ms. Knox is circumstantial.</w:t>
      </w:r>
    </w:p>
    <w:p w14:paraId="1C15AB4C" w14:textId="4C8A8D60" w:rsidR="00775C6E" w:rsidRDefault="00775C6E" w:rsidP="00F773CB"/>
    <w:p w14:paraId="2948A6F9" w14:textId="77777777" w:rsidR="00775C6E" w:rsidRDefault="00775C6E" w:rsidP="00F773CB"/>
    <w:p w14:paraId="54009A79" w14:textId="4B00CB11" w:rsidR="00775C6E" w:rsidRDefault="00775C6E" w:rsidP="00F773CB"/>
    <w:p w14:paraId="787B24F0" w14:textId="2744FC42" w:rsidR="00C3384D" w:rsidRDefault="00C3384D" w:rsidP="00F773CB"/>
    <w:p w14:paraId="1C8E2734" w14:textId="1482A459" w:rsidR="00C3384D" w:rsidRDefault="00C3384D" w:rsidP="00F773CB"/>
    <w:p w14:paraId="72E7B57B" w14:textId="3E2A3701" w:rsidR="00C3384D" w:rsidRDefault="00C3384D" w:rsidP="00F773CB"/>
    <w:p w14:paraId="748CFCFF" w14:textId="5FD2C875" w:rsidR="00C3384D" w:rsidRDefault="00C3384D" w:rsidP="00F773CB"/>
    <w:p w14:paraId="34611A3B" w14:textId="0C38083A" w:rsidR="00C3384D" w:rsidRDefault="00C3384D" w:rsidP="00F773CB"/>
    <w:p w14:paraId="5CA054C9" w14:textId="0DE19A4F" w:rsidR="00C3384D" w:rsidRDefault="00C3384D" w:rsidP="00F773CB"/>
    <w:p w14:paraId="22E982C5" w14:textId="734A90A3" w:rsidR="00C3384D" w:rsidRDefault="00C3384D" w:rsidP="00F773CB"/>
    <w:p w14:paraId="0E9BAB96" w14:textId="05126267" w:rsidR="00C3384D" w:rsidRDefault="00C3384D" w:rsidP="00F773CB"/>
    <w:p w14:paraId="2D55B2C8" w14:textId="4BB86052" w:rsidR="00C3384D" w:rsidRDefault="00C3384D" w:rsidP="00F773CB"/>
    <w:p w14:paraId="7B54166F" w14:textId="63ED88B3" w:rsidR="00C3384D" w:rsidRDefault="00C3384D" w:rsidP="00F773CB"/>
    <w:p w14:paraId="2AA215EB" w14:textId="272F9883" w:rsidR="00C3384D" w:rsidRDefault="00C3384D" w:rsidP="00F773CB"/>
    <w:p w14:paraId="67FA9FA5" w14:textId="14CB76C7" w:rsidR="00C3384D" w:rsidRDefault="00C3384D" w:rsidP="00F773CB"/>
    <w:p w14:paraId="5C98711B" w14:textId="5F37F737" w:rsidR="00C3384D" w:rsidRDefault="00C3384D" w:rsidP="00F773CB"/>
    <w:p w14:paraId="0113F418" w14:textId="7587DA8A" w:rsidR="00C3384D" w:rsidRDefault="00C3384D" w:rsidP="00F773CB"/>
    <w:p w14:paraId="77D7C536" w14:textId="2BB58F58" w:rsidR="00C3384D" w:rsidRDefault="00C3384D" w:rsidP="00F773CB"/>
    <w:p w14:paraId="6F48FE01" w14:textId="5E4560CD" w:rsidR="00C3384D" w:rsidRDefault="00C3384D" w:rsidP="00F773CB"/>
    <w:p w14:paraId="269F7CCE" w14:textId="4F83A6A1" w:rsidR="00C3384D" w:rsidRDefault="00C3384D" w:rsidP="00F773CB"/>
    <w:p w14:paraId="089C4662" w14:textId="6E44D38C" w:rsidR="00C3384D" w:rsidRDefault="00C3384D" w:rsidP="00F773CB"/>
    <w:p w14:paraId="617499AB" w14:textId="5138200B" w:rsidR="00C3384D" w:rsidRDefault="00C3384D" w:rsidP="00F773CB"/>
    <w:p w14:paraId="7132278D" w14:textId="2C243918" w:rsidR="00C3384D" w:rsidRDefault="00C3384D" w:rsidP="00F773CB"/>
    <w:p w14:paraId="04AF24B7" w14:textId="4E202F89" w:rsidR="00C3384D" w:rsidRDefault="00C3384D" w:rsidP="00F773CB"/>
    <w:p w14:paraId="43CC774E" w14:textId="1609D1B1" w:rsidR="00C3384D" w:rsidRDefault="00C3384D" w:rsidP="00F773CB"/>
    <w:p w14:paraId="11BE2B6D" w14:textId="4794A9F2" w:rsidR="00C3384D" w:rsidRDefault="00C3384D" w:rsidP="00F773CB"/>
    <w:p w14:paraId="2D488F58" w14:textId="53AFE20F" w:rsidR="00C3384D" w:rsidRDefault="00C3384D" w:rsidP="00F773CB"/>
    <w:p w14:paraId="1D80310B" w14:textId="59E6336F" w:rsidR="00C3384D" w:rsidRDefault="00C3384D" w:rsidP="00F773CB"/>
    <w:p w14:paraId="6F500B41" w14:textId="6CCCA5F6" w:rsidR="00C3384D" w:rsidRDefault="00C3384D" w:rsidP="00F773CB"/>
    <w:p w14:paraId="0207B732" w14:textId="77777777" w:rsidR="00C3384D" w:rsidRDefault="00C3384D" w:rsidP="00F773CB"/>
    <w:p w14:paraId="4AEF6EA1" w14:textId="150CE9C5" w:rsidR="00775C6E" w:rsidRDefault="00A41BAD">
      <w:r>
        <w:t xml:space="preserve">References </w:t>
      </w:r>
    </w:p>
    <w:p w14:paraId="0FD4D63D" w14:textId="77777777" w:rsidR="00A41BAD" w:rsidRDefault="00A41BAD" w:rsidP="00A41BAD">
      <w:pPr>
        <w:pStyle w:val="NormalWeb"/>
        <w:spacing w:before="0" w:beforeAutospacing="0" w:after="0" w:afterAutospacing="0"/>
      </w:pPr>
      <w:r>
        <w:rPr>
          <w:rFonts w:ascii="Verdana" w:hAnsi="Verdana"/>
          <w:color w:val="000000"/>
          <w:sz w:val="20"/>
          <w:szCs w:val="20"/>
        </w:rPr>
        <w:t xml:space="preserve">Dearden,L. (21 November 2017 ). </w:t>
      </w:r>
      <w:r>
        <w:rPr>
          <w:rFonts w:ascii="Verdana" w:hAnsi="Verdana"/>
          <w:i/>
          <w:iCs/>
          <w:color w:val="000000"/>
          <w:sz w:val="20"/>
          <w:szCs w:val="20"/>
        </w:rPr>
        <w:t>Convictions in doubt as more than 10,000 cases could be affected by data manipulation at forensics lab.</w:t>
      </w:r>
      <w:r>
        <w:rPr>
          <w:rFonts w:ascii="Verdana" w:hAnsi="Verdana"/>
          <w:color w:val="000000"/>
          <w:sz w:val="20"/>
          <w:szCs w:val="20"/>
        </w:rPr>
        <w:t>Available: http://www.independent.co.uk/news/uk/crime/forensic-labs-data-manipulation-criminal-convictions-doubt-randox-testing-services-investigation-a8066966.html. Last accessed 10th Feb 2018.</w:t>
      </w:r>
    </w:p>
    <w:p w14:paraId="2B70E9CF" w14:textId="6B1C3734" w:rsidR="00A41BAD" w:rsidRDefault="00A41BAD"/>
    <w:p w14:paraId="7DC38CE9" w14:textId="77777777" w:rsidR="00991743" w:rsidRDefault="00991743" w:rsidP="00991743">
      <w:pPr>
        <w:pStyle w:val="NormalWeb"/>
        <w:spacing w:before="0" w:beforeAutospacing="0" w:after="0" w:afterAutospacing="0"/>
      </w:pPr>
      <w:r>
        <w:rPr>
          <w:rFonts w:ascii="Verdana" w:hAnsi="Verdana"/>
          <w:color w:val="000000"/>
          <w:sz w:val="20"/>
          <w:szCs w:val="20"/>
        </w:rPr>
        <w:t xml:space="preserve">The Forensic Science Regulator . ( 20 March 2015). </w:t>
      </w:r>
      <w:r>
        <w:rPr>
          <w:rFonts w:ascii="Verdana" w:hAnsi="Verdana"/>
          <w:i/>
          <w:iCs/>
          <w:color w:val="000000"/>
          <w:sz w:val="20"/>
          <w:szCs w:val="20"/>
        </w:rPr>
        <w:t>The Control and Avoidance of Contamination In Crime Scene Examination involving DNA Evidence Recovery .</w:t>
      </w:r>
      <w:r>
        <w:rPr>
          <w:rFonts w:ascii="Verdana" w:hAnsi="Verdana"/>
          <w:color w:val="000000"/>
          <w:sz w:val="20"/>
          <w:szCs w:val="20"/>
        </w:rPr>
        <w:t xml:space="preserve"> Available: https://www.gov.uk/government/uploads/system/uploads/attachment_data/file/393866/206_FSR_SOC_contamination_consultation.pdf. Last accessed 12th Feb 2018.</w:t>
      </w:r>
    </w:p>
    <w:p w14:paraId="347EAB6B" w14:textId="77777777" w:rsidR="00991743" w:rsidRDefault="00991743"/>
    <w:p w14:paraId="0A87B064" w14:textId="77777777" w:rsidR="00991743" w:rsidRDefault="00991743" w:rsidP="00991743">
      <w:pPr>
        <w:pStyle w:val="NormalWeb"/>
        <w:spacing w:before="0" w:beforeAutospacing="0" w:after="0" w:afterAutospacing="0"/>
      </w:pPr>
      <w:r>
        <w:rPr>
          <w:rFonts w:ascii="Verdana" w:hAnsi="Verdana"/>
          <w:color w:val="000000"/>
          <w:sz w:val="20"/>
          <w:szCs w:val="20"/>
        </w:rPr>
        <w:t xml:space="preserve">Gill, P.. (13 January 2016). </w:t>
      </w:r>
      <w:r>
        <w:rPr>
          <w:rFonts w:ascii="Verdana" w:hAnsi="Verdana"/>
          <w:i/>
          <w:iCs/>
          <w:color w:val="000000"/>
          <w:sz w:val="20"/>
          <w:szCs w:val="20"/>
        </w:rPr>
        <w:t>Analysis and implications of the miscarriages of justice of Amanda Knox and Raffaele Sollecito.</w:t>
      </w:r>
      <w:r>
        <w:rPr>
          <w:rFonts w:ascii="Verdana" w:hAnsi="Verdana"/>
          <w:color w:val="000000"/>
          <w:sz w:val="20"/>
          <w:szCs w:val="20"/>
        </w:rPr>
        <w:t xml:space="preserve"> Available: https://www.sciencedirect.com/science/article/pii/S1872497316300333. Last accessed 12th Feb 2018.</w:t>
      </w:r>
    </w:p>
    <w:p w14:paraId="1ED45525" w14:textId="1286A128" w:rsidR="00991743" w:rsidRDefault="00991743"/>
    <w:p w14:paraId="51E1312E" w14:textId="0B03A1EF" w:rsidR="00991743" w:rsidRDefault="00991743">
      <w:pPr>
        <w:rPr>
          <w:rFonts w:ascii="Verdana" w:hAnsi="Verdana"/>
          <w:color w:val="000000"/>
          <w:sz w:val="20"/>
          <w:szCs w:val="20"/>
        </w:rPr>
      </w:pPr>
      <w:r>
        <w:rPr>
          <w:rFonts w:ascii="Verdana" w:hAnsi="Verdana"/>
          <w:color w:val="000000"/>
          <w:sz w:val="20"/>
          <w:szCs w:val="20"/>
        </w:rPr>
        <w:t xml:space="preserve">Health and Safety Executive . (2018). </w:t>
      </w:r>
      <w:r>
        <w:rPr>
          <w:rFonts w:ascii="Verdana" w:hAnsi="Verdana"/>
          <w:i/>
          <w:iCs/>
          <w:color w:val="000000"/>
          <w:sz w:val="20"/>
          <w:szCs w:val="20"/>
        </w:rPr>
        <w:t>Collecting physical evidence.</w:t>
      </w:r>
      <w:r>
        <w:rPr>
          <w:rFonts w:ascii="Verdana" w:hAnsi="Verdana"/>
          <w:color w:val="000000"/>
          <w:sz w:val="20"/>
          <w:szCs w:val="20"/>
        </w:rPr>
        <w:t>Available: http://www.hse.gov.uk/enforce/enforcementguide/investigation/physical-intro.htm. Last accessed 13th Feb 2018.</w:t>
      </w:r>
    </w:p>
    <w:p w14:paraId="7E750A61" w14:textId="77777777" w:rsidR="00991743" w:rsidRDefault="00991743" w:rsidP="00991743">
      <w:pPr>
        <w:pStyle w:val="NormalWeb"/>
        <w:spacing w:before="0" w:beforeAutospacing="0" w:after="0" w:afterAutospacing="0"/>
      </w:pPr>
      <w:r>
        <w:rPr>
          <w:rFonts w:ascii="Verdana" w:hAnsi="Verdana"/>
          <w:color w:val="000000"/>
          <w:sz w:val="20"/>
          <w:szCs w:val="20"/>
        </w:rPr>
        <w:t xml:space="preserve">Health and Safety Executive . (2018). </w:t>
      </w:r>
      <w:r>
        <w:rPr>
          <w:rFonts w:ascii="Verdana" w:hAnsi="Verdana"/>
          <w:i/>
          <w:iCs/>
          <w:color w:val="000000"/>
          <w:sz w:val="20"/>
          <w:szCs w:val="20"/>
        </w:rPr>
        <w:t>Collecting physical evidence - Preparing evidence for court.</w:t>
      </w:r>
      <w:r>
        <w:rPr>
          <w:rFonts w:ascii="Verdana" w:hAnsi="Verdana"/>
          <w:color w:val="000000"/>
          <w:sz w:val="20"/>
          <w:szCs w:val="20"/>
        </w:rPr>
        <w:t xml:space="preserve"> Available: http://www.hse.gov.uk/enforce/enforcementguide/investigation/physical-preparing.htm. Last accessed 13th Feb 2018.</w:t>
      </w:r>
    </w:p>
    <w:p w14:paraId="25680041" w14:textId="77777777" w:rsidR="00991743" w:rsidRDefault="00991743">
      <w:pPr>
        <w:rPr>
          <w:rFonts w:ascii="Verdana" w:hAnsi="Verdana"/>
          <w:color w:val="000000"/>
          <w:sz w:val="20"/>
          <w:szCs w:val="20"/>
        </w:rPr>
      </w:pPr>
    </w:p>
    <w:p w14:paraId="6C86D0C2" w14:textId="77777777" w:rsidR="00991743" w:rsidRDefault="00991743" w:rsidP="00991743">
      <w:pPr>
        <w:pStyle w:val="NormalWeb"/>
        <w:spacing w:before="0" w:beforeAutospacing="0" w:after="0" w:afterAutospacing="0"/>
      </w:pPr>
      <w:r>
        <w:rPr>
          <w:rFonts w:ascii="Verdana" w:hAnsi="Verdana"/>
          <w:color w:val="000000"/>
          <w:sz w:val="20"/>
          <w:szCs w:val="20"/>
        </w:rPr>
        <w:t xml:space="preserve">Ministry of Justice . (1996). </w:t>
      </w:r>
      <w:r>
        <w:rPr>
          <w:rFonts w:ascii="Verdana" w:hAnsi="Verdana"/>
          <w:i/>
          <w:iCs/>
          <w:color w:val="000000"/>
          <w:sz w:val="20"/>
          <w:szCs w:val="20"/>
        </w:rPr>
        <w:t>Criminal Procedure and Investigations Act 1996 (section 23(1)) Code of Practice.</w:t>
      </w:r>
      <w:r>
        <w:rPr>
          <w:rFonts w:ascii="Verdana" w:hAnsi="Verdana"/>
          <w:color w:val="000000"/>
          <w:sz w:val="20"/>
          <w:szCs w:val="20"/>
        </w:rPr>
        <w:t xml:space="preserve"> Available: https://www.gov.uk/government/uploads/system/uploads/attachment_data/file/447967/code-of-practice-approved.pdf. Last accessed 13th Feb 2018.</w:t>
      </w:r>
    </w:p>
    <w:p w14:paraId="08A48A3C" w14:textId="77777777" w:rsidR="00991743" w:rsidRDefault="00991743"/>
    <w:p w14:paraId="6B96AEAF" w14:textId="4E309BBD" w:rsidR="00A41BAD" w:rsidRDefault="00991743">
      <w:pPr>
        <w:rPr>
          <w:rFonts w:ascii="Verdana" w:hAnsi="Verdana"/>
          <w:color w:val="000000"/>
          <w:sz w:val="20"/>
          <w:szCs w:val="20"/>
        </w:rPr>
      </w:pPr>
      <w:r>
        <w:rPr>
          <w:rFonts w:ascii="Verdana" w:hAnsi="Verdana"/>
          <w:color w:val="000000"/>
          <w:sz w:val="20"/>
          <w:szCs w:val="20"/>
        </w:rPr>
        <w:t xml:space="preserve">National Institution of Science and Technology. (2014). </w:t>
      </w:r>
      <w:r>
        <w:rPr>
          <w:rFonts w:ascii="Verdana" w:hAnsi="Verdana"/>
          <w:i/>
          <w:iCs/>
          <w:color w:val="000000"/>
          <w:sz w:val="20"/>
          <w:szCs w:val="20"/>
        </w:rPr>
        <w:t>Freezing Biological Evidence: Key Considerations.</w:t>
      </w:r>
      <w:r>
        <w:rPr>
          <w:rFonts w:ascii="Verdana" w:hAnsi="Verdana"/>
          <w:color w:val="000000"/>
          <w:sz w:val="20"/>
          <w:szCs w:val="20"/>
        </w:rPr>
        <w:t xml:space="preserve"> Available: https://www.nist.gov/sites/default/files/documents/2017/05/09/Freezing-Biological-Evidence-111813-final-1.pdf. Last accessed 12th Feb 2018.</w:t>
      </w:r>
    </w:p>
    <w:p w14:paraId="3638511B" w14:textId="624CEF7A" w:rsidR="00991743" w:rsidRDefault="00991743">
      <w:pPr>
        <w:rPr>
          <w:rFonts w:ascii="Verdana" w:hAnsi="Verdana"/>
          <w:color w:val="000000"/>
          <w:sz w:val="20"/>
          <w:szCs w:val="20"/>
        </w:rPr>
      </w:pPr>
      <w:r>
        <w:rPr>
          <w:rFonts w:ascii="Verdana" w:hAnsi="Verdana"/>
          <w:color w:val="000000"/>
          <w:sz w:val="20"/>
          <w:szCs w:val="20"/>
        </w:rPr>
        <w:t xml:space="preserve">Pierce,B. (2018). </w:t>
      </w:r>
      <w:r>
        <w:rPr>
          <w:rFonts w:ascii="Verdana" w:hAnsi="Verdana"/>
          <w:i/>
          <w:iCs/>
          <w:color w:val="000000"/>
          <w:sz w:val="20"/>
          <w:szCs w:val="20"/>
        </w:rPr>
        <w:t>Continuity Evidence in Criminal Cases A somewhat defence perspective.</w:t>
      </w:r>
      <w:r>
        <w:rPr>
          <w:rFonts w:ascii="Verdana" w:hAnsi="Verdana"/>
          <w:color w:val="000000"/>
          <w:sz w:val="20"/>
          <w:szCs w:val="20"/>
        </w:rPr>
        <w:t xml:space="preserve"> Available: http://criminalcpd.net.au/wp-content/uploads/2016/09/The_law_in_relation_to_Continuity.pdf. Last accessed 11th Feb 2018.</w:t>
      </w:r>
    </w:p>
    <w:p w14:paraId="34021CE8" w14:textId="77777777" w:rsidR="00991743" w:rsidRDefault="00991743" w:rsidP="00991743">
      <w:pPr>
        <w:pStyle w:val="NormalWeb"/>
        <w:spacing w:before="0" w:beforeAutospacing="0" w:after="0" w:afterAutospacing="0"/>
      </w:pPr>
      <w:r>
        <w:rPr>
          <w:rFonts w:ascii="Verdana" w:hAnsi="Verdana"/>
          <w:color w:val="000000"/>
          <w:sz w:val="20"/>
          <w:szCs w:val="20"/>
        </w:rPr>
        <w:t xml:space="preserve">Ray,C,C.. (NOV. 1, 2010 Continue reading the main storyShare This Page Share Tweet Email More). </w:t>
      </w:r>
      <w:r>
        <w:rPr>
          <w:rFonts w:ascii="Verdana" w:hAnsi="Verdana"/>
          <w:i/>
          <w:iCs/>
          <w:color w:val="000000"/>
          <w:sz w:val="20"/>
          <w:szCs w:val="20"/>
        </w:rPr>
        <w:t>The Telltale Part.</w:t>
      </w:r>
      <w:r>
        <w:rPr>
          <w:rFonts w:ascii="Verdana" w:hAnsi="Verdana"/>
          <w:color w:val="000000"/>
          <w:sz w:val="20"/>
          <w:szCs w:val="20"/>
        </w:rPr>
        <w:t xml:space="preserve"> Available: http://www.nytimes.com/2010/11/02/science/02qna.html. Last accessed 13th Feb 2018.</w:t>
      </w:r>
    </w:p>
    <w:p w14:paraId="3C8C17ED" w14:textId="38E95E6F" w:rsidR="00991743" w:rsidRDefault="00C3384D">
      <w:pPr>
        <w:rPr>
          <w:rFonts w:ascii="Verdana" w:hAnsi="Verdana"/>
          <w:color w:val="000000"/>
          <w:sz w:val="20"/>
          <w:szCs w:val="20"/>
        </w:rPr>
      </w:pPr>
      <w:r>
        <w:rPr>
          <w:rFonts w:ascii="Verdana" w:hAnsi="Verdana"/>
          <w:color w:val="000000"/>
          <w:sz w:val="20"/>
          <w:szCs w:val="20"/>
        </w:rPr>
        <w:t>Sawyer, N.. (2011). The Major Crime Scene De-contamination Gateway. </w:t>
      </w:r>
      <w:r>
        <w:rPr>
          <w:rFonts w:ascii="Verdana" w:hAnsi="Verdana"/>
          <w:i/>
          <w:iCs/>
          <w:color w:val="000000"/>
          <w:sz w:val="20"/>
          <w:szCs w:val="20"/>
        </w:rPr>
        <w:t>From the time of discovery, such evidence is exposed to the risk of contamination, mainly by personnel during their access to the scene inadvertently transferring material from one part of a scene (o</w:t>
      </w:r>
      <w:r>
        <w:rPr>
          <w:rFonts w:ascii="Verdana" w:hAnsi="Verdana"/>
          <w:color w:val="000000"/>
          <w:sz w:val="20"/>
          <w:szCs w:val="20"/>
        </w:rPr>
        <w:t>. 7 (2), 63.</w:t>
      </w:r>
    </w:p>
    <w:p w14:paraId="3F5D132D" w14:textId="0E78DFDB" w:rsidR="00991743" w:rsidRDefault="00991743" w:rsidP="00991743">
      <w:pPr>
        <w:pStyle w:val="NormalWeb"/>
        <w:spacing w:before="0" w:beforeAutospacing="0" w:after="0" w:afterAutospacing="0"/>
        <w:rPr>
          <w:rFonts w:ascii="Verdana" w:hAnsi="Verdana"/>
          <w:color w:val="000000"/>
          <w:sz w:val="20"/>
          <w:szCs w:val="20"/>
        </w:rPr>
      </w:pPr>
      <w:r>
        <w:rPr>
          <w:rFonts w:ascii="Verdana" w:hAnsi="Verdana"/>
          <w:color w:val="000000"/>
          <w:sz w:val="20"/>
          <w:szCs w:val="20"/>
        </w:rPr>
        <w:lastRenderedPageBreak/>
        <w:t xml:space="preserve">Warrington,D. (4th January 2014). </w:t>
      </w:r>
      <w:r>
        <w:rPr>
          <w:rFonts w:ascii="Verdana" w:hAnsi="Verdana"/>
          <w:i/>
          <w:iCs/>
          <w:color w:val="000000"/>
          <w:sz w:val="20"/>
          <w:szCs w:val="20"/>
        </w:rPr>
        <w:t>Preventing Crime Scene Contamination.</w:t>
      </w:r>
      <w:r>
        <w:rPr>
          <w:rFonts w:ascii="Verdana" w:hAnsi="Verdana"/>
          <w:color w:val="000000"/>
          <w:sz w:val="20"/>
          <w:szCs w:val="20"/>
        </w:rPr>
        <w:t xml:space="preserve"> Available: https://www.forensicmag.com/article/2014/01/preventing-crime-scene-contamination. Last accessed 10th Feb 2018.</w:t>
      </w:r>
    </w:p>
    <w:p w14:paraId="7F94F252" w14:textId="77777777" w:rsidR="00991743" w:rsidRDefault="00991743" w:rsidP="00991743">
      <w:pPr>
        <w:pStyle w:val="NormalWeb"/>
        <w:spacing w:before="0" w:beforeAutospacing="0" w:after="0" w:afterAutospacing="0"/>
        <w:rPr>
          <w:rFonts w:ascii="Verdana" w:hAnsi="Verdana"/>
          <w:color w:val="000000"/>
          <w:sz w:val="20"/>
          <w:szCs w:val="20"/>
        </w:rPr>
      </w:pPr>
    </w:p>
    <w:p w14:paraId="006F1CFC" w14:textId="70B58AA6" w:rsidR="00991743" w:rsidRDefault="00991743" w:rsidP="00991743">
      <w:pPr>
        <w:pStyle w:val="NormalWeb"/>
        <w:spacing w:before="0" w:beforeAutospacing="0" w:after="0" w:afterAutospacing="0"/>
      </w:pPr>
      <w:r>
        <w:rPr>
          <w:rFonts w:ascii="Verdana" w:hAnsi="Verdana"/>
          <w:color w:val="000000"/>
          <w:sz w:val="20"/>
          <w:szCs w:val="20"/>
        </w:rPr>
        <w:t xml:space="preserve">Waterbury, C,M. Ph.D. (2010). </w:t>
      </w:r>
      <w:r>
        <w:rPr>
          <w:rFonts w:ascii="Verdana" w:hAnsi="Verdana"/>
          <w:i/>
          <w:iCs/>
          <w:color w:val="000000"/>
          <w:sz w:val="20"/>
          <w:szCs w:val="20"/>
        </w:rPr>
        <w:t>Seven Deadly Sins of the Knox/Sollecito Prosecution.</w:t>
      </w:r>
      <w:r>
        <w:rPr>
          <w:rFonts w:ascii="Verdana" w:hAnsi="Verdana"/>
          <w:color w:val="000000"/>
          <w:sz w:val="20"/>
          <w:szCs w:val="20"/>
        </w:rPr>
        <w:t xml:space="preserve"> Available: http://www.injusticeinperugia.org/MarkWaterbury-5.html. Last accessed 10th Feb 2018.</w:t>
      </w:r>
    </w:p>
    <w:p w14:paraId="7C20CFDD" w14:textId="74798841" w:rsidR="00991743" w:rsidRDefault="00991743"/>
    <w:sectPr w:rsidR="00991743" w:rsidSect="00C3384D">
      <w:headerReference w:type="default" r:id="rId6"/>
      <w:footerReference w:type="default" r:id="rId7"/>
      <w:pgSz w:w="11906" w:h="16838"/>
      <w:pgMar w:top="1440" w:right="1440" w:bottom="1440" w:left="1440" w:header="708" w:footer="708" w:gutter="0"/>
      <w:pgBorders w:offsetFrom="page">
        <w:top w:val="double" w:sz="4" w:space="24" w:color="2F5496" w:themeColor="accent1" w:themeShade="BF"/>
        <w:left w:val="double" w:sz="4" w:space="24" w:color="2F5496" w:themeColor="accent1" w:themeShade="BF"/>
        <w:bottom w:val="double" w:sz="4" w:space="24" w:color="2F5496" w:themeColor="accent1" w:themeShade="BF"/>
        <w:right w:val="double" w:sz="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14085" w14:textId="77777777" w:rsidR="008C7A7D" w:rsidRDefault="008C7A7D" w:rsidP="00EF6C94">
      <w:pPr>
        <w:spacing w:after="0" w:line="240" w:lineRule="auto"/>
      </w:pPr>
      <w:r>
        <w:separator/>
      </w:r>
    </w:p>
  </w:endnote>
  <w:endnote w:type="continuationSeparator" w:id="0">
    <w:p w14:paraId="33C988C5" w14:textId="77777777" w:rsidR="008C7A7D" w:rsidRDefault="008C7A7D" w:rsidP="00EF6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144313"/>
      <w:docPartObj>
        <w:docPartGallery w:val="Page Numbers (Bottom of Page)"/>
        <w:docPartUnique/>
      </w:docPartObj>
    </w:sdtPr>
    <w:sdtEndPr>
      <w:rPr>
        <w:noProof/>
      </w:rPr>
    </w:sdtEndPr>
    <w:sdtContent>
      <w:p w14:paraId="51EF551E" w14:textId="14345C66" w:rsidR="00C3384D" w:rsidRDefault="00C3384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6B459C8" w14:textId="77777777" w:rsidR="00C3384D" w:rsidRDefault="00C3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C04EA" w14:textId="77777777" w:rsidR="008C7A7D" w:rsidRDefault="008C7A7D" w:rsidP="00EF6C94">
      <w:pPr>
        <w:spacing w:after="0" w:line="240" w:lineRule="auto"/>
      </w:pPr>
      <w:r>
        <w:separator/>
      </w:r>
    </w:p>
  </w:footnote>
  <w:footnote w:type="continuationSeparator" w:id="0">
    <w:p w14:paraId="695C04C0" w14:textId="77777777" w:rsidR="008C7A7D" w:rsidRDefault="008C7A7D" w:rsidP="00EF6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D994B" w14:textId="78F3A19A" w:rsidR="008C7A7D" w:rsidRDefault="008C7A7D">
    <w:pPr>
      <w:pStyle w:val="Header"/>
    </w:pPr>
    <w:r>
      <w:t xml:space="preserve">Andile Ngulube </w:t>
    </w:r>
  </w:p>
  <w:p w14:paraId="6B4E28DE" w14:textId="1CDDA4FC" w:rsidR="008C7A7D" w:rsidRDefault="008C7A7D">
    <w:pPr>
      <w:pStyle w:val="Header"/>
    </w:pPr>
    <w:r>
      <w:t>1600218</w:t>
    </w:r>
  </w:p>
  <w:p w14:paraId="7E0F1E5A" w14:textId="5BBC4C46" w:rsidR="008C7A7D" w:rsidRDefault="008C7A7D">
    <w:pPr>
      <w:pStyle w:val="Header"/>
    </w:pPr>
    <w:r>
      <w:t>University of Wales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C94"/>
    <w:rsid w:val="00030524"/>
    <w:rsid w:val="001823CE"/>
    <w:rsid w:val="001837D7"/>
    <w:rsid w:val="001A6FA4"/>
    <w:rsid w:val="001B61E3"/>
    <w:rsid w:val="001C2201"/>
    <w:rsid w:val="001D593A"/>
    <w:rsid w:val="002A0B4C"/>
    <w:rsid w:val="00347C4E"/>
    <w:rsid w:val="00371C6C"/>
    <w:rsid w:val="00376BEB"/>
    <w:rsid w:val="003E4EC1"/>
    <w:rsid w:val="003F656F"/>
    <w:rsid w:val="00464873"/>
    <w:rsid w:val="004A39B2"/>
    <w:rsid w:val="004F52A5"/>
    <w:rsid w:val="005663E4"/>
    <w:rsid w:val="00590F28"/>
    <w:rsid w:val="007516F3"/>
    <w:rsid w:val="00775C6E"/>
    <w:rsid w:val="00797A95"/>
    <w:rsid w:val="00857FDE"/>
    <w:rsid w:val="00884E48"/>
    <w:rsid w:val="008A2961"/>
    <w:rsid w:val="008A3EEA"/>
    <w:rsid w:val="008C7A7D"/>
    <w:rsid w:val="008F5F2F"/>
    <w:rsid w:val="00915019"/>
    <w:rsid w:val="0091618A"/>
    <w:rsid w:val="00944866"/>
    <w:rsid w:val="00984B3A"/>
    <w:rsid w:val="00991743"/>
    <w:rsid w:val="00991953"/>
    <w:rsid w:val="00993B51"/>
    <w:rsid w:val="009C6962"/>
    <w:rsid w:val="00A41BAD"/>
    <w:rsid w:val="00B37F23"/>
    <w:rsid w:val="00BA46A1"/>
    <w:rsid w:val="00BB79C0"/>
    <w:rsid w:val="00BD421E"/>
    <w:rsid w:val="00BD645D"/>
    <w:rsid w:val="00BF5105"/>
    <w:rsid w:val="00C3384D"/>
    <w:rsid w:val="00C81FC0"/>
    <w:rsid w:val="00CD129F"/>
    <w:rsid w:val="00CD7600"/>
    <w:rsid w:val="00CF3959"/>
    <w:rsid w:val="00CF4AF5"/>
    <w:rsid w:val="00D91D2B"/>
    <w:rsid w:val="00E157FD"/>
    <w:rsid w:val="00E36F44"/>
    <w:rsid w:val="00E70A54"/>
    <w:rsid w:val="00EF6C94"/>
    <w:rsid w:val="00F10C28"/>
    <w:rsid w:val="00F773CB"/>
    <w:rsid w:val="00F945F6"/>
    <w:rsid w:val="00FA068C"/>
    <w:rsid w:val="00FE0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DFF1"/>
  <w15:chartTrackingRefBased/>
  <w15:docId w15:val="{4A664000-0E75-44A3-9B6A-5D365496F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C94"/>
  </w:style>
  <w:style w:type="paragraph" w:styleId="Footer">
    <w:name w:val="footer"/>
    <w:basedOn w:val="Normal"/>
    <w:link w:val="FooterChar"/>
    <w:uiPriority w:val="99"/>
    <w:unhideWhenUsed/>
    <w:rsid w:val="00EF6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C94"/>
  </w:style>
  <w:style w:type="paragraph" w:styleId="NormalWeb">
    <w:name w:val="Normal (Web)"/>
    <w:basedOn w:val="Normal"/>
    <w:uiPriority w:val="99"/>
    <w:semiHidden/>
    <w:unhideWhenUsed/>
    <w:rsid w:val="00A41B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C338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84D"/>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C3384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3384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52370">
      <w:bodyDiv w:val="1"/>
      <w:marLeft w:val="0"/>
      <w:marRight w:val="0"/>
      <w:marTop w:val="0"/>
      <w:marBottom w:val="0"/>
      <w:divBdr>
        <w:top w:val="none" w:sz="0" w:space="0" w:color="auto"/>
        <w:left w:val="none" w:sz="0" w:space="0" w:color="auto"/>
        <w:bottom w:val="none" w:sz="0" w:space="0" w:color="auto"/>
        <w:right w:val="none" w:sz="0" w:space="0" w:color="auto"/>
      </w:divBdr>
    </w:div>
    <w:div w:id="394859090">
      <w:bodyDiv w:val="1"/>
      <w:marLeft w:val="0"/>
      <w:marRight w:val="0"/>
      <w:marTop w:val="0"/>
      <w:marBottom w:val="0"/>
      <w:divBdr>
        <w:top w:val="none" w:sz="0" w:space="0" w:color="auto"/>
        <w:left w:val="none" w:sz="0" w:space="0" w:color="auto"/>
        <w:bottom w:val="none" w:sz="0" w:space="0" w:color="auto"/>
        <w:right w:val="none" w:sz="0" w:space="0" w:color="auto"/>
      </w:divBdr>
    </w:div>
    <w:div w:id="626546734">
      <w:bodyDiv w:val="1"/>
      <w:marLeft w:val="0"/>
      <w:marRight w:val="0"/>
      <w:marTop w:val="0"/>
      <w:marBottom w:val="0"/>
      <w:divBdr>
        <w:top w:val="none" w:sz="0" w:space="0" w:color="auto"/>
        <w:left w:val="none" w:sz="0" w:space="0" w:color="auto"/>
        <w:bottom w:val="none" w:sz="0" w:space="0" w:color="auto"/>
        <w:right w:val="none" w:sz="0" w:space="0" w:color="auto"/>
      </w:divBdr>
    </w:div>
    <w:div w:id="1384328728">
      <w:bodyDiv w:val="1"/>
      <w:marLeft w:val="0"/>
      <w:marRight w:val="0"/>
      <w:marTop w:val="0"/>
      <w:marBottom w:val="0"/>
      <w:divBdr>
        <w:top w:val="none" w:sz="0" w:space="0" w:color="auto"/>
        <w:left w:val="none" w:sz="0" w:space="0" w:color="auto"/>
        <w:bottom w:val="none" w:sz="0" w:space="0" w:color="auto"/>
        <w:right w:val="none" w:sz="0" w:space="0" w:color="auto"/>
      </w:divBdr>
    </w:div>
    <w:div w:id="1389962988">
      <w:bodyDiv w:val="1"/>
      <w:marLeft w:val="0"/>
      <w:marRight w:val="0"/>
      <w:marTop w:val="0"/>
      <w:marBottom w:val="0"/>
      <w:divBdr>
        <w:top w:val="none" w:sz="0" w:space="0" w:color="auto"/>
        <w:left w:val="none" w:sz="0" w:space="0" w:color="auto"/>
        <w:bottom w:val="none" w:sz="0" w:space="0" w:color="auto"/>
        <w:right w:val="none" w:sz="0" w:space="0" w:color="auto"/>
      </w:divBdr>
    </w:div>
    <w:div w:id="1401713505">
      <w:bodyDiv w:val="1"/>
      <w:marLeft w:val="0"/>
      <w:marRight w:val="0"/>
      <w:marTop w:val="0"/>
      <w:marBottom w:val="0"/>
      <w:divBdr>
        <w:top w:val="none" w:sz="0" w:space="0" w:color="auto"/>
        <w:left w:val="none" w:sz="0" w:space="0" w:color="auto"/>
        <w:bottom w:val="none" w:sz="0" w:space="0" w:color="auto"/>
        <w:right w:val="none" w:sz="0" w:space="0" w:color="auto"/>
      </w:divBdr>
    </w:div>
    <w:div w:id="1773625428">
      <w:bodyDiv w:val="1"/>
      <w:marLeft w:val="0"/>
      <w:marRight w:val="0"/>
      <w:marTop w:val="0"/>
      <w:marBottom w:val="0"/>
      <w:divBdr>
        <w:top w:val="none" w:sz="0" w:space="0" w:color="auto"/>
        <w:left w:val="none" w:sz="0" w:space="0" w:color="auto"/>
        <w:bottom w:val="none" w:sz="0" w:space="0" w:color="auto"/>
        <w:right w:val="none" w:sz="0" w:space="0" w:color="auto"/>
      </w:divBdr>
    </w:div>
    <w:div w:id="204193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1629</TotalTime>
  <Pages>7</Pages>
  <Words>2959</Words>
  <Characters>16869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Andile Ngulube</dc:creator>
  <cp:keywords/>
  <dc:description/>
  <cp:lastModifiedBy>Andile Ngulube</cp:lastModifiedBy>
  <cp:revision>1</cp:revision>
  <dcterms:created xsi:type="dcterms:W3CDTF">2018-02-12T20:27:00Z</dcterms:created>
  <dcterms:modified xsi:type="dcterms:W3CDTF">2018-02-13T23:36:00Z</dcterms:modified>
</cp:coreProperties>
</file>