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C021ED7">
      <w:pPr>
        <w:pStyle w:val="style66"/>
        <w:spacing w:lineRule="auto" w:line="360"/>
        <w:rPr>
          <w:rFonts w:cs="Arial"/>
          <w:noProof/>
          <w:lang w:bidi="ar-SA"/>
        </w:rPr>
      </w:pPr>
    </w:p>
    <w:p w14:paraId="7C021ED8">
      <w:pPr>
        <w:pStyle w:val="style66"/>
        <w:spacing w:lineRule="auto" w:line="360"/>
        <w:ind w:left="2798"/>
        <w:rPr>
          <w:rFonts w:cs="Arial"/>
          <w:noProof/>
          <w:lang w:bidi="ar-SA"/>
        </w:rPr>
      </w:pPr>
      <w:r>
        <w:rPr>
          <w:rFonts w:cs="Arial"/>
          <w:noProof/>
        </w:rPr>
        <w:drawing>
          <wp:anchor distT="0" distB="0" distL="114300" distR="114300" simplePos="false" relativeHeight="2" behindDoc="true" locked="false" layoutInCell="true" allowOverlap="true">
            <wp:simplePos x="0" y="0"/>
            <wp:positionH relativeFrom="margin">
              <wp:align>right</wp:align>
            </wp:positionH>
            <wp:positionV relativeFrom="paragraph">
              <wp:posOffset>3810</wp:posOffset>
            </wp:positionV>
            <wp:extent cx="5438775" cy="1328420"/>
            <wp:effectExtent l="0" t="0" r="0" b="0"/>
            <wp:wrapTight wrapText="bothSides">
              <wp:wrapPolygon edited="false">
                <wp:start x="681" y="3407"/>
                <wp:lineTo x="681" y="8983"/>
                <wp:lineTo x="984" y="13939"/>
                <wp:lineTo x="1816" y="17346"/>
                <wp:lineTo x="1891" y="17966"/>
                <wp:lineTo x="5599" y="17966"/>
                <wp:lineTo x="9911" y="17346"/>
                <wp:lineTo x="9987" y="13939"/>
                <wp:lineTo x="13089" y="13629"/>
                <wp:lineTo x="13240" y="9602"/>
                <wp:lineTo x="16266" y="8983"/>
                <wp:lineTo x="16493" y="5266"/>
                <wp:lineTo x="14753" y="3407"/>
                <wp:lineTo x="681" y="3407"/>
              </wp:wrapPolygon>
            </wp:wrapTight>
            <wp:docPr id="1026" name="Picture 3" descr="SCVO | Sandwell Council of Voluntary Organisation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cstate="print"/>
                    <a:srcRect l="0" t="0" r="0" b="0"/>
                    <a:stretch/>
                  </pic:blipFill>
                  <pic:spPr>
                    <a:xfrm rot="0">
                      <a:off x="0" y="0"/>
                      <a:ext cx="5438775" cy="1328420"/>
                    </a:xfrm>
                    <a:prstGeom prst="rect"/>
                    <a:ln>
                      <a:noFill/>
                    </a:ln>
                  </pic:spPr>
                </pic:pic>
              </a:graphicData>
            </a:graphic>
            <wp14:sizeRelH relativeFrom="page">
              <wp14:pctWidth>0</wp14:pctWidth>
            </wp14:sizeRelH>
            <wp14:sizeRelV relativeFrom="page">
              <wp14:pctHeight>0</wp14:pctHeight>
            </wp14:sizeRelV>
          </wp:anchor>
        </w:drawing>
      </w:r>
    </w:p>
    <w:p w14:paraId="7C021ED9">
      <w:pPr>
        <w:pStyle w:val="style66"/>
        <w:spacing w:lineRule="auto" w:line="360"/>
        <w:rPr>
          <w:rFonts w:cs="Arial"/>
          <w:noProof/>
          <w:lang w:bidi="ar-SA"/>
        </w:rPr>
      </w:pPr>
    </w:p>
    <w:p w14:paraId="7C021EDA">
      <w:pPr>
        <w:pStyle w:val="style66"/>
        <w:spacing w:lineRule="auto" w:line="360"/>
        <w:ind w:left="2798"/>
        <w:rPr>
          <w:rFonts w:cs="Arial"/>
          <w:noProof/>
          <w:lang w:bidi="ar-SA"/>
        </w:rPr>
      </w:pPr>
    </w:p>
    <w:p w14:paraId="7C021EDB">
      <w:pPr>
        <w:pStyle w:val="style66"/>
        <w:spacing w:lineRule="auto" w:line="360"/>
        <w:ind w:left="2798"/>
        <w:rPr>
          <w:rFonts w:cs="Arial"/>
          <w:noProof/>
          <w:lang w:bidi="ar-SA"/>
        </w:rPr>
      </w:pPr>
    </w:p>
    <w:p w14:paraId="7C021EDC">
      <w:pPr>
        <w:pStyle w:val="style66"/>
        <w:spacing w:lineRule="auto" w:line="360"/>
        <w:ind w:left="2798"/>
        <w:rPr>
          <w:rFonts w:cs="Arial"/>
          <w:noProof/>
          <w:lang w:bidi="ar-SA"/>
        </w:rPr>
      </w:pPr>
    </w:p>
    <w:p w14:paraId="7C021EDD">
      <w:pPr>
        <w:pStyle w:val="style66"/>
        <w:spacing w:lineRule="auto" w:line="360"/>
        <w:ind w:left="2798"/>
        <w:rPr>
          <w:rFonts w:cs="Arial"/>
        </w:rPr>
      </w:pPr>
      <w:r>
        <w:rPr>
          <w:rFonts w:cs="Arial"/>
          <w:noProof/>
          <w:lang w:bidi="ar-SA"/>
        </w:rPr>
        <w:t xml:space="preserve"> </w:t>
      </w:r>
    </w:p>
    <w:p w14:paraId="7C021EDE">
      <w:pPr>
        <w:pStyle w:val="style66"/>
        <w:spacing w:lineRule="auto" w:line="360"/>
        <w:rPr>
          <w:rFonts w:cs="Arial"/>
        </w:rPr>
      </w:pPr>
    </w:p>
    <w:p w14:paraId="7C021EDF">
      <w:pPr>
        <w:pStyle w:val="style66"/>
        <w:spacing w:lineRule="auto" w:line="360"/>
        <w:rPr>
          <w:rFonts w:cs="Arial"/>
        </w:rPr>
      </w:pPr>
    </w:p>
    <w:p w14:paraId="7C021EE0">
      <w:pPr>
        <w:pStyle w:val="style66"/>
        <w:spacing w:lineRule="auto" w:line="360"/>
        <w:rPr>
          <w:rFonts w:cs="Arial"/>
        </w:rPr>
      </w:pPr>
    </w:p>
    <w:p w14:paraId="7C021EE1">
      <w:pPr>
        <w:pStyle w:val="style66"/>
        <w:spacing w:lineRule="auto" w:line="360"/>
        <w:rPr>
          <w:rFonts w:cs="Arial"/>
        </w:rPr>
      </w:pPr>
    </w:p>
    <w:p w14:paraId="7C021EE2">
      <w:pPr>
        <w:pStyle w:val="style66"/>
        <w:spacing w:lineRule="auto" w:line="360"/>
        <w:rPr>
          <w:rFonts w:cs="Arial"/>
        </w:rPr>
      </w:pPr>
    </w:p>
    <w:p w14:paraId="7C021EE3">
      <w:pPr>
        <w:pStyle w:val="style0"/>
        <w:spacing w:lineRule="auto" w:line="360"/>
        <w:rPr>
          <w:rFonts w:cs="Arial"/>
          <w:sz w:val="22"/>
        </w:rPr>
      </w:pPr>
    </w:p>
    <w:p w14:paraId="7C021EE4">
      <w:pPr>
        <w:pStyle w:val="style0"/>
        <w:spacing w:lineRule="auto" w:line="360"/>
        <w:jc w:val="center"/>
        <w:rPr>
          <w:rFonts w:cs="Arial" w:eastAsia="Times New Roman"/>
          <w:b/>
          <w:sz w:val="22"/>
        </w:rPr>
      </w:pPr>
      <w:r>
        <w:rPr>
          <w:rFonts w:cs="Arial" w:eastAsia="Times New Roman"/>
          <w:b/>
          <w:sz w:val="22"/>
        </w:rPr>
        <w:t>DECLARATION</w:t>
      </w:r>
    </w:p>
    <w:p w14:paraId="7C021EE5">
      <w:pPr>
        <w:pStyle w:val="style0"/>
        <w:spacing w:lineRule="auto" w:line="360"/>
        <w:rPr>
          <w:rFonts w:cs="Arial" w:eastAsia="Times New Roman"/>
          <w:sz w:val="22"/>
        </w:rPr>
      </w:pPr>
    </w:p>
    <w:p w14:paraId="7C021EE6">
      <w:pPr>
        <w:pStyle w:val="style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Cs/>
          <w:sz w:val="22"/>
        </w:rPr>
      </w:pPr>
      <w:r>
        <w:rPr>
          <w:rFonts w:cs="Arial" w:eastAsia="Arial Unicode MS"/>
          <w:bCs/>
          <w:sz w:val="22"/>
        </w:rPr>
        <w:t xml:space="preserve">I, </w:t>
      </w:r>
      <w:r>
        <w:rPr>
          <w:rFonts w:cs="Arial" w:eastAsia="Arial Unicode MS"/>
          <w:bCs/>
          <w:sz w:val="22"/>
          <w:lang w:val="en-US"/>
        </w:rPr>
        <w:t xml:space="preserve">Muhammad Arshad Javed, </w:t>
      </w:r>
      <w:r>
        <w:rPr>
          <w:rFonts w:cs="Arial" w:eastAsia="Arial Unicode MS"/>
          <w:bCs/>
          <w:sz w:val="22"/>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C021EE7">
      <w:pPr>
        <w:pStyle w:val="style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Cs/>
          <w:sz w:val="22"/>
        </w:rPr>
      </w:pPr>
    </w:p>
    <w:p w14:paraId="7C021EE8">
      <w:pPr>
        <w:pStyle w:val="style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Cs/>
          <w:sz w:val="22"/>
        </w:rPr>
      </w:pPr>
      <w:r>
        <w:rPr>
          <w:rFonts w:cs="Arial" w:eastAsia="Arial Unicode MS"/>
          <w:bCs/>
          <w:sz w:val="22"/>
        </w:rPr>
        <w:t>Signature:.....</w:t>
      </w:r>
      <w:r>
        <w:rPr>
          <w:rFonts w:cs="Arial" w:eastAsia="Arial Unicode MS"/>
          <w:bCs/>
          <w:sz w:val="22"/>
          <w:lang w:val="en-US"/>
        </w:rPr>
        <w:t xml:space="preserve"> Arshad </w:t>
      </w:r>
      <w:r>
        <w:rPr>
          <w:rFonts w:cs="Arial" w:eastAsia="Arial Unicode MS"/>
          <w:bCs/>
          <w:sz w:val="22"/>
        </w:rPr>
        <w:t>.</w:t>
      </w:r>
      <w:r>
        <w:rPr>
          <w:rFonts w:cs="Arial" w:eastAsia="Arial Unicode MS"/>
          <w:bCs/>
          <w:sz w:val="22"/>
          <w:lang w:val="en-US"/>
        </w:rPr>
        <w:t>Javed.........</w:t>
      </w:r>
      <w:r>
        <w:rPr>
          <w:rFonts w:cs="Arial" w:eastAsia="Arial Unicode MS"/>
          <w:bCs/>
          <w:sz w:val="22"/>
        </w:rPr>
        <w:t>...............</w:t>
      </w:r>
    </w:p>
    <w:p w14:paraId="7C021EE9">
      <w:pPr>
        <w:pStyle w:val="style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Cs/>
          <w:sz w:val="22"/>
        </w:rPr>
      </w:pPr>
    </w:p>
    <w:p w14:paraId="7C021EEA">
      <w:pPr>
        <w:pStyle w:val="style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Cs/>
          <w:sz w:val="22"/>
        </w:rPr>
      </w:pPr>
      <w:r>
        <w:rPr>
          <w:rFonts w:cs="Arial" w:eastAsia="Arial Unicode MS"/>
          <w:bCs/>
          <w:sz w:val="22"/>
        </w:rPr>
        <w:t>Date: …………</w:t>
      </w:r>
      <w:r>
        <w:rPr>
          <w:rFonts w:cs="Arial" w:eastAsia="Arial Unicode MS"/>
          <w:bCs/>
          <w:sz w:val="22"/>
          <w:lang w:val="en-US"/>
        </w:rPr>
        <w:t>26-08-2026</w:t>
      </w:r>
      <w:r>
        <w:rPr>
          <w:rFonts w:cs="Arial" w:eastAsia="Arial Unicode MS"/>
          <w:bCs/>
          <w:sz w:val="22"/>
        </w:rPr>
        <w:t>…............................</w:t>
      </w:r>
    </w:p>
    <w:p w14:paraId="7C021EEB">
      <w:pPr>
        <w:pStyle w:val="style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Cs/>
          <w:sz w:val="22"/>
        </w:rPr>
      </w:pPr>
    </w:p>
    <w:p w14:paraId="7C021EEC">
      <w:pPr>
        <w:pStyle w:val="style0"/>
        <w:spacing w:lineRule="auto" w:line="360"/>
        <w:jc w:val="both"/>
        <w:rPr>
          <w:rFonts w:cs="Arial"/>
          <w:sz w:val="22"/>
        </w:rPr>
      </w:pPr>
    </w:p>
    <w:p w14:paraId="7C021EED">
      <w:pPr>
        <w:pStyle w:val="style0"/>
        <w:spacing w:lineRule="auto" w:line="360"/>
        <w:rPr>
          <w:rFonts w:cs="Arial"/>
          <w:b/>
          <w:bCs/>
          <w:sz w:val="22"/>
        </w:rPr>
      </w:pPr>
      <w:r>
        <w:rPr>
          <w:rFonts w:cs="Arial"/>
          <w:b/>
          <w:bCs/>
          <w:sz w:val="22"/>
        </w:rPr>
        <w:br w:type="page"/>
      </w:r>
    </w:p>
    <w:p w14:paraId="7C021EEE">
      <w:pPr>
        <w:pStyle w:val="style0"/>
        <w:spacing w:lineRule="auto" w:line="360"/>
        <w:jc w:val="center"/>
        <w:rPr>
          <w:rFonts w:cs="Arial"/>
          <w:b/>
          <w:bCs/>
          <w:sz w:val="56"/>
          <w:szCs w:val="56"/>
        </w:rPr>
      </w:pPr>
      <w:r>
        <w:rPr>
          <w:rFonts w:cs="Arial"/>
          <w:b/>
          <w:bCs/>
          <w:sz w:val="56"/>
          <w:szCs w:val="56"/>
        </w:rPr>
        <w:t>Exercise for Better Control of Type 2 Diabetes and the Risks Associated with Self-Medication: A Systematic Review</w:t>
      </w:r>
    </w:p>
    <w:p w14:paraId="7C021EEF">
      <w:pPr>
        <w:pStyle w:val="style0"/>
        <w:spacing w:lineRule="auto" w:line="360"/>
        <w:jc w:val="both"/>
        <w:rPr>
          <w:rFonts w:cs="Arial"/>
          <w:b/>
          <w:bCs/>
          <w:sz w:val="56"/>
          <w:szCs w:val="56"/>
        </w:rPr>
      </w:pPr>
    </w:p>
    <w:p w14:paraId="7C021EF0">
      <w:pPr>
        <w:pStyle w:val="style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jc w:val="center"/>
        <w:rPr>
          <w:rFonts w:cs="Arial" w:eastAsia="Arial Unicode MS"/>
          <w:b/>
          <w:sz w:val="56"/>
          <w:szCs w:val="56"/>
        </w:rPr>
      </w:pPr>
      <w:r>
        <w:rPr>
          <w:rFonts w:cs="Arial" w:eastAsia="Arial Unicode MS"/>
          <w:b/>
          <w:sz w:val="56"/>
          <w:szCs w:val="56"/>
          <w:lang w:val="en-US"/>
        </w:rPr>
        <w:t xml:space="preserve">Muhammad Arshad Javed </w:t>
      </w:r>
    </w:p>
    <w:p w14:paraId="7C021EF1">
      <w:pPr>
        <w:pStyle w:val="style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jc w:val="center"/>
        <w:rPr>
          <w:rFonts w:cs="Arial" w:eastAsia="Arial Unicode MS"/>
          <w:sz w:val="56"/>
          <w:szCs w:val="56"/>
        </w:rPr>
      </w:pPr>
      <w:r>
        <w:rPr>
          <w:rFonts w:cs="Arial" w:eastAsia="Arial Unicode MS"/>
          <w:sz w:val="56"/>
          <w:szCs w:val="56"/>
          <w:lang w:val="en-US"/>
        </w:rPr>
        <w:t>ID 2437694</w:t>
      </w:r>
    </w:p>
    <w:p w14:paraId="7C021EF3">
      <w:pPr>
        <w:pStyle w:val="style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rPr>
          <w:rFonts w:cs="Arial" w:eastAsia="Arial Unicode MS"/>
          <w:b/>
          <w:bCs/>
          <w:sz w:val="56"/>
          <w:szCs w:val="56"/>
        </w:rPr>
      </w:pPr>
      <w:r>
        <w:rPr>
          <w:rFonts w:cs="Arial" w:eastAsia="Arial Unicode MS"/>
          <w:sz w:val="56"/>
          <w:szCs w:val="56"/>
        </w:rPr>
        <w:t>Superv</w:t>
      </w:r>
      <w:r>
        <w:rPr>
          <w:rFonts w:cs="Arial" w:eastAsia="Arial Unicode MS"/>
          <w:sz w:val="56"/>
          <w:szCs w:val="56"/>
        </w:rPr>
        <w:t>is</w:t>
      </w:r>
      <w:r>
        <w:rPr>
          <w:rFonts w:cs="Arial" w:eastAsia="Arial Unicode MS"/>
          <w:sz w:val="56"/>
          <w:szCs w:val="56"/>
        </w:rPr>
        <w:t>or:</w:t>
      </w:r>
      <w:r>
        <w:rPr>
          <w:rFonts w:cs="Arial" w:eastAsia="Arial Unicode MS"/>
          <w:sz w:val="56"/>
          <w:szCs w:val="56"/>
        </w:rPr>
        <w:t xml:space="preserve"> </w:t>
      </w:r>
      <w:r>
        <w:rPr>
          <w:rFonts w:cs="Arial" w:eastAsia="Arial Unicode MS"/>
          <w:b/>
          <w:bCs/>
          <w:sz w:val="56"/>
          <w:szCs w:val="56"/>
          <w:lang w:val="en-US"/>
        </w:rPr>
        <w:t xml:space="preserve">Dr </w:t>
      </w:r>
      <w:r>
        <w:rPr>
          <w:rFonts w:cs="Arial" w:eastAsia="Arial Unicode MS"/>
          <w:b/>
          <w:bCs/>
          <w:sz w:val="56"/>
          <w:szCs w:val="56"/>
          <w:lang w:val="en-US"/>
        </w:rPr>
        <w:t>Ayazullah</w:t>
      </w:r>
      <w:r>
        <w:rPr>
          <w:rFonts w:cs="Arial" w:eastAsia="Arial Unicode MS"/>
          <w:b/>
          <w:bCs/>
          <w:sz w:val="56"/>
          <w:szCs w:val="56"/>
          <w:lang w:val="en-US"/>
        </w:rPr>
        <w:t xml:space="preserve"> Safi </w:t>
      </w:r>
    </w:p>
    <w:p w14:paraId="7C021EF4">
      <w:pPr>
        <w:pStyle w:val="style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jc w:val="center"/>
        <w:rPr>
          <w:rFonts w:cs="Arial" w:eastAsia="Arial Unicode MS"/>
          <w:sz w:val="22"/>
        </w:rPr>
      </w:pPr>
    </w:p>
    <w:p w14:paraId="7C021EF5">
      <w:pPr>
        <w:pStyle w:val="style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jc w:val="center"/>
        <w:rPr>
          <w:rFonts w:cs="Arial" w:eastAsia="Arial Unicode MS"/>
          <w:sz w:val="22"/>
        </w:rPr>
      </w:pPr>
      <w:r>
        <w:rPr>
          <w:rFonts w:cs="Arial" w:eastAsia="Arial Unicode MS"/>
          <w:sz w:val="22"/>
        </w:rPr>
        <w:t>Dissertation submitted as part of the requirements for the award of MSc Public Health and Social Care in Practice</w:t>
      </w:r>
    </w:p>
    <w:p w14:paraId="7C021EF6">
      <w:pPr>
        <w:pStyle w:val="style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Rule="auto" w:line="360"/>
        <w:jc w:val="center"/>
        <w:rPr>
          <w:rFonts w:cs="Arial" w:eastAsia="Arial Unicode MS"/>
          <w:sz w:val="22"/>
        </w:rPr>
      </w:pPr>
    </w:p>
    <w:p w14:paraId="7C021EF7">
      <w:pPr>
        <w:pStyle w:val="style0"/>
        <w:spacing w:lineRule="auto" w:line="360"/>
        <w:jc w:val="center"/>
        <w:rPr>
          <w:rFonts w:cs="Arial"/>
          <w:b/>
          <w:bCs/>
          <w:sz w:val="22"/>
          <w:u w:val="single"/>
        </w:rPr>
      </w:pPr>
      <w:r>
        <w:rPr>
          <w:rFonts w:cs="Arial"/>
          <w:sz w:val="22"/>
        </w:rPr>
        <w:t>July/2026</w:t>
      </w:r>
    </w:p>
    <w:p w14:paraId="7C021EF8">
      <w:pPr>
        <w:pStyle w:val="style0"/>
        <w:rPr>
          <w:rFonts w:cs="Arial"/>
          <w:b/>
          <w:bCs/>
          <w:sz w:val="22"/>
        </w:rPr>
      </w:pPr>
      <w:r>
        <w:rPr>
          <w:rFonts w:cs="Arial"/>
          <w:b/>
          <w:bCs/>
          <w:sz w:val="22"/>
        </w:rPr>
        <w:br w:type="page"/>
      </w:r>
    </w:p>
    <w:p w14:paraId="7C021EF9">
      <w:pPr>
        <w:pStyle w:val="style0"/>
        <w:spacing w:lineRule="auto" w:line="360"/>
        <w:jc w:val="center"/>
        <w:rPr>
          <w:rFonts w:cs="Arial"/>
          <w:b/>
          <w:bCs/>
          <w:sz w:val="22"/>
        </w:rPr>
      </w:pPr>
      <w:r>
        <w:rPr>
          <w:rFonts w:cs="Arial"/>
          <w:b/>
          <w:bCs/>
          <w:sz w:val="22"/>
        </w:rPr>
        <w:t>Acknowledgements</w:t>
      </w:r>
    </w:p>
    <w:p w14:paraId="7C021EFA">
      <w:pPr>
        <w:pStyle w:val="style0"/>
        <w:spacing w:lineRule="auto" w:line="360"/>
        <w:jc w:val="both"/>
        <w:rPr>
          <w:rFonts w:cs="Arial"/>
          <w:sz w:val="22"/>
        </w:rPr>
      </w:pPr>
      <w:r>
        <w:rPr>
          <w:rFonts w:cs="Arial"/>
          <w:sz w:val="22"/>
        </w:rPr>
        <w:t xml:space="preserve">I would like to express my gratitude to my supervisor </w:t>
      </w:r>
      <w:r>
        <w:rPr>
          <w:rFonts w:cs="Arial"/>
          <w:sz w:val="22"/>
          <w:lang w:val="en-US"/>
        </w:rPr>
        <w:t xml:space="preserve">Dr </w:t>
      </w:r>
      <w:r>
        <w:rPr>
          <w:rFonts w:cs="Arial"/>
          <w:sz w:val="22"/>
          <w:lang w:val="en-US"/>
        </w:rPr>
        <w:t>Ayazullah</w:t>
      </w:r>
      <w:r>
        <w:rPr>
          <w:rFonts w:cs="Arial"/>
          <w:sz w:val="22"/>
          <w:lang w:val="en-US"/>
        </w:rPr>
        <w:t xml:space="preserve"> Safi </w:t>
      </w:r>
      <w:r>
        <w:rPr>
          <w:rFonts w:cs="Arial"/>
          <w:sz w:val="22"/>
        </w:rPr>
        <w:t>for her guidance, patience and constructive feedback during the development of this dissertation. I would also like to thank the academic staff of the University of Wales Trinity Saint David while on this programme. The learning resources team and the university library are also highly appreciated here for their help in accessing relevant databases and literature. Last but not least, I would like to express my appreciation to my family and friends for their support and patience during this endeavour.</w:t>
      </w:r>
    </w:p>
    <w:p w14:paraId="7C021EFB">
      <w:pPr>
        <w:pStyle w:val="style0"/>
        <w:spacing w:lineRule="auto" w:line="360"/>
        <w:jc w:val="both"/>
        <w:rPr>
          <w:rFonts w:cs="Arial"/>
          <w:b/>
          <w:bCs/>
          <w:sz w:val="22"/>
        </w:rPr>
      </w:pPr>
    </w:p>
    <w:p w14:paraId="7C021EFC">
      <w:pPr>
        <w:pStyle w:val="style0"/>
        <w:spacing w:lineRule="auto" w:line="360"/>
        <w:jc w:val="both"/>
        <w:rPr>
          <w:rFonts w:cs="Arial" w:eastAsia="SimSun"/>
          <w:b/>
          <w:sz w:val="22"/>
        </w:rPr>
      </w:pPr>
      <w:r>
        <w:rPr>
          <w:rFonts w:cs="Arial"/>
          <w:sz w:val="22"/>
        </w:rPr>
        <w:br w:type="page"/>
      </w:r>
    </w:p>
    <w:p w14:paraId="7C021EFD">
      <w:pPr>
        <w:pStyle w:val="style0"/>
        <w:spacing w:lineRule="auto" w:line="360"/>
        <w:jc w:val="center"/>
        <w:rPr>
          <w:rFonts w:cs="Arial"/>
          <w:b/>
          <w:bCs/>
          <w:sz w:val="22"/>
        </w:rPr>
      </w:pPr>
      <w:r>
        <w:rPr>
          <w:rFonts w:cs="Arial"/>
          <w:b/>
          <w:bCs/>
          <w:sz w:val="22"/>
        </w:rPr>
        <w:t>Abstract</w:t>
      </w:r>
    </w:p>
    <w:p w14:paraId="7C021EFE">
      <w:pPr>
        <w:pStyle w:val="style0"/>
        <w:spacing w:lineRule="auto" w:line="360"/>
        <w:jc w:val="both"/>
        <w:rPr>
          <w:rFonts w:cs="Arial"/>
          <w:sz w:val="22"/>
        </w:rPr>
      </w:pPr>
      <w:r>
        <w:rPr>
          <w:rFonts w:cs="Arial"/>
          <w:b/>
          <w:bCs/>
          <w:sz w:val="22"/>
        </w:rPr>
        <w:t>Background</w:t>
      </w:r>
      <w:r>
        <w:rPr>
          <w:rFonts w:cs="Arial"/>
          <w:sz w:val="22"/>
        </w:rPr>
        <w:t xml:space="preserve">: Type 2 diabetes mellitus is a major public health problem internationally and in the UK that requires clinical management and daily lifestyle behaviour to manage. Self-medication, unsupervised </w:t>
      </w:r>
      <w:r>
        <w:rPr>
          <w:rFonts w:cs="Arial"/>
          <w:sz w:val="22"/>
        </w:rPr>
        <w:t xml:space="preserve">use, </w:t>
      </w:r>
      <w:r>
        <w:rPr>
          <w:rFonts w:cs="Arial"/>
          <w:sz w:val="22"/>
        </w:rPr>
        <w:t>and the use of over-the-counter or previously prescribed medicines are a unique and poorly studied form of medication safety risk, whereas exercise is well recommended for glycaemic and cardiovascular health benefits. Both of these behaviours have been investigated separately, and the two are not often observed together outside of clinical trials. The aim of the present systematic review was to review the literature published on the role of exercise in the management of T2D and public health risks of self-medication in T2D.</w:t>
      </w:r>
    </w:p>
    <w:p w14:paraId="7C021EFF">
      <w:pPr>
        <w:pStyle w:val="style0"/>
        <w:spacing w:lineRule="auto" w:line="360"/>
        <w:jc w:val="both"/>
        <w:rPr>
          <w:rFonts w:cs="Arial"/>
          <w:sz w:val="22"/>
        </w:rPr>
      </w:pPr>
      <w:r>
        <w:rPr>
          <w:rFonts w:cs="Arial"/>
          <w:b/>
          <w:bCs/>
          <w:sz w:val="22"/>
        </w:rPr>
        <w:t>Methods</w:t>
      </w:r>
      <w:r>
        <w:rPr>
          <w:rFonts w:cs="Arial"/>
          <w:sz w:val="22"/>
        </w:rPr>
        <w:t>: A systematic literature review was performed using a search strategy based on the Population, Exposure, Outcome (PEO) framework. A search was performed across PubMed, ScienceDirect, CINAHL and Google Scholar, as well as relevant grey literature, for studies published between 2019 and 2026. After screening, 10 studies fulfilled the inclusion criteria; following PRISMA, this included five RCTs of exercise, two cross-sectional surveys, one cohort study and two qualitative studies on medication self-management and self-medication. Each study was critically appraised with an appropriate tool for evaluating the study (CASP and AXIS) and then thematically synthesised using the framework of Braun and Clarke (2006).</w:t>
      </w:r>
    </w:p>
    <w:p w14:paraId="7C021F00">
      <w:pPr>
        <w:pStyle w:val="style0"/>
        <w:spacing w:lineRule="auto" w:line="360"/>
        <w:jc w:val="both"/>
        <w:rPr>
          <w:rFonts w:cs="Arial"/>
          <w:sz w:val="22"/>
        </w:rPr>
      </w:pPr>
      <w:r>
        <w:rPr>
          <w:rFonts w:cs="Arial"/>
          <w:b/>
          <w:bCs/>
          <w:sz w:val="22"/>
        </w:rPr>
        <w:t>Results</w:t>
      </w:r>
      <w:r>
        <w:rPr>
          <w:rFonts w:cs="Arial"/>
          <w:sz w:val="22"/>
        </w:rPr>
        <w:t>: Six themes were identified. Overall, the benefit of exercise was more closely related to level of supervision, delivery setting, and individual metabolic phenotype than to the modality itself, and cardiovascular benefit may be seen independent of weight loss. The level of adherence was inconsistent across programmes. Belief, stigma and access to care influenced self-medication behaviour, and clinical responses to self-medication were variable. High self-rated health literacy did not ensure actual health literacy, and polypharmacy brought by the systems of prescription was not a single medication safety hazard, but another one, independent of patient behaviour.</w:t>
      </w:r>
    </w:p>
    <w:p w14:paraId="7C021F01">
      <w:pPr>
        <w:pStyle w:val="style0"/>
        <w:spacing w:lineRule="auto" w:line="360"/>
        <w:jc w:val="both"/>
        <w:rPr>
          <w:rFonts w:cs="Arial"/>
          <w:sz w:val="22"/>
        </w:rPr>
      </w:pPr>
      <w:r>
        <w:rPr>
          <w:rFonts w:cs="Arial"/>
          <w:b/>
          <w:bCs/>
          <w:sz w:val="22"/>
        </w:rPr>
        <w:t>Conclusion</w:t>
      </w:r>
      <w:r>
        <w:rPr>
          <w:rFonts w:cs="Arial"/>
          <w:sz w:val="22"/>
        </w:rPr>
        <w:t>: Exercise prescription should consider the individual phenotype and be given under appropriate supervision, and medication safety for type 2 diabetes should focus as much on the behaviour of the patient as on the prescribing behaviour of the doctor and use structured approaches.</w:t>
      </w:r>
    </w:p>
    <w:p w14:paraId="7C021F02">
      <w:pPr>
        <w:pStyle w:val="style0"/>
        <w:spacing w:lineRule="auto" w:line="360"/>
        <w:rPr>
          <w:rFonts w:cs="Arial"/>
          <w:sz w:val="22"/>
        </w:rPr>
      </w:pPr>
      <w:r>
        <w:rPr>
          <w:rFonts w:cs="Arial"/>
          <w:sz w:val="22"/>
        </w:rPr>
        <w:br w:type="page"/>
      </w:r>
    </w:p>
    <w:p w14:paraId="7C021F03">
      <w:pPr>
        <w:pStyle w:val="style266"/>
        <w:spacing w:lineRule="auto" w:line="360"/>
        <w:rPr>
          <w:rFonts w:ascii="Arial" w:cs="Arial" w:hAnsi="Arial"/>
          <w:sz w:val="22"/>
          <w:szCs w:val="22"/>
        </w:rPr>
      </w:pPr>
      <w:r>
        <w:rPr>
          <w:rFonts w:ascii="Arial" w:cs="Arial" w:hAnsi="Arial"/>
          <w:sz w:val="22"/>
          <w:szCs w:val="22"/>
        </w:rPr>
        <w:t>Table of Contents</w:t>
      </w:r>
    </w:p>
    <w:p w14:paraId="7AB160B0">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rFonts w:cs="Arial"/>
          <w:sz w:val="22"/>
        </w:rPr>
        <w:fldChar w:fldCharType="begin"/>
      </w:r>
      <w:r>
        <w:rPr>
          <w:rFonts w:cs="Arial"/>
          <w:sz w:val="22"/>
        </w:rPr>
        <w:instrText xml:space="preserve"> TOC \o "1-3" \h \z \u </w:instrText>
      </w:r>
      <w:r>
        <w:rPr>
          <w:rFonts w:cs="Arial"/>
          <w:sz w:val="22"/>
        </w:rPr>
        <w:fldChar w:fldCharType="separate"/>
      </w:r>
      <w:r>
        <w:rPr/>
        <w:fldChar w:fldCharType="begin"/>
      </w:r>
      <w:r>
        <w:instrText xml:space="preserve"> HYPERLINK \l "_Toc238491844" </w:instrText>
      </w:r>
      <w:r>
        <w:rPr/>
        <w:fldChar w:fldCharType="separate"/>
      </w:r>
      <w:r>
        <w:rPr>
          <w:rStyle w:val="style85"/>
          <w:rFonts w:cs="Arial"/>
          <w:noProof/>
        </w:rPr>
        <w:t>Chapter 1: Introduction</w:t>
      </w:r>
      <w:r>
        <w:rPr>
          <w:noProof/>
          <w:webHidden/>
        </w:rPr>
        <w:tab/>
      </w:r>
      <w:r>
        <w:rPr>
          <w:noProof/>
          <w:webHidden/>
        </w:rPr>
        <w:fldChar w:fldCharType="begin"/>
      </w:r>
      <w:r>
        <w:rPr>
          <w:noProof/>
          <w:webHidden/>
        </w:rPr>
        <w:instrText xml:space="preserve"> PAGEREF _Toc238491844 \h </w:instrText>
      </w:r>
      <w:r>
        <w:rPr>
          <w:noProof/>
          <w:webHidden/>
        </w:rPr>
        <w:fldChar w:fldCharType="separate"/>
      </w:r>
      <w:r>
        <w:rPr>
          <w:noProof/>
          <w:webHidden/>
        </w:rPr>
        <w:t>9</w:t>
      </w:r>
      <w:r>
        <w:rPr>
          <w:noProof/>
          <w:webHidden/>
        </w:rPr>
        <w:fldChar w:fldCharType="end"/>
      </w:r>
      <w:r>
        <w:rPr/>
        <w:fldChar w:fldCharType="end"/>
      </w:r>
    </w:p>
    <w:p w14:paraId="01D73894">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"_Toc238491845" </w:instrText>
      </w:r>
      <w:r>
        <w:rPr/>
        <w:fldChar w:fldCharType="separate"/>
      </w:r>
      <w:r>
        <w:rPr>
          <w:rStyle w:val="style85"/>
          <w:rFonts w:cs="Arial"/>
          <w:noProof/>
        </w:rPr>
        <w:t>1.1 Introduction</w:t>
      </w:r>
      <w:r>
        <w:rPr>
          <w:noProof/>
          <w:webHidden/>
        </w:rPr>
        <w:tab/>
      </w:r>
      <w:r>
        <w:rPr>
          <w:noProof/>
          <w:webHidden/>
        </w:rPr>
        <w:fldChar w:fldCharType="begin"/>
      </w:r>
      <w:r>
        <w:rPr>
          <w:noProof/>
          <w:webHidden/>
        </w:rPr>
        <w:instrText xml:space="preserve"> PAGEREF _Toc238491845 \h </w:instrText>
      </w:r>
      <w:r>
        <w:rPr>
          <w:noProof/>
          <w:webHidden/>
        </w:rPr>
        <w:fldChar w:fldCharType="separate"/>
      </w:r>
      <w:r>
        <w:rPr>
          <w:noProof/>
          <w:webHidden/>
        </w:rPr>
        <w:t>9</w:t>
      </w:r>
      <w:r>
        <w:rPr>
          <w:noProof/>
          <w:webHidden/>
        </w:rPr>
        <w:fldChar w:fldCharType="end"/>
      </w:r>
      <w:r>
        <w:rPr/>
        <w:fldChar w:fldCharType="end"/>
      </w:r>
    </w:p>
    <w:p w14:paraId="38A223F6">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"_Toc238491846" </w:instrText>
      </w:r>
      <w:r>
        <w:rPr/>
        <w:fldChar w:fldCharType="separate"/>
      </w:r>
      <w:r>
        <w:rPr>
          <w:rStyle w:val="style85"/>
          <w:rFonts w:cs="Arial"/>
          <w:noProof/>
        </w:rPr>
        <w:t>1.2 Background and Current Context</w:t>
      </w:r>
      <w:r>
        <w:rPr>
          <w:noProof/>
          <w:webHidden/>
        </w:rPr>
        <w:tab/>
      </w:r>
      <w:r>
        <w:rPr>
          <w:noProof/>
          <w:webHidden/>
        </w:rPr>
        <w:fldChar w:fldCharType="begin"/>
      </w:r>
      <w:r>
        <w:rPr>
          <w:noProof/>
          <w:webHidden/>
        </w:rPr>
        <w:instrText xml:space="preserve"> PAGEREF _Toc238491846 \h </w:instrText>
      </w:r>
      <w:r>
        <w:rPr>
          <w:noProof/>
          <w:webHidden/>
        </w:rPr>
        <w:fldChar w:fldCharType="separate"/>
      </w:r>
      <w:r>
        <w:rPr>
          <w:noProof/>
          <w:webHidden/>
        </w:rPr>
        <w:t>9</w:t>
      </w:r>
      <w:r>
        <w:rPr>
          <w:noProof/>
          <w:webHidden/>
        </w:rPr>
        <w:fldChar w:fldCharType="end"/>
      </w:r>
      <w:r>
        <w:rPr/>
        <w:fldChar w:fldCharType="end"/>
      </w:r>
    </w:p>
    <w:p w14:paraId="3F4A75ED">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"_Toc238491847" </w:instrText>
      </w:r>
      <w:r>
        <w:rPr/>
        <w:fldChar w:fldCharType="separate"/>
      </w:r>
      <w:r>
        <w:rPr>
          <w:rStyle w:val="style85"/>
          <w:rFonts w:cs="Arial"/>
          <w:noProof/>
        </w:rPr>
        <w:t>1.3 Rationale for Research / Problem Statement</w:t>
      </w:r>
      <w:r>
        <w:rPr>
          <w:noProof/>
          <w:webHidden/>
        </w:rPr>
        <w:tab/>
      </w:r>
      <w:r>
        <w:rPr>
          <w:noProof/>
          <w:webHidden/>
        </w:rPr>
        <w:fldChar w:fldCharType="begin"/>
      </w:r>
      <w:r>
        <w:rPr>
          <w:noProof/>
          <w:webHidden/>
        </w:rPr>
        <w:instrText xml:space="preserve"> PAGEREF _Toc238491847 \h </w:instrText>
      </w:r>
      <w:r>
        <w:rPr>
          <w:noProof/>
          <w:webHidden/>
        </w:rPr>
        <w:fldChar w:fldCharType="separate"/>
      </w:r>
      <w:r>
        <w:rPr>
          <w:noProof/>
          <w:webHidden/>
        </w:rPr>
        <w:t>11</w:t>
      </w:r>
      <w:r>
        <w:rPr>
          <w:noProof/>
          <w:webHidden/>
        </w:rPr>
        <w:fldChar w:fldCharType="end"/>
      </w:r>
      <w:r>
        <w:rPr/>
        <w:fldChar w:fldCharType="end"/>
      </w:r>
    </w:p>
    <w:p w14:paraId="269AE29C">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"_Toc238491848" </w:instrText>
      </w:r>
      <w:r>
        <w:rPr/>
        <w:fldChar w:fldCharType="separate"/>
      </w:r>
      <w:r>
        <w:rPr>
          <w:rStyle w:val="style85"/>
          <w:rFonts w:cs="Arial"/>
          <w:noProof/>
        </w:rPr>
        <w:t>1.4 Research Question</w:t>
      </w:r>
      <w:r>
        <w:rPr>
          <w:noProof/>
          <w:webHidden/>
        </w:rPr>
        <w:tab/>
      </w:r>
      <w:r>
        <w:rPr>
          <w:noProof/>
          <w:webHidden/>
        </w:rPr>
        <w:fldChar w:fldCharType="begin"/>
      </w:r>
      <w:r>
        <w:rPr>
          <w:noProof/>
          <w:webHidden/>
        </w:rPr>
        <w:instrText xml:space="preserve"> PAGEREF _Toc238491848 \h </w:instrText>
      </w:r>
      <w:r>
        <w:rPr>
          <w:noProof/>
          <w:webHidden/>
        </w:rPr>
        <w:fldChar w:fldCharType="separate"/>
      </w:r>
      <w:r>
        <w:rPr>
          <w:noProof/>
          <w:webHidden/>
        </w:rPr>
        <w:t>11</w:t>
      </w:r>
      <w:r>
        <w:rPr>
          <w:noProof/>
          <w:webHidden/>
        </w:rPr>
        <w:fldChar w:fldCharType="end"/>
      </w:r>
      <w:r>
        <w:rPr/>
        <w:fldChar w:fldCharType="end"/>
      </w:r>
    </w:p>
    <w:p w14:paraId="1EF44886">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"_Toc238491849" </w:instrText>
      </w:r>
      <w:r>
        <w:rPr/>
        <w:fldChar w:fldCharType="separate"/>
      </w:r>
      <w:r>
        <w:rPr>
          <w:rStyle w:val="style85"/>
          <w:rFonts w:cs="Arial"/>
          <w:noProof/>
        </w:rPr>
        <w:t>1.5 Aim and Objectives</w:t>
      </w:r>
      <w:r>
        <w:rPr>
          <w:noProof/>
          <w:webHidden/>
        </w:rPr>
        <w:tab/>
      </w:r>
      <w:r>
        <w:rPr>
          <w:noProof/>
          <w:webHidden/>
        </w:rPr>
        <w:fldChar w:fldCharType="begin"/>
      </w:r>
      <w:r>
        <w:rPr>
          <w:noProof/>
          <w:webHidden/>
        </w:rPr>
        <w:instrText xml:space="preserve"> PAGEREF _Toc238491849 \h </w:instrText>
      </w:r>
      <w:r>
        <w:rPr>
          <w:noProof/>
          <w:webHidden/>
        </w:rPr>
        <w:fldChar w:fldCharType="separate"/>
      </w:r>
      <w:r>
        <w:rPr>
          <w:noProof/>
          <w:webHidden/>
        </w:rPr>
        <w:t>12</w:t>
      </w:r>
      <w:r>
        <w:rPr>
          <w:noProof/>
          <w:webHidden/>
        </w:rPr>
        <w:fldChar w:fldCharType="end"/>
      </w:r>
      <w:r>
        <w:rPr/>
        <w:fldChar w:fldCharType="end"/>
      </w:r>
    </w:p>
    <w:p w14:paraId="1C8F0BF5">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"_Toc238491850" </w:instrText>
      </w:r>
      <w:r>
        <w:rPr/>
        <w:fldChar w:fldCharType="separate"/>
      </w:r>
      <w:r>
        <w:rPr>
          <w:rStyle w:val="style85"/>
          <w:rFonts w:cs="Arial"/>
          <w:noProof/>
        </w:rPr>
        <w:t>1.6 Research Objectives</w:t>
      </w:r>
      <w:r>
        <w:rPr>
          <w:noProof/>
          <w:webHidden/>
        </w:rPr>
        <w:tab/>
      </w:r>
      <w:r>
        <w:rPr>
          <w:noProof/>
          <w:webHidden/>
        </w:rPr>
        <w:fldChar w:fldCharType="begin"/>
      </w:r>
      <w:r>
        <w:rPr>
          <w:noProof/>
          <w:webHidden/>
        </w:rPr>
        <w:instrText xml:space="preserve"> PAGEREF _Toc238491850 \h </w:instrText>
      </w:r>
      <w:r>
        <w:rPr>
          <w:noProof/>
          <w:webHidden/>
        </w:rPr>
        <w:fldChar w:fldCharType="separate"/>
      </w:r>
      <w:r>
        <w:rPr>
          <w:noProof/>
          <w:webHidden/>
        </w:rPr>
        <w:t>12</w:t>
      </w:r>
      <w:r>
        <w:rPr>
          <w:noProof/>
          <w:webHidden/>
        </w:rPr>
        <w:fldChar w:fldCharType="end"/>
      </w:r>
      <w:r>
        <w:rPr/>
        <w:fldChar w:fldCharType="end"/>
      </w:r>
    </w:p>
    <w:p w14:paraId="36CA7039">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"_Toc238491851" </w:instrText>
      </w:r>
      <w:r>
        <w:rPr/>
        <w:fldChar w:fldCharType="separate"/>
      </w:r>
      <w:r>
        <w:rPr>
          <w:rStyle w:val="style85"/>
          <w:rFonts w:cs="Arial"/>
          <w:noProof/>
        </w:rPr>
        <w:t>1.7 Chapter Summary</w:t>
      </w:r>
      <w:r>
        <w:rPr>
          <w:noProof/>
          <w:webHidden/>
        </w:rPr>
        <w:tab/>
      </w:r>
      <w:r>
        <w:rPr>
          <w:noProof/>
          <w:webHidden/>
        </w:rPr>
        <w:fldChar w:fldCharType="begin"/>
      </w:r>
      <w:r>
        <w:rPr>
          <w:noProof/>
          <w:webHidden/>
        </w:rPr>
        <w:instrText xml:space="preserve"> PAGEREF _Toc238491851 \h </w:instrText>
      </w:r>
      <w:r>
        <w:rPr>
          <w:noProof/>
          <w:webHidden/>
        </w:rPr>
        <w:fldChar w:fldCharType="separate"/>
      </w:r>
      <w:r>
        <w:rPr>
          <w:noProof/>
          <w:webHidden/>
        </w:rPr>
        <w:t>12</w:t>
      </w:r>
      <w:r>
        <w:rPr>
          <w:noProof/>
          <w:webHidden/>
        </w:rPr>
        <w:fldChar w:fldCharType="end"/>
      </w:r>
      <w:r>
        <w:rPr/>
        <w:fldChar w:fldCharType="end"/>
      </w:r>
    </w:p>
    <w:p w14:paraId="0F4019B8">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"_Toc238491852" </w:instrText>
      </w:r>
      <w:r>
        <w:rPr/>
        <w:fldChar w:fldCharType="separate"/>
      </w:r>
      <w:r>
        <w:rPr>
          <w:rStyle w:val="style85"/>
          <w:rFonts w:cs="Arial"/>
          <w:noProof/>
        </w:rPr>
        <w:t>Chapter 2: Literature Review</w:t>
      </w:r>
      <w:r>
        <w:rPr>
          <w:noProof/>
          <w:webHidden/>
        </w:rPr>
        <w:tab/>
      </w:r>
      <w:r>
        <w:rPr>
          <w:noProof/>
          <w:webHidden/>
        </w:rPr>
        <w:fldChar w:fldCharType="begin"/>
      </w:r>
      <w:r>
        <w:rPr>
          <w:noProof/>
          <w:webHidden/>
        </w:rPr>
        <w:instrText xml:space="preserve"> PAGEREF _Toc238491852 \h </w:instrText>
      </w:r>
      <w:r>
        <w:rPr>
          <w:noProof/>
          <w:webHidden/>
        </w:rPr>
        <w:fldChar w:fldCharType="separate"/>
      </w:r>
      <w:r>
        <w:rPr>
          <w:noProof/>
          <w:webHidden/>
        </w:rPr>
        <w:t>13</w:t>
      </w:r>
      <w:r>
        <w:rPr>
          <w:noProof/>
          <w:webHidden/>
        </w:rPr>
        <w:fldChar w:fldCharType="end"/>
      </w:r>
      <w:r>
        <w:rPr/>
        <w:fldChar w:fldCharType="end"/>
      </w:r>
    </w:p>
    <w:p w14:paraId="2927679C">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"_Toc238491853" </w:instrText>
      </w:r>
      <w:r>
        <w:rPr/>
        <w:fldChar w:fldCharType="separate"/>
      </w:r>
      <w:r>
        <w:rPr>
          <w:rStyle w:val="style85"/>
          <w:rFonts w:cs="Arial"/>
          <w:noProof/>
        </w:rPr>
        <w:t>2.1 Introduction</w:t>
      </w:r>
      <w:r>
        <w:rPr>
          <w:noProof/>
          <w:webHidden/>
        </w:rPr>
        <w:tab/>
      </w:r>
      <w:r>
        <w:rPr>
          <w:noProof/>
          <w:webHidden/>
        </w:rPr>
        <w:fldChar w:fldCharType="begin"/>
      </w:r>
      <w:r>
        <w:rPr>
          <w:noProof/>
          <w:webHidden/>
        </w:rPr>
        <w:instrText xml:space="preserve"> PAGEREF _Toc238491853 \h </w:instrText>
      </w:r>
      <w:r>
        <w:rPr>
          <w:noProof/>
          <w:webHidden/>
        </w:rPr>
        <w:fldChar w:fldCharType="separate"/>
      </w:r>
      <w:r>
        <w:rPr>
          <w:noProof/>
          <w:webHidden/>
        </w:rPr>
        <w:t>13</w:t>
      </w:r>
      <w:r>
        <w:rPr>
          <w:noProof/>
          <w:webHidden/>
        </w:rPr>
        <w:fldChar w:fldCharType="end"/>
      </w:r>
      <w:r>
        <w:rPr/>
        <w:fldChar w:fldCharType="end"/>
      </w:r>
    </w:p>
    <w:p w14:paraId="67BE9540">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"_Toc238491854" </w:instrText>
      </w:r>
      <w:r>
        <w:rPr/>
        <w:fldChar w:fldCharType="separate"/>
      </w:r>
      <w:r>
        <w:rPr>
          <w:rStyle w:val="style85"/>
          <w:rFonts w:cs="Arial"/>
          <w:noProof/>
        </w:rPr>
        <w:t>2.2 Literature Review</w:t>
      </w:r>
      <w:r>
        <w:rPr>
          <w:noProof/>
          <w:webHidden/>
        </w:rPr>
        <w:tab/>
      </w:r>
      <w:r>
        <w:rPr>
          <w:noProof/>
          <w:webHidden/>
        </w:rPr>
        <w:fldChar w:fldCharType="begin"/>
      </w:r>
      <w:r>
        <w:rPr>
          <w:noProof/>
          <w:webHidden/>
        </w:rPr>
        <w:instrText xml:space="preserve"> PAGEREF _Toc238491854 \h </w:instrText>
      </w:r>
      <w:r>
        <w:rPr>
          <w:noProof/>
          <w:webHidden/>
        </w:rPr>
        <w:fldChar w:fldCharType="separate"/>
      </w:r>
      <w:r>
        <w:rPr>
          <w:noProof/>
          <w:webHidden/>
        </w:rPr>
        <w:t>13</w:t>
      </w:r>
      <w:r>
        <w:rPr>
          <w:noProof/>
          <w:webHidden/>
        </w:rPr>
        <w:fldChar w:fldCharType="end"/>
      </w:r>
      <w:r>
        <w:rPr/>
        <w:fldChar w:fldCharType="end"/>
      </w:r>
    </w:p>
    <w:p w14:paraId="1570A054">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"_Toc238491855" </w:instrText>
      </w:r>
      <w:r>
        <w:rPr/>
        <w:fldChar w:fldCharType="separate"/>
      </w:r>
      <w:r>
        <w:rPr>
          <w:rStyle w:val="style85"/>
          <w:rFonts w:cs="Arial"/>
          <w:noProof/>
        </w:rPr>
        <w:t>2.2.1 Theoretical Framework: Health Belief Model and Social Cognitive Theory</w:t>
      </w:r>
      <w:r>
        <w:rPr>
          <w:noProof/>
          <w:webHidden/>
        </w:rPr>
        <w:tab/>
      </w:r>
      <w:r>
        <w:rPr>
          <w:noProof/>
          <w:webHidden/>
        </w:rPr>
        <w:fldChar w:fldCharType="begin"/>
      </w:r>
      <w:r>
        <w:rPr>
          <w:noProof/>
          <w:webHidden/>
        </w:rPr>
        <w:instrText xml:space="preserve"> PAGEREF _Toc238491855 \h </w:instrText>
      </w:r>
      <w:r>
        <w:rPr>
          <w:noProof/>
          <w:webHidden/>
        </w:rPr>
        <w:fldChar w:fldCharType="separate"/>
      </w:r>
      <w:r>
        <w:rPr>
          <w:noProof/>
          <w:webHidden/>
        </w:rPr>
        <w:t>13</w:t>
      </w:r>
      <w:r>
        <w:rPr>
          <w:noProof/>
          <w:webHidden/>
        </w:rPr>
        <w:fldChar w:fldCharType="end"/>
      </w:r>
      <w:r>
        <w:rPr/>
        <w:fldChar w:fldCharType="end"/>
      </w:r>
    </w:p>
    <w:p w14:paraId="1CC37575">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"_Toc238491856" </w:instrText>
      </w:r>
      <w:r>
        <w:rPr/>
        <w:fldChar w:fldCharType="separate"/>
      </w:r>
      <w:r>
        <w:rPr>
          <w:rStyle w:val="style85"/>
          <w:rFonts w:cs="Arial"/>
          <w:noProof/>
        </w:rPr>
        <w:t>2.2.2 Type 2 Diabetes as a Public Health and Self-Management Issue</w:t>
      </w:r>
      <w:r>
        <w:rPr>
          <w:noProof/>
          <w:webHidden/>
        </w:rPr>
        <w:tab/>
      </w:r>
      <w:r>
        <w:rPr>
          <w:noProof/>
          <w:webHidden/>
        </w:rPr>
        <w:fldChar w:fldCharType="begin"/>
      </w:r>
      <w:r>
        <w:rPr>
          <w:noProof/>
          <w:webHidden/>
        </w:rPr>
        <w:instrText xml:space="preserve"> PAGEREF _Toc238491856 \h </w:instrText>
      </w:r>
      <w:r>
        <w:rPr>
          <w:noProof/>
          <w:webHidden/>
        </w:rPr>
        <w:fldChar w:fldCharType="separate"/>
      </w:r>
      <w:r>
        <w:rPr>
          <w:noProof/>
          <w:webHidden/>
        </w:rPr>
        <w:t>14</w:t>
      </w:r>
      <w:r>
        <w:rPr>
          <w:noProof/>
          <w:webHidden/>
        </w:rPr>
        <w:fldChar w:fldCharType="end"/>
      </w:r>
      <w:r>
        <w:rPr/>
        <w:fldChar w:fldCharType="end"/>
      </w:r>
    </w:p>
    <w:p w14:paraId="117DD329">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"_Toc238491857" </w:instrText>
      </w:r>
      <w:r>
        <w:rPr/>
        <w:fldChar w:fldCharType="separate"/>
      </w:r>
      <w:r>
        <w:rPr>
          <w:rStyle w:val="style85"/>
          <w:rFonts w:cs="Arial"/>
          <w:noProof/>
        </w:rPr>
        <w:t>2.2.3 Physical Activity and Exercise in Type 2 Diabetes Management</w:t>
      </w:r>
      <w:r>
        <w:rPr>
          <w:noProof/>
          <w:webHidden/>
        </w:rPr>
        <w:tab/>
      </w:r>
      <w:r>
        <w:rPr>
          <w:noProof/>
          <w:webHidden/>
        </w:rPr>
        <w:fldChar w:fldCharType="begin"/>
      </w:r>
      <w:r>
        <w:rPr>
          <w:noProof/>
          <w:webHidden/>
        </w:rPr>
        <w:instrText xml:space="preserve"> PAGEREF _Toc238491857 \h </w:instrText>
      </w:r>
      <w:r>
        <w:rPr>
          <w:noProof/>
          <w:webHidden/>
        </w:rPr>
        <w:fldChar w:fldCharType="separate"/>
      </w:r>
      <w:r>
        <w:rPr>
          <w:noProof/>
          <w:webHidden/>
        </w:rPr>
        <w:t>14</w:t>
      </w:r>
      <w:r>
        <w:rPr>
          <w:noProof/>
          <w:webHidden/>
        </w:rPr>
        <w:fldChar w:fldCharType="end"/>
      </w:r>
      <w:r>
        <w:rPr/>
        <w:fldChar w:fldCharType="end"/>
      </w:r>
    </w:p>
    <w:p w14:paraId="231A9494">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"_Toc238491858" </w:instrText>
      </w:r>
      <w:r>
        <w:rPr/>
        <w:fldChar w:fldCharType="separate"/>
      </w:r>
      <w:r>
        <w:rPr>
          <w:rStyle w:val="style85"/>
          <w:rFonts w:cs="Arial"/>
          <w:noProof/>
        </w:rPr>
        <w:t>2.2.4 Self-Medication and Medication Safety</w:t>
      </w:r>
      <w:r>
        <w:rPr>
          <w:noProof/>
          <w:webHidden/>
        </w:rPr>
        <w:tab/>
      </w:r>
      <w:r>
        <w:rPr>
          <w:noProof/>
          <w:webHidden/>
        </w:rPr>
        <w:fldChar w:fldCharType="begin"/>
      </w:r>
      <w:r>
        <w:rPr>
          <w:noProof/>
          <w:webHidden/>
        </w:rPr>
        <w:instrText xml:space="preserve"> PAGEREF _Toc238491858 \h </w:instrText>
      </w:r>
      <w:r>
        <w:rPr>
          <w:noProof/>
          <w:webHidden/>
        </w:rPr>
        <w:fldChar w:fldCharType="separate"/>
      </w:r>
      <w:r>
        <w:rPr>
          <w:noProof/>
          <w:webHidden/>
        </w:rPr>
        <w:t>15</w:t>
      </w:r>
      <w:r>
        <w:rPr>
          <w:noProof/>
          <w:webHidden/>
        </w:rPr>
        <w:fldChar w:fldCharType="end"/>
      </w:r>
      <w:r>
        <w:rPr/>
        <w:fldChar w:fldCharType="end"/>
      </w:r>
    </w:p>
    <w:p w14:paraId="4DC2AC95">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"_Toc238491859" </w:instrText>
      </w:r>
      <w:r>
        <w:rPr/>
        <w:fldChar w:fldCharType="separate"/>
      </w:r>
      <w:r>
        <w:rPr>
          <w:rStyle w:val="style85"/>
          <w:rFonts w:cs="Arial"/>
          <w:noProof/>
        </w:rPr>
        <w:t>2.2.5 Health Literacy and Behaviour Change</w:t>
      </w:r>
      <w:r>
        <w:rPr>
          <w:noProof/>
          <w:webHidden/>
        </w:rPr>
        <w:tab/>
      </w:r>
      <w:r>
        <w:rPr>
          <w:noProof/>
          <w:webHidden/>
        </w:rPr>
        <w:fldChar w:fldCharType="begin"/>
      </w:r>
      <w:r>
        <w:rPr>
          <w:noProof/>
          <w:webHidden/>
        </w:rPr>
        <w:instrText xml:space="preserve"> PAGEREF _Toc238491859 \h </w:instrText>
      </w:r>
      <w:r>
        <w:rPr>
          <w:noProof/>
          <w:webHidden/>
        </w:rPr>
        <w:fldChar w:fldCharType="separate"/>
      </w:r>
      <w:r>
        <w:rPr>
          <w:noProof/>
          <w:webHidden/>
        </w:rPr>
        <w:t>15</w:t>
      </w:r>
      <w:r>
        <w:rPr>
          <w:noProof/>
          <w:webHidden/>
        </w:rPr>
        <w:fldChar w:fldCharType="end"/>
      </w:r>
      <w:r>
        <w:rPr/>
        <w:fldChar w:fldCharType="end"/>
      </w:r>
    </w:p>
    <w:p w14:paraId="4063C086">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"_Toc238491860" </w:instrText>
      </w:r>
      <w:r>
        <w:rPr/>
        <w:fldChar w:fldCharType="separate"/>
      </w:r>
      <w:r>
        <w:rPr>
          <w:rStyle w:val="style85"/>
          <w:rFonts w:cs="Arial"/>
          <w:noProof/>
        </w:rPr>
        <w:t>2.2.6 Conceptual Framework and Research Gap</w:t>
      </w:r>
      <w:r>
        <w:rPr>
          <w:noProof/>
          <w:webHidden/>
        </w:rPr>
        <w:tab/>
      </w:r>
      <w:r>
        <w:rPr>
          <w:noProof/>
          <w:webHidden/>
        </w:rPr>
        <w:fldChar w:fldCharType="begin"/>
      </w:r>
      <w:r>
        <w:rPr>
          <w:noProof/>
          <w:webHidden/>
        </w:rPr>
        <w:instrText xml:space="preserve"> PAGEREF _Toc238491860 \h </w:instrText>
      </w:r>
      <w:r>
        <w:rPr>
          <w:noProof/>
          <w:webHidden/>
        </w:rPr>
        <w:fldChar w:fldCharType="separate"/>
      </w:r>
      <w:r>
        <w:rPr>
          <w:noProof/>
          <w:webHidden/>
        </w:rPr>
        <w:t>16</w:t>
      </w:r>
      <w:r>
        <w:rPr>
          <w:noProof/>
          <w:webHidden/>
        </w:rPr>
        <w:fldChar w:fldCharType="end"/>
      </w:r>
      <w:r>
        <w:rPr/>
        <w:fldChar w:fldCharType="end"/>
      </w:r>
    </w:p>
    <w:p w14:paraId="4DDD99D7">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"_Toc238491861" </w:instrText>
      </w:r>
      <w:r>
        <w:rPr/>
        <w:fldChar w:fldCharType="separate"/>
      </w:r>
      <w:r>
        <w:rPr>
          <w:rStyle w:val="style85"/>
          <w:rFonts w:cs="Arial"/>
          <w:noProof/>
        </w:rPr>
        <w:t>2.3 Chapter Summary</w:t>
      </w:r>
      <w:r>
        <w:rPr>
          <w:noProof/>
          <w:webHidden/>
        </w:rPr>
        <w:tab/>
      </w:r>
      <w:r>
        <w:rPr>
          <w:noProof/>
          <w:webHidden/>
        </w:rPr>
        <w:fldChar w:fldCharType="begin"/>
      </w:r>
      <w:r>
        <w:rPr>
          <w:noProof/>
          <w:webHidden/>
        </w:rPr>
        <w:instrText xml:space="preserve"> PAGEREF _Toc238491861 \h </w:instrText>
      </w:r>
      <w:r>
        <w:rPr>
          <w:noProof/>
          <w:webHidden/>
        </w:rPr>
        <w:fldChar w:fldCharType="separate"/>
      </w:r>
      <w:r>
        <w:rPr>
          <w:noProof/>
          <w:webHidden/>
        </w:rPr>
        <w:t>17</w:t>
      </w:r>
      <w:r>
        <w:rPr>
          <w:noProof/>
          <w:webHidden/>
        </w:rPr>
        <w:fldChar w:fldCharType="end"/>
      </w:r>
      <w:r>
        <w:rPr/>
        <w:fldChar w:fldCharType="end"/>
      </w:r>
    </w:p>
    <w:p w14:paraId="496399AF">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"_Toc238491862" </w:instrText>
      </w:r>
      <w:r>
        <w:rPr/>
        <w:fldChar w:fldCharType="separate"/>
      </w:r>
      <w:r>
        <w:rPr>
          <w:rStyle w:val="style85"/>
          <w:rFonts w:cs="Arial"/>
          <w:noProof/>
        </w:rPr>
        <w:t>Chapter 3: Methodology</w:t>
      </w:r>
      <w:r>
        <w:rPr>
          <w:noProof/>
          <w:webHidden/>
        </w:rPr>
        <w:tab/>
      </w:r>
      <w:r>
        <w:rPr>
          <w:noProof/>
          <w:webHidden/>
        </w:rPr>
        <w:fldChar w:fldCharType="begin"/>
      </w:r>
      <w:r>
        <w:rPr>
          <w:noProof/>
          <w:webHidden/>
        </w:rPr>
        <w:instrText xml:space="preserve"> PAGEREF _Toc238491862 \h </w:instrText>
      </w:r>
      <w:r>
        <w:rPr>
          <w:noProof/>
          <w:webHidden/>
        </w:rPr>
        <w:fldChar w:fldCharType="separate"/>
      </w:r>
      <w:r>
        <w:rPr>
          <w:noProof/>
          <w:webHidden/>
        </w:rPr>
        <w:t>18</w:t>
      </w:r>
      <w:r>
        <w:rPr>
          <w:noProof/>
          <w:webHidden/>
        </w:rPr>
        <w:fldChar w:fldCharType="end"/>
      </w:r>
      <w:r>
        <w:rPr/>
        <w:fldChar w:fldCharType="end"/>
      </w:r>
    </w:p>
    <w:p w14:paraId="0D0B9A7B">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"_Toc238491863" </w:instrText>
      </w:r>
      <w:r>
        <w:rPr/>
        <w:fldChar w:fldCharType="separate"/>
      </w:r>
      <w:r>
        <w:rPr>
          <w:rStyle w:val="style85"/>
          <w:rFonts w:cs="Arial"/>
          <w:noProof/>
        </w:rPr>
        <w:t>3.1 Introduction to Chapter</w:t>
      </w:r>
      <w:r>
        <w:rPr>
          <w:noProof/>
          <w:webHidden/>
        </w:rPr>
        <w:tab/>
      </w:r>
      <w:r>
        <w:rPr>
          <w:noProof/>
          <w:webHidden/>
        </w:rPr>
        <w:fldChar w:fldCharType="begin"/>
      </w:r>
      <w:r>
        <w:rPr>
          <w:noProof/>
          <w:webHidden/>
        </w:rPr>
        <w:instrText xml:space="preserve"> PAGEREF _Toc238491863 \h </w:instrText>
      </w:r>
      <w:r>
        <w:rPr>
          <w:noProof/>
          <w:webHidden/>
        </w:rPr>
        <w:fldChar w:fldCharType="separate"/>
      </w:r>
      <w:r>
        <w:rPr>
          <w:noProof/>
          <w:webHidden/>
        </w:rPr>
        <w:t>18</w:t>
      </w:r>
      <w:r>
        <w:rPr>
          <w:noProof/>
          <w:webHidden/>
        </w:rPr>
        <w:fldChar w:fldCharType="end"/>
      </w:r>
      <w:r>
        <w:rPr/>
        <w:fldChar w:fldCharType="end"/>
      </w:r>
    </w:p>
    <w:p w14:paraId="1132143D">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"_Toc238491864" </w:instrText>
      </w:r>
      <w:r>
        <w:rPr/>
        <w:fldChar w:fldCharType="separate"/>
      </w:r>
      <w:r>
        <w:rPr>
          <w:rStyle w:val="style85"/>
          <w:rFonts w:cs="Arial"/>
          <w:noProof/>
        </w:rPr>
        <w:t>3.2 Systematic  Review (SR)</w:t>
      </w:r>
      <w:r>
        <w:rPr>
          <w:noProof/>
          <w:webHidden/>
        </w:rPr>
        <w:tab/>
      </w:r>
      <w:r>
        <w:rPr>
          <w:noProof/>
          <w:webHidden/>
        </w:rPr>
        <w:fldChar w:fldCharType="begin"/>
      </w:r>
      <w:r>
        <w:rPr>
          <w:noProof/>
          <w:webHidden/>
        </w:rPr>
        <w:instrText xml:space="preserve"> PAGEREF _Toc238491864 \h </w:instrText>
      </w:r>
      <w:r>
        <w:rPr>
          <w:noProof/>
          <w:webHidden/>
        </w:rPr>
        <w:fldChar w:fldCharType="separate"/>
      </w:r>
      <w:r>
        <w:rPr>
          <w:noProof/>
          <w:webHidden/>
        </w:rPr>
        <w:t>18</w:t>
      </w:r>
      <w:r>
        <w:rPr>
          <w:noProof/>
          <w:webHidden/>
        </w:rPr>
        <w:fldChar w:fldCharType="end"/>
      </w:r>
      <w:r>
        <w:rPr/>
        <w:fldChar w:fldCharType="end"/>
      </w:r>
    </w:p>
    <w:p w14:paraId="493F1A70">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"_Toc238491865" </w:instrText>
      </w:r>
      <w:r>
        <w:rPr/>
        <w:fldChar w:fldCharType="separate"/>
      </w:r>
      <w:r>
        <w:rPr>
          <w:rStyle w:val="style85"/>
          <w:rFonts w:cs="Arial"/>
          <w:noProof/>
        </w:rPr>
        <w:t>3.3 Search Strategy</w:t>
      </w:r>
      <w:r>
        <w:rPr>
          <w:noProof/>
          <w:webHidden/>
        </w:rPr>
        <w:tab/>
      </w:r>
      <w:r>
        <w:rPr>
          <w:noProof/>
          <w:webHidden/>
        </w:rPr>
        <w:fldChar w:fldCharType="begin"/>
      </w:r>
      <w:r>
        <w:rPr>
          <w:noProof/>
          <w:webHidden/>
        </w:rPr>
        <w:instrText xml:space="preserve"> PAGEREF _Toc238491865 \h </w:instrText>
      </w:r>
      <w:r>
        <w:rPr>
          <w:noProof/>
          <w:webHidden/>
        </w:rPr>
        <w:fldChar w:fldCharType="separate"/>
      </w:r>
      <w:r>
        <w:rPr>
          <w:noProof/>
          <w:webHidden/>
        </w:rPr>
        <w:t>18</w:t>
      </w:r>
      <w:r>
        <w:rPr>
          <w:noProof/>
          <w:webHidden/>
        </w:rPr>
        <w:fldChar w:fldCharType="end"/>
      </w:r>
      <w:r>
        <w:rPr/>
        <w:fldChar w:fldCharType="end"/>
      </w:r>
    </w:p>
    <w:p w14:paraId="14E60FF5">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"_Toc238491866" </w:instrText>
      </w:r>
      <w:r>
        <w:rPr/>
        <w:fldChar w:fldCharType="separate"/>
      </w:r>
      <w:r>
        <w:rPr>
          <w:rStyle w:val="style85"/>
          <w:rFonts w:cs="Arial"/>
          <w:noProof/>
        </w:rPr>
        <w:t>3.4 Search Terms</w:t>
      </w:r>
      <w:r>
        <w:rPr>
          <w:noProof/>
          <w:webHidden/>
        </w:rPr>
        <w:tab/>
      </w:r>
      <w:r>
        <w:rPr>
          <w:noProof/>
          <w:webHidden/>
        </w:rPr>
        <w:fldChar w:fldCharType="begin"/>
      </w:r>
      <w:r>
        <w:rPr>
          <w:noProof/>
          <w:webHidden/>
        </w:rPr>
        <w:instrText xml:space="preserve"> PAGEREF _Toc238491866 \h </w:instrText>
      </w:r>
      <w:r>
        <w:rPr>
          <w:noProof/>
          <w:webHidden/>
        </w:rPr>
        <w:fldChar w:fldCharType="separate"/>
      </w:r>
      <w:r>
        <w:rPr>
          <w:noProof/>
          <w:webHidden/>
        </w:rPr>
        <w:t>18</w:t>
      </w:r>
      <w:r>
        <w:rPr>
          <w:noProof/>
          <w:webHidden/>
        </w:rPr>
        <w:fldChar w:fldCharType="end"/>
      </w:r>
      <w:r>
        <w:rPr/>
        <w:fldChar w:fldCharType="end"/>
      </w:r>
    </w:p>
    <w:p w14:paraId="58FEF89A">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"_Toc238491867" </w:instrText>
      </w:r>
      <w:r>
        <w:rPr/>
        <w:fldChar w:fldCharType="separate"/>
      </w:r>
      <w:r>
        <w:rPr>
          <w:rStyle w:val="style85"/>
          <w:rFonts w:cs="Arial"/>
          <w:noProof/>
        </w:rPr>
        <w:t>3.5 Key Words</w:t>
      </w:r>
      <w:r>
        <w:rPr>
          <w:noProof/>
          <w:webHidden/>
        </w:rPr>
        <w:tab/>
      </w:r>
      <w:r>
        <w:rPr>
          <w:noProof/>
          <w:webHidden/>
        </w:rPr>
        <w:fldChar w:fldCharType="begin"/>
      </w:r>
      <w:r>
        <w:rPr>
          <w:noProof/>
          <w:webHidden/>
        </w:rPr>
        <w:instrText xml:space="preserve"> PAGEREF _Toc238491867 \h </w:instrText>
      </w:r>
      <w:r>
        <w:rPr>
          <w:noProof/>
          <w:webHidden/>
        </w:rPr>
        <w:fldChar w:fldCharType="separate"/>
      </w:r>
      <w:r>
        <w:rPr>
          <w:noProof/>
          <w:webHidden/>
        </w:rPr>
        <w:t>20</w:t>
      </w:r>
      <w:r>
        <w:rPr>
          <w:noProof/>
          <w:webHidden/>
        </w:rPr>
        <w:fldChar w:fldCharType="end"/>
      </w:r>
      <w:r>
        <w:rPr/>
        <w:fldChar w:fldCharType="end"/>
      </w:r>
    </w:p>
    <w:p w14:paraId="48941A8A">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"_Toc238491868" </w:instrText>
      </w:r>
      <w:r>
        <w:rPr/>
        <w:fldChar w:fldCharType="separate"/>
      </w:r>
      <w:r>
        <w:rPr>
          <w:rStyle w:val="style85"/>
          <w:rFonts w:cs="Arial"/>
          <w:noProof/>
        </w:rPr>
        <w:t>3.6 Databases</w:t>
      </w:r>
      <w:r>
        <w:rPr>
          <w:noProof/>
          <w:webHidden/>
        </w:rPr>
        <w:tab/>
      </w:r>
      <w:r>
        <w:rPr>
          <w:noProof/>
          <w:webHidden/>
        </w:rPr>
        <w:fldChar w:fldCharType="begin"/>
      </w:r>
      <w:r>
        <w:rPr>
          <w:noProof/>
          <w:webHidden/>
        </w:rPr>
        <w:instrText xml:space="preserve"> PAGEREF _Toc238491868 \h </w:instrText>
      </w:r>
      <w:r>
        <w:rPr>
          <w:noProof/>
          <w:webHidden/>
        </w:rPr>
        <w:fldChar w:fldCharType="separate"/>
      </w:r>
      <w:r>
        <w:rPr>
          <w:noProof/>
          <w:webHidden/>
        </w:rPr>
        <w:t>20</w:t>
      </w:r>
      <w:r>
        <w:rPr>
          <w:noProof/>
          <w:webHidden/>
        </w:rPr>
        <w:fldChar w:fldCharType="end"/>
      </w:r>
      <w:r>
        <w:rPr/>
        <w:fldChar w:fldCharType="end"/>
      </w:r>
    </w:p>
    <w:p w14:paraId="74CAFDDD">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"_Toc238491869" </w:instrText>
      </w:r>
      <w:r>
        <w:rPr/>
        <w:fldChar w:fldCharType="separate"/>
      </w:r>
      <w:r>
        <w:rPr>
          <w:rStyle w:val="style85"/>
          <w:rFonts w:cs="Arial"/>
          <w:noProof/>
        </w:rPr>
        <w:t>3.7 Inclusion/Exclusion Criteria</w:t>
      </w:r>
      <w:r>
        <w:rPr>
          <w:noProof/>
          <w:webHidden/>
        </w:rPr>
        <w:tab/>
      </w:r>
      <w:r>
        <w:rPr>
          <w:noProof/>
          <w:webHidden/>
        </w:rPr>
        <w:fldChar w:fldCharType="begin"/>
      </w:r>
      <w:r>
        <w:rPr>
          <w:noProof/>
          <w:webHidden/>
        </w:rPr>
        <w:instrText xml:space="preserve"> PAGEREF _Toc238491869 \h </w:instrText>
      </w:r>
      <w:r>
        <w:rPr>
          <w:noProof/>
          <w:webHidden/>
        </w:rPr>
        <w:fldChar w:fldCharType="separate"/>
      </w:r>
      <w:r>
        <w:rPr>
          <w:noProof/>
          <w:webHidden/>
        </w:rPr>
        <w:t>21</w:t>
      </w:r>
      <w:r>
        <w:rPr>
          <w:noProof/>
          <w:webHidden/>
        </w:rPr>
        <w:fldChar w:fldCharType="end"/>
      </w:r>
      <w:r>
        <w:rPr/>
        <w:fldChar w:fldCharType="end"/>
      </w:r>
    </w:p>
    <w:p w14:paraId="2A7A1068">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"_Toc238491870" </w:instrText>
      </w:r>
      <w:r>
        <w:rPr/>
        <w:fldChar w:fldCharType="separate"/>
      </w:r>
      <w:r>
        <w:rPr>
          <w:rStyle w:val="style85"/>
          <w:rFonts w:cs="Arial"/>
          <w:noProof/>
        </w:rPr>
        <w:t>3.8 Search Results</w:t>
      </w:r>
      <w:r>
        <w:rPr>
          <w:noProof/>
          <w:webHidden/>
        </w:rPr>
        <w:tab/>
      </w:r>
      <w:r>
        <w:rPr>
          <w:noProof/>
          <w:webHidden/>
        </w:rPr>
        <w:fldChar w:fldCharType="begin"/>
      </w:r>
      <w:r>
        <w:rPr>
          <w:noProof/>
          <w:webHidden/>
        </w:rPr>
        <w:instrText xml:space="preserve"> PAGEREF _Toc238491870 \h </w:instrText>
      </w:r>
      <w:r>
        <w:rPr>
          <w:noProof/>
          <w:webHidden/>
        </w:rPr>
        <w:fldChar w:fldCharType="separate"/>
      </w:r>
      <w:r>
        <w:rPr>
          <w:noProof/>
          <w:webHidden/>
        </w:rPr>
        <w:t>22</w:t>
      </w:r>
      <w:r>
        <w:rPr>
          <w:noProof/>
          <w:webHidden/>
        </w:rPr>
        <w:fldChar w:fldCharType="end"/>
      </w:r>
      <w:r>
        <w:rPr/>
        <w:fldChar w:fldCharType="end"/>
      </w:r>
    </w:p>
    <w:p w14:paraId="27D428D8">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"_Toc238491871" </w:instrText>
      </w:r>
      <w:r>
        <w:rPr/>
        <w:fldChar w:fldCharType="separate"/>
      </w:r>
      <w:r>
        <w:rPr>
          <w:rStyle w:val="style85"/>
          <w:rFonts w:cs="Arial"/>
          <w:noProof/>
        </w:rPr>
        <w:t>3.9 Ethical Considerations</w:t>
      </w:r>
      <w:r>
        <w:rPr>
          <w:noProof/>
          <w:webHidden/>
        </w:rPr>
        <w:tab/>
      </w:r>
      <w:r>
        <w:rPr>
          <w:noProof/>
          <w:webHidden/>
        </w:rPr>
        <w:fldChar w:fldCharType="begin"/>
      </w:r>
      <w:r>
        <w:rPr>
          <w:noProof/>
          <w:webHidden/>
        </w:rPr>
        <w:instrText xml:space="preserve"> PAGEREF _Toc238491871 \h </w:instrText>
      </w:r>
      <w:r>
        <w:rPr>
          <w:noProof/>
          <w:webHidden/>
        </w:rPr>
        <w:fldChar w:fldCharType="separate"/>
      </w:r>
      <w:r>
        <w:rPr>
          <w:noProof/>
          <w:webHidden/>
        </w:rPr>
        <w:t>23</w:t>
      </w:r>
      <w:r>
        <w:rPr>
          <w:noProof/>
          <w:webHidden/>
        </w:rPr>
        <w:fldChar w:fldCharType="end"/>
      </w:r>
      <w:r>
        <w:rPr/>
        <w:fldChar w:fldCharType="end"/>
      </w:r>
    </w:p>
    <w:p w14:paraId="112FAFC0">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"_Toc238491872" </w:instrText>
      </w:r>
      <w:r>
        <w:rPr/>
        <w:fldChar w:fldCharType="separate"/>
      </w:r>
      <w:r>
        <w:rPr>
          <w:rStyle w:val="style85"/>
          <w:rFonts w:cs="Arial"/>
          <w:noProof/>
        </w:rPr>
        <w:t>3.10 Chapter Summary</w:t>
      </w:r>
      <w:r>
        <w:rPr>
          <w:noProof/>
          <w:webHidden/>
        </w:rPr>
        <w:tab/>
      </w:r>
      <w:r>
        <w:rPr>
          <w:noProof/>
          <w:webHidden/>
        </w:rPr>
        <w:fldChar w:fldCharType="begin"/>
      </w:r>
      <w:r>
        <w:rPr>
          <w:noProof/>
          <w:webHidden/>
        </w:rPr>
        <w:instrText xml:space="preserve"> PAGEREF _Toc238491872 \h </w:instrText>
      </w:r>
      <w:r>
        <w:rPr>
          <w:noProof/>
          <w:webHidden/>
        </w:rPr>
        <w:fldChar w:fldCharType="separate"/>
      </w:r>
      <w:r>
        <w:rPr>
          <w:noProof/>
          <w:webHidden/>
        </w:rPr>
        <w:t>24</w:t>
      </w:r>
      <w:r>
        <w:rPr>
          <w:noProof/>
          <w:webHidden/>
        </w:rPr>
        <w:fldChar w:fldCharType="end"/>
      </w:r>
      <w:r>
        <w:rPr/>
        <w:fldChar w:fldCharType="end"/>
      </w:r>
    </w:p>
    <w:p w14:paraId="6D7624F3">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"_Toc238491873" </w:instrText>
      </w:r>
      <w:r>
        <w:rPr/>
        <w:fldChar w:fldCharType="separate"/>
      </w:r>
      <w:r>
        <w:rPr>
          <w:rStyle w:val="style85"/>
          <w:rFonts w:cs="Arial"/>
          <w:noProof/>
        </w:rPr>
        <w:t>CHAPTER 4: DATA EXTRACTION AND EVALUATION</w:t>
      </w:r>
      <w:r>
        <w:rPr>
          <w:noProof/>
          <w:webHidden/>
        </w:rPr>
        <w:tab/>
      </w:r>
      <w:r>
        <w:rPr>
          <w:noProof/>
          <w:webHidden/>
        </w:rPr>
        <w:fldChar w:fldCharType="begin"/>
      </w:r>
      <w:r>
        <w:rPr>
          <w:noProof/>
          <w:webHidden/>
        </w:rPr>
        <w:instrText xml:space="preserve"> PAGEREF _Toc238491873 \h </w:instrText>
      </w:r>
      <w:r>
        <w:rPr>
          <w:noProof/>
          <w:webHidden/>
        </w:rPr>
        <w:fldChar w:fldCharType="separate"/>
      </w:r>
      <w:r>
        <w:rPr>
          <w:noProof/>
          <w:webHidden/>
        </w:rPr>
        <w:t>25</w:t>
      </w:r>
      <w:r>
        <w:rPr>
          <w:noProof/>
          <w:webHidden/>
        </w:rPr>
        <w:fldChar w:fldCharType="end"/>
      </w:r>
      <w:r>
        <w:rPr/>
        <w:fldChar w:fldCharType="end"/>
      </w:r>
    </w:p>
    <w:p w14:paraId="68747410">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"_Toc238491874" </w:instrText>
      </w:r>
      <w:r>
        <w:rPr/>
        <w:fldChar w:fldCharType="separate"/>
      </w:r>
      <w:r>
        <w:rPr>
          <w:rStyle w:val="style85"/>
          <w:rFonts w:cs="Arial"/>
          <w:noProof/>
        </w:rPr>
        <w:t>4.1 Introduction to Chapter</w:t>
      </w:r>
      <w:r>
        <w:rPr>
          <w:noProof/>
          <w:webHidden/>
        </w:rPr>
        <w:tab/>
      </w:r>
      <w:r>
        <w:rPr>
          <w:noProof/>
          <w:webHidden/>
        </w:rPr>
        <w:fldChar w:fldCharType="begin"/>
      </w:r>
      <w:r>
        <w:rPr>
          <w:noProof/>
          <w:webHidden/>
        </w:rPr>
        <w:instrText xml:space="preserve"> PAGEREF _Toc238491874 \h </w:instrText>
      </w:r>
      <w:r>
        <w:rPr>
          <w:noProof/>
          <w:webHidden/>
        </w:rPr>
        <w:fldChar w:fldCharType="separate"/>
      </w:r>
      <w:r>
        <w:rPr>
          <w:noProof/>
          <w:webHidden/>
        </w:rPr>
        <w:t>25</w:t>
      </w:r>
      <w:r>
        <w:rPr>
          <w:noProof/>
          <w:webHidden/>
        </w:rPr>
        <w:fldChar w:fldCharType="end"/>
      </w:r>
      <w:r>
        <w:rPr/>
        <w:fldChar w:fldCharType="end"/>
      </w:r>
    </w:p>
    <w:p w14:paraId="56957855">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"_Toc238491875" </w:instrText>
      </w:r>
      <w:r>
        <w:rPr/>
        <w:fldChar w:fldCharType="separate"/>
      </w:r>
      <w:r>
        <w:rPr>
          <w:rStyle w:val="style85"/>
          <w:rFonts w:cs="Arial"/>
          <w:noProof/>
        </w:rPr>
        <w:t>4.2 Data Extraction</w:t>
      </w:r>
      <w:r>
        <w:rPr>
          <w:noProof/>
          <w:webHidden/>
        </w:rPr>
        <w:tab/>
      </w:r>
      <w:r>
        <w:rPr>
          <w:noProof/>
          <w:webHidden/>
        </w:rPr>
        <w:fldChar w:fldCharType="begin"/>
      </w:r>
      <w:r>
        <w:rPr>
          <w:noProof/>
          <w:webHidden/>
        </w:rPr>
        <w:instrText xml:space="preserve"> PAGEREF _Toc238491875 \h </w:instrText>
      </w:r>
      <w:r>
        <w:rPr>
          <w:noProof/>
          <w:webHidden/>
        </w:rPr>
        <w:fldChar w:fldCharType="separate"/>
      </w:r>
      <w:r>
        <w:rPr>
          <w:noProof/>
          <w:webHidden/>
        </w:rPr>
        <w:t>25</w:t>
      </w:r>
      <w:r>
        <w:rPr>
          <w:noProof/>
          <w:webHidden/>
        </w:rPr>
        <w:fldChar w:fldCharType="end"/>
      </w:r>
      <w:r>
        <w:rPr/>
        <w:fldChar w:fldCharType="end"/>
      </w:r>
    </w:p>
    <w:p w14:paraId="3F362BA5">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"_Toc238491876" </w:instrText>
      </w:r>
      <w:r>
        <w:rPr/>
        <w:fldChar w:fldCharType="separate"/>
      </w:r>
      <w:r>
        <w:rPr>
          <w:rStyle w:val="style85"/>
          <w:rFonts w:cs="Arial"/>
          <w:noProof/>
        </w:rPr>
        <w:t>4.3 Brief Introduction to Critical Appraisal and Paper Quality Assessment</w:t>
      </w:r>
      <w:r>
        <w:rPr>
          <w:noProof/>
          <w:webHidden/>
        </w:rPr>
        <w:tab/>
      </w:r>
      <w:r>
        <w:rPr>
          <w:noProof/>
          <w:webHidden/>
        </w:rPr>
        <w:fldChar w:fldCharType="begin"/>
      </w:r>
      <w:r>
        <w:rPr>
          <w:noProof/>
          <w:webHidden/>
        </w:rPr>
        <w:instrText xml:space="preserve"> PAGEREF _Toc238491876 \h </w:instrText>
      </w:r>
      <w:r>
        <w:rPr>
          <w:noProof/>
          <w:webHidden/>
        </w:rPr>
        <w:fldChar w:fldCharType="separate"/>
      </w:r>
      <w:r>
        <w:rPr>
          <w:noProof/>
          <w:webHidden/>
        </w:rPr>
        <w:t>25</w:t>
      </w:r>
      <w:r>
        <w:rPr>
          <w:noProof/>
          <w:webHidden/>
        </w:rPr>
        <w:fldChar w:fldCharType="end"/>
      </w:r>
      <w:r>
        <w:rPr/>
        <w:fldChar w:fldCharType="end"/>
      </w:r>
    </w:p>
    <w:p w14:paraId="1C353FD2">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"_Toc238491877" </w:instrText>
      </w:r>
      <w:r>
        <w:rPr/>
        <w:fldChar w:fldCharType="separate"/>
      </w:r>
      <w:r>
        <w:rPr>
          <w:rStyle w:val="style85"/>
          <w:rFonts w:cs="Arial"/>
          <w:noProof/>
        </w:rPr>
        <w:t>4.4 Critical Appraisal Tools</w:t>
      </w:r>
      <w:r>
        <w:rPr>
          <w:noProof/>
          <w:webHidden/>
        </w:rPr>
        <w:tab/>
      </w:r>
      <w:r>
        <w:rPr>
          <w:noProof/>
          <w:webHidden/>
        </w:rPr>
        <w:fldChar w:fldCharType="begin"/>
      </w:r>
      <w:r>
        <w:rPr>
          <w:noProof/>
          <w:webHidden/>
        </w:rPr>
        <w:instrText xml:space="preserve"> PAGEREF _Toc238491877 \h </w:instrText>
      </w:r>
      <w:r>
        <w:rPr>
          <w:noProof/>
          <w:webHidden/>
        </w:rPr>
        <w:fldChar w:fldCharType="separate"/>
      </w:r>
      <w:r>
        <w:rPr>
          <w:noProof/>
          <w:webHidden/>
        </w:rPr>
        <w:t>25</w:t>
      </w:r>
      <w:r>
        <w:rPr>
          <w:noProof/>
          <w:webHidden/>
        </w:rPr>
        <w:fldChar w:fldCharType="end"/>
      </w:r>
      <w:r>
        <w:rPr/>
        <w:fldChar w:fldCharType="end"/>
      </w:r>
    </w:p>
    <w:p w14:paraId="41DE1DD3">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"_Toc238491878" </w:instrText>
      </w:r>
      <w:r>
        <w:rPr/>
        <w:fldChar w:fldCharType="separate"/>
      </w:r>
      <w:r>
        <w:rPr>
          <w:rStyle w:val="style85"/>
          <w:rFonts w:cs="Arial"/>
          <w:noProof/>
        </w:rPr>
        <w:t>4.5 Evaluation of Qualitative Studies Using CASP</w:t>
      </w:r>
      <w:r>
        <w:rPr>
          <w:noProof/>
          <w:webHidden/>
        </w:rPr>
        <w:tab/>
      </w:r>
      <w:r>
        <w:rPr>
          <w:noProof/>
          <w:webHidden/>
        </w:rPr>
        <w:fldChar w:fldCharType="begin"/>
      </w:r>
      <w:r>
        <w:rPr>
          <w:noProof/>
          <w:webHidden/>
        </w:rPr>
        <w:instrText xml:space="preserve"> PAGEREF _Toc238491878 \h </w:instrText>
      </w:r>
      <w:r>
        <w:rPr>
          <w:noProof/>
          <w:webHidden/>
        </w:rPr>
        <w:fldChar w:fldCharType="separate"/>
      </w:r>
      <w:r>
        <w:rPr>
          <w:noProof/>
          <w:webHidden/>
        </w:rPr>
        <w:t>26</w:t>
      </w:r>
      <w:r>
        <w:rPr>
          <w:noProof/>
          <w:webHidden/>
        </w:rPr>
        <w:fldChar w:fldCharType="end"/>
      </w:r>
      <w:r>
        <w:rPr/>
        <w:fldChar w:fldCharType="end"/>
      </w:r>
    </w:p>
    <w:p w14:paraId="012B0CE2">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"_Toc238491879" </w:instrText>
      </w:r>
      <w:r>
        <w:rPr/>
        <w:fldChar w:fldCharType="separate"/>
      </w:r>
      <w:r>
        <w:rPr>
          <w:rStyle w:val="style85"/>
          <w:rFonts w:cs="Arial"/>
          <w:noProof/>
        </w:rPr>
        <w:t>4.6 Evaluation of Quantitative Studies Using CASP and AXIS</w:t>
      </w:r>
      <w:r>
        <w:rPr>
          <w:noProof/>
          <w:webHidden/>
        </w:rPr>
        <w:tab/>
      </w:r>
      <w:r>
        <w:rPr>
          <w:noProof/>
          <w:webHidden/>
        </w:rPr>
        <w:fldChar w:fldCharType="begin"/>
      </w:r>
      <w:r>
        <w:rPr>
          <w:noProof/>
          <w:webHidden/>
        </w:rPr>
        <w:instrText xml:space="preserve"> PAGEREF _Toc238491879 \h </w:instrText>
      </w:r>
      <w:r>
        <w:rPr>
          <w:noProof/>
          <w:webHidden/>
        </w:rPr>
        <w:fldChar w:fldCharType="separate"/>
      </w:r>
      <w:r>
        <w:rPr>
          <w:noProof/>
          <w:webHidden/>
        </w:rPr>
        <w:t>27</w:t>
      </w:r>
      <w:r>
        <w:rPr>
          <w:noProof/>
          <w:webHidden/>
        </w:rPr>
        <w:fldChar w:fldCharType="end"/>
      </w:r>
      <w:r>
        <w:rPr/>
        <w:fldChar w:fldCharType="end"/>
      </w:r>
    </w:p>
    <w:p w14:paraId="6B99FCC9">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"_Toc238491880" </w:instrText>
      </w:r>
      <w:r>
        <w:rPr/>
        <w:fldChar w:fldCharType="separate"/>
      </w:r>
      <w:r>
        <w:rPr>
          <w:rStyle w:val="style85"/>
          <w:rFonts w:cs="Arial"/>
          <w:noProof/>
        </w:rPr>
        <w:t>4.6.1. The five exercise trials</w:t>
      </w:r>
      <w:r>
        <w:rPr>
          <w:noProof/>
          <w:webHidden/>
        </w:rPr>
        <w:tab/>
      </w:r>
      <w:r>
        <w:rPr>
          <w:noProof/>
          <w:webHidden/>
        </w:rPr>
        <w:fldChar w:fldCharType="begin"/>
      </w:r>
      <w:r>
        <w:rPr>
          <w:noProof/>
          <w:webHidden/>
        </w:rPr>
        <w:instrText xml:space="preserve"> PAGEREF _Toc238491880 \h </w:instrText>
      </w:r>
      <w:r>
        <w:rPr>
          <w:noProof/>
          <w:webHidden/>
        </w:rPr>
        <w:fldChar w:fldCharType="separate"/>
      </w:r>
      <w:r>
        <w:rPr>
          <w:noProof/>
          <w:webHidden/>
        </w:rPr>
        <w:t>27</w:t>
      </w:r>
      <w:r>
        <w:rPr>
          <w:noProof/>
          <w:webHidden/>
        </w:rPr>
        <w:fldChar w:fldCharType="end"/>
      </w:r>
      <w:r>
        <w:rPr/>
        <w:fldChar w:fldCharType="end"/>
      </w:r>
    </w:p>
    <w:p w14:paraId="0D839E30">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"_Toc238491881" </w:instrText>
      </w:r>
      <w:r>
        <w:rPr/>
        <w:fldChar w:fldCharType="separate"/>
      </w:r>
      <w:r>
        <w:rPr>
          <w:rStyle w:val="style85"/>
          <w:rFonts w:cs="Arial"/>
          <w:noProof/>
        </w:rPr>
        <w:t>4.6.2. The two cross-sectional surveys</w:t>
      </w:r>
      <w:r>
        <w:rPr>
          <w:noProof/>
          <w:webHidden/>
        </w:rPr>
        <w:tab/>
      </w:r>
      <w:r>
        <w:rPr>
          <w:noProof/>
          <w:webHidden/>
        </w:rPr>
        <w:fldChar w:fldCharType="begin"/>
      </w:r>
      <w:r>
        <w:rPr>
          <w:noProof/>
          <w:webHidden/>
        </w:rPr>
        <w:instrText xml:space="preserve"> PAGEREF _Toc238491881 \h </w:instrText>
      </w:r>
      <w:r>
        <w:rPr>
          <w:noProof/>
          <w:webHidden/>
        </w:rPr>
        <w:fldChar w:fldCharType="separate"/>
      </w:r>
      <w:r>
        <w:rPr>
          <w:noProof/>
          <w:webHidden/>
        </w:rPr>
        <w:t>29</w:t>
      </w:r>
      <w:r>
        <w:rPr>
          <w:noProof/>
          <w:webHidden/>
        </w:rPr>
        <w:fldChar w:fldCharType="end"/>
      </w:r>
      <w:r>
        <w:rPr/>
        <w:fldChar w:fldCharType="end"/>
      </w:r>
    </w:p>
    <w:p w14:paraId="0D585D80">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"_Toc238491882" </w:instrText>
      </w:r>
      <w:r>
        <w:rPr/>
        <w:fldChar w:fldCharType="separate"/>
      </w:r>
      <w:r>
        <w:rPr>
          <w:rStyle w:val="style85"/>
          <w:rFonts w:cs="Arial"/>
          <w:noProof/>
        </w:rPr>
        <w:t>4.6.3. The single cohort study</w:t>
      </w:r>
      <w:r>
        <w:rPr>
          <w:noProof/>
          <w:webHidden/>
        </w:rPr>
        <w:tab/>
      </w:r>
      <w:r>
        <w:rPr>
          <w:noProof/>
          <w:webHidden/>
        </w:rPr>
        <w:fldChar w:fldCharType="begin"/>
      </w:r>
      <w:r>
        <w:rPr>
          <w:noProof/>
          <w:webHidden/>
        </w:rPr>
        <w:instrText xml:space="preserve"> PAGEREF _Toc238491882 \h </w:instrText>
      </w:r>
      <w:r>
        <w:rPr>
          <w:noProof/>
          <w:webHidden/>
        </w:rPr>
        <w:fldChar w:fldCharType="separate"/>
      </w:r>
      <w:r>
        <w:rPr>
          <w:noProof/>
          <w:webHidden/>
        </w:rPr>
        <w:t>29</w:t>
      </w:r>
      <w:r>
        <w:rPr>
          <w:noProof/>
          <w:webHidden/>
        </w:rPr>
        <w:fldChar w:fldCharType="end"/>
      </w:r>
      <w:r>
        <w:rPr/>
        <w:fldChar w:fldCharType="end"/>
      </w:r>
    </w:p>
    <w:p w14:paraId="1207A49C">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"_Toc238491883" </w:instrText>
      </w:r>
      <w:r>
        <w:rPr/>
        <w:fldChar w:fldCharType="separate"/>
      </w:r>
      <w:r>
        <w:rPr>
          <w:rStyle w:val="style85"/>
          <w:rFonts w:cs="Arial"/>
          <w:noProof/>
        </w:rPr>
        <w:t>4.7 Chapter Summary</w:t>
      </w:r>
      <w:r>
        <w:rPr>
          <w:noProof/>
          <w:webHidden/>
        </w:rPr>
        <w:tab/>
      </w:r>
      <w:r>
        <w:rPr>
          <w:noProof/>
          <w:webHidden/>
        </w:rPr>
        <w:fldChar w:fldCharType="begin"/>
      </w:r>
      <w:r>
        <w:rPr>
          <w:noProof/>
          <w:webHidden/>
        </w:rPr>
        <w:instrText xml:space="preserve"> PAGEREF _Toc238491883 \h </w:instrText>
      </w:r>
      <w:r>
        <w:rPr>
          <w:noProof/>
          <w:webHidden/>
        </w:rPr>
        <w:fldChar w:fldCharType="separate"/>
      </w:r>
      <w:r>
        <w:rPr>
          <w:noProof/>
          <w:webHidden/>
        </w:rPr>
        <w:t>30</w:t>
      </w:r>
      <w:r>
        <w:rPr>
          <w:noProof/>
          <w:webHidden/>
        </w:rPr>
        <w:fldChar w:fldCharType="end"/>
      </w:r>
      <w:r>
        <w:rPr/>
        <w:fldChar w:fldCharType="end"/>
      </w:r>
    </w:p>
    <w:p w14:paraId="4A42B57C">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"_Toc238491884" </w:instrText>
      </w:r>
      <w:r>
        <w:rPr/>
        <w:fldChar w:fldCharType="separate"/>
      </w:r>
      <w:r>
        <w:rPr>
          <w:rStyle w:val="style85"/>
          <w:rFonts w:cs="Arial"/>
          <w:noProof/>
        </w:rPr>
        <w:t>CHAPTER 5: DATA ANALYSIS AND SYNTHESIS</w:t>
      </w:r>
      <w:r>
        <w:rPr>
          <w:noProof/>
          <w:webHidden/>
        </w:rPr>
        <w:tab/>
      </w:r>
      <w:r>
        <w:rPr>
          <w:noProof/>
          <w:webHidden/>
        </w:rPr>
        <w:fldChar w:fldCharType="begin"/>
      </w:r>
      <w:r>
        <w:rPr>
          <w:noProof/>
          <w:webHidden/>
        </w:rPr>
        <w:instrText xml:space="preserve"> PAGEREF _Toc238491884 \h </w:instrText>
      </w:r>
      <w:r>
        <w:rPr>
          <w:noProof/>
          <w:webHidden/>
        </w:rPr>
        <w:fldChar w:fldCharType="separate"/>
      </w:r>
      <w:r>
        <w:rPr>
          <w:noProof/>
          <w:webHidden/>
        </w:rPr>
        <w:t>31</w:t>
      </w:r>
      <w:r>
        <w:rPr>
          <w:noProof/>
          <w:webHidden/>
        </w:rPr>
        <w:fldChar w:fldCharType="end"/>
      </w:r>
      <w:r>
        <w:rPr/>
        <w:fldChar w:fldCharType="end"/>
      </w:r>
    </w:p>
    <w:p w14:paraId="7C393474">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"_Toc238491885" </w:instrText>
      </w:r>
      <w:r>
        <w:rPr/>
        <w:fldChar w:fldCharType="separate"/>
      </w:r>
      <w:r>
        <w:rPr>
          <w:rStyle w:val="style85"/>
          <w:rFonts w:cs="Arial"/>
          <w:noProof/>
        </w:rPr>
        <w:t>5.1 Thematic Analysis</w:t>
      </w:r>
      <w:r>
        <w:rPr>
          <w:noProof/>
          <w:webHidden/>
        </w:rPr>
        <w:tab/>
      </w:r>
      <w:r>
        <w:rPr>
          <w:noProof/>
          <w:webHidden/>
        </w:rPr>
        <w:fldChar w:fldCharType="begin"/>
      </w:r>
      <w:r>
        <w:rPr>
          <w:noProof/>
          <w:webHidden/>
        </w:rPr>
        <w:instrText xml:space="preserve"> PAGEREF _Toc238491885 \h </w:instrText>
      </w:r>
      <w:r>
        <w:rPr>
          <w:noProof/>
          <w:webHidden/>
        </w:rPr>
        <w:fldChar w:fldCharType="separate"/>
      </w:r>
      <w:r>
        <w:rPr>
          <w:noProof/>
          <w:webHidden/>
        </w:rPr>
        <w:t>31</w:t>
      </w:r>
      <w:r>
        <w:rPr>
          <w:noProof/>
          <w:webHidden/>
        </w:rPr>
        <w:fldChar w:fldCharType="end"/>
      </w:r>
      <w:r>
        <w:rPr/>
        <w:fldChar w:fldCharType="end"/>
      </w:r>
    </w:p>
    <w:p w14:paraId="399E4140">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"_Toc238491886" </w:instrText>
      </w:r>
      <w:r>
        <w:rPr/>
        <w:fldChar w:fldCharType="separate"/>
      </w:r>
      <w:r>
        <w:rPr>
          <w:rStyle w:val="style85"/>
          <w:rFonts w:cs="Arial"/>
          <w:noProof/>
        </w:rPr>
        <w:t>5.2 Data Analysis Tool</w:t>
      </w:r>
      <w:r>
        <w:rPr>
          <w:noProof/>
          <w:webHidden/>
        </w:rPr>
        <w:tab/>
      </w:r>
      <w:r>
        <w:rPr>
          <w:noProof/>
          <w:webHidden/>
        </w:rPr>
        <w:fldChar w:fldCharType="begin"/>
      </w:r>
      <w:r>
        <w:rPr>
          <w:noProof/>
          <w:webHidden/>
        </w:rPr>
        <w:instrText xml:space="preserve"> PAGEREF _Toc238491886 \h </w:instrText>
      </w:r>
      <w:r>
        <w:rPr>
          <w:noProof/>
          <w:webHidden/>
        </w:rPr>
        <w:fldChar w:fldCharType="separate"/>
      </w:r>
      <w:r>
        <w:rPr>
          <w:noProof/>
          <w:webHidden/>
        </w:rPr>
        <w:t>31</w:t>
      </w:r>
      <w:r>
        <w:rPr>
          <w:noProof/>
          <w:webHidden/>
        </w:rPr>
        <w:fldChar w:fldCharType="end"/>
      </w:r>
      <w:r>
        <w:rPr/>
        <w:fldChar w:fldCharType="end"/>
      </w:r>
    </w:p>
    <w:p w14:paraId="0739F883">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"_Toc238491887" </w:instrText>
      </w:r>
      <w:r>
        <w:rPr/>
        <w:fldChar w:fldCharType="separate"/>
      </w:r>
      <w:r>
        <w:rPr>
          <w:rStyle w:val="style85"/>
          <w:rFonts w:cs="Arial"/>
          <w:noProof/>
        </w:rPr>
        <w:t>5.3 Characteristics of the Identified Studies</w:t>
      </w:r>
      <w:r>
        <w:rPr>
          <w:noProof/>
          <w:webHidden/>
        </w:rPr>
        <w:tab/>
      </w:r>
      <w:r>
        <w:rPr>
          <w:noProof/>
          <w:webHidden/>
        </w:rPr>
        <w:fldChar w:fldCharType="begin"/>
      </w:r>
      <w:r>
        <w:rPr>
          <w:noProof/>
          <w:webHidden/>
        </w:rPr>
        <w:instrText xml:space="preserve"> PAGEREF _Toc238491887 \h </w:instrText>
      </w:r>
      <w:r>
        <w:rPr>
          <w:noProof/>
          <w:webHidden/>
        </w:rPr>
        <w:fldChar w:fldCharType="separate"/>
      </w:r>
      <w:r>
        <w:rPr>
          <w:noProof/>
          <w:webHidden/>
        </w:rPr>
        <w:t>31</w:t>
      </w:r>
      <w:r>
        <w:rPr>
          <w:noProof/>
          <w:webHidden/>
        </w:rPr>
        <w:fldChar w:fldCharType="end"/>
      </w:r>
      <w:r>
        <w:rPr/>
        <w:fldChar w:fldCharType="end"/>
      </w:r>
    </w:p>
    <w:p w14:paraId="55FF7F46">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"_Toc238491888" </w:instrText>
      </w:r>
      <w:r>
        <w:rPr/>
        <w:fldChar w:fldCharType="separate"/>
      </w:r>
      <w:r>
        <w:rPr>
          <w:rStyle w:val="style85"/>
          <w:rFonts w:cs="Arial"/>
          <w:noProof/>
        </w:rPr>
        <w:t>5.4 Emerging Themes from Included Studies</w:t>
      </w:r>
      <w:r>
        <w:rPr>
          <w:noProof/>
          <w:webHidden/>
        </w:rPr>
        <w:tab/>
      </w:r>
      <w:r>
        <w:rPr>
          <w:noProof/>
          <w:webHidden/>
        </w:rPr>
        <w:fldChar w:fldCharType="begin"/>
      </w:r>
      <w:r>
        <w:rPr>
          <w:noProof/>
          <w:webHidden/>
        </w:rPr>
        <w:instrText xml:space="preserve"> PAGEREF _Toc238491888 \h </w:instrText>
      </w:r>
      <w:r>
        <w:rPr>
          <w:noProof/>
          <w:webHidden/>
        </w:rPr>
        <w:fldChar w:fldCharType="separate"/>
      </w:r>
      <w:r>
        <w:rPr>
          <w:noProof/>
          <w:webHidden/>
        </w:rPr>
        <w:t>31</w:t>
      </w:r>
      <w:r>
        <w:rPr>
          <w:noProof/>
          <w:webHidden/>
        </w:rPr>
        <w:fldChar w:fldCharType="end"/>
      </w:r>
      <w:r>
        <w:rPr/>
        <w:fldChar w:fldCharType="end"/>
      </w:r>
    </w:p>
    <w:p w14:paraId="45C2776C">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"_Toc238491889" </w:instrText>
      </w:r>
      <w:r>
        <w:rPr/>
        <w:fldChar w:fldCharType="separate"/>
      </w:r>
      <w:r>
        <w:rPr>
          <w:rStyle w:val="style85"/>
          <w:rFonts w:cs="Arial"/>
          <w:noProof/>
        </w:rPr>
        <w:t>5.4.1. Theme 1: Exercise modality and intensity</w:t>
      </w:r>
      <w:r>
        <w:rPr>
          <w:noProof/>
          <w:webHidden/>
        </w:rPr>
        <w:tab/>
      </w:r>
      <w:r>
        <w:rPr>
          <w:noProof/>
          <w:webHidden/>
        </w:rPr>
        <w:fldChar w:fldCharType="begin"/>
      </w:r>
      <w:r>
        <w:rPr>
          <w:noProof/>
          <w:webHidden/>
        </w:rPr>
        <w:instrText xml:space="preserve"> PAGEREF _Toc238491889 \h </w:instrText>
      </w:r>
      <w:r>
        <w:rPr>
          <w:noProof/>
          <w:webHidden/>
        </w:rPr>
        <w:fldChar w:fldCharType="separate"/>
      </w:r>
      <w:r>
        <w:rPr>
          <w:noProof/>
          <w:webHidden/>
        </w:rPr>
        <w:t>32</w:t>
      </w:r>
      <w:r>
        <w:rPr>
          <w:noProof/>
          <w:webHidden/>
        </w:rPr>
        <w:fldChar w:fldCharType="end"/>
      </w:r>
      <w:r>
        <w:rPr/>
        <w:fldChar w:fldCharType="end"/>
      </w:r>
    </w:p>
    <w:p w14:paraId="506C3FA7">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"_Toc238491890" </w:instrText>
      </w:r>
      <w:r>
        <w:rPr/>
        <w:fldChar w:fldCharType="separate"/>
      </w:r>
      <w:r>
        <w:rPr>
          <w:rStyle w:val="style85"/>
          <w:rFonts w:cs="Arial"/>
          <w:noProof/>
        </w:rPr>
        <w:t>5.4.2. Theme 2: Weight-independent cardiometabolic benefit</w:t>
      </w:r>
      <w:r>
        <w:rPr>
          <w:noProof/>
          <w:webHidden/>
        </w:rPr>
        <w:tab/>
      </w:r>
      <w:r>
        <w:rPr>
          <w:noProof/>
          <w:webHidden/>
        </w:rPr>
        <w:fldChar w:fldCharType="begin"/>
      </w:r>
      <w:r>
        <w:rPr>
          <w:noProof/>
          <w:webHidden/>
        </w:rPr>
        <w:instrText xml:space="preserve"> PAGEREF _Toc238491890 \h </w:instrText>
      </w:r>
      <w:r>
        <w:rPr>
          <w:noProof/>
          <w:webHidden/>
        </w:rPr>
        <w:fldChar w:fldCharType="separate"/>
      </w:r>
      <w:r>
        <w:rPr>
          <w:noProof/>
          <w:webHidden/>
        </w:rPr>
        <w:t>33</w:t>
      </w:r>
      <w:r>
        <w:rPr>
          <w:noProof/>
          <w:webHidden/>
        </w:rPr>
        <w:fldChar w:fldCharType="end"/>
      </w:r>
      <w:r>
        <w:rPr/>
        <w:fldChar w:fldCharType="end"/>
      </w:r>
    </w:p>
    <w:p w14:paraId="63D2C634">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"_Toc238491891" </w:instrText>
      </w:r>
      <w:r>
        <w:rPr/>
        <w:fldChar w:fldCharType="separate"/>
      </w:r>
      <w:r>
        <w:rPr>
          <w:rStyle w:val="style85"/>
          <w:rFonts w:cs="Arial"/>
          <w:noProof/>
        </w:rPr>
        <w:t>5.4.3. Theme 3: Adherence and behavioural barriers to exercise</w:t>
      </w:r>
      <w:r>
        <w:rPr>
          <w:noProof/>
          <w:webHidden/>
        </w:rPr>
        <w:tab/>
      </w:r>
      <w:r>
        <w:rPr>
          <w:noProof/>
          <w:webHidden/>
        </w:rPr>
        <w:fldChar w:fldCharType="begin"/>
      </w:r>
      <w:r>
        <w:rPr>
          <w:noProof/>
          <w:webHidden/>
        </w:rPr>
        <w:instrText xml:space="preserve"> PAGEREF _Toc238491891 \h </w:instrText>
      </w:r>
      <w:r>
        <w:rPr>
          <w:noProof/>
          <w:webHidden/>
        </w:rPr>
        <w:fldChar w:fldCharType="separate"/>
      </w:r>
      <w:r>
        <w:rPr>
          <w:noProof/>
          <w:webHidden/>
        </w:rPr>
        <w:t>33</w:t>
      </w:r>
      <w:r>
        <w:rPr>
          <w:noProof/>
          <w:webHidden/>
        </w:rPr>
        <w:fldChar w:fldCharType="end"/>
      </w:r>
      <w:r>
        <w:rPr/>
        <w:fldChar w:fldCharType="end"/>
      </w:r>
    </w:p>
    <w:p w14:paraId="280A9F3F">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"_Toc238491892" </w:instrText>
      </w:r>
      <w:r>
        <w:rPr/>
        <w:fldChar w:fldCharType="separate"/>
      </w:r>
      <w:r>
        <w:rPr>
          <w:rStyle w:val="style85"/>
          <w:rFonts w:cs="Arial"/>
          <w:noProof/>
        </w:rPr>
        <w:t>5.4.4. Theme 4: Beliefs and self-medication practices</w:t>
      </w:r>
      <w:r>
        <w:rPr>
          <w:noProof/>
          <w:webHidden/>
        </w:rPr>
        <w:tab/>
      </w:r>
      <w:r>
        <w:rPr>
          <w:noProof/>
          <w:webHidden/>
        </w:rPr>
        <w:fldChar w:fldCharType="begin"/>
      </w:r>
      <w:r>
        <w:rPr>
          <w:noProof/>
          <w:webHidden/>
        </w:rPr>
        <w:instrText xml:space="preserve"> PAGEREF _Toc238491892 \h </w:instrText>
      </w:r>
      <w:r>
        <w:rPr>
          <w:noProof/>
          <w:webHidden/>
        </w:rPr>
        <w:fldChar w:fldCharType="separate"/>
      </w:r>
      <w:r>
        <w:rPr>
          <w:noProof/>
          <w:webHidden/>
        </w:rPr>
        <w:t>34</w:t>
      </w:r>
      <w:r>
        <w:rPr>
          <w:noProof/>
          <w:webHidden/>
        </w:rPr>
        <w:fldChar w:fldCharType="end"/>
      </w:r>
      <w:r>
        <w:rPr/>
        <w:fldChar w:fldCharType="end"/>
      </w:r>
    </w:p>
    <w:p w14:paraId="3A8BEC02">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"_Toc238491893" </w:instrText>
      </w:r>
      <w:r>
        <w:rPr/>
        <w:fldChar w:fldCharType="separate"/>
      </w:r>
      <w:r>
        <w:rPr>
          <w:rStyle w:val="style85"/>
          <w:rFonts w:cs="Arial"/>
          <w:noProof/>
        </w:rPr>
        <w:t>5.4.5 Theme 5: Health literacy and medication self-management</w:t>
      </w:r>
      <w:r>
        <w:rPr>
          <w:noProof/>
          <w:webHidden/>
        </w:rPr>
        <w:tab/>
      </w:r>
      <w:r>
        <w:rPr>
          <w:noProof/>
          <w:webHidden/>
        </w:rPr>
        <w:fldChar w:fldCharType="begin"/>
      </w:r>
      <w:r>
        <w:rPr>
          <w:noProof/>
          <w:webHidden/>
        </w:rPr>
        <w:instrText xml:space="preserve"> PAGEREF _Toc238491893 \h </w:instrText>
      </w:r>
      <w:r>
        <w:rPr>
          <w:noProof/>
          <w:webHidden/>
        </w:rPr>
        <w:fldChar w:fldCharType="separate"/>
      </w:r>
      <w:r>
        <w:rPr>
          <w:noProof/>
          <w:webHidden/>
        </w:rPr>
        <w:t>35</w:t>
      </w:r>
      <w:r>
        <w:rPr>
          <w:noProof/>
          <w:webHidden/>
        </w:rPr>
        <w:fldChar w:fldCharType="end"/>
      </w:r>
      <w:r>
        <w:rPr/>
        <w:fldChar w:fldCharType="end"/>
      </w:r>
    </w:p>
    <w:p w14:paraId="24E9E471">
      <w:pPr>
        <w:pStyle w:val="style21"/>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"_Toc238491894" </w:instrText>
      </w:r>
      <w:r>
        <w:rPr/>
        <w:fldChar w:fldCharType="separate"/>
      </w:r>
      <w:r>
        <w:rPr>
          <w:rStyle w:val="style85"/>
          <w:rFonts w:cs="Arial"/>
          <w:noProof/>
        </w:rPr>
        <w:t>5.4.6. Theme 6: Polypharmacy and prescribing safety</w:t>
      </w:r>
      <w:r>
        <w:rPr>
          <w:noProof/>
          <w:webHidden/>
        </w:rPr>
        <w:tab/>
      </w:r>
      <w:r>
        <w:rPr>
          <w:noProof/>
          <w:webHidden/>
        </w:rPr>
        <w:fldChar w:fldCharType="begin"/>
      </w:r>
      <w:r>
        <w:rPr>
          <w:noProof/>
          <w:webHidden/>
        </w:rPr>
        <w:instrText xml:space="preserve"> PAGEREF _Toc238491894 \h </w:instrText>
      </w:r>
      <w:r>
        <w:rPr>
          <w:noProof/>
          <w:webHidden/>
        </w:rPr>
        <w:fldChar w:fldCharType="separate"/>
      </w:r>
      <w:r>
        <w:rPr>
          <w:noProof/>
          <w:webHidden/>
        </w:rPr>
        <w:t>36</w:t>
      </w:r>
      <w:r>
        <w:rPr>
          <w:noProof/>
          <w:webHidden/>
        </w:rPr>
        <w:fldChar w:fldCharType="end"/>
      </w:r>
      <w:r>
        <w:rPr/>
        <w:fldChar w:fldCharType="end"/>
      </w:r>
    </w:p>
    <w:p w14:paraId="3BED831D">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"_Toc238491895" </w:instrText>
      </w:r>
      <w:r>
        <w:rPr/>
        <w:fldChar w:fldCharType="separate"/>
      </w:r>
      <w:r>
        <w:rPr>
          <w:rStyle w:val="style85"/>
          <w:rFonts w:cs="Arial"/>
          <w:noProof/>
        </w:rPr>
        <w:t>5.5 Chapter Summary</w:t>
      </w:r>
      <w:r>
        <w:rPr>
          <w:noProof/>
          <w:webHidden/>
        </w:rPr>
        <w:tab/>
      </w:r>
      <w:r>
        <w:rPr>
          <w:noProof/>
          <w:webHidden/>
        </w:rPr>
        <w:fldChar w:fldCharType="begin"/>
      </w:r>
      <w:r>
        <w:rPr>
          <w:noProof/>
          <w:webHidden/>
        </w:rPr>
        <w:instrText xml:space="preserve"> PAGEREF _Toc238491895 \h </w:instrText>
      </w:r>
      <w:r>
        <w:rPr>
          <w:noProof/>
          <w:webHidden/>
        </w:rPr>
        <w:fldChar w:fldCharType="separate"/>
      </w:r>
      <w:r>
        <w:rPr>
          <w:noProof/>
          <w:webHidden/>
        </w:rPr>
        <w:t>37</w:t>
      </w:r>
      <w:r>
        <w:rPr>
          <w:noProof/>
          <w:webHidden/>
        </w:rPr>
        <w:fldChar w:fldCharType="end"/>
      </w:r>
      <w:r>
        <w:rPr/>
        <w:fldChar w:fldCharType="end"/>
      </w:r>
    </w:p>
    <w:p w14:paraId="21CBD4FD">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"_Toc238491896" </w:instrText>
      </w:r>
      <w:r>
        <w:rPr/>
        <w:fldChar w:fldCharType="separate"/>
      </w:r>
      <w:r>
        <w:rPr>
          <w:rStyle w:val="style85"/>
          <w:rFonts w:cs="Arial"/>
          <w:noProof/>
        </w:rPr>
        <w:t>CHAPTER 6: DISCUSSION</w:t>
      </w:r>
      <w:r>
        <w:rPr>
          <w:noProof/>
          <w:webHidden/>
        </w:rPr>
        <w:tab/>
      </w:r>
      <w:r>
        <w:rPr>
          <w:noProof/>
          <w:webHidden/>
        </w:rPr>
        <w:fldChar w:fldCharType="begin"/>
      </w:r>
      <w:r>
        <w:rPr>
          <w:noProof/>
          <w:webHidden/>
        </w:rPr>
        <w:instrText xml:space="preserve"> PAGEREF _Toc238491896 \h </w:instrText>
      </w:r>
      <w:r>
        <w:rPr>
          <w:noProof/>
          <w:webHidden/>
        </w:rPr>
        <w:fldChar w:fldCharType="separate"/>
      </w:r>
      <w:r>
        <w:rPr>
          <w:noProof/>
          <w:webHidden/>
        </w:rPr>
        <w:t>38</w:t>
      </w:r>
      <w:r>
        <w:rPr>
          <w:noProof/>
          <w:webHidden/>
        </w:rPr>
        <w:fldChar w:fldCharType="end"/>
      </w:r>
      <w:r>
        <w:rPr/>
        <w:fldChar w:fldCharType="end"/>
      </w:r>
    </w:p>
    <w:p w14:paraId="23B6C581">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"_Toc238491897" </w:instrText>
      </w:r>
      <w:r>
        <w:rPr/>
        <w:fldChar w:fldCharType="separate"/>
      </w:r>
      <w:r>
        <w:rPr>
          <w:rStyle w:val="style85"/>
          <w:rFonts w:cs="Arial"/>
          <w:noProof/>
        </w:rPr>
        <w:t>6.1 Introduction to Chapter</w:t>
      </w:r>
      <w:r>
        <w:rPr>
          <w:noProof/>
          <w:webHidden/>
        </w:rPr>
        <w:tab/>
      </w:r>
      <w:r>
        <w:rPr>
          <w:noProof/>
          <w:webHidden/>
        </w:rPr>
        <w:fldChar w:fldCharType="begin"/>
      </w:r>
      <w:r>
        <w:rPr>
          <w:noProof/>
          <w:webHidden/>
        </w:rPr>
        <w:instrText xml:space="preserve"> PAGEREF _Toc238491897 \h </w:instrText>
      </w:r>
      <w:r>
        <w:rPr>
          <w:noProof/>
          <w:webHidden/>
        </w:rPr>
        <w:fldChar w:fldCharType="separate"/>
      </w:r>
      <w:r>
        <w:rPr>
          <w:noProof/>
          <w:webHidden/>
        </w:rPr>
        <w:t>38</w:t>
      </w:r>
      <w:r>
        <w:rPr>
          <w:noProof/>
          <w:webHidden/>
        </w:rPr>
        <w:fldChar w:fldCharType="end"/>
      </w:r>
      <w:r>
        <w:rPr/>
        <w:fldChar w:fldCharType="end"/>
      </w:r>
    </w:p>
    <w:p w14:paraId="35C3A64D">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"_Toc238491898" </w:instrText>
      </w:r>
      <w:r>
        <w:rPr/>
        <w:fldChar w:fldCharType="separate"/>
      </w:r>
      <w:r>
        <w:rPr>
          <w:rStyle w:val="style85"/>
          <w:rFonts w:cs="Arial"/>
          <w:noProof/>
        </w:rPr>
        <w:t>6.2 Discussion of Key Findings</w:t>
      </w:r>
      <w:r>
        <w:rPr>
          <w:noProof/>
          <w:webHidden/>
        </w:rPr>
        <w:tab/>
      </w:r>
      <w:r>
        <w:rPr>
          <w:noProof/>
          <w:webHidden/>
        </w:rPr>
        <w:fldChar w:fldCharType="begin"/>
      </w:r>
      <w:r>
        <w:rPr>
          <w:noProof/>
          <w:webHidden/>
        </w:rPr>
        <w:instrText xml:space="preserve"> PAGEREF _Toc238491898 \h </w:instrText>
      </w:r>
      <w:r>
        <w:rPr>
          <w:noProof/>
          <w:webHidden/>
        </w:rPr>
        <w:fldChar w:fldCharType="separate"/>
      </w:r>
      <w:r>
        <w:rPr>
          <w:noProof/>
          <w:webHidden/>
        </w:rPr>
        <w:t>38</w:t>
      </w:r>
      <w:r>
        <w:rPr>
          <w:noProof/>
          <w:webHidden/>
        </w:rPr>
        <w:fldChar w:fldCharType="end"/>
      </w:r>
      <w:r>
        <w:rPr/>
        <w:fldChar w:fldCharType="end"/>
      </w:r>
    </w:p>
    <w:p w14:paraId="2DCFB9E8">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"_Toc238491899" </w:instrText>
      </w:r>
      <w:r>
        <w:rPr/>
        <w:fldChar w:fldCharType="separate"/>
      </w:r>
      <w:r>
        <w:rPr>
          <w:rStyle w:val="style85"/>
          <w:rFonts w:cs="Arial"/>
          <w:noProof/>
        </w:rPr>
        <w:t>6.3 Strengths and Limitations</w:t>
      </w:r>
      <w:r>
        <w:rPr>
          <w:noProof/>
          <w:webHidden/>
        </w:rPr>
        <w:tab/>
      </w:r>
      <w:r>
        <w:rPr>
          <w:noProof/>
          <w:webHidden/>
        </w:rPr>
        <w:fldChar w:fldCharType="begin"/>
      </w:r>
      <w:r>
        <w:rPr>
          <w:noProof/>
          <w:webHidden/>
        </w:rPr>
        <w:instrText xml:space="preserve"> PAGEREF _Toc238491899 \h </w:instrText>
      </w:r>
      <w:r>
        <w:rPr>
          <w:noProof/>
          <w:webHidden/>
        </w:rPr>
        <w:fldChar w:fldCharType="separate"/>
      </w:r>
      <w:r>
        <w:rPr>
          <w:noProof/>
          <w:webHidden/>
        </w:rPr>
        <w:t>40</w:t>
      </w:r>
      <w:r>
        <w:rPr>
          <w:noProof/>
          <w:webHidden/>
        </w:rPr>
        <w:fldChar w:fldCharType="end"/>
      </w:r>
      <w:r>
        <w:rPr/>
        <w:fldChar w:fldCharType="end"/>
      </w:r>
    </w:p>
    <w:p w14:paraId="151BBC45">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"_Toc238491900" </w:instrText>
      </w:r>
      <w:r>
        <w:rPr/>
        <w:fldChar w:fldCharType="separate"/>
      </w:r>
      <w:r>
        <w:rPr>
          <w:rStyle w:val="style85"/>
          <w:rFonts w:cs="Arial"/>
          <w:noProof/>
        </w:rPr>
        <w:t>6.4 Chapter Summary</w:t>
      </w:r>
      <w:r>
        <w:rPr>
          <w:noProof/>
          <w:webHidden/>
        </w:rPr>
        <w:tab/>
      </w:r>
      <w:r>
        <w:rPr>
          <w:noProof/>
          <w:webHidden/>
        </w:rPr>
        <w:fldChar w:fldCharType="begin"/>
      </w:r>
      <w:r>
        <w:rPr>
          <w:noProof/>
          <w:webHidden/>
        </w:rPr>
        <w:instrText xml:space="preserve"> PAGEREF _Toc238491900 \h </w:instrText>
      </w:r>
      <w:r>
        <w:rPr>
          <w:noProof/>
          <w:webHidden/>
        </w:rPr>
        <w:fldChar w:fldCharType="separate"/>
      </w:r>
      <w:r>
        <w:rPr>
          <w:noProof/>
          <w:webHidden/>
        </w:rPr>
        <w:t>41</w:t>
      </w:r>
      <w:r>
        <w:rPr>
          <w:noProof/>
          <w:webHidden/>
        </w:rPr>
        <w:fldChar w:fldCharType="end"/>
      </w:r>
      <w:r>
        <w:rPr/>
        <w:fldChar w:fldCharType="end"/>
      </w:r>
    </w:p>
    <w:p w14:paraId="64126560">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"_Toc238491901" </w:instrText>
      </w:r>
      <w:r>
        <w:rPr/>
        <w:fldChar w:fldCharType="separate"/>
      </w:r>
      <w:r>
        <w:rPr>
          <w:rStyle w:val="style85"/>
          <w:rFonts w:cs="Arial"/>
          <w:noProof/>
        </w:rPr>
        <w:t>CHAPTER 7: RECOMMENDATIONS AND CONCLUSION</w:t>
      </w:r>
      <w:r>
        <w:rPr>
          <w:noProof/>
          <w:webHidden/>
        </w:rPr>
        <w:tab/>
      </w:r>
      <w:r>
        <w:rPr>
          <w:noProof/>
          <w:webHidden/>
        </w:rPr>
        <w:fldChar w:fldCharType="begin"/>
      </w:r>
      <w:r>
        <w:rPr>
          <w:noProof/>
          <w:webHidden/>
        </w:rPr>
        <w:instrText xml:space="preserve"> PAGEREF _Toc238491901 \h </w:instrText>
      </w:r>
      <w:r>
        <w:rPr>
          <w:noProof/>
          <w:webHidden/>
        </w:rPr>
        <w:fldChar w:fldCharType="separate"/>
      </w:r>
      <w:r>
        <w:rPr>
          <w:noProof/>
          <w:webHidden/>
        </w:rPr>
        <w:t>42</w:t>
      </w:r>
      <w:r>
        <w:rPr>
          <w:noProof/>
          <w:webHidden/>
        </w:rPr>
        <w:fldChar w:fldCharType="end"/>
      </w:r>
      <w:r>
        <w:rPr/>
        <w:fldChar w:fldCharType="end"/>
      </w:r>
    </w:p>
    <w:p w14:paraId="30C80A90">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"_Toc238491902" </w:instrText>
      </w:r>
      <w:r>
        <w:rPr/>
        <w:fldChar w:fldCharType="separate"/>
      </w:r>
      <w:r>
        <w:rPr>
          <w:rStyle w:val="style85"/>
          <w:rFonts w:cs="Arial"/>
          <w:noProof/>
        </w:rPr>
        <w:t>7.1 Introduction to Chapter</w:t>
      </w:r>
      <w:r>
        <w:rPr>
          <w:noProof/>
          <w:webHidden/>
        </w:rPr>
        <w:tab/>
      </w:r>
      <w:r>
        <w:rPr>
          <w:noProof/>
          <w:webHidden/>
        </w:rPr>
        <w:fldChar w:fldCharType="begin"/>
      </w:r>
      <w:r>
        <w:rPr>
          <w:noProof/>
          <w:webHidden/>
        </w:rPr>
        <w:instrText xml:space="preserve"> PAGEREF _Toc238491902 \h </w:instrText>
      </w:r>
      <w:r>
        <w:rPr>
          <w:noProof/>
          <w:webHidden/>
        </w:rPr>
        <w:fldChar w:fldCharType="separate"/>
      </w:r>
      <w:r>
        <w:rPr>
          <w:noProof/>
          <w:webHidden/>
        </w:rPr>
        <w:t>42</w:t>
      </w:r>
      <w:r>
        <w:rPr>
          <w:noProof/>
          <w:webHidden/>
        </w:rPr>
        <w:fldChar w:fldCharType="end"/>
      </w:r>
      <w:r>
        <w:rPr/>
        <w:fldChar w:fldCharType="end"/>
      </w:r>
    </w:p>
    <w:p w14:paraId="054A055E">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"_Toc238491903" </w:instrText>
      </w:r>
      <w:r>
        <w:rPr/>
        <w:fldChar w:fldCharType="separate"/>
      </w:r>
      <w:r>
        <w:rPr>
          <w:rStyle w:val="style85"/>
          <w:rFonts w:cs="Arial"/>
          <w:noProof/>
        </w:rPr>
        <w:t>7.2 Implications of Findings</w:t>
      </w:r>
      <w:r>
        <w:rPr>
          <w:noProof/>
          <w:webHidden/>
        </w:rPr>
        <w:tab/>
      </w:r>
      <w:r>
        <w:rPr>
          <w:noProof/>
          <w:webHidden/>
        </w:rPr>
        <w:fldChar w:fldCharType="begin"/>
      </w:r>
      <w:r>
        <w:rPr>
          <w:noProof/>
          <w:webHidden/>
        </w:rPr>
        <w:instrText xml:space="preserve"> PAGEREF _Toc238491903 \h </w:instrText>
      </w:r>
      <w:r>
        <w:rPr>
          <w:noProof/>
          <w:webHidden/>
        </w:rPr>
        <w:fldChar w:fldCharType="separate"/>
      </w:r>
      <w:r>
        <w:rPr>
          <w:noProof/>
          <w:webHidden/>
        </w:rPr>
        <w:t>42</w:t>
      </w:r>
      <w:r>
        <w:rPr>
          <w:noProof/>
          <w:webHidden/>
        </w:rPr>
        <w:fldChar w:fldCharType="end"/>
      </w:r>
      <w:r>
        <w:rPr/>
        <w:fldChar w:fldCharType="end"/>
      </w:r>
    </w:p>
    <w:p w14:paraId="03BC8C77">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"_Toc238491904" </w:instrText>
      </w:r>
      <w:r>
        <w:rPr/>
        <w:fldChar w:fldCharType="separate"/>
      </w:r>
      <w:r>
        <w:rPr>
          <w:rStyle w:val="style85"/>
          <w:rFonts w:cs="Arial"/>
          <w:noProof/>
        </w:rPr>
        <w:t>7.3 Recommendations for Practice</w:t>
      </w:r>
      <w:r>
        <w:rPr>
          <w:noProof/>
          <w:webHidden/>
        </w:rPr>
        <w:tab/>
      </w:r>
      <w:r>
        <w:rPr>
          <w:noProof/>
          <w:webHidden/>
        </w:rPr>
        <w:fldChar w:fldCharType="begin"/>
      </w:r>
      <w:r>
        <w:rPr>
          <w:noProof/>
          <w:webHidden/>
        </w:rPr>
        <w:instrText xml:space="preserve"> PAGEREF _Toc238491904 \h </w:instrText>
      </w:r>
      <w:r>
        <w:rPr>
          <w:noProof/>
          <w:webHidden/>
        </w:rPr>
        <w:fldChar w:fldCharType="separate"/>
      </w:r>
      <w:r>
        <w:rPr>
          <w:noProof/>
          <w:webHidden/>
        </w:rPr>
        <w:t>42</w:t>
      </w:r>
      <w:r>
        <w:rPr>
          <w:noProof/>
          <w:webHidden/>
        </w:rPr>
        <w:fldChar w:fldCharType="end"/>
      </w:r>
      <w:r>
        <w:rPr/>
        <w:fldChar w:fldCharType="end"/>
      </w:r>
    </w:p>
    <w:p w14:paraId="7365763D">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"_Toc238491905" </w:instrText>
      </w:r>
      <w:r>
        <w:rPr/>
        <w:fldChar w:fldCharType="separate"/>
      </w:r>
      <w:r>
        <w:rPr>
          <w:rStyle w:val="style85"/>
          <w:rFonts w:cs="Arial"/>
          <w:noProof/>
        </w:rPr>
        <w:t>7.4 Recommendations for Future Research</w:t>
      </w:r>
      <w:r>
        <w:rPr>
          <w:noProof/>
          <w:webHidden/>
        </w:rPr>
        <w:tab/>
      </w:r>
      <w:r>
        <w:rPr>
          <w:noProof/>
          <w:webHidden/>
        </w:rPr>
        <w:fldChar w:fldCharType="begin"/>
      </w:r>
      <w:r>
        <w:rPr>
          <w:noProof/>
          <w:webHidden/>
        </w:rPr>
        <w:instrText xml:space="preserve"> PAGEREF _Toc238491905 \h </w:instrText>
      </w:r>
      <w:r>
        <w:rPr>
          <w:noProof/>
          <w:webHidden/>
        </w:rPr>
        <w:fldChar w:fldCharType="separate"/>
      </w:r>
      <w:r>
        <w:rPr>
          <w:noProof/>
          <w:webHidden/>
        </w:rPr>
        <w:t>43</w:t>
      </w:r>
      <w:r>
        <w:rPr>
          <w:noProof/>
          <w:webHidden/>
        </w:rPr>
        <w:fldChar w:fldCharType="end"/>
      </w:r>
      <w:r>
        <w:rPr/>
        <w:fldChar w:fldCharType="end"/>
      </w:r>
    </w:p>
    <w:p w14:paraId="1675E72B">
      <w:pPr>
        <w:pStyle w:val="style20"/>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"_Toc238491906" </w:instrText>
      </w:r>
      <w:r>
        <w:rPr/>
        <w:fldChar w:fldCharType="separate"/>
      </w:r>
      <w:r>
        <w:rPr>
          <w:rStyle w:val="style85"/>
          <w:rFonts w:cs="Arial"/>
          <w:noProof/>
        </w:rPr>
        <w:t>7.5 Conclusion</w:t>
      </w:r>
      <w:r>
        <w:rPr>
          <w:noProof/>
          <w:webHidden/>
        </w:rPr>
        <w:tab/>
      </w:r>
      <w:r>
        <w:rPr>
          <w:noProof/>
          <w:webHidden/>
        </w:rPr>
        <w:fldChar w:fldCharType="begin"/>
      </w:r>
      <w:r>
        <w:rPr>
          <w:noProof/>
          <w:webHidden/>
        </w:rPr>
        <w:instrText xml:space="preserve"> PAGEREF _Toc238491906 \h </w:instrText>
      </w:r>
      <w:r>
        <w:rPr>
          <w:noProof/>
          <w:webHidden/>
        </w:rPr>
        <w:fldChar w:fldCharType="separate"/>
      </w:r>
      <w:r>
        <w:rPr>
          <w:noProof/>
          <w:webHidden/>
        </w:rPr>
        <w:t>43</w:t>
      </w:r>
      <w:r>
        <w:rPr>
          <w:noProof/>
          <w:webHidden/>
        </w:rPr>
        <w:fldChar w:fldCharType="end"/>
      </w:r>
      <w:r>
        <w:rPr/>
        <w:fldChar w:fldCharType="end"/>
      </w:r>
    </w:p>
    <w:p w14:paraId="44320A67">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"_Toc238491907" </w:instrText>
      </w:r>
      <w:r>
        <w:rPr/>
        <w:fldChar w:fldCharType="separate"/>
      </w:r>
      <w:r>
        <w:rPr>
          <w:rStyle w:val="style85"/>
          <w:rFonts w:cs="Arial"/>
          <w:noProof/>
        </w:rPr>
        <w:t>References</w:t>
      </w:r>
      <w:r>
        <w:rPr>
          <w:noProof/>
          <w:webHidden/>
        </w:rPr>
        <w:tab/>
      </w:r>
      <w:r>
        <w:rPr>
          <w:noProof/>
          <w:webHidden/>
        </w:rPr>
        <w:fldChar w:fldCharType="begin"/>
      </w:r>
      <w:r>
        <w:rPr>
          <w:noProof/>
          <w:webHidden/>
        </w:rPr>
        <w:instrText xml:space="preserve"> PAGEREF _Toc238491907 \h </w:instrText>
      </w:r>
      <w:r>
        <w:rPr>
          <w:noProof/>
          <w:webHidden/>
        </w:rPr>
        <w:fldChar w:fldCharType="separate"/>
      </w:r>
      <w:r>
        <w:rPr>
          <w:noProof/>
          <w:webHidden/>
        </w:rPr>
        <w:t>45</w:t>
      </w:r>
      <w:r>
        <w:rPr>
          <w:noProof/>
          <w:webHidden/>
        </w:rPr>
        <w:fldChar w:fldCharType="end"/>
      </w:r>
      <w:r>
        <w:rPr/>
        <w:fldChar w:fldCharType="end"/>
      </w:r>
    </w:p>
    <w:p w14:paraId="4EC5EA95">
      <w:pPr>
        <w:pStyle w:val="style19"/>
        <w:tabs>
          <w:tab w:val="right" w:leader="dot" w:pos="9350"/>
        </w:tabs>
        <w:rPr>
          <w:rFonts w:ascii="Calibri" w:cs="宋体" w:eastAsia="宋体" w:hAnsi="Calibri"/>
          <w:noProof/>
          <w:kern w:val="0"/>
          <w:sz w:val="22"/>
          <w:lang w:val="en-US"/>
          <w14:ligatures xmlns:w14="http://schemas.microsoft.com/office/word/2010/wordml" w14:val="none"/>
        </w:rPr>
      </w:pPr>
      <w:r>
        <w:rPr/>
        <w:fldChar w:fldCharType="begin"/>
      </w:r>
      <w:r>
        <w:instrText xml:space="preserve"> HYPERLINK \l "_Toc238491908" </w:instrText>
      </w:r>
      <w:r>
        <w:rPr/>
        <w:fldChar w:fldCharType="separate"/>
      </w:r>
      <w:r>
        <w:rPr>
          <w:rStyle w:val="style85"/>
          <w:rFonts w:cs="Arial"/>
          <w:noProof/>
        </w:rPr>
        <w:t>Appendix</w:t>
      </w:r>
      <w:r>
        <w:rPr>
          <w:noProof/>
          <w:webHidden/>
        </w:rPr>
        <w:tab/>
      </w:r>
      <w:r>
        <w:rPr>
          <w:noProof/>
          <w:webHidden/>
        </w:rPr>
        <w:fldChar w:fldCharType="begin"/>
      </w:r>
      <w:r>
        <w:rPr>
          <w:noProof/>
          <w:webHidden/>
        </w:rPr>
        <w:instrText xml:space="preserve"> PAGEREF _Toc238491908 \h </w:instrText>
      </w:r>
      <w:r>
        <w:rPr>
          <w:noProof/>
          <w:webHidden/>
        </w:rPr>
        <w:fldChar w:fldCharType="separate"/>
      </w:r>
      <w:r>
        <w:rPr>
          <w:noProof/>
          <w:webHidden/>
        </w:rPr>
        <w:t>53</w:t>
      </w:r>
      <w:r>
        <w:rPr>
          <w:noProof/>
          <w:webHidden/>
        </w:rPr>
        <w:fldChar w:fldCharType="end"/>
      </w:r>
      <w:r>
        <w:rPr/>
        <w:fldChar w:fldCharType="end"/>
      </w:r>
    </w:p>
    <w:p w14:paraId="7C021F46">
      <w:pPr>
        <w:pStyle w:val="style0"/>
        <w:spacing w:lineRule="auto" w:line="360"/>
        <w:rPr>
          <w:rFonts w:cs="Arial"/>
          <w:sz w:val="22"/>
        </w:rPr>
      </w:pPr>
      <w:r>
        <w:rPr>
          <w:rFonts w:cs="Arial"/>
          <w:b/>
          <w:bCs/>
          <w:noProof/>
          <w:sz w:val="22"/>
        </w:rPr>
        <w:fldChar w:fldCharType="end"/>
      </w:r>
    </w:p>
    <w:p w14:paraId="7C021F47">
      <w:pPr>
        <w:pStyle w:val="style0"/>
        <w:spacing w:lineRule="auto" w:line="360"/>
        <w:rPr>
          <w:rFonts w:cs="Arial"/>
          <w:sz w:val="22"/>
        </w:rPr>
      </w:pPr>
      <w:r>
        <w:rPr>
          <w:rFonts w:cs="Arial"/>
          <w:sz w:val="22"/>
        </w:rPr>
        <w:br w:type="page"/>
      </w:r>
    </w:p>
    <w:p w14:paraId="7C021F48">
      <w:pPr>
        <w:pStyle w:val="style0"/>
        <w:spacing w:lineRule="auto" w:line="360"/>
        <w:rPr>
          <w:rFonts w:cs="Arial"/>
          <w:b/>
          <w:bCs/>
          <w:kern w:val="0"/>
          <w:sz w:val="22"/>
          <w:lang w:val="en-US"/>
          <w14:ligatures xmlns:w14="http://schemas.microsoft.com/office/word/2010/wordml" w14:val="none"/>
        </w:rPr>
      </w:pPr>
      <w:r>
        <w:rPr>
          <w:rFonts w:cs="Arial"/>
          <w:b/>
          <w:bCs/>
          <w:sz w:val="22"/>
        </w:rPr>
        <w:t>List of Tables</w:t>
      </w:r>
    </w:p>
    <w:p w14:paraId="7C021F49">
      <w:pPr>
        <w:pStyle w:val="style0"/>
        <w:spacing w:lineRule="auto" w:line="360"/>
        <w:jc w:val="both"/>
        <w:rPr>
          <w:rFonts w:cs="Arial"/>
          <w:sz w:val="22"/>
        </w:rPr>
      </w:pPr>
      <w:r>
        <w:rPr>
          <w:rFonts w:cs="Arial"/>
          <w:sz w:val="22"/>
        </w:rPr>
        <w:t>Table 1: PEO Framework</w:t>
      </w:r>
    </w:p>
    <w:p w14:paraId="7C021F4A">
      <w:pPr>
        <w:pStyle w:val="style0"/>
        <w:spacing w:lineRule="auto" w:line="360"/>
        <w:jc w:val="both"/>
        <w:rPr>
          <w:rFonts w:cs="Arial"/>
          <w:sz w:val="22"/>
        </w:rPr>
      </w:pPr>
      <w:r>
        <w:rPr>
          <w:rFonts w:cs="Arial"/>
          <w:sz w:val="22"/>
        </w:rPr>
        <w:t>Table 2: Search terms using Boolean Operators</w:t>
      </w:r>
    </w:p>
    <w:p w14:paraId="7C021F4B">
      <w:pPr>
        <w:pStyle w:val="style0"/>
        <w:spacing w:lineRule="auto" w:line="360"/>
        <w:jc w:val="both"/>
        <w:rPr>
          <w:rFonts w:cs="Arial"/>
          <w:sz w:val="22"/>
        </w:rPr>
      </w:pPr>
      <w:r>
        <w:rPr>
          <w:rFonts w:cs="Arial"/>
          <w:sz w:val="22"/>
        </w:rPr>
        <w:t>Table 3: Inclusion and Exclusion Criteria</w:t>
      </w:r>
    </w:p>
    <w:p w14:paraId="7C021F4C">
      <w:pPr>
        <w:pStyle w:val="style0"/>
        <w:spacing w:lineRule="auto" w:line="360"/>
        <w:jc w:val="both"/>
        <w:rPr>
          <w:rFonts w:cs="Arial"/>
          <w:sz w:val="22"/>
        </w:rPr>
      </w:pPr>
      <w:r>
        <w:rPr>
          <w:rFonts w:cs="Arial"/>
          <w:sz w:val="22"/>
        </w:rPr>
        <w:t>Table 4: Themes</w:t>
      </w:r>
    </w:p>
    <w:p w14:paraId="7C021F4D">
      <w:pPr>
        <w:pStyle w:val="style0"/>
        <w:spacing w:lineRule="auto" w:line="360"/>
        <w:jc w:val="both"/>
        <w:rPr>
          <w:rFonts w:cs="Arial"/>
          <w:sz w:val="22"/>
        </w:rPr>
      </w:pPr>
      <w:r>
        <w:rPr>
          <w:rFonts w:cs="Arial"/>
          <w:sz w:val="22"/>
        </w:rPr>
        <w:t>Appendix 1: Data Extraction table</w:t>
      </w:r>
    </w:p>
    <w:p w14:paraId="7C021F4E">
      <w:pPr>
        <w:pStyle w:val="style101"/>
        <w:spacing w:lineRule="auto" w:line="360"/>
        <w:rPr>
          <w:rFonts w:ascii="Arial" w:cs="Arial" w:hAnsi="Arial"/>
          <w:color w:val="14181f"/>
          <w:sz w:val="22"/>
          <w:szCs w:val="22"/>
        </w:rPr>
      </w:pPr>
    </w:p>
    <w:p w14:paraId="7C021F4F">
      <w:pPr>
        <w:pStyle w:val="style0"/>
        <w:spacing w:lineRule="auto" w:line="360"/>
        <w:rPr>
          <w:rFonts w:cs="Arial"/>
          <w:b/>
          <w:bCs/>
          <w:sz w:val="22"/>
        </w:rPr>
      </w:pPr>
      <w:r>
        <w:rPr>
          <w:rFonts w:cs="Arial"/>
          <w:b/>
          <w:bCs/>
          <w:sz w:val="22"/>
        </w:rPr>
        <w:t>List of Figures</w:t>
      </w:r>
    </w:p>
    <w:p w14:paraId="7C021F50">
      <w:pPr>
        <w:pStyle w:val="style0"/>
        <w:spacing w:lineRule="auto" w:line="360"/>
        <w:jc w:val="both"/>
        <w:rPr>
          <w:rFonts w:cs="Arial"/>
          <w:sz w:val="22"/>
        </w:rPr>
      </w:pPr>
      <w:r>
        <w:rPr>
          <w:rFonts w:cs="Arial"/>
          <w:sz w:val="22"/>
        </w:rPr>
        <w:t>Figure 1: Conceptual framework for the exercise, self-medication and Type 2 Diabetes management.</w:t>
      </w:r>
    </w:p>
    <w:p w14:paraId="7C021F51">
      <w:pPr>
        <w:pStyle w:val="style0"/>
        <w:spacing w:lineRule="auto" w:line="360"/>
        <w:jc w:val="both"/>
        <w:rPr>
          <w:rFonts w:cs="Arial"/>
          <w:sz w:val="22"/>
        </w:rPr>
      </w:pPr>
      <w:r>
        <w:rPr>
          <w:rFonts w:cs="Arial"/>
          <w:sz w:val="22"/>
        </w:rPr>
        <w:t>Figure 2: PRISMA Flow diagram</w:t>
      </w:r>
    </w:p>
    <w:p w14:paraId="7C021F52">
      <w:pPr>
        <w:pStyle w:val="style101"/>
        <w:spacing w:lineRule="auto" w:line="360"/>
        <w:rPr>
          <w:rFonts w:ascii="Arial" w:cs="Arial" w:eastAsia="SimSun" w:hAnsi="Arial"/>
          <w:b/>
          <w:sz w:val="22"/>
          <w:szCs w:val="22"/>
        </w:rPr>
      </w:pPr>
      <w:r>
        <w:rPr>
          <w:rFonts w:ascii="Arial" w:cs="Arial" w:hAnsi="Arial"/>
          <w:sz w:val="22"/>
          <w:szCs w:val="22"/>
        </w:rPr>
        <w:br w:type="page"/>
      </w:r>
    </w:p>
    <w:bookmarkStart w:id="0" w:name="_Toc238491844"/>
    <w:p w14:paraId="7C021F53">
      <w:pPr>
        <w:pStyle w:val="style1"/>
        <w:spacing w:lineRule="auto" w:line="360"/>
        <w:jc w:val="both"/>
        <w:rPr>
          <w:rFonts w:cs="Arial"/>
          <w:sz w:val="22"/>
          <w:szCs w:val="22"/>
        </w:rPr>
      </w:pPr>
      <w:r>
        <w:rPr>
          <w:rFonts w:cs="Arial"/>
          <w:sz w:val="22"/>
          <w:szCs w:val="22"/>
        </w:rPr>
        <w:t>Chapter 1: Introduction</w:t>
      </w:r>
      <w:bookmarkEnd w:id="0"/>
    </w:p>
    <w:bookmarkStart w:id="1" w:name="_Toc238491845"/>
    <w:p w14:paraId="7C021F54">
      <w:pPr>
        <w:pStyle w:val="style2"/>
        <w:spacing w:lineRule="auto" w:line="360"/>
        <w:jc w:val="both"/>
        <w:rPr>
          <w:rFonts w:cs="Arial"/>
          <w:sz w:val="22"/>
          <w:szCs w:val="22"/>
        </w:rPr>
      </w:pPr>
      <w:r>
        <w:rPr>
          <w:rFonts w:cs="Arial"/>
          <w:sz w:val="22"/>
          <w:szCs w:val="22"/>
        </w:rPr>
        <w:t>1.1 Introduction</w:t>
      </w:r>
      <w:bookmarkEnd w:id="1"/>
    </w:p>
    <w:p w14:paraId="449D18DA">
      <w:pPr>
        <w:pStyle w:val="style0"/>
        <w:spacing w:lineRule="auto" w:line="360"/>
        <w:jc w:val="both"/>
        <w:rPr>
          <w:rFonts w:cs="Arial"/>
          <w:sz w:val="22"/>
        </w:rPr>
      </w:pPr>
      <w:r>
        <w:rPr>
          <w:rFonts w:cs="Arial"/>
          <w:sz w:val="22"/>
        </w:rPr>
        <w:t>Diabetes is a disease that occurs when the body fails to properly control the level of blood glucose, either by producing less insulin or by being unable to utilise the insulin produced effectively (WHO, 2024). Type 1 diabetes tends to occur at a young age</w:t>
      </w:r>
      <w:r>
        <w:rPr>
          <w:rFonts w:cs="Arial"/>
          <w:sz w:val="22"/>
        </w:rPr>
        <w:t>,</w:t>
      </w:r>
      <w:r>
        <w:rPr>
          <w:rFonts w:cs="Arial"/>
          <w:sz w:val="22"/>
        </w:rPr>
        <w:t xml:space="preserve"> and the pancreas ceases to produce insulin altogether. Type 2 diabetes is a long-term condition that typically develops when a person has reached adulthood, when the body's cells start to ignore the insulin, and is seen in around 90% of people who have diabetes in the UK (Diabetes UK, 2025). The significance of its effects is its magnitude as well as its gradual and progressive impact; in 2022, the prevalence of diabetes in adults was 14% from 7% in 1990 (WHO, 2024) and the International Diabetes Federation (2024) estimated that diabetes costs over one trillion US dollars in global health care costs in 1 year. Diabetes may go undiagnosed for years; early symptoms are often mild, including: tiredness, excess thirst, slow healing of cuts and wounds; complications may also occur without you realizing them; finally, if not properly controlled, diabetes can damage the nerves, blood vessels, kidneys, eyes, and cardiovascular system.</w:t>
      </w:r>
    </w:p>
    <w:p w14:paraId="7C021F55">
      <w:pPr>
        <w:pStyle w:val="style0"/>
        <w:spacing w:lineRule="auto" w:line="360"/>
        <w:jc w:val="both"/>
        <w:rPr>
          <w:rFonts w:cs="Arial"/>
          <w:sz w:val="22"/>
        </w:rPr>
      </w:pPr>
      <w:r>
        <w:rPr>
          <w:rFonts w:cs="Arial"/>
          <w:sz w:val="22"/>
        </w:rPr>
        <w:t xml:space="preserve">Type 2 diabetes is a long-term health condition that is treated clinically and through daily lifestyle behaviours – and, as can be seen in the scale above, it is one of the most common long-term health conditions in the world (WHO, 2024). This dissertation is centred around two behaviours. Exercise is strongly promoted as part of diabetes management, and self-medication is one of the </w:t>
      </w:r>
      <w:r>
        <w:rPr>
          <w:rFonts w:cs="Arial"/>
          <w:sz w:val="22"/>
        </w:rPr>
        <w:t>deratifying</w:t>
      </w:r>
      <w:r>
        <w:rPr>
          <w:rFonts w:cs="Arial"/>
          <w:sz w:val="22"/>
        </w:rPr>
        <w:t xml:space="preserve"> risks that is often overlooked for good management of diabetes (</w:t>
      </w:r>
      <w:r>
        <w:rPr>
          <w:rFonts w:cs="Arial"/>
          <w:sz w:val="22"/>
        </w:rPr>
        <w:t>Fertu</w:t>
      </w:r>
      <w:r>
        <w:rPr>
          <w:rFonts w:cs="Arial"/>
          <w:sz w:val="22"/>
        </w:rPr>
        <w:t xml:space="preserve"> et al., 2026). Many adults take over-the-counter medicines or informal advice without professional supervision</w:t>
      </w:r>
      <w:r>
        <w:rPr>
          <w:rFonts w:cs="Arial"/>
          <w:sz w:val="22"/>
        </w:rPr>
        <w:t>,</w:t>
      </w:r>
      <w:r>
        <w:rPr>
          <w:rFonts w:cs="Arial"/>
          <w:sz w:val="22"/>
        </w:rPr>
        <w:t xml:space="preserve"> and adults with type 2 diabetes do not always exercise. In this dissertation, the two behaviours are both examined simultaneously and not as two separate problems since both influence the safety with which an adult manages his/her condition on a day-to-day basis. The review is targeted to adults with type 2 diabetes, and uses the public health, clinical and behavioural literature to explore the relationship between exercise and self-medication in diabetes self-management</w:t>
      </w:r>
      <w:r>
        <w:rPr>
          <w:rFonts w:cs="Arial"/>
          <w:sz w:val="22"/>
        </w:rPr>
        <w:t>.</w:t>
      </w:r>
    </w:p>
    <w:bookmarkStart w:id="2" w:name="_Toc238491846"/>
    <w:p w14:paraId="7C021F56">
      <w:pPr>
        <w:pStyle w:val="style2"/>
        <w:spacing w:lineRule="auto" w:line="360"/>
        <w:jc w:val="both"/>
        <w:rPr>
          <w:rFonts w:cs="Arial"/>
          <w:sz w:val="22"/>
          <w:szCs w:val="22"/>
        </w:rPr>
      </w:pPr>
      <w:r>
        <w:rPr>
          <w:rFonts w:cs="Arial"/>
          <w:sz w:val="22"/>
          <w:szCs w:val="22"/>
        </w:rPr>
        <w:t>1.2 Background and Current Context</w:t>
      </w:r>
      <w:bookmarkEnd w:id="2"/>
    </w:p>
    <w:p w14:paraId="7C021F57">
      <w:pPr>
        <w:pStyle w:val="style0"/>
        <w:spacing w:lineRule="auto" w:line="360"/>
        <w:jc w:val="both"/>
        <w:rPr>
          <w:rFonts w:cs="Arial"/>
          <w:sz w:val="22"/>
        </w:rPr>
      </w:pPr>
      <w:r>
        <w:rPr>
          <w:rFonts w:cs="Arial"/>
          <w:sz w:val="22"/>
        </w:rPr>
        <w:t>The</w:t>
      </w:r>
      <w:r>
        <w:rPr>
          <w:rFonts w:cs="Arial"/>
          <w:sz w:val="22"/>
        </w:rPr>
        <w:t xml:space="preserve"> main risk factors</w:t>
      </w:r>
      <w:r>
        <w:rPr>
          <w:rFonts w:cs="Arial"/>
          <w:sz w:val="22"/>
        </w:rPr>
        <w:t xml:space="preserve"> of diabetes</w:t>
      </w:r>
      <w:r>
        <w:rPr>
          <w:rFonts w:cs="Arial"/>
          <w:sz w:val="22"/>
        </w:rPr>
        <w:t xml:space="preserve"> include excess body weight, physical inactivity, poor diet and genetic predisposition (International Diabetes Federation, 2024). Early symptoms like tiredness, excessive thirst and slow healing of wounds are often mild, allowing the condition to go undiagnosed for years, while complications are occurring without any awareness.</w:t>
      </w:r>
      <w:r>
        <w:t xml:space="preserve"> </w:t>
      </w:r>
      <w:r>
        <w:rPr>
          <w:rFonts w:cs="Arial"/>
          <w:sz w:val="22"/>
        </w:rPr>
        <w:t>This economic and personal burden is one of the reasons to advocate early and long-term self-management, rather than immediate treatment (</w:t>
      </w:r>
      <w:r>
        <w:rPr>
          <w:rFonts w:cs="Arial"/>
          <w:sz w:val="22"/>
        </w:rPr>
        <w:t>Magkos</w:t>
      </w:r>
      <w:r>
        <w:rPr>
          <w:rFonts w:cs="Arial"/>
          <w:sz w:val="22"/>
        </w:rPr>
        <w:t xml:space="preserve"> et al. 2020).</w:t>
      </w:r>
    </w:p>
    <w:p w14:paraId="7C021F58">
      <w:pPr>
        <w:pStyle w:val="style0"/>
        <w:spacing w:lineRule="auto" w:line="360"/>
        <w:jc w:val="both"/>
        <w:rPr>
          <w:rFonts w:cs="Arial"/>
          <w:sz w:val="22"/>
        </w:rPr>
      </w:pPr>
      <w:r>
        <w:rPr>
          <w:rFonts w:cs="Arial"/>
          <w:sz w:val="22"/>
        </w:rPr>
        <w:t>This is a widespread disease. The prevalence of diabetes in adults increased from 7% in 1990 to 14% in 2022 (WHO, 2024). The International Diabetes Federation (2024) estimated that more than one trillion US dollars were spent on global health care due to diabetes in one year. This is an economic burden as well. In the long term, uncontrolled diabetes can cause damage to the nerves, blood vessels, kidneys, eyes and cardiovascular system, which may not happen straight away. This is one of the arguments in favour of early, long-term self-management instead of immediate treatment (</w:t>
      </w:r>
      <w:r>
        <w:rPr>
          <w:rFonts w:cs="Arial"/>
          <w:sz w:val="22"/>
        </w:rPr>
        <w:t>Magkos</w:t>
      </w:r>
      <w:r>
        <w:rPr>
          <w:rFonts w:cs="Arial"/>
          <w:sz w:val="22"/>
        </w:rPr>
        <w:t xml:space="preserve"> et al. 2020).</w:t>
      </w:r>
    </w:p>
    <w:p w14:paraId="7C021F59">
      <w:pPr>
        <w:pStyle w:val="style0"/>
        <w:spacing w:lineRule="auto" w:line="360"/>
        <w:jc w:val="both"/>
        <w:rPr>
          <w:rFonts w:cs="Arial"/>
          <w:sz w:val="22"/>
        </w:rPr>
      </w:pPr>
      <w:r>
        <w:rPr>
          <w:rFonts w:cs="Arial"/>
          <w:sz w:val="22"/>
        </w:rPr>
        <w:t>The same image is echoed in the UK. Diabetes UK (2025) estimates that almost 6 million people are living with diabetes in the UK, of whom over 4.7 million have a diagnosis and close to 1.3 million may have undiagnosed type 2 diabetes. The same data also reveals that diabetes costs the NHS an estimated 10.7bn pounds every year, and this cost is set to increase further if the prevalence of diabetes continues at its current rate. The Office for Health Improvement and Disparities (2025) have also noted an increase in diagnosed type 2 diabetes in adults in England, indicating that the condition is not declining even in a high-resourced healthcare service. One of the reasons this dissertation focuses on adults who currently have type 2 diabetes instead of being at risk of developing type 2 diabetes is that the opportunity to provide early lifestyle support and structured education is lost.</w:t>
      </w:r>
    </w:p>
    <w:p w14:paraId="7C021F5A">
      <w:pPr>
        <w:pStyle w:val="style0"/>
        <w:spacing w:lineRule="auto" w:line="360"/>
        <w:jc w:val="both"/>
        <w:rPr>
          <w:rFonts w:cs="Arial"/>
          <w:sz w:val="22"/>
        </w:rPr>
      </w:pPr>
      <w:r>
        <w:rPr>
          <w:rFonts w:cs="Arial"/>
          <w:sz w:val="22"/>
        </w:rPr>
        <w:t xml:space="preserve">This dissertation focuses on exercise as it has a critical role in type 2 diabetes control, which relies on clinical treatment and everyday health behaviours. There is a strong connection between physical activity and each of the goals of the NICE (2026) guideline for the management of type 2 diabetes in adults: education; dietary advice; blood glucose management; and preventing long-term complications, given its impact on weight, insulin sensitivity and cardiovascular health. The authors of the review by </w:t>
      </w:r>
      <w:r>
        <w:rPr>
          <w:rFonts w:cs="Arial"/>
          <w:sz w:val="22"/>
        </w:rPr>
        <w:t>Magkos</w:t>
      </w:r>
      <w:r>
        <w:rPr>
          <w:rFonts w:cs="Arial"/>
          <w:sz w:val="22"/>
        </w:rPr>
        <w:t>, Hjorth and Astrup (2020) evaluated trial data and found that diet and exercise are effective when lifestyle changes are sustained over time and not viewed as an intervention for a few weeks or months at best. It's a significant qualification as it implies that exercise is not recommended separately from the person's confidence, time and support to carry it out as an adult.</w:t>
      </w:r>
    </w:p>
    <w:p w14:paraId="7C021F5B">
      <w:pPr>
        <w:pStyle w:val="style0"/>
        <w:spacing w:lineRule="auto" w:line="360"/>
        <w:jc w:val="both"/>
        <w:rPr>
          <w:rFonts w:cs="Arial"/>
          <w:sz w:val="22"/>
        </w:rPr>
      </w:pPr>
      <w:r>
        <w:rPr>
          <w:rFonts w:cs="Arial"/>
          <w:sz w:val="22"/>
        </w:rPr>
        <w:t xml:space="preserve">Self-medication is considered in this dissertation as a separate but interwoven risk besides physical activity. People with type 2 diabetes may be on medicines to lower their blood sugar, as well as blood pressure and cholesterol, or other long-term medicines, increasing the potential for the medicines to interact if they are altered without professional guidance. </w:t>
      </w:r>
      <w:r>
        <w:rPr>
          <w:rFonts w:cs="Arial"/>
          <w:sz w:val="22"/>
        </w:rPr>
        <w:t>Fertu</w:t>
      </w:r>
      <w:r>
        <w:rPr>
          <w:rFonts w:cs="Arial"/>
          <w:sz w:val="22"/>
        </w:rPr>
        <w:t xml:space="preserve"> et al (2026) carried out a systematic review of self-medication and polypharmacy, which found adverse drug reactions and inappropriate use of medicines were common findings in all studies. Because they </w:t>
      </w:r>
      <w:r>
        <w:rPr>
          <w:rFonts w:cs="Arial"/>
          <w:sz w:val="22"/>
        </w:rPr>
        <w:t xml:space="preserve">reviewed evidence from multiple countries, but not specific to diabetes, they are a useful resource to consider but should not be read as the same in this context. Parmar et al. (2025) provide a more specific lens, concluding that even though the evidence was not strong or consistent overall, culture, language and social practice are important factors for health literacy and medication adherence among adults from minority ethnic groups with type 2 diabetes. This is pertinent to the UK policy on type 2 diabetes prevention, which focuses on individual behaviour and lifestyle, overlooking the broader social and service landscape that influences these behaviours, as critically argued by Barry et al. (2023). Powers et al. (2020) suggest that self-management support should foster the knowledge, skills and confidence of an adult to manage diabetes with health care providers, and this is a balance this dissertation is attempting to explore when it comes to using exercise and medication. </w:t>
      </w:r>
    </w:p>
    <w:bookmarkStart w:id="3" w:name="_Toc238491847"/>
    <w:p w14:paraId="7C021F5C">
      <w:pPr>
        <w:pStyle w:val="style2"/>
        <w:spacing w:lineRule="auto" w:line="360"/>
        <w:jc w:val="both"/>
        <w:rPr>
          <w:rFonts w:cs="Arial"/>
          <w:sz w:val="22"/>
          <w:szCs w:val="22"/>
        </w:rPr>
      </w:pPr>
      <w:r>
        <w:rPr>
          <w:rFonts w:cs="Arial"/>
          <w:sz w:val="22"/>
          <w:szCs w:val="22"/>
        </w:rPr>
        <w:t>1.3 Rationale for Research / Problem Statement</w:t>
      </w:r>
      <w:bookmarkEnd w:id="3"/>
    </w:p>
    <w:p w14:paraId="7C021F5D">
      <w:pPr>
        <w:pStyle w:val="style0"/>
        <w:spacing w:lineRule="auto" w:line="360"/>
        <w:jc w:val="both"/>
        <w:rPr>
          <w:rFonts w:cs="Arial"/>
          <w:sz w:val="22"/>
        </w:rPr>
      </w:pPr>
      <w:r>
        <w:rPr>
          <w:rFonts w:cs="Arial"/>
          <w:sz w:val="22"/>
        </w:rPr>
        <w:t>This dissertation has arisen from the challenges faced in making general diabetes advice into safe and sustained behaviour. There is a well-established recommendation to do some form of regular physical activity, but adults with type 2 diabetes frequently report low confidence, physical limitations and lack of safe environments. The factors that influence whether or not exercise advice is followed are personal, social and environmental, not one single factor (</w:t>
      </w:r>
      <w:r>
        <w:rPr>
          <w:rFonts w:cs="Arial"/>
          <w:sz w:val="22"/>
        </w:rPr>
        <w:t>Vilafranca</w:t>
      </w:r>
      <w:r>
        <w:rPr>
          <w:rFonts w:cs="Arial"/>
          <w:sz w:val="22"/>
        </w:rPr>
        <w:t xml:space="preserve"> Cartagena, Tort-</w:t>
      </w:r>
      <w:r>
        <w:rPr>
          <w:rFonts w:cs="Arial"/>
          <w:sz w:val="22"/>
        </w:rPr>
        <w:t>Nasarre</w:t>
      </w:r>
      <w:r>
        <w:rPr>
          <w:rFonts w:cs="Arial"/>
          <w:sz w:val="22"/>
        </w:rPr>
        <w:t xml:space="preserve"> and </w:t>
      </w:r>
      <w:r>
        <w:rPr>
          <w:rFonts w:cs="Arial"/>
          <w:sz w:val="22"/>
        </w:rPr>
        <w:t>Rubinat</w:t>
      </w:r>
      <w:r>
        <w:rPr>
          <w:rFonts w:cs="Arial"/>
          <w:sz w:val="22"/>
        </w:rPr>
        <w:t xml:space="preserve"> Arnaldo, 2021). There is a parallel issue with drugs. Chronic conditions are commonly self-medicated with OTC medications and previous prescription medications by adults, which could increase the risk for missed monitoring and delayed treatment when applied to type 2 diabetes specifically (</w:t>
      </w:r>
      <w:r>
        <w:rPr>
          <w:rFonts w:cs="Arial"/>
          <w:sz w:val="22"/>
        </w:rPr>
        <w:t>Alwhaibi</w:t>
      </w:r>
      <w:r>
        <w:rPr>
          <w:rFonts w:cs="Arial"/>
          <w:sz w:val="22"/>
        </w:rPr>
        <w:t xml:space="preserve"> et al., 2023). Exercise and self-medication are therefore combined in this dissertation in the first place because both are decisions made by adults outside clinical supervision, and in the second place because one of these decisions, e.g. taking a painkiller in addition to the glucose-lowering drug, might seem simple, but has significant safety consequences.</w:t>
      </w:r>
    </w:p>
    <w:bookmarkStart w:id="4" w:name="_Toc238491848"/>
    <w:p w14:paraId="7C021F5E">
      <w:pPr>
        <w:pStyle w:val="style2"/>
        <w:spacing w:lineRule="auto" w:line="360"/>
        <w:jc w:val="both"/>
        <w:rPr>
          <w:rFonts w:cs="Arial"/>
          <w:sz w:val="22"/>
          <w:szCs w:val="22"/>
        </w:rPr>
      </w:pPr>
      <w:r>
        <w:rPr>
          <w:rFonts w:cs="Arial"/>
          <w:sz w:val="22"/>
          <w:szCs w:val="22"/>
        </w:rPr>
        <w:t>1.4 Research Question</w:t>
      </w:r>
      <w:bookmarkEnd w:id="4"/>
    </w:p>
    <w:p w14:paraId="7C021F5F">
      <w:pPr>
        <w:pStyle w:val="style0"/>
        <w:spacing w:lineRule="auto" w:line="360"/>
        <w:jc w:val="both"/>
        <w:rPr>
          <w:rFonts w:cs="Arial"/>
          <w:sz w:val="22"/>
        </w:rPr>
      </w:pPr>
      <w:r>
        <w:rPr>
          <w:rFonts w:cs="Arial"/>
          <w:sz w:val="22"/>
        </w:rPr>
        <w:t>Q1. What does the published evidence show about the role of exercise in the management of type 2 diabetes in adults?</w:t>
      </w:r>
    </w:p>
    <w:p w14:paraId="7C021F60">
      <w:pPr>
        <w:pStyle w:val="style0"/>
        <w:spacing w:lineRule="auto" w:line="360"/>
        <w:jc w:val="both"/>
        <w:rPr>
          <w:rFonts w:cs="Arial"/>
          <w:sz w:val="22"/>
        </w:rPr>
      </w:pPr>
      <w:r>
        <w:rPr>
          <w:rFonts w:cs="Arial"/>
          <w:sz w:val="22"/>
        </w:rPr>
        <w:t>Q2. What does the published evidence show about the public health risks associated with self-medication in adults with type 2 diabetes?</w:t>
      </w:r>
    </w:p>
    <w:bookmarkStart w:id="5" w:name="_Toc238491849"/>
    <w:p w14:paraId="7C021F61">
      <w:pPr>
        <w:pStyle w:val="style2"/>
        <w:spacing w:lineRule="auto" w:line="360"/>
        <w:jc w:val="both"/>
        <w:rPr>
          <w:rFonts w:cs="Arial"/>
          <w:sz w:val="22"/>
          <w:szCs w:val="22"/>
        </w:rPr>
      </w:pPr>
      <w:r>
        <w:rPr>
          <w:rFonts w:cs="Arial"/>
          <w:sz w:val="22"/>
          <w:szCs w:val="22"/>
        </w:rPr>
        <w:t>1.5 Aim and Objectives</w:t>
      </w:r>
      <w:bookmarkEnd w:id="5"/>
    </w:p>
    <w:p w14:paraId="7C021F62">
      <w:pPr>
        <w:pStyle w:val="style0"/>
        <w:spacing w:lineRule="auto" w:line="360"/>
        <w:jc w:val="both"/>
        <w:rPr>
          <w:rFonts w:cs="Arial"/>
          <w:sz w:val="22"/>
        </w:rPr>
      </w:pPr>
      <w:r>
        <w:rPr>
          <w:rFonts w:cs="Arial"/>
          <w:sz w:val="22"/>
        </w:rPr>
        <w:t>This systematic review aims to examine published evidence on exercise in type 2 diabetes management and the public health risks of self-medication in adults with the condition.</w:t>
      </w:r>
    </w:p>
    <w:bookmarkStart w:id="6" w:name="_Toc238491850"/>
    <w:p w14:paraId="7C021F63">
      <w:pPr>
        <w:pStyle w:val="style2"/>
        <w:spacing w:lineRule="auto" w:line="360"/>
        <w:jc w:val="both"/>
        <w:rPr>
          <w:rFonts w:cs="Arial"/>
          <w:sz w:val="22"/>
          <w:szCs w:val="22"/>
        </w:rPr>
      </w:pPr>
      <w:r>
        <w:rPr>
          <w:rFonts w:cs="Arial"/>
          <w:sz w:val="22"/>
          <w:szCs w:val="22"/>
        </w:rPr>
        <w:t>1.6 Research Objectives</w:t>
      </w:r>
      <w:bookmarkEnd w:id="6"/>
      <w:r>
        <w:rPr>
          <w:rFonts w:cs="Arial"/>
          <w:sz w:val="22"/>
          <w:szCs w:val="22"/>
        </w:rPr>
        <w:t xml:space="preserve"> </w:t>
      </w:r>
    </w:p>
    <w:p w14:paraId="7C021F64">
      <w:pPr>
        <w:pStyle w:val="style179"/>
        <w:numPr>
          <w:ilvl w:val="0"/>
          <w:numId w:val="1"/>
        </w:numPr>
        <w:spacing w:lineRule="auto" w:line="360"/>
        <w:jc w:val="both"/>
        <w:rPr>
          <w:rFonts w:cs="Arial"/>
          <w:sz w:val="22"/>
        </w:rPr>
      </w:pPr>
      <w:r>
        <w:rPr>
          <w:rFonts w:cs="Arial"/>
          <w:sz w:val="22"/>
        </w:rPr>
        <w:t>To aggregate evidence related to the impact of exercise on glycaemic control, weight and cardiovascular health in adults with type 2 diabetes.</w:t>
      </w:r>
    </w:p>
    <w:p w14:paraId="7C021F65">
      <w:pPr>
        <w:pStyle w:val="style179"/>
        <w:numPr>
          <w:ilvl w:val="0"/>
          <w:numId w:val="1"/>
        </w:numPr>
        <w:spacing w:lineRule="auto" w:line="360"/>
        <w:jc w:val="both"/>
        <w:rPr>
          <w:rFonts w:cs="Arial"/>
          <w:sz w:val="22"/>
        </w:rPr>
      </w:pPr>
      <w:r>
        <w:rPr>
          <w:rFonts w:cs="Arial"/>
          <w:sz w:val="22"/>
        </w:rPr>
        <w:t>To determine factors related to self-medication in adults with type 2 diabetes, such as health literacy, access and cost.</w:t>
      </w:r>
    </w:p>
    <w:p w14:paraId="7C021F66">
      <w:pPr>
        <w:pStyle w:val="style179"/>
        <w:numPr>
          <w:ilvl w:val="0"/>
          <w:numId w:val="1"/>
        </w:numPr>
        <w:spacing w:lineRule="auto" w:line="360"/>
        <w:jc w:val="both"/>
        <w:rPr>
          <w:rFonts w:cs="Arial"/>
          <w:sz w:val="22"/>
        </w:rPr>
      </w:pPr>
      <w:r>
        <w:rPr>
          <w:rFonts w:cs="Arial"/>
          <w:sz w:val="22"/>
        </w:rPr>
        <w:t>To assess evidence of self-medication as a risk to safety, including drug interactions and hypoglycaemia.</w:t>
      </w:r>
    </w:p>
    <w:p w14:paraId="7C021F67">
      <w:pPr>
        <w:pStyle w:val="style179"/>
        <w:numPr>
          <w:ilvl w:val="0"/>
          <w:numId w:val="1"/>
        </w:numPr>
        <w:spacing w:lineRule="auto" w:line="360"/>
        <w:jc w:val="both"/>
        <w:rPr>
          <w:rFonts w:cs="Arial"/>
          <w:sz w:val="22"/>
        </w:rPr>
      </w:pPr>
      <w:r>
        <w:rPr>
          <w:rFonts w:cs="Arial"/>
          <w:sz w:val="22"/>
        </w:rPr>
        <w:t>To develop recommendations for safer self-management and patient education using the synthesised evidence.</w:t>
      </w:r>
    </w:p>
    <w:bookmarkStart w:id="7" w:name="_Toc238491851"/>
    <w:p w14:paraId="7C021F68">
      <w:pPr>
        <w:pStyle w:val="style2"/>
        <w:spacing w:lineRule="auto" w:line="360"/>
        <w:jc w:val="both"/>
        <w:rPr>
          <w:rFonts w:cs="Arial"/>
          <w:sz w:val="22"/>
          <w:szCs w:val="22"/>
        </w:rPr>
      </w:pPr>
      <w:r>
        <w:rPr>
          <w:rFonts w:cs="Arial"/>
          <w:sz w:val="22"/>
          <w:szCs w:val="22"/>
        </w:rPr>
        <w:t>1.7 Chapter Summary</w:t>
      </w:r>
      <w:bookmarkEnd w:id="7"/>
    </w:p>
    <w:p w14:paraId="7C021F69">
      <w:pPr>
        <w:pStyle w:val="style0"/>
        <w:spacing w:lineRule="auto" w:line="360"/>
        <w:jc w:val="both"/>
        <w:rPr>
          <w:rFonts w:cs="Arial"/>
          <w:sz w:val="22"/>
        </w:rPr>
      </w:pPr>
      <w:r>
        <w:rPr>
          <w:rFonts w:cs="Arial"/>
          <w:sz w:val="22"/>
        </w:rPr>
        <w:t>The concept of type 2 diabetes as a large-scale health and social burden has been introduced, and exercise and self-medication outlined as two interrelated behaviours that impact the safety of self-management. It has formulated the rationale, research questions, aim and objectives for this systematic review. Chapter Two then reviews the literature, exploring the theoretical models, evidence and gaps that are relevant to the understanding of exercise and self-medication in adults with type 2 diabetes.</w:t>
      </w:r>
      <w:r>
        <w:rPr>
          <w:rFonts w:cs="Arial"/>
          <w:sz w:val="22"/>
        </w:rPr>
        <w:br w:type="page"/>
      </w:r>
    </w:p>
    <w:bookmarkStart w:id="8" w:name="_Toc238491852"/>
    <w:p w14:paraId="7C021F6A">
      <w:pPr>
        <w:pStyle w:val="style1"/>
        <w:spacing w:lineRule="auto" w:line="360"/>
        <w:jc w:val="both"/>
        <w:rPr>
          <w:rFonts w:cs="Arial"/>
          <w:sz w:val="22"/>
          <w:szCs w:val="22"/>
        </w:rPr>
      </w:pPr>
      <w:r>
        <w:rPr>
          <w:rFonts w:cs="Arial"/>
          <w:sz w:val="22"/>
          <w:szCs w:val="22"/>
        </w:rPr>
        <w:t>Chapter 2: Literature Review</w:t>
      </w:r>
      <w:bookmarkEnd w:id="8"/>
    </w:p>
    <w:bookmarkStart w:id="9" w:name="_Toc238491853"/>
    <w:p w14:paraId="7C021F6B">
      <w:pPr>
        <w:pStyle w:val="style2"/>
        <w:spacing w:lineRule="auto" w:line="360"/>
        <w:jc w:val="both"/>
        <w:rPr>
          <w:rFonts w:cs="Arial"/>
          <w:sz w:val="22"/>
          <w:szCs w:val="22"/>
        </w:rPr>
      </w:pPr>
      <w:r>
        <w:rPr>
          <w:rFonts w:cs="Arial"/>
          <w:sz w:val="22"/>
          <w:szCs w:val="22"/>
        </w:rPr>
        <w:t>2.1 Introduction</w:t>
      </w:r>
      <w:bookmarkEnd w:id="9"/>
    </w:p>
    <w:p w14:paraId="7C021F6C">
      <w:pPr>
        <w:pStyle w:val="style0"/>
        <w:spacing w:lineRule="auto" w:line="360"/>
        <w:jc w:val="both"/>
        <w:rPr>
          <w:rFonts w:cs="Arial"/>
          <w:sz w:val="22"/>
        </w:rPr>
      </w:pPr>
      <w:r>
        <w:rPr>
          <w:rFonts w:cs="Arial"/>
          <w:sz w:val="22"/>
        </w:rPr>
        <w:t>The chapter examines published literature on type 2 diabetes self-management and physical activity and self-medication, from a critical perspective. It is organised in six themes: theoretical frameworks explaining self-management behaviour, type 2 diabetes as a public health problem, physical activity and exercise in diabetes control, self-medication and medication safety, health literacy and behaviour change, and the conceptual framework and gaps explored through this systematic review. Each theme is critically discussed and is based on a variety of clinical, behavioural and public health sources.</w:t>
      </w:r>
    </w:p>
    <w:bookmarkStart w:id="10" w:name="_Toc238491854"/>
    <w:p w14:paraId="7C021F6D">
      <w:pPr>
        <w:pStyle w:val="style2"/>
        <w:spacing w:lineRule="auto" w:line="360"/>
        <w:jc w:val="both"/>
        <w:rPr>
          <w:rFonts w:cs="Arial"/>
          <w:sz w:val="22"/>
          <w:szCs w:val="22"/>
        </w:rPr>
      </w:pPr>
      <w:r>
        <w:rPr>
          <w:rFonts w:cs="Arial"/>
          <w:sz w:val="22"/>
          <w:szCs w:val="22"/>
        </w:rPr>
        <w:t>2.2 Literature Review</w:t>
      </w:r>
      <w:bookmarkEnd w:id="10"/>
    </w:p>
    <w:bookmarkStart w:id="11" w:name="_Toc238491855"/>
    <w:p w14:paraId="7C021F6E">
      <w:pPr>
        <w:pStyle w:val="style3"/>
        <w:spacing w:lineRule="auto" w:line="360"/>
        <w:jc w:val="both"/>
        <w:rPr>
          <w:rFonts w:cs="Arial"/>
          <w:sz w:val="22"/>
          <w:szCs w:val="22"/>
        </w:rPr>
      </w:pPr>
      <w:r>
        <w:rPr>
          <w:rFonts w:cs="Arial"/>
          <w:sz w:val="22"/>
          <w:szCs w:val="22"/>
        </w:rPr>
        <w:t>2.2.1 Theoretical Framework: Health Belief Model and Social Cognitive Theory</w:t>
      </w:r>
      <w:bookmarkEnd w:id="11"/>
    </w:p>
    <w:p w14:paraId="4D5BDAF3">
      <w:pPr>
        <w:pStyle w:val="style0"/>
        <w:spacing w:lineRule="auto" w:line="360"/>
        <w:jc w:val="both"/>
        <w:rPr>
          <w:rFonts w:cs="Arial"/>
          <w:sz w:val="22"/>
        </w:rPr>
      </w:pPr>
      <w:r>
        <w:rPr>
          <w:rFonts w:cs="Arial"/>
          <w:sz w:val="22"/>
        </w:rPr>
        <w:t xml:space="preserve">This dissertation is based on two behavioural theories. The purpose of the Health Belief Model (HBM) is to explain how adults with type 2 diabetes consider the perceived severity of a condition, its benefits and barriers when they make a decision to change self-management behaviour. The constructs of the model may not be equally important, as Hu et al. (2022) discovered that perceived severity was more strongly related to self-care behaviour in a large Chinese sample than perceived susceptibility. In line with the focus of this dissertation on exercise and self-medication, the constructs of HBM were also found to be relevant to the present study by Darvishi et al. (2025), who reported that over 50% of the variance in preventive self-care behaviour was explained by self-efficacy and perceived barriers among adults with type 2 diabetes. </w:t>
      </w:r>
      <w:r>
        <w:rPr>
          <w:rFonts w:cs="Arial"/>
          <w:sz w:val="22"/>
        </w:rPr>
        <w:t xml:space="preserve">A more critical view is added by Melkamu, Berhe and </w:t>
      </w:r>
      <w:r>
        <w:rPr>
          <w:rFonts w:cs="Arial"/>
          <w:sz w:val="22"/>
        </w:rPr>
        <w:t>Handebo</w:t>
      </w:r>
      <w:r>
        <w:rPr>
          <w:rFonts w:cs="Arial"/>
          <w:sz w:val="22"/>
        </w:rPr>
        <w:t xml:space="preserve"> (2021) that, although cost and access were significant determinants of motivation, they were not invariably significant determinants of behaviour in their sample. This difference is important because it implies that the HBM's motivational judgments are more accurate predictors of motivational feelings than motivational behavio</w:t>
      </w:r>
      <w:r>
        <w:rPr>
          <w:rFonts w:cs="Arial"/>
          <w:sz w:val="22"/>
        </w:rPr>
        <w:t>u</w:t>
      </w:r>
      <w:r>
        <w:rPr>
          <w:rFonts w:cs="Arial"/>
          <w:sz w:val="22"/>
        </w:rPr>
        <w:t>rs, especially when resources are constrained, including time, money, and safe exercise spaces. If the fear of hypoglycaemia, lack of confidence and lack of professional guidance to the adult outweigh the benefit of physical activity, then the adult may accept it but not engage in it.</w:t>
      </w:r>
    </w:p>
    <w:p w14:paraId="7C021F70">
      <w:pPr>
        <w:pStyle w:val="style0"/>
        <w:spacing w:lineRule="auto" w:line="360"/>
        <w:jc w:val="both"/>
        <w:rPr>
          <w:rFonts w:cs="Arial"/>
          <w:sz w:val="22"/>
        </w:rPr>
      </w:pPr>
      <w:r>
        <w:rPr>
          <w:rFonts w:cs="Arial"/>
          <w:sz w:val="22"/>
        </w:rPr>
        <w:t xml:space="preserve">The HBM does not sufficiently include a focus on self-efficacy, social influence and behavioural learning as emphasised in Social Cognitive Theory (SCT). Going beyond correlation, Kaveh et al. (2022) showed that an SCT-based training programme decreased HbA1c by slightly more than two percentage points in adults with type 2 diabetes in Iran. The findings of </w:t>
      </w:r>
      <w:r>
        <w:rPr>
          <w:rFonts w:cs="Arial"/>
          <w:sz w:val="22"/>
        </w:rPr>
        <w:t>Obirikorang</w:t>
      </w:r>
      <w:r>
        <w:rPr>
          <w:rFonts w:cs="Arial"/>
          <w:sz w:val="22"/>
        </w:rPr>
        <w:t xml:space="preserve"> et al. (2022) in a sample from Ghana were broadly similar, showing direct links between the SCT constructs and self-management behaviour, supporting the confidence that these links do not just </w:t>
      </w:r>
      <w:r>
        <w:rPr>
          <w:rFonts w:cs="Arial"/>
          <w:sz w:val="22"/>
        </w:rPr>
        <w:t>apply to one population. HBM and SCT are two factors that together account for the belief that exercise is good for adults and also explain why adults' beliefs without confidence and social support are unlikely to lead to lasting behaviour change.</w:t>
      </w:r>
    </w:p>
    <w:bookmarkStart w:id="12" w:name="_Toc238491856"/>
    <w:p w14:paraId="7C021F71">
      <w:pPr>
        <w:pStyle w:val="style3"/>
        <w:spacing w:lineRule="auto" w:line="360"/>
        <w:jc w:val="both"/>
        <w:rPr>
          <w:rFonts w:cs="Arial"/>
          <w:sz w:val="22"/>
          <w:szCs w:val="22"/>
        </w:rPr>
      </w:pPr>
      <w:r>
        <w:rPr>
          <w:rFonts w:cs="Arial"/>
          <w:sz w:val="22"/>
          <w:szCs w:val="22"/>
        </w:rPr>
        <w:t>2.2.2 Type 2 Diabetes as a Public Health and Self-Management Issue</w:t>
      </w:r>
      <w:bookmarkEnd w:id="12"/>
    </w:p>
    <w:p w14:paraId="7C021F72">
      <w:pPr>
        <w:pStyle w:val="style0"/>
        <w:spacing w:lineRule="auto" w:line="360"/>
        <w:jc w:val="both"/>
        <w:rPr>
          <w:rFonts w:cs="Arial"/>
          <w:sz w:val="22"/>
        </w:rPr>
      </w:pPr>
      <w:r>
        <w:rPr>
          <w:rFonts w:cs="Arial"/>
          <w:sz w:val="22"/>
        </w:rPr>
        <w:t xml:space="preserve">Type 2 diabetes is a chronic rather than an acute disease and should not be treated as a one-off episode of care. Whicher, O'Neill and Holt (2020) provide a useful overview of the scale of diabetes as a life-course condition to be prevented, diagnosed, treated and complicated in adulthood, but little explanation of what it is like to live with the condition on a day-to-day basis. In contrast, Barry et al. (2023) are critical of the focus of UK prevention policy, which is more likely to focus on individuals considered to be 'high risk' and to encourage them to change their behaviour rather than the broader social and service environments in which such behaviours are displayed. Rajput, </w:t>
      </w:r>
      <w:r>
        <w:rPr>
          <w:rFonts w:cs="Arial"/>
          <w:sz w:val="22"/>
        </w:rPr>
        <w:t>Ashraff</w:t>
      </w:r>
      <w:r>
        <w:rPr>
          <w:rFonts w:cs="Arial"/>
          <w:sz w:val="22"/>
        </w:rPr>
        <w:t xml:space="preserve"> and Siddiqui (2022) further limit the scope by demonstrating how diet, weight and psychosocial factors are closely related to diabetes control in the UK, but caution that the conclusions of their review should be considered as indicative rather than definitive due to a narrative design. Together, these sources have a message: Exercise and self-medication can't be seen as individual decisions. They are influenced, amongst other factors, by health literacy, access to services, social norms and professional support, making it difficult to change behaviour without additional support that goes beyond general health advice.</w:t>
      </w:r>
    </w:p>
    <w:bookmarkStart w:id="13" w:name="_Toc238491857"/>
    <w:p w14:paraId="7C021F73">
      <w:pPr>
        <w:pStyle w:val="style3"/>
        <w:spacing w:lineRule="auto" w:line="360"/>
        <w:jc w:val="both"/>
        <w:rPr>
          <w:rFonts w:cs="Arial"/>
          <w:sz w:val="22"/>
          <w:szCs w:val="22"/>
        </w:rPr>
      </w:pPr>
      <w:r>
        <w:rPr>
          <w:rFonts w:cs="Arial"/>
          <w:sz w:val="22"/>
          <w:szCs w:val="22"/>
        </w:rPr>
        <w:t>2.2.3 Physical Activity and Exercise in Type 2 Diabetes Management</w:t>
      </w:r>
      <w:bookmarkEnd w:id="13"/>
      <w:r>
        <w:rPr>
          <w:rFonts w:cs="Arial"/>
          <w:sz w:val="22"/>
          <w:szCs w:val="22"/>
        </w:rPr>
        <w:t xml:space="preserve"> </w:t>
      </w:r>
    </w:p>
    <w:p w14:paraId="7C021F74">
      <w:pPr>
        <w:pStyle w:val="style0"/>
        <w:spacing w:lineRule="auto" w:line="360"/>
        <w:jc w:val="both"/>
        <w:rPr>
          <w:rFonts w:cs="Arial"/>
          <w:sz w:val="22"/>
        </w:rPr>
      </w:pPr>
      <w:r>
        <w:rPr>
          <w:rFonts w:cs="Arial"/>
          <w:sz w:val="22"/>
        </w:rPr>
        <w:t xml:space="preserve">Physical activity (PA) is defined as any movement of the body that requires an increase in energy expenditure, and exercise is a more specific, structured and purposeful category of PA. This distinction is important as the terms are sometimes used interchangeably in the literature, and this dissertation uses the terms PA and exercise when describing structured programmes. However, while exercise can have a short-term effect, it is diet-induced weight loss combined with exercise that has a meaningful effect on glycaemic control, and this is only when it is maintained over a long period of time, as per </w:t>
      </w:r>
      <w:r>
        <w:rPr>
          <w:rFonts w:cs="Arial"/>
          <w:sz w:val="22"/>
        </w:rPr>
        <w:t>Magkos</w:t>
      </w:r>
      <w:r>
        <w:rPr>
          <w:rFonts w:cs="Arial"/>
          <w:sz w:val="22"/>
        </w:rPr>
        <w:t xml:space="preserve">, Hjorth and Astrup (2020). </w:t>
      </w:r>
      <w:r>
        <w:rPr>
          <w:rFonts w:cs="Arial"/>
          <w:sz w:val="22"/>
        </w:rPr>
        <w:t>Gulsin</w:t>
      </w:r>
      <w:r>
        <w:rPr>
          <w:rFonts w:cs="Arial"/>
          <w:sz w:val="22"/>
        </w:rPr>
        <w:t xml:space="preserve"> et al. (2020) have given more specific clinical evidence suggesting in a randomised controlled trial that supervised exercise training resulted in improvements in diastolic cardiac function and exercise capacity in working-age adults with type 2 diabetes, albeit with a minimal weight loss relative to the meal replacement diet arm. This trial bolsters the evidence supporting the effects of exercise beyond glucose regulation, but due to the supervised, time-limited nature of the study, it does not provide information on whether adults can maintain such activity in daily life. This is a concern reiterated by Rajput, </w:t>
      </w:r>
      <w:r>
        <w:rPr>
          <w:rFonts w:cs="Arial"/>
          <w:sz w:val="22"/>
        </w:rPr>
        <w:t>Ashraff</w:t>
      </w:r>
      <w:r>
        <w:rPr>
          <w:rFonts w:cs="Arial"/>
          <w:sz w:val="22"/>
        </w:rPr>
        <w:t xml:space="preserve"> and Siddiqui (2022), who state that lifestyle recommendations should be </w:t>
      </w:r>
      <w:r>
        <w:rPr>
          <w:rFonts w:cs="Arial"/>
          <w:sz w:val="22"/>
        </w:rPr>
        <w:t>specific and realistic to the individual recipient and not a blanket one. Combined, this literature suggests that there is good clinical support for PA and exercise, and little behavioural support, which is why it is important to view exercise as a behaviour to be understood, rather than merely recommended.</w:t>
      </w:r>
    </w:p>
    <w:bookmarkStart w:id="14" w:name="_Toc238491858"/>
    <w:p w14:paraId="7C021F75">
      <w:pPr>
        <w:pStyle w:val="style3"/>
        <w:spacing w:lineRule="auto" w:line="360"/>
        <w:jc w:val="both"/>
        <w:rPr>
          <w:rFonts w:cs="Arial"/>
          <w:sz w:val="22"/>
          <w:szCs w:val="22"/>
        </w:rPr>
      </w:pPr>
      <w:r>
        <w:rPr>
          <w:rFonts w:cs="Arial"/>
          <w:sz w:val="22"/>
          <w:szCs w:val="22"/>
        </w:rPr>
        <w:t>2.2.4 Self-Medication and Medication Safety</w:t>
      </w:r>
      <w:bookmarkEnd w:id="14"/>
      <w:r>
        <w:rPr>
          <w:rFonts w:cs="Arial"/>
          <w:sz w:val="22"/>
          <w:szCs w:val="22"/>
        </w:rPr>
        <w:t xml:space="preserve"> </w:t>
      </w:r>
    </w:p>
    <w:p w14:paraId="7C021F76">
      <w:pPr>
        <w:pStyle w:val="style0"/>
        <w:spacing w:lineRule="auto" w:line="360"/>
        <w:jc w:val="both"/>
        <w:rPr>
          <w:rFonts w:cs="Arial"/>
          <w:sz w:val="22"/>
        </w:rPr>
      </w:pPr>
      <w:r>
        <w:rPr>
          <w:rFonts w:cs="Arial"/>
          <w:sz w:val="22"/>
        </w:rPr>
        <w:t xml:space="preserve">The risk of self-medication is also unique in the context of type 2 diabetes as adults may be taking a glucose-lowering medication as well as other long-term medications. The two main themes of this dissertation are interrelated because, as argued by Eckstein et al. (2019), exercise and medication should not be evaluated alone; exercise has an effect on glucose regulation and may necessitate adjustments to medication. Although not diabetes-specific, the systematic review of self-medication and polypharmacy carried out by </w:t>
      </w:r>
      <w:r>
        <w:rPr>
          <w:rFonts w:cs="Arial"/>
          <w:sz w:val="22"/>
        </w:rPr>
        <w:t>Fertu</w:t>
      </w:r>
      <w:r>
        <w:rPr>
          <w:rFonts w:cs="Arial"/>
          <w:sz w:val="22"/>
        </w:rPr>
        <w:t xml:space="preserve"> et al. (2026) provided consistent evidence of adverse drug reactions, drug interactions, and inappropriate use of medicine. A UK-specific dimension is added by Zahn et al. (2019), who conducted a pilot survey and found that the majority of herbal medicine consumers thought that herbal medicines were less hazardous than pharmaceuticals, and they were not always aware of their use by health care professionals. Despite the fact that their study was not diabetes-specific, it demonstrates that belief and non-disclosure have a stronger influence on self-medication risk than do the medicines themselves. Self-medication, a concept applicable to patients with type 2 diabetes, is a matter of personal autonomy and patient safety; as such, medication safety in the context of this dissertation is treated as a public health rather than merely a personal responsibility.</w:t>
      </w:r>
    </w:p>
    <w:bookmarkStart w:id="15" w:name="_Toc238491859"/>
    <w:p w14:paraId="7C021F77">
      <w:pPr>
        <w:pStyle w:val="style3"/>
        <w:spacing w:lineRule="auto" w:line="360"/>
        <w:jc w:val="both"/>
        <w:rPr>
          <w:rFonts w:cs="Arial"/>
          <w:sz w:val="22"/>
          <w:szCs w:val="22"/>
        </w:rPr>
      </w:pPr>
      <w:r>
        <w:rPr>
          <w:rFonts w:cs="Arial"/>
          <w:sz w:val="22"/>
          <w:szCs w:val="22"/>
        </w:rPr>
        <w:t>2.2.5 Health Literacy and Behaviour Change</w:t>
      </w:r>
      <w:bookmarkEnd w:id="15"/>
      <w:r>
        <w:rPr>
          <w:rFonts w:cs="Arial"/>
          <w:sz w:val="22"/>
          <w:szCs w:val="22"/>
        </w:rPr>
        <w:t xml:space="preserve"> </w:t>
      </w:r>
    </w:p>
    <w:p w14:paraId="7C021F78">
      <w:pPr>
        <w:pStyle w:val="style0"/>
        <w:spacing w:lineRule="auto" w:line="360"/>
        <w:jc w:val="both"/>
        <w:rPr>
          <w:rFonts w:cs="Arial"/>
          <w:sz w:val="22"/>
        </w:rPr>
      </w:pPr>
      <w:r>
        <w:rPr>
          <w:rFonts w:cs="Arial"/>
          <w:sz w:val="22"/>
        </w:rPr>
        <w:t>The focus of safer diabetes self-management is understanding lifestyle guidance and medication risk. Kayyali et al. (2019) identified that less than two-thirds of a London-based sample were able to correctly identify common risk factors for type 2 diabetes, highlighting that there remains an awareness gap even in a high-income country, but they did not associate this awareness with long-term outcomes. In contrast, Ahern et al. (2020) present a trial protocol for a diabetes education plus structured behavioural weight support, moving away from information and towards practical, ongoing support—albeit as a protocol, not evidence of effectiveness. Barry et al. (2023) further hone in on this question and raise the issue of whether education that does not cover cost, access and cultural relevance is really sufficient. Combined, these sources imply that health literacy is a dynamic, rather than an individual failing, between what a person knows, the way health professionals communicate with them, and the accessibility of health services.</w:t>
      </w:r>
    </w:p>
    <w:bookmarkStart w:id="16" w:name="_Toc238491860"/>
    <w:p w14:paraId="7C021F79">
      <w:pPr>
        <w:pStyle w:val="style3"/>
        <w:spacing w:lineRule="auto" w:line="360"/>
        <w:jc w:val="both"/>
        <w:rPr>
          <w:rFonts w:cs="Arial"/>
          <w:sz w:val="22"/>
          <w:szCs w:val="22"/>
        </w:rPr>
      </w:pPr>
      <w:r>
        <w:rPr>
          <w:rFonts w:cs="Arial"/>
          <w:sz w:val="22"/>
          <w:szCs w:val="22"/>
        </w:rPr>
        <w:t>2.2.6 Conceptual Framework and Research Gap</w:t>
      </w:r>
      <w:bookmarkEnd w:id="16"/>
    </w:p>
    <w:p w14:paraId="7C021F7A">
      <w:pPr>
        <w:pStyle w:val="style0"/>
        <w:spacing w:lineRule="auto" w:line="360"/>
        <w:jc w:val="both"/>
        <w:rPr>
          <w:rFonts w:cs="Arial"/>
          <w:sz w:val="22"/>
        </w:rPr>
      </w:pPr>
      <w:r>
        <w:rPr>
          <w:rFonts w:cs="Arial"/>
          <w:sz w:val="22"/>
        </w:rPr>
        <w:t>In terms of combining these themes, this review can position the context of diabetes management in terms of two interrelated pathways: firstly, exercise as a broadly protective but less strongly evidenced behaviour, secondly, self-medication as a behaviour that can facilitate autonomy but carry with it risk. The reasons that both behaviours are maintained safely can be explained by beliefs, confidence and social support as provided by HBM or SCT. There are three gaps that appear. The exercise literature is robust in terms of physiological benefit, but has not been as strong on real-world adherence (</w:t>
      </w:r>
      <w:r>
        <w:rPr>
          <w:rFonts w:cs="Arial"/>
          <w:sz w:val="22"/>
        </w:rPr>
        <w:t>Magkos</w:t>
      </w:r>
      <w:r>
        <w:rPr>
          <w:rFonts w:cs="Arial"/>
          <w:sz w:val="22"/>
        </w:rPr>
        <w:t xml:space="preserve">, Hjorth and Astrup, 2020; </w:t>
      </w:r>
      <w:r>
        <w:rPr>
          <w:rFonts w:cs="Arial"/>
          <w:sz w:val="22"/>
        </w:rPr>
        <w:t>Gulsin</w:t>
      </w:r>
      <w:r>
        <w:rPr>
          <w:rFonts w:cs="Arial"/>
          <w:sz w:val="22"/>
        </w:rPr>
        <w:t xml:space="preserve"> et al., 2020). Second, there is a body of literature discussing general medication safety from the self-medication perspective, but not much on the specifics of type 2 diabetes (</w:t>
      </w:r>
      <w:r>
        <w:rPr>
          <w:rFonts w:cs="Arial"/>
          <w:sz w:val="22"/>
        </w:rPr>
        <w:t>Fertu</w:t>
      </w:r>
      <w:r>
        <w:rPr>
          <w:rFonts w:cs="Arial"/>
          <w:sz w:val="22"/>
        </w:rPr>
        <w:t xml:space="preserve"> et al., 2026; Zahn et al., 2019). Third, both exercise and self-medication are important components of self-management, but are typically investigated independently (Eckstein et al., 2019). This systematic review focuses on this question by exploring both.</w:t>
      </w:r>
    </w:p>
    <w:p w14:paraId="7C021F7B">
      <w:pPr>
        <w:pStyle w:val="style0"/>
        <w:spacing w:lineRule="auto" w:line="360"/>
        <w:jc w:val="both"/>
        <w:rPr>
          <w:rFonts w:cs="Arial"/>
          <w:sz w:val="22"/>
        </w:rPr>
      </w:pPr>
    </w:p>
    <w:p w14:paraId="7C021F7C">
      <w:pPr>
        <w:pStyle w:val="style0"/>
        <w:spacing w:lineRule="auto" w:line="360"/>
        <w:jc w:val="both"/>
        <w:rPr>
          <w:rFonts w:cs="Arial"/>
          <w:sz w:val="22"/>
        </w:rPr>
      </w:pPr>
      <w:r>
        <w:rPr>
          <w:rFonts w:cs="Arial"/>
          <w:noProof/>
          <w:sz w:val="22"/>
          <w14:ligatures xmlns:w14="http://schemas.microsoft.com/office/word/2010/wordml" w14:val="none"/>
        </w:rPr>
        <w:drawing>
          <wp:inline distL="0" distT="0" distB="0" distR="0">
            <wp:extent cx="5410200" cy="3749781"/>
            <wp:effectExtent l="0" t="0" r="0" b="3175"/>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257" b="0"/>
                    <a:stretch/>
                  </pic:blipFill>
                  <pic:spPr>
                    <a:xfrm rot="0">
                      <a:off x="0" y="0"/>
                      <a:ext cx="5410200" cy="3749781"/>
                    </a:xfrm>
                    <a:prstGeom prst="rect"/>
                    <a:ln>
                      <a:noFill/>
                    </a:ln>
                  </pic:spPr>
                </pic:pic>
              </a:graphicData>
            </a:graphic>
          </wp:inline>
        </w:drawing>
      </w:r>
    </w:p>
    <w:p w14:paraId="7C021F7D">
      <w:pPr>
        <w:pStyle w:val="style0"/>
        <w:spacing w:lineRule="auto" w:line="360"/>
        <w:jc w:val="both"/>
        <w:rPr>
          <w:rFonts w:cs="Arial"/>
          <w:sz w:val="22"/>
        </w:rPr>
      </w:pPr>
      <w:r>
        <w:rPr>
          <w:rFonts w:cs="Arial"/>
          <w:sz w:val="22"/>
        </w:rPr>
        <w:t>Figure 1: Conceptual framework for the exercise, self-medication and Type 2 Diabetes management.</w:t>
      </w:r>
    </w:p>
    <w:bookmarkStart w:id="17" w:name="_Toc238491861"/>
    <w:p w14:paraId="7C021F7E">
      <w:pPr>
        <w:pStyle w:val="style2"/>
        <w:spacing w:lineRule="auto" w:line="360"/>
        <w:jc w:val="both"/>
        <w:rPr>
          <w:rFonts w:cs="Arial"/>
          <w:sz w:val="22"/>
          <w:szCs w:val="22"/>
        </w:rPr>
      </w:pPr>
      <w:r>
        <w:rPr>
          <w:rFonts w:cs="Arial"/>
          <w:sz w:val="22"/>
          <w:szCs w:val="22"/>
        </w:rPr>
        <w:t>2.3 Chapter Summary</w:t>
      </w:r>
      <w:bookmarkEnd w:id="17"/>
    </w:p>
    <w:p w14:paraId="7C021F7F">
      <w:pPr>
        <w:pStyle w:val="style0"/>
        <w:spacing w:lineRule="auto" w:line="360"/>
        <w:jc w:val="both"/>
        <w:rPr>
          <w:rFonts w:cs="Arial" w:eastAsia="SimSun"/>
          <w:b/>
          <w:sz w:val="22"/>
        </w:rPr>
      </w:pPr>
      <w:r>
        <w:rPr>
          <w:rFonts w:cs="Arial"/>
          <w:sz w:val="22"/>
        </w:rPr>
        <w:t>This chapter has critically summarised the theories, clinical findings and the public health literature regarding exercise and self-medication in adults who have type 2 diabetes. It concluded that exercise is clinically supported and poorly maintained in real life, that self-medication can be unsafe and has not been studied extensively in a diabetes-specific setting and that health literacy is more about a relationship between the individual, the professional, and the service than a personal lack. The systematic review methodology used to identify and evaluate the evidence to answer these gaps is now outlined in Chapter Three.</w:t>
      </w:r>
      <w:r>
        <w:rPr>
          <w:rFonts w:cs="Arial"/>
          <w:sz w:val="22"/>
        </w:rPr>
        <w:br w:type="page"/>
      </w:r>
    </w:p>
    <w:bookmarkStart w:id="18" w:name="_Toc238491862"/>
    <w:p w14:paraId="7C021F80">
      <w:pPr>
        <w:pStyle w:val="style1"/>
        <w:spacing w:lineRule="auto" w:line="360"/>
        <w:rPr>
          <w:rFonts w:cs="Arial"/>
          <w:sz w:val="22"/>
          <w:szCs w:val="22"/>
        </w:rPr>
      </w:pPr>
      <w:r>
        <w:rPr>
          <w:rFonts w:cs="Arial"/>
          <w:sz w:val="22"/>
          <w:szCs w:val="22"/>
        </w:rPr>
        <w:t>Chapter 3: Methodology</w:t>
      </w:r>
      <w:bookmarkEnd w:id="18"/>
    </w:p>
    <w:bookmarkStart w:id="19" w:name="_Toc238491863"/>
    <w:p w14:paraId="7C021F81">
      <w:pPr>
        <w:pStyle w:val="style2"/>
        <w:spacing w:lineRule="auto" w:line="360"/>
        <w:jc w:val="both"/>
        <w:rPr>
          <w:rFonts w:cs="Arial"/>
          <w:sz w:val="22"/>
          <w:szCs w:val="22"/>
        </w:rPr>
      </w:pPr>
      <w:r>
        <w:rPr>
          <w:rFonts w:cs="Arial"/>
          <w:sz w:val="22"/>
          <w:szCs w:val="22"/>
        </w:rPr>
        <w:t>3.1 Introduction to Chapter</w:t>
      </w:r>
      <w:bookmarkEnd w:id="19"/>
    </w:p>
    <w:p w14:paraId="7C021F82">
      <w:pPr>
        <w:pStyle w:val="style0"/>
        <w:spacing w:lineRule="auto" w:line="360"/>
        <w:jc w:val="both"/>
        <w:rPr>
          <w:rFonts w:cs="Arial"/>
          <w:sz w:val="22"/>
        </w:rPr>
      </w:pPr>
      <w:r>
        <w:rPr>
          <w:rFonts w:cs="Arial"/>
          <w:sz w:val="22"/>
        </w:rPr>
        <w:t>This chapter outlines the methodology of systematic literature review (SLR) employed to identify, select and assess published evidence on exercise and self-medication of adults with type 2 diabetes. It provides a description of the SLR approach, elaborates the search strategy and PEO framework that was adopted to structure the search question, and describes the search terms and keywords, databases and inclusion and exclusion criteria that were utilised. The chapter also provides the results of the search in a PRISMA flow diagram and summarises the ethical concerns related to the review of secondary published data.</w:t>
      </w:r>
    </w:p>
    <w:bookmarkStart w:id="20" w:name="_Toc238491864"/>
    <w:p w14:paraId="7C021F83">
      <w:pPr>
        <w:pStyle w:val="style2"/>
        <w:spacing w:lineRule="auto" w:line="360"/>
        <w:jc w:val="both"/>
        <w:rPr>
          <w:rFonts w:cs="Arial"/>
          <w:sz w:val="22"/>
          <w:szCs w:val="22"/>
        </w:rPr>
      </w:pPr>
      <w:r>
        <w:rPr>
          <w:rFonts w:cs="Arial"/>
          <w:sz w:val="22"/>
          <w:szCs w:val="22"/>
        </w:rPr>
        <w:t xml:space="preserve">3.2 </w:t>
      </w:r>
      <w:r>
        <w:rPr>
          <w:rFonts w:cs="Arial"/>
          <w:sz w:val="22"/>
          <w:szCs w:val="22"/>
        </w:rPr>
        <w:t xml:space="preserve">Systematic </w:t>
      </w:r>
      <w:r>
        <w:rPr>
          <w:rFonts w:cs="Arial"/>
          <w:sz w:val="22"/>
          <w:szCs w:val="22"/>
        </w:rPr>
        <w:t xml:space="preserve"> </w:t>
      </w:r>
      <w:r>
        <w:rPr>
          <w:rFonts w:cs="Arial"/>
          <w:sz w:val="22"/>
          <w:szCs w:val="22"/>
        </w:rPr>
        <w:t>Review</w:t>
      </w:r>
      <w:r>
        <w:rPr>
          <w:rFonts w:cs="Arial"/>
          <w:sz w:val="22"/>
          <w:szCs w:val="22"/>
        </w:rPr>
        <w:t xml:space="preserve"> (SR)</w:t>
      </w:r>
      <w:bookmarkEnd w:id="20"/>
      <w:r>
        <w:rPr>
          <w:rFonts w:cs="Arial"/>
          <w:sz w:val="22"/>
          <w:szCs w:val="22"/>
        </w:rPr>
        <w:t xml:space="preserve"> </w:t>
      </w:r>
    </w:p>
    <w:p w14:paraId="7C021F84">
      <w:pPr>
        <w:pStyle w:val="style0"/>
        <w:spacing w:lineRule="auto" w:line="360"/>
        <w:jc w:val="both"/>
        <w:rPr>
          <w:rFonts w:cs="Arial"/>
          <w:sz w:val="22"/>
        </w:rPr>
      </w:pPr>
      <w:r>
        <w:rPr>
          <w:rFonts w:cs="Arial"/>
          <w:sz w:val="22"/>
        </w:rPr>
        <w:t>Systematic review (SR) is a method for identifying, appraising and synthesising all available evidence relevant to a clearly formulated research question in a systematic, transparent and replicable way (Page et al., 202</w:t>
      </w:r>
      <w:r>
        <w:rPr>
          <w:rFonts w:cs="Arial"/>
          <w:sz w:val="22"/>
        </w:rPr>
        <w:t>2</w:t>
      </w:r>
      <w:r>
        <w:rPr>
          <w:rFonts w:cs="Arial"/>
          <w:sz w:val="22"/>
        </w:rPr>
        <w:t>). An SR differs from a narrative or traditional literature review by using an explicit protocol (predefined search strategy, clear inclusion and exclusion criteria, process for screening and selecting studies, etc.) that reduces selection bias and enhances repeatability of the literature review process (Xiao and Watson, 2019). This SLR aims to systematically and comprehensively identify published evidence regarding the role of exercise in the management of type 2 diabetes and risks of self-medication, to enable critical appraisal and synthesis of the findings in subsequent chapters to address the research questions.</w:t>
      </w:r>
    </w:p>
    <w:bookmarkStart w:id="21" w:name="_Toc238491865"/>
    <w:p w14:paraId="7C021F85">
      <w:pPr>
        <w:pStyle w:val="style2"/>
        <w:spacing w:lineRule="auto" w:line="360"/>
        <w:jc w:val="both"/>
        <w:rPr>
          <w:rFonts w:cs="Arial"/>
          <w:sz w:val="22"/>
          <w:szCs w:val="22"/>
        </w:rPr>
      </w:pPr>
      <w:r>
        <w:rPr>
          <w:rFonts w:cs="Arial"/>
          <w:sz w:val="22"/>
          <w:szCs w:val="22"/>
        </w:rPr>
        <w:t>3.3 Search Strategy</w:t>
      </w:r>
      <w:bookmarkEnd w:id="21"/>
      <w:r>
        <w:rPr>
          <w:rFonts w:cs="Arial"/>
          <w:sz w:val="22"/>
          <w:szCs w:val="22"/>
        </w:rPr>
        <w:t xml:space="preserve"> </w:t>
      </w:r>
    </w:p>
    <w:p w14:paraId="7C021F86">
      <w:pPr>
        <w:pStyle w:val="style0"/>
        <w:spacing w:lineRule="auto" w:line="360"/>
        <w:jc w:val="both"/>
        <w:rPr>
          <w:rFonts w:cs="Arial"/>
          <w:sz w:val="22"/>
        </w:rPr>
      </w:pPr>
      <w:r>
        <w:rPr>
          <w:rFonts w:cs="Arial"/>
          <w:sz w:val="22"/>
        </w:rPr>
        <w:t>A search strategy is a methodical and systematic way of conducting a search in academic databases to ensure that you return as much relevant literature as possible, whilst avoiding irrelevant literature (</w:t>
      </w:r>
      <w:r>
        <w:rPr>
          <w:rFonts w:cs="Arial"/>
          <w:color w:val="222222"/>
          <w:sz w:val="22"/>
          <w:shd w:val="clear" w:color="auto" w:fill="ffffff"/>
        </w:rPr>
        <w:t>Chandler</w:t>
      </w:r>
      <w:r>
        <w:rPr>
          <w:rFonts w:cs="Arial"/>
          <w:sz w:val="22"/>
        </w:rPr>
        <w:t xml:space="preserve"> et al., 2019). For this review, the PEO framework (Population, Exposure/Issue, Outcome), which was adapted to the review of intervention-type and risk-type evidence rather than one comparative treatment, was used to achieve a comprehensive search (Cooke, Smith and Booth, 2012). The research question was subdivided into searchable elements using the PEO framework to create the final search string with the addition of the Boolean operators. Literature was searched from the database from January 2019 to June 2026 to include the most recent and clinically current evidence, with a small number of studies being included from 2019 which were directly relevant to the study.</w:t>
      </w:r>
    </w:p>
    <w:bookmarkStart w:id="22" w:name="_Toc238491866"/>
    <w:p w14:paraId="7C021F87">
      <w:pPr>
        <w:pStyle w:val="style2"/>
        <w:spacing w:lineRule="auto" w:line="360"/>
        <w:jc w:val="both"/>
        <w:rPr>
          <w:rFonts w:cs="Arial"/>
          <w:sz w:val="22"/>
          <w:szCs w:val="22"/>
        </w:rPr>
      </w:pPr>
      <w:r>
        <w:rPr>
          <w:rFonts w:cs="Arial"/>
          <w:sz w:val="22"/>
          <w:szCs w:val="22"/>
        </w:rPr>
        <w:t>3.4 Search Terms</w:t>
      </w:r>
      <w:bookmarkEnd w:id="22"/>
      <w:r>
        <w:rPr>
          <w:rFonts w:cs="Arial"/>
          <w:sz w:val="22"/>
          <w:szCs w:val="22"/>
        </w:rPr>
        <w:t xml:space="preserve"> </w:t>
      </w:r>
    </w:p>
    <w:p w14:paraId="7C021F88">
      <w:pPr>
        <w:pStyle w:val="style0"/>
        <w:spacing w:lineRule="auto" w:line="360"/>
        <w:jc w:val="both"/>
        <w:rPr>
          <w:rFonts w:cs="Arial"/>
          <w:sz w:val="22"/>
        </w:rPr>
      </w:pPr>
      <w:r>
        <w:rPr>
          <w:rFonts w:cs="Arial"/>
          <w:sz w:val="22"/>
        </w:rPr>
        <w:t xml:space="preserve">Search terms are the keywords or phrases entered into a retrieval system to find literature on a specific research question; a variety of terms and synonyms is important because authors may </w:t>
      </w:r>
      <w:r>
        <w:rPr>
          <w:rFonts w:cs="Arial"/>
          <w:sz w:val="22"/>
        </w:rPr>
        <w:t>not use the terms the same way when describing the same concept (</w:t>
      </w:r>
      <w:r>
        <w:rPr>
          <w:rFonts w:cs="Arial"/>
          <w:color w:val="222222"/>
          <w:sz w:val="22"/>
          <w:shd w:val="clear" w:color="auto" w:fill="ffffff"/>
        </w:rPr>
        <w:t>Chandler</w:t>
      </w:r>
      <w:r>
        <w:rPr>
          <w:rFonts w:cs="Arial"/>
          <w:sz w:val="22"/>
        </w:rPr>
        <w:t xml:space="preserve"> et al., 2019). For instance, physical activity can be referred to as "exercise", "physical activity" or "lifestyle intervention" and self-medication as "self-medication", "over-the-counter use" or "polypharmacy". If these synonyms are not used, relevant studies will not be retrieved.</w:t>
      </w:r>
    </w:p>
    <w:p w14:paraId="7C021F89">
      <w:pPr>
        <w:pStyle w:val="style0"/>
        <w:spacing w:lineRule="auto" w:line="360"/>
        <w:jc w:val="both"/>
        <w:rPr>
          <w:rFonts w:cs="Arial"/>
          <w:sz w:val="22"/>
        </w:rPr>
      </w:pPr>
      <w:r>
        <w:rPr>
          <w:rFonts w:cs="Arial"/>
          <w:sz w:val="22"/>
        </w:rPr>
        <w:t>The PEO framework was used to structure the search terms for this review, as shown in Table 1.</w:t>
      </w:r>
    </w:p>
    <w:p w14:paraId="7C021F8A">
      <w:pPr>
        <w:pStyle w:val="style0"/>
        <w:spacing w:lineRule="auto" w:line="360"/>
        <w:jc w:val="both"/>
        <w:rPr>
          <w:rFonts w:cs="Arial"/>
          <w:sz w:val="22"/>
        </w:rPr>
      </w:pPr>
      <w:r>
        <w:rPr>
          <w:rFonts w:cs="Arial"/>
          <w:sz w:val="22"/>
        </w:rPr>
        <w:t>Table 1: PEO Framework</w:t>
      </w:r>
    </w:p>
    <w:tbl>
      <w:tblPr>
        <w:tblStyle w:val="style154"/>
        <w:tblW w:w="0" w:type="auto"/>
        <w:jc w:val="center"/>
        <w:tblLook w:val="04A0" w:firstRow="1" w:lastRow="0" w:firstColumn="1" w:lastColumn="0" w:noHBand="0" w:noVBand="1"/>
      </w:tblPr>
      <w:tblGrid>
        <w:gridCol w:w="2040"/>
        <w:gridCol w:w="7320"/>
      </w:tblGrid>
      <w:tr w14:paraId="7C021F8D">
        <w:trPr>
          <w:jc w:val="center"/>
        </w:trPr>
        <w:tc>
          <w:tcPr>
            <w:tcW w:w="0" w:type="auto"/>
            <w:tcBorders/>
            <w:hideMark/>
          </w:tcPr>
          <w:p w14:paraId="7C021F8B">
            <w:pPr>
              <w:pStyle w:val="style0"/>
              <w:spacing w:lineRule="auto" w:line="276"/>
              <w:jc w:val="both"/>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Component</w:t>
            </w:r>
          </w:p>
        </w:tc>
        <w:tc>
          <w:tcPr>
            <w:tcW w:w="0" w:type="auto"/>
            <w:tcBorders/>
            <w:hideMark/>
          </w:tcPr>
          <w:p w14:paraId="7C021F8C">
            <w:pPr>
              <w:pStyle w:val="style0"/>
              <w:spacing w:lineRule="auto" w:line="276"/>
              <w:jc w:val="both"/>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Detail</w:t>
            </w:r>
          </w:p>
        </w:tc>
      </w:tr>
      <w:tr w14:paraId="7C021F90">
        <w:tblPrEx/>
        <w:trPr>
          <w:jc w:val="center"/>
        </w:trPr>
        <w:tc>
          <w:tcPr>
            <w:tcW w:w="0" w:type="auto"/>
            <w:tcBorders/>
            <w:hideMark/>
          </w:tcPr>
          <w:p w14:paraId="7C021F8E">
            <w:pPr>
              <w:pStyle w:val="style0"/>
              <w:spacing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Population/Problem</w:t>
            </w:r>
          </w:p>
        </w:tc>
        <w:tc>
          <w:tcPr>
            <w:tcW w:w="0" w:type="auto"/>
            <w:tcBorders/>
            <w:hideMark/>
          </w:tcPr>
          <w:p w14:paraId="7C021F8F">
            <w:pPr>
              <w:pStyle w:val="style0"/>
              <w:spacing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Adults (18+) with Type 2 Diabetes Mellitus</w:t>
            </w:r>
            <w:r>
              <w:rPr>
                <w:rFonts w:cs="Arial" w:eastAsia="Times New Roman"/>
                <w:kern w:val="0"/>
                <w:sz w:val="22"/>
                <w:lang w:val="en-US"/>
                <w14:ligatures xmlns:w14="http://schemas.microsoft.com/office/word/2010/wordml" w14:val="none"/>
              </w:rPr>
              <w:t>, with no geographic restriction (global search, UK-relevant policy and prevalence context)</w:t>
            </w:r>
          </w:p>
        </w:tc>
      </w:tr>
      <w:tr w14:paraId="7C021F93">
        <w:tblPrEx/>
        <w:trPr>
          <w:jc w:val="center"/>
        </w:trPr>
        <w:tc>
          <w:tcPr>
            <w:tcW w:w="0" w:type="auto"/>
            <w:tcBorders/>
            <w:hideMark/>
          </w:tcPr>
          <w:p w14:paraId="7C021F91">
            <w:pPr>
              <w:pStyle w:val="style0"/>
              <w:spacing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Exposure/Issue</w:t>
            </w:r>
          </w:p>
        </w:tc>
        <w:tc>
          <w:tcPr>
            <w:tcW w:w="0" w:type="auto"/>
            <w:tcBorders/>
            <w:hideMark/>
          </w:tcPr>
          <w:p w14:paraId="7C021F92">
            <w:pPr>
              <w:pStyle w:val="style0"/>
              <w:spacing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Exercise/physical activity engagement; self-medication and over-the-counter/non-prescribed medicine use</w:t>
            </w:r>
          </w:p>
        </w:tc>
      </w:tr>
      <w:tr w14:paraId="7C021F96">
        <w:tblPrEx/>
        <w:trPr>
          <w:jc w:val="center"/>
        </w:trPr>
        <w:tc>
          <w:tcPr>
            <w:tcW w:w="0" w:type="auto"/>
            <w:tcBorders/>
            <w:hideMark/>
          </w:tcPr>
          <w:p w14:paraId="7C021F94">
            <w:pPr>
              <w:pStyle w:val="style0"/>
              <w:spacing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Outcome</w:t>
            </w:r>
          </w:p>
        </w:tc>
        <w:tc>
          <w:tcPr>
            <w:tcW w:w="0" w:type="auto"/>
            <w:tcBorders/>
            <w:hideMark/>
          </w:tcPr>
          <w:p w14:paraId="7C021F95">
            <w:pPr>
              <w:pStyle w:val="style0"/>
              <w:spacing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Glycaemic</w:t>
            </w:r>
            <w:r>
              <w:rPr>
                <w:rFonts w:cs="Arial" w:eastAsia="Times New Roman"/>
                <w:kern w:val="0"/>
                <w:sz w:val="22"/>
                <w:lang w:val="en-US"/>
                <w14:ligatures xmlns:w14="http://schemas.microsoft.com/office/word/2010/wordml" w14:val="none"/>
              </w:rPr>
              <w:t xml:space="preserve"> control and diabetes self-management; medication safety outcomes (</w:t>
            </w:r>
            <w:r>
              <w:rPr>
                <w:rFonts w:cs="Arial" w:eastAsia="Times New Roman"/>
                <w:kern w:val="0"/>
                <w:sz w:val="22"/>
                <w:lang w:val="en-US"/>
                <w14:ligatures xmlns:w14="http://schemas.microsoft.com/office/word/2010/wordml" w14:val="none"/>
              </w:rPr>
              <w:t>e.g.</w:t>
            </w:r>
            <w:r>
              <w:rPr>
                <w:rFonts w:cs="Arial" w:eastAsia="Times New Roman"/>
                <w:kern w:val="0"/>
                <w:sz w:val="22"/>
                <w:lang w:val="en-US"/>
                <w14:ligatures xmlns:w14="http://schemas.microsoft.com/office/word/2010/wordml" w14:val="none"/>
              </w:rPr>
              <w:t xml:space="preserve"> adverse drug reactions, </w:t>
            </w:r>
            <w:r>
              <w:rPr>
                <w:rFonts w:cs="Arial" w:eastAsia="Times New Roman"/>
                <w:kern w:val="0"/>
                <w:sz w:val="22"/>
                <w:lang w:val="en-US"/>
                <w14:ligatures xmlns:w14="http://schemas.microsoft.com/office/word/2010/wordml" w14:val="none"/>
              </w:rPr>
              <w:t>hypoglycaemia</w:t>
            </w:r>
            <w:r>
              <w:rPr>
                <w:rFonts w:cs="Arial" w:eastAsia="Times New Roman"/>
                <w:kern w:val="0"/>
                <w:sz w:val="22"/>
                <w:lang w:val="en-US"/>
                <w14:ligatures xmlns:w14="http://schemas.microsoft.com/office/word/2010/wordml" w14:val="none"/>
              </w:rPr>
              <w:t>)</w:t>
            </w:r>
          </w:p>
        </w:tc>
      </w:tr>
    </w:tbl>
    <w:p w14:paraId="7C021F97">
      <w:pPr>
        <w:pStyle w:val="style0"/>
        <w:spacing w:lineRule="auto" w:line="360"/>
        <w:jc w:val="both"/>
        <w:rPr>
          <w:rFonts w:cs="Arial"/>
          <w:sz w:val="22"/>
        </w:rPr>
      </w:pPr>
    </w:p>
    <w:p w14:paraId="7C021F98">
      <w:pPr>
        <w:pStyle w:val="style0"/>
        <w:spacing w:lineRule="auto" w:line="360"/>
        <w:jc w:val="both"/>
        <w:rPr>
          <w:rFonts w:cs="Arial"/>
          <w:sz w:val="22"/>
        </w:rPr>
      </w:pPr>
      <w:r>
        <w:rPr>
          <w:rFonts w:cs="Arial"/>
          <w:sz w:val="22"/>
        </w:rPr>
        <w:t>The synonyms for each component of the PEO were linked with the Boolean operator "OR" and the groups were linked with "AND" to connect the population, exposure and outcome. Table 2 presents the search terms using Boolean operators.</w:t>
      </w:r>
    </w:p>
    <w:p w14:paraId="7C021F99">
      <w:pPr>
        <w:pStyle w:val="style0"/>
        <w:spacing w:lineRule="auto" w:line="360"/>
        <w:jc w:val="both"/>
        <w:rPr>
          <w:rFonts w:cs="Arial"/>
          <w:sz w:val="22"/>
        </w:rPr>
      </w:pPr>
      <w:r>
        <w:rPr>
          <w:rFonts w:cs="Arial"/>
          <w:sz w:val="22"/>
        </w:rPr>
        <w:t>Table 2: Search terms using Boolean Operators</w:t>
      </w:r>
    </w:p>
    <w:tbl>
      <w:tblPr>
        <w:tblStyle w:val="style154"/>
        <w:tblW w:w="0" w:type="auto"/>
        <w:jc w:val="center"/>
        <w:tblLook w:val="04A0" w:firstRow="1" w:lastRow="0" w:firstColumn="1" w:lastColumn="0" w:noHBand="0" w:noVBand="1"/>
      </w:tblPr>
      <w:tblGrid>
        <w:gridCol w:w="2425"/>
        <w:gridCol w:w="6925"/>
      </w:tblGrid>
      <w:tr w14:paraId="7C021F9D">
        <w:trPr>
          <w:jc w:val="center"/>
        </w:trPr>
        <w:tc>
          <w:tcPr>
            <w:tcW w:w="2425" w:type="dxa"/>
            <w:tcBorders/>
          </w:tcPr>
          <w:p w14:paraId="7C021F9A">
            <w:pPr>
              <w:pStyle w:val="style0"/>
              <w:spacing w:lineRule="auto" w:line="276"/>
              <w:jc w:val="both"/>
              <w:rPr>
                <w:rFonts w:cs="Arial"/>
                <w:b/>
                <w:bCs/>
                <w:sz w:val="22"/>
              </w:rPr>
            </w:pPr>
            <w:r>
              <w:rPr>
                <w:rFonts w:cs="Arial" w:eastAsia="Times New Roman"/>
                <w:b/>
                <w:bCs/>
                <w:kern w:val="0"/>
                <w:sz w:val="22"/>
                <w:lang w:val="en-US"/>
                <w14:ligatures xmlns:w14="http://schemas.microsoft.com/office/word/2010/wordml" w14:val="none"/>
              </w:rPr>
              <w:t>Search 1 (Population)</w:t>
            </w:r>
          </w:p>
        </w:tc>
        <w:tc>
          <w:tcPr>
            <w:tcW w:w="6925" w:type="dxa"/>
            <w:tcBorders/>
          </w:tcPr>
          <w:p w14:paraId="7C021F9B">
            <w:pPr>
              <w:pStyle w:val="style0"/>
              <w:spacing w:before="100" w:beforeAutospacing="true" w:after="100" w:afterAutospacing="true"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("type 2 diabetes" OR "type 2 diabetes mellitus" OR "T2DM" OR "T2D")</w:t>
            </w:r>
          </w:p>
          <w:p w14:paraId="7C021F9C">
            <w:pPr>
              <w:pStyle w:val="style0"/>
              <w:spacing w:lineRule="auto" w:line="276"/>
              <w:jc w:val="both"/>
              <w:rPr>
                <w:rFonts w:cs="Arial"/>
                <w:sz w:val="22"/>
              </w:rPr>
            </w:pPr>
          </w:p>
        </w:tc>
      </w:tr>
      <w:tr w14:paraId="7C021FA1">
        <w:tblPrEx/>
        <w:trPr>
          <w:jc w:val="center"/>
        </w:trPr>
        <w:tc>
          <w:tcPr>
            <w:tcW w:w="2425" w:type="dxa"/>
            <w:tcBorders/>
          </w:tcPr>
          <w:p w14:paraId="7C021F9E">
            <w:pPr>
              <w:pStyle w:val="style0"/>
              <w:spacing w:lineRule="auto" w:line="276"/>
              <w:jc w:val="both"/>
              <w:rPr>
                <w:rFonts w:cs="Arial"/>
                <w:b/>
                <w:bCs/>
                <w:sz w:val="22"/>
              </w:rPr>
            </w:pPr>
            <w:r>
              <w:rPr>
                <w:rFonts w:cs="Arial" w:eastAsia="Times New Roman"/>
                <w:b/>
                <w:bCs/>
                <w:kern w:val="0"/>
                <w:sz w:val="22"/>
                <w:lang w:val="en-US"/>
                <w14:ligatures xmlns:w14="http://schemas.microsoft.com/office/word/2010/wordml" w14:val="none"/>
              </w:rPr>
              <w:t>Search 2 (Exposure)</w:t>
            </w:r>
          </w:p>
        </w:tc>
        <w:tc>
          <w:tcPr>
            <w:tcW w:w="6925" w:type="dxa"/>
            <w:tcBorders/>
          </w:tcPr>
          <w:p w14:paraId="7C021F9F">
            <w:pPr>
              <w:pStyle w:val="style0"/>
              <w:spacing w:before="100" w:beforeAutospacing="true" w:after="100" w:afterAutospacing="true"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("exercise" OR "physical activity" OR "self-medication" OR "self-medicating" OR "over-the-counter" OR "OTC" OR "polypharmacy")</w:t>
            </w:r>
          </w:p>
          <w:p w14:paraId="7C021FA0">
            <w:pPr>
              <w:pStyle w:val="style0"/>
              <w:spacing w:lineRule="auto" w:line="276"/>
              <w:jc w:val="both"/>
              <w:rPr>
                <w:rFonts w:cs="Arial"/>
                <w:sz w:val="22"/>
              </w:rPr>
            </w:pPr>
          </w:p>
        </w:tc>
      </w:tr>
      <w:tr w14:paraId="7C021FA5">
        <w:tblPrEx/>
        <w:trPr>
          <w:jc w:val="center"/>
        </w:trPr>
        <w:tc>
          <w:tcPr>
            <w:tcW w:w="2425" w:type="dxa"/>
            <w:tcBorders/>
          </w:tcPr>
          <w:p w14:paraId="7C021FA2">
            <w:pPr>
              <w:pStyle w:val="style0"/>
              <w:spacing w:lineRule="auto" w:line="276"/>
              <w:jc w:val="both"/>
              <w:rPr>
                <w:rFonts w:cs="Arial"/>
                <w:b/>
                <w:bCs/>
                <w:sz w:val="22"/>
              </w:rPr>
            </w:pPr>
            <w:r>
              <w:rPr>
                <w:rFonts w:cs="Arial" w:eastAsia="Times New Roman"/>
                <w:b/>
                <w:bCs/>
                <w:kern w:val="0"/>
                <w:sz w:val="22"/>
                <w:lang w:val="en-US"/>
                <w14:ligatures xmlns:w14="http://schemas.microsoft.com/office/word/2010/wordml" w14:val="none"/>
              </w:rPr>
              <w:t>Search 3 (Outcome)</w:t>
            </w:r>
          </w:p>
        </w:tc>
        <w:tc>
          <w:tcPr>
            <w:tcW w:w="6925" w:type="dxa"/>
            <w:tcBorders/>
          </w:tcPr>
          <w:p w14:paraId="7C021FA3">
            <w:pPr>
              <w:pStyle w:val="style0"/>
              <w:spacing w:before="100" w:beforeAutospacing="true" w:after="100" w:afterAutospacing="true"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w:t>
            </w:r>
            <w:r>
              <w:rPr>
                <w:rFonts w:cs="Arial" w:eastAsia="Times New Roman"/>
                <w:kern w:val="0"/>
                <w:sz w:val="22"/>
                <w:lang w:val="en-US"/>
                <w14:ligatures xmlns:w14="http://schemas.microsoft.com/office/word/2010/wordml" w14:val="none"/>
              </w:rPr>
              <w:t>glycaemic</w:t>
            </w:r>
            <w:r>
              <w:rPr>
                <w:rFonts w:cs="Arial" w:eastAsia="Times New Roman"/>
                <w:kern w:val="0"/>
                <w:sz w:val="22"/>
                <w:lang w:val="en-US"/>
                <w14:ligatures xmlns:w14="http://schemas.microsoft.com/office/word/2010/wordml" w14:val="none"/>
              </w:rPr>
              <w:t xml:space="preserve"> control" OR "HbA1c" OR "self-management" OR "medication safety" OR "adverse drug event" OR "</w:t>
            </w:r>
            <w:r>
              <w:rPr>
                <w:rFonts w:cs="Arial" w:eastAsia="Times New Roman"/>
                <w:kern w:val="0"/>
                <w:sz w:val="22"/>
                <w:lang w:val="en-US"/>
                <w14:ligatures xmlns:w14="http://schemas.microsoft.com/office/word/2010/wordml" w14:val="none"/>
              </w:rPr>
              <w:t>hypoglycaemia</w:t>
            </w:r>
            <w:r>
              <w:rPr>
                <w:rFonts w:cs="Arial" w:eastAsia="Times New Roman"/>
                <w:kern w:val="0"/>
                <w:sz w:val="22"/>
                <w:lang w:val="en-US"/>
                <w14:ligatures xmlns:w14="http://schemas.microsoft.com/office/word/2010/wordml" w14:val="none"/>
              </w:rPr>
              <w:t>")</w:t>
            </w:r>
          </w:p>
          <w:p w14:paraId="7C021FA4">
            <w:pPr>
              <w:pStyle w:val="style0"/>
              <w:spacing w:lineRule="auto" w:line="276"/>
              <w:jc w:val="both"/>
              <w:rPr>
                <w:rFonts w:cs="Arial"/>
                <w:sz w:val="22"/>
              </w:rPr>
            </w:pPr>
          </w:p>
        </w:tc>
      </w:tr>
      <w:tr w14:paraId="7C021FA8">
        <w:tblPrEx/>
        <w:trPr>
          <w:jc w:val="center"/>
        </w:trPr>
        <w:tc>
          <w:tcPr>
            <w:tcW w:w="2425" w:type="dxa"/>
            <w:tcBorders/>
          </w:tcPr>
          <w:p w14:paraId="7C021FA6">
            <w:pPr>
              <w:pStyle w:val="style0"/>
              <w:spacing w:lineRule="auto" w:line="276"/>
              <w:jc w:val="both"/>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Final search</w:t>
            </w:r>
          </w:p>
        </w:tc>
        <w:tc>
          <w:tcPr>
            <w:tcW w:w="6925" w:type="dxa"/>
            <w:tcBorders/>
          </w:tcPr>
          <w:p w14:paraId="7C021FA7">
            <w:pPr>
              <w:pStyle w:val="style0"/>
              <w:spacing w:before="100" w:beforeAutospacing="true" w:after="100" w:afterAutospacing="true" w:lineRule="auto" w:line="276"/>
              <w:jc w:val="both"/>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Search 1 AND Search 2 AND Search 3</w:t>
            </w:r>
          </w:p>
        </w:tc>
      </w:tr>
    </w:tbl>
    <w:p w14:paraId="7C021FA9">
      <w:pPr>
        <w:pStyle w:val="style0"/>
        <w:spacing w:lineRule="auto" w:line="360"/>
        <w:jc w:val="both"/>
        <w:rPr>
          <w:rFonts w:cs="Arial"/>
          <w:sz w:val="22"/>
        </w:rPr>
      </w:pPr>
    </w:p>
    <w:p w14:paraId="7C021FAA">
      <w:pPr>
        <w:pStyle w:val="style0"/>
        <w:spacing w:lineRule="auto" w:line="360"/>
        <w:jc w:val="both"/>
        <w:rPr>
          <w:rFonts w:cs="Arial"/>
          <w:sz w:val="22"/>
        </w:rPr>
      </w:pPr>
      <w:r>
        <w:rPr>
          <w:rFonts w:cs="Arial"/>
          <w:sz w:val="22"/>
        </w:rPr>
        <w:t xml:space="preserve">Search terms were also used with quotation marks to search exact phrases (e.g. "type 2 diabetes") instead of individual words, and this helped to limit the number of irrelevant hits returned by more general single-word queries. The search was also limited to the fields of the title, abstract and keywords only, not the full text of each paper, as searching the full text tends to </w:t>
      </w:r>
      <w:r>
        <w:rPr>
          <w:rFonts w:cs="Arial"/>
          <w:sz w:val="22"/>
        </w:rPr>
        <w:t xml:space="preserve">return a large number of papers where a term is mentioned only once as a peripheral point of the study. The term combinations were different for each database; for instance, PubMed searches included </w:t>
      </w:r>
      <w:r>
        <w:rPr>
          <w:rFonts w:cs="Arial"/>
          <w:sz w:val="22"/>
        </w:rPr>
        <w:t>MeSH</w:t>
      </w:r>
      <w:r>
        <w:rPr>
          <w:rFonts w:cs="Arial"/>
          <w:sz w:val="22"/>
        </w:rPr>
        <w:t xml:space="preserve"> terms as well as free-text keywords, and grey (non-peer reviewed) literature resources (Diabetes UK</w:t>
      </w:r>
      <w:r>
        <w:rPr>
          <w:rFonts w:cs="Arial"/>
          <w:sz w:val="22"/>
        </w:rPr>
        <w:t xml:space="preserve"> 2025</w:t>
      </w:r>
      <w:r>
        <w:rPr>
          <w:rFonts w:cs="Arial"/>
          <w:sz w:val="22"/>
        </w:rPr>
        <w:t>, NICE</w:t>
      </w:r>
      <w:r>
        <w:rPr>
          <w:rFonts w:cs="Arial"/>
          <w:sz w:val="22"/>
        </w:rPr>
        <w:t xml:space="preserve"> 2026</w:t>
      </w:r>
      <w:r>
        <w:rPr>
          <w:rFonts w:cs="Arial"/>
          <w:sz w:val="22"/>
        </w:rPr>
        <w:t xml:space="preserve">) did not support </w:t>
      </w:r>
      <w:r>
        <w:rPr>
          <w:rFonts w:cs="Arial"/>
          <w:sz w:val="22"/>
        </w:rPr>
        <w:t>MeSH</w:t>
      </w:r>
      <w:r>
        <w:rPr>
          <w:rFonts w:cs="Arial"/>
          <w:sz w:val="22"/>
        </w:rPr>
        <w:t xml:space="preserve"> terms, so free-text combinations of keywords were used instead. This variation follows guidance that the search strategy should be customised to each database's indexing system instead of being the same across databases (Bramer et al., 2017).</w:t>
      </w:r>
    </w:p>
    <w:p w14:paraId="7C021FAB">
      <w:pPr>
        <w:pStyle w:val="style0"/>
        <w:spacing w:lineRule="auto" w:line="360"/>
        <w:jc w:val="both"/>
        <w:rPr>
          <w:rFonts w:cs="Arial"/>
          <w:sz w:val="22"/>
        </w:rPr>
      </w:pPr>
      <w:r>
        <w:rPr>
          <w:rFonts w:cs="Arial"/>
          <w:sz w:val="22"/>
        </w:rPr>
        <w:t xml:space="preserve">Where supported by the database, truncation symbols (e.g., </w:t>
      </w:r>
      <w:r>
        <w:rPr>
          <w:rFonts w:cs="Arial"/>
          <w:sz w:val="22"/>
        </w:rPr>
        <w:t>diabet</w:t>
      </w:r>
      <w:r>
        <w:rPr>
          <w:rFonts w:cs="Arial"/>
          <w:sz w:val="22"/>
        </w:rPr>
        <w:t xml:space="preserve">) were also used to record word variants, e.g., diabetic and diabetes. This combination was modified slightly depending on the database being searched to conform with the syntax and subject headings used by that database (e.g., </w:t>
      </w:r>
      <w:r>
        <w:rPr>
          <w:rFonts w:cs="Arial"/>
          <w:sz w:val="22"/>
        </w:rPr>
        <w:t>MeSH</w:t>
      </w:r>
      <w:r>
        <w:rPr>
          <w:rFonts w:cs="Arial"/>
          <w:sz w:val="22"/>
        </w:rPr>
        <w:t xml:space="preserve"> terms in MEDLINE); a consistent logic was maintained during the search of all the databases.</w:t>
      </w:r>
    </w:p>
    <w:bookmarkStart w:id="23" w:name="_Toc238491867"/>
    <w:p w14:paraId="7C021FAC">
      <w:pPr>
        <w:pStyle w:val="style2"/>
        <w:spacing w:lineRule="auto" w:line="360"/>
        <w:jc w:val="both"/>
        <w:rPr>
          <w:rFonts w:cs="Arial"/>
          <w:sz w:val="22"/>
          <w:szCs w:val="22"/>
        </w:rPr>
      </w:pPr>
      <w:r>
        <w:rPr>
          <w:rFonts w:cs="Arial"/>
          <w:sz w:val="22"/>
          <w:szCs w:val="22"/>
        </w:rPr>
        <w:t>3.5 Key Words</w:t>
      </w:r>
      <w:bookmarkEnd w:id="23"/>
      <w:r>
        <w:rPr>
          <w:rFonts w:cs="Arial"/>
          <w:sz w:val="22"/>
          <w:szCs w:val="22"/>
        </w:rPr>
        <w:t xml:space="preserve"> </w:t>
      </w:r>
    </w:p>
    <w:p w14:paraId="7C021FAD">
      <w:pPr>
        <w:pStyle w:val="style0"/>
        <w:spacing w:lineRule="auto" w:line="360"/>
        <w:jc w:val="both"/>
        <w:rPr>
          <w:rFonts w:cs="Arial"/>
          <w:sz w:val="22"/>
        </w:rPr>
      </w:pPr>
      <w:r>
        <w:rPr>
          <w:rFonts w:cs="Arial"/>
          <w:sz w:val="22"/>
        </w:rPr>
        <w:t>A set of keywords is a fundamental concept that underlie</w:t>
      </w:r>
      <w:r>
        <w:rPr>
          <w:rFonts w:cs="Arial"/>
          <w:sz w:val="22"/>
        </w:rPr>
        <w:t>s</w:t>
      </w:r>
      <w:r>
        <w:rPr>
          <w:rFonts w:cs="Arial"/>
          <w:sz w:val="22"/>
        </w:rPr>
        <w:t xml:space="preserve"> a search and help</w:t>
      </w:r>
      <w:r>
        <w:rPr>
          <w:rFonts w:cs="Arial"/>
          <w:sz w:val="22"/>
        </w:rPr>
        <w:t>s</w:t>
      </w:r>
      <w:r>
        <w:rPr>
          <w:rFonts w:cs="Arial"/>
          <w:sz w:val="22"/>
        </w:rPr>
        <w:t xml:space="preserve"> to make the search consistent across databases using different indexing systems (</w:t>
      </w:r>
      <w:r>
        <w:rPr>
          <w:rFonts w:cs="Arial"/>
          <w:color w:val="222222"/>
          <w:sz w:val="22"/>
          <w:shd w:val="clear" w:color="auto" w:fill="ffffff"/>
        </w:rPr>
        <w:t>Pottier et al., 2024</w:t>
      </w:r>
      <w:r>
        <w:rPr>
          <w:rFonts w:cs="Arial"/>
          <w:sz w:val="22"/>
        </w:rPr>
        <w:t>). The main keywords used in this review were: type 2 diabetes, exercise, physical activity, self-medication, medication safety, self-management and adults.</w:t>
      </w:r>
    </w:p>
    <w:p w14:paraId="7C021FAE">
      <w:pPr>
        <w:pStyle w:val="style0"/>
        <w:spacing w:lineRule="auto" w:line="360"/>
        <w:jc w:val="both"/>
        <w:rPr>
          <w:rFonts w:cs="Arial"/>
          <w:sz w:val="22"/>
        </w:rPr>
      </w:pPr>
      <w:r>
        <w:rPr>
          <w:rFonts w:cs="Arial"/>
          <w:sz w:val="22"/>
        </w:rPr>
        <w:t>These keywords were then checked for consistency across databases and grey literature sources because, for example, different indexing systems (MESH in MEDLINE, free-text in Google Scholar) can cause the same concept to be omitted if only one is used.</w:t>
      </w:r>
    </w:p>
    <w:bookmarkStart w:id="24" w:name="_Toc238491868"/>
    <w:p w14:paraId="7C021FAF">
      <w:pPr>
        <w:pStyle w:val="style2"/>
        <w:spacing w:lineRule="auto" w:line="360"/>
        <w:jc w:val="both"/>
        <w:rPr>
          <w:rFonts w:cs="Arial"/>
          <w:sz w:val="22"/>
          <w:szCs w:val="22"/>
        </w:rPr>
      </w:pPr>
      <w:r>
        <w:rPr>
          <w:rFonts w:cs="Arial"/>
          <w:sz w:val="22"/>
          <w:szCs w:val="22"/>
        </w:rPr>
        <w:t>3.6 Databases</w:t>
      </w:r>
      <w:bookmarkEnd w:id="24"/>
      <w:r>
        <w:rPr>
          <w:rFonts w:cs="Arial"/>
          <w:sz w:val="22"/>
          <w:szCs w:val="22"/>
        </w:rPr>
        <w:t xml:space="preserve"> </w:t>
      </w:r>
    </w:p>
    <w:p w14:paraId="09C30735">
      <w:pPr>
        <w:pStyle w:val="style0"/>
        <w:spacing w:lineRule="auto" w:line="360"/>
        <w:jc w:val="both"/>
        <w:rPr>
          <w:rFonts w:cs="Arial"/>
          <w:sz w:val="22"/>
        </w:rPr>
      </w:pPr>
      <w:r>
        <w:rPr>
          <w:rFonts w:cs="Arial"/>
          <w:sz w:val="22"/>
        </w:rPr>
        <w:t xml:space="preserve">It is important to search several databases to ensure that all relevant literature is captured, as no single database will capture all relevant literature and by using one database one may miss key studies (Bramer et al., 2017). Bramer et al. (2017) reported that using multiple databases (MEDLINE, Embase, Web of Science and Google Scholar) for most systematic reviews yielded an acceptable level of recall, supporting the use of several databases in addition to one. Literature can be captured in subject-specific databases that it may not be captured in general databases (Bramer et al., 2017). </w:t>
      </w:r>
    </w:p>
    <w:p w14:paraId="7C021FB0">
      <w:pPr>
        <w:pStyle w:val="style0"/>
        <w:spacing w:lineRule="auto" w:line="360"/>
        <w:jc w:val="both"/>
        <w:rPr>
          <w:rFonts w:cs="Arial"/>
          <w:sz w:val="22"/>
        </w:rPr>
      </w:pPr>
      <w:r>
        <w:rPr>
          <w:rFonts w:cs="Arial"/>
          <w:sz w:val="22"/>
        </w:rPr>
        <w:t xml:space="preserve">The following databases were searched for this reason: PubMed (this is one of the core biomedical databases that uses </w:t>
      </w:r>
      <w:r>
        <w:rPr>
          <w:rFonts w:cs="Arial"/>
          <w:sz w:val="22"/>
        </w:rPr>
        <w:t>MeSH</w:t>
      </w:r>
      <w:r>
        <w:rPr>
          <w:rFonts w:cs="Arial"/>
          <w:sz w:val="22"/>
        </w:rPr>
        <w:t xml:space="preserve"> terms and has good coverage of clinical and trial literature); ScienceDirect (supplemented PubMed with good coverage of public health and behavioural science literature); CINAHL (selected for the strength of its databases in nursing, </w:t>
      </w:r>
      <w:r>
        <w:rPr>
          <w:rFonts w:cs="Arial"/>
          <w:sz w:val="22"/>
        </w:rPr>
        <w:t>allied health, and self-management literature); and Google Scholar (selected for its ability to add a wide, cross-disciplinary reach that is not captured by the subject-specific databases, as well as official grey literature sources (WHO, NICE, Diabetes UK and GOV.UK/OHID) for policy and prevalence literature)</w:t>
      </w:r>
      <w:r>
        <w:rPr>
          <w:rFonts w:cs="Arial"/>
          <w:sz w:val="22"/>
        </w:rPr>
        <w:t xml:space="preserve">. </w:t>
      </w:r>
      <w:r>
        <w:rPr>
          <w:rFonts w:cs="Arial"/>
          <w:sz w:val="22"/>
        </w:rPr>
        <w:t>These sources of grey literature were not included in the evidence base as they were not peer-reviewed and were not used to answer the review's research questions, and were therefore kept distinct and outside of the evidence base. They were only used to set the scale and policy context for the problem, as outlined in Chapter One. In this review (Chapter 4 and 5), only the peer reviewed databases were used: PubMed, ScienceDirect and CINAHL with the addition of Google Scholar, and only ten studies were extracted from these databases.</w:t>
      </w:r>
      <w:r>
        <w:rPr>
          <w:rFonts w:cs="Arial"/>
          <w:sz w:val="22"/>
        </w:rPr>
        <w:t xml:space="preserve"> </w:t>
      </w:r>
      <w:r>
        <w:rPr>
          <w:rFonts w:cs="Arial"/>
          <w:sz w:val="22"/>
        </w:rPr>
        <w:t>CINAHL was chosen specifically as its nursing and allied health and self-management literature was strong and relevant to this review, as it focused on exercise behaviour and medication self-management, rather than clinical outcomes alone. Some journals in public health and behavioural science were not always covered in PubMed, which was supplemented by ScienceDirect.</w:t>
      </w:r>
    </w:p>
    <w:bookmarkStart w:id="25" w:name="_Toc238491869"/>
    <w:p w14:paraId="7C021FB1">
      <w:pPr>
        <w:pStyle w:val="style2"/>
        <w:spacing w:lineRule="auto" w:line="360"/>
        <w:jc w:val="both"/>
        <w:rPr>
          <w:rFonts w:cs="Arial"/>
          <w:sz w:val="22"/>
          <w:szCs w:val="22"/>
        </w:rPr>
      </w:pPr>
      <w:r>
        <w:rPr>
          <w:rFonts w:cs="Arial"/>
          <w:sz w:val="22"/>
          <w:szCs w:val="22"/>
        </w:rPr>
        <w:t>3.7 Inclusion/Exclusion Criteria</w:t>
      </w:r>
      <w:bookmarkEnd w:id="25"/>
      <w:r>
        <w:rPr>
          <w:rFonts w:cs="Arial"/>
          <w:sz w:val="22"/>
          <w:szCs w:val="22"/>
        </w:rPr>
        <w:t xml:space="preserve"> </w:t>
      </w:r>
    </w:p>
    <w:p w14:paraId="7C021FB2">
      <w:pPr>
        <w:pStyle w:val="style0"/>
        <w:spacing w:lineRule="auto" w:line="360"/>
        <w:jc w:val="both"/>
        <w:rPr>
          <w:rFonts w:cs="Arial"/>
          <w:sz w:val="22"/>
        </w:rPr>
      </w:pPr>
      <w:r>
        <w:rPr>
          <w:rFonts w:cs="Arial"/>
          <w:sz w:val="22"/>
        </w:rPr>
        <w:t xml:space="preserve">Inclusion and exclusion criteria set the limits of the systematic review and narrow the scope of the review so it will only include studies relevant to the research question, improving the scope and validity of the review (Page et al., </w:t>
      </w:r>
      <w:r>
        <w:rPr>
          <w:rFonts w:cs="Arial"/>
          <w:sz w:val="22"/>
        </w:rPr>
        <w:t>2022</w:t>
      </w:r>
      <w:r>
        <w:rPr>
          <w:rFonts w:cs="Arial"/>
          <w:sz w:val="22"/>
        </w:rPr>
        <w:t>). The use of explicit criteria prior to screening also diminishes the likelihood of bias in screening, as the decision about what is relevant isn't dependent on screening results but is rather predetermined.</w:t>
      </w:r>
    </w:p>
    <w:p w14:paraId="7C021FB3">
      <w:pPr>
        <w:pStyle w:val="style0"/>
        <w:spacing w:lineRule="auto" w:line="360"/>
        <w:jc w:val="both"/>
        <w:rPr>
          <w:rFonts w:cs="Arial"/>
          <w:sz w:val="22"/>
        </w:rPr>
      </w:pPr>
      <w:r>
        <w:rPr>
          <w:rFonts w:cs="Arial"/>
          <w:sz w:val="22"/>
        </w:rPr>
        <w:t>Table 3: Inclusion and Exclusion Criteria</w:t>
      </w:r>
    </w:p>
    <w:tbl>
      <w:tblPr>
        <w:tblStyle w:val="style154"/>
        <w:tblW w:w="0" w:type="auto"/>
        <w:jc w:val="center"/>
        <w:tblLook w:val="04A0" w:firstRow="1" w:lastRow="0" w:firstColumn="1" w:lastColumn="0" w:noHBand="0" w:noVBand="1"/>
      </w:tblPr>
      <w:tblGrid>
        <w:gridCol w:w="4675"/>
        <w:gridCol w:w="4675"/>
      </w:tblGrid>
      <w:tr w14:paraId="7C021FB7">
        <w:trPr>
          <w:jc w:val="center"/>
        </w:trPr>
        <w:tc>
          <w:tcPr>
            <w:tcW w:w="4675" w:type="dxa"/>
            <w:tcBorders/>
          </w:tcPr>
          <w:p w14:paraId="7C021FB4">
            <w:pPr>
              <w:pStyle w:val="style0"/>
              <w:spacing w:lineRule="auto" w:line="276"/>
              <w:jc w:val="both"/>
              <w:rPr>
                <w:rFonts w:cs="Arial"/>
                <w:b/>
                <w:bCs/>
                <w:sz w:val="22"/>
              </w:rPr>
            </w:pPr>
            <w:r>
              <w:rPr>
                <w:rFonts w:cs="Arial"/>
                <w:b/>
                <w:bCs/>
                <w:sz w:val="22"/>
              </w:rPr>
              <w:t>Inclusion Criteria</w:t>
            </w:r>
          </w:p>
          <w:p w14:paraId="7C021FB5">
            <w:pPr>
              <w:pStyle w:val="style0"/>
              <w:spacing w:lineRule="auto" w:line="276"/>
              <w:jc w:val="both"/>
              <w:rPr>
                <w:rFonts w:cs="Arial"/>
                <w:b/>
                <w:bCs/>
                <w:sz w:val="22"/>
              </w:rPr>
            </w:pPr>
          </w:p>
        </w:tc>
        <w:tc>
          <w:tcPr>
            <w:tcW w:w="4675" w:type="dxa"/>
            <w:tcBorders/>
          </w:tcPr>
          <w:p w14:paraId="7C021FB6">
            <w:pPr>
              <w:pStyle w:val="style0"/>
              <w:spacing w:lineRule="auto" w:line="276"/>
              <w:jc w:val="both"/>
              <w:rPr>
                <w:rFonts w:cs="Arial"/>
                <w:b/>
                <w:bCs/>
                <w:sz w:val="22"/>
              </w:rPr>
            </w:pPr>
            <w:r>
              <w:rPr>
                <w:rFonts w:cs="Arial"/>
                <w:b/>
                <w:bCs/>
                <w:sz w:val="22"/>
              </w:rPr>
              <w:t>Exclusion Criteria</w:t>
            </w:r>
          </w:p>
        </w:tc>
      </w:tr>
      <w:tr w14:paraId="7C021FBA">
        <w:tblPrEx/>
        <w:trPr>
          <w:jc w:val="center"/>
        </w:trPr>
        <w:tc>
          <w:tcPr>
            <w:tcW w:w="4675" w:type="dxa"/>
            <w:tcBorders/>
          </w:tcPr>
          <w:p w14:paraId="7C021FB8">
            <w:pPr>
              <w:pStyle w:val="style0"/>
              <w:spacing w:lineRule="auto" w:line="276"/>
              <w:jc w:val="both"/>
              <w:rPr>
                <w:rFonts w:cs="Arial"/>
                <w:sz w:val="22"/>
              </w:rPr>
            </w:pPr>
            <w:r>
              <w:rPr>
                <w:rFonts w:cs="Arial"/>
                <w:sz w:val="22"/>
              </w:rPr>
              <w:t>Studies including adults (18 years and older) diagnosed with type 2 diabetes</w:t>
            </w:r>
          </w:p>
        </w:tc>
        <w:tc>
          <w:tcPr>
            <w:tcW w:w="4675" w:type="dxa"/>
            <w:tcBorders/>
          </w:tcPr>
          <w:p w14:paraId="7C021FB9">
            <w:pPr>
              <w:pStyle w:val="style0"/>
              <w:spacing w:lineRule="auto" w:line="276"/>
              <w:jc w:val="both"/>
              <w:rPr>
                <w:rFonts w:cs="Arial"/>
                <w:sz w:val="22"/>
              </w:rPr>
            </w:pPr>
            <w:r>
              <w:rPr>
                <w:rFonts w:cs="Arial"/>
                <w:sz w:val="22"/>
              </w:rPr>
              <w:t>Research that involved only Type 1 or gestational diabetes</w:t>
            </w:r>
          </w:p>
        </w:tc>
      </w:tr>
      <w:tr w14:paraId="7C021FBE">
        <w:tblPrEx/>
        <w:trPr>
          <w:jc w:val="center"/>
        </w:trPr>
        <w:tc>
          <w:tcPr>
            <w:tcW w:w="4675" w:type="dxa"/>
            <w:tcBorders/>
          </w:tcPr>
          <w:p w14:paraId="7C021FBB">
            <w:pPr>
              <w:pStyle w:val="style0"/>
              <w:spacing w:lineRule="auto" w:line="276"/>
              <w:jc w:val="both"/>
              <w:rPr>
                <w:rFonts w:cs="Arial"/>
                <w:sz w:val="22"/>
              </w:rPr>
            </w:pPr>
            <w:r>
              <w:rPr>
                <w:rFonts w:cs="Arial"/>
                <w:sz w:val="22"/>
              </w:rPr>
              <w:t>Studies addressing exercise/physical activity, self-medication or medication safety in this population</w:t>
            </w:r>
          </w:p>
        </w:tc>
        <w:tc>
          <w:tcPr>
            <w:tcW w:w="4675" w:type="dxa"/>
            <w:tcBorders/>
          </w:tcPr>
          <w:p w14:paraId="7C021FBC">
            <w:pPr>
              <w:pStyle w:val="style0"/>
              <w:spacing w:lineRule="auto" w:line="276"/>
              <w:jc w:val="both"/>
              <w:rPr>
                <w:rFonts w:cs="Arial"/>
                <w:sz w:val="22"/>
              </w:rPr>
            </w:pPr>
            <w:r>
              <w:rPr>
                <w:rFonts w:cs="Arial"/>
                <w:sz w:val="22"/>
              </w:rPr>
              <w:t>Studies involving children or adolescents under 18</w:t>
            </w:r>
          </w:p>
          <w:p w14:paraId="7C021FBD">
            <w:pPr>
              <w:pStyle w:val="style0"/>
              <w:spacing w:lineRule="auto" w:line="276"/>
              <w:jc w:val="both"/>
              <w:rPr>
                <w:rFonts w:cs="Arial"/>
                <w:sz w:val="22"/>
              </w:rPr>
            </w:pPr>
          </w:p>
        </w:tc>
      </w:tr>
      <w:tr w14:paraId="7C021FC1">
        <w:tblPrEx/>
        <w:trPr>
          <w:jc w:val="center"/>
        </w:trPr>
        <w:tc>
          <w:tcPr>
            <w:tcW w:w="4675" w:type="dxa"/>
            <w:tcBorders/>
          </w:tcPr>
          <w:p w14:paraId="7C021FBF">
            <w:pPr>
              <w:pStyle w:val="style0"/>
              <w:spacing w:lineRule="auto" w:line="276"/>
              <w:jc w:val="both"/>
              <w:rPr>
                <w:rFonts w:cs="Arial"/>
                <w:sz w:val="22"/>
              </w:rPr>
            </w:pPr>
            <w:r>
              <w:rPr>
                <w:rFonts w:cs="Arial"/>
                <w:sz w:val="22"/>
              </w:rPr>
              <w:t>Peer-reviewed journal articles, systematic reviews and relevant grey literature.</w:t>
            </w:r>
          </w:p>
        </w:tc>
        <w:tc>
          <w:tcPr>
            <w:tcW w:w="4675" w:type="dxa"/>
            <w:tcBorders/>
          </w:tcPr>
          <w:p w14:paraId="7C021FC0">
            <w:pPr>
              <w:pStyle w:val="style0"/>
              <w:spacing w:lineRule="auto" w:line="276"/>
              <w:jc w:val="both"/>
              <w:rPr>
                <w:rFonts w:cs="Arial"/>
                <w:sz w:val="22"/>
              </w:rPr>
            </w:pPr>
            <w:r>
              <w:rPr>
                <w:rFonts w:cs="Arial"/>
                <w:sz w:val="22"/>
              </w:rPr>
              <w:t>Conference abstracts, opinion pieces and non-peer-reviewed sources that do not have readily available full text.</w:t>
            </w:r>
          </w:p>
        </w:tc>
      </w:tr>
      <w:tr w14:paraId="7C021FC4">
        <w:tblPrEx/>
        <w:trPr>
          <w:jc w:val="center"/>
        </w:trPr>
        <w:tc>
          <w:tcPr>
            <w:tcW w:w="4675" w:type="dxa"/>
            <w:tcBorders/>
          </w:tcPr>
          <w:p w14:paraId="7C021FC2">
            <w:pPr>
              <w:pStyle w:val="style0"/>
              <w:spacing w:lineRule="auto" w:line="276"/>
              <w:jc w:val="both"/>
              <w:rPr>
                <w:rFonts w:cs="Arial"/>
                <w:sz w:val="22"/>
              </w:rPr>
            </w:pPr>
            <w:r>
              <w:rPr>
                <w:rFonts w:cs="Arial"/>
                <w:sz w:val="22"/>
              </w:rPr>
              <w:t>English language studies published from 2019-2026</w:t>
            </w:r>
          </w:p>
        </w:tc>
        <w:tc>
          <w:tcPr>
            <w:tcW w:w="4675" w:type="dxa"/>
            <w:tcBorders/>
          </w:tcPr>
          <w:p w14:paraId="7C021FC3">
            <w:pPr>
              <w:pStyle w:val="style0"/>
              <w:spacing w:lineRule="auto" w:line="276"/>
              <w:jc w:val="both"/>
              <w:rPr>
                <w:rFonts w:cs="Arial"/>
                <w:sz w:val="22"/>
              </w:rPr>
            </w:pPr>
            <w:r>
              <w:rPr>
                <w:rFonts w:cs="Arial"/>
                <w:sz w:val="22"/>
              </w:rPr>
              <w:t>Studies not published in English or before 2019</w:t>
            </w:r>
          </w:p>
        </w:tc>
      </w:tr>
      <w:tr w14:paraId="7C021FC8">
        <w:tblPrEx/>
        <w:trPr>
          <w:jc w:val="center"/>
        </w:trPr>
        <w:tc>
          <w:tcPr>
            <w:tcW w:w="4675" w:type="dxa"/>
            <w:tcBorders/>
          </w:tcPr>
          <w:p w14:paraId="7C021FC5">
            <w:pPr>
              <w:pStyle w:val="style0"/>
              <w:spacing w:lineRule="auto" w:line="276"/>
              <w:jc w:val="both"/>
              <w:rPr>
                <w:rFonts w:cs="Arial"/>
                <w:sz w:val="22"/>
              </w:rPr>
            </w:pPr>
            <w:r>
              <w:rPr>
                <w:rFonts w:cs="Arial"/>
                <w:sz w:val="22"/>
              </w:rPr>
              <w:t>Studies in a high-income or upper-middle-income healthcare environment with organised primary care.</w:t>
            </w:r>
          </w:p>
        </w:tc>
        <w:tc>
          <w:tcPr>
            <w:tcW w:w="4675" w:type="dxa"/>
            <w:tcBorders/>
          </w:tcPr>
          <w:p w14:paraId="7C021FC6">
            <w:pPr>
              <w:pStyle w:val="style0"/>
              <w:spacing w:lineRule="auto" w:line="276"/>
              <w:jc w:val="both"/>
              <w:rPr>
                <w:rFonts w:cs="Arial"/>
                <w:sz w:val="22"/>
              </w:rPr>
            </w:pPr>
            <w:r>
              <w:rPr>
                <w:rFonts w:cs="Arial"/>
                <w:sz w:val="22"/>
              </w:rPr>
              <w:t xml:space="preserve">Other systematic reviews, meta-analyses, narrative reviews, and study protocols (when they exist but have not yet been completed) (to </w:t>
            </w:r>
            <w:r>
              <w:rPr>
                <w:rFonts w:cs="Arial"/>
                <w:sz w:val="22"/>
              </w:rPr>
              <w:t>avoid double counting previously synthesised evidence)</w:t>
            </w:r>
          </w:p>
          <w:p w14:paraId="7C021FC7">
            <w:pPr>
              <w:pStyle w:val="style0"/>
              <w:spacing w:lineRule="auto" w:line="276"/>
              <w:jc w:val="both"/>
              <w:rPr>
                <w:rFonts w:cs="Arial"/>
                <w:sz w:val="22"/>
              </w:rPr>
            </w:pPr>
          </w:p>
        </w:tc>
      </w:tr>
    </w:tbl>
    <w:p w14:paraId="7C021FC9">
      <w:pPr>
        <w:pStyle w:val="style0"/>
        <w:spacing w:lineRule="auto" w:line="360"/>
        <w:jc w:val="both"/>
        <w:rPr>
          <w:rFonts w:cs="Arial"/>
          <w:sz w:val="22"/>
        </w:rPr>
      </w:pPr>
    </w:p>
    <w:bookmarkStart w:id="26" w:name="_Toc238491870"/>
    <w:p w14:paraId="7C021FCA">
      <w:pPr>
        <w:pStyle w:val="style2"/>
        <w:spacing w:lineRule="auto" w:line="360"/>
        <w:jc w:val="both"/>
        <w:rPr>
          <w:rFonts w:cs="Arial"/>
          <w:sz w:val="22"/>
          <w:szCs w:val="22"/>
        </w:rPr>
      </w:pPr>
      <w:r>
        <w:rPr>
          <w:rFonts w:cs="Arial"/>
          <w:sz w:val="22"/>
          <w:szCs w:val="22"/>
        </w:rPr>
        <w:t>3.8 Search Results</w:t>
      </w:r>
      <w:bookmarkEnd w:id="26"/>
      <w:r>
        <w:rPr>
          <w:rFonts w:cs="Arial"/>
          <w:sz w:val="22"/>
          <w:szCs w:val="22"/>
        </w:rPr>
        <w:t xml:space="preserve"> </w:t>
      </w:r>
    </w:p>
    <w:p w14:paraId="7C021FCB">
      <w:pPr>
        <w:pStyle w:val="style0"/>
        <w:spacing w:lineRule="auto" w:line="360"/>
        <w:jc w:val="both"/>
        <w:rPr>
          <w:rFonts w:cs="Arial"/>
          <w:sz w:val="22"/>
        </w:rPr>
      </w:pPr>
      <w:r>
        <w:rPr>
          <w:rFonts w:cs="Arial"/>
          <w:sz w:val="22"/>
        </w:rPr>
        <w:t xml:space="preserve">The search process and the exclusion of irrelevant studies is shown in the PRISMA 2020 flow diagram (Page et al., </w:t>
      </w:r>
      <w:r>
        <w:rPr>
          <w:rFonts w:cs="Arial"/>
          <w:sz w:val="22"/>
        </w:rPr>
        <w:t>2022</w:t>
      </w:r>
      <w:r>
        <w:rPr>
          <w:rFonts w:cs="Arial"/>
          <w:sz w:val="22"/>
        </w:rPr>
        <w:t xml:space="preserve">), in which the number of studies identified in each database, the number of duplicate studies found, the number of articles inspected for their title/abstract, and the number of articles assessed for their full text eligibility are recorded to reach the number of studies included in the review. A flow diagram using a standardised format provides transparency and reproducibility of the process used to select the studies, as the reader can clearly see how the final sample was arrived at (Page et al., </w:t>
      </w:r>
      <w:r>
        <w:rPr>
          <w:rFonts w:cs="Arial"/>
          <w:sz w:val="22"/>
        </w:rPr>
        <w:t>2022</w:t>
      </w:r>
      <w:r>
        <w:rPr>
          <w:rFonts w:cs="Arial"/>
          <w:sz w:val="22"/>
        </w:rPr>
        <w:t>).</w:t>
      </w:r>
    </w:p>
    <w:p w14:paraId="7C021FCC">
      <w:pPr>
        <w:pStyle w:val="style0"/>
        <w:spacing w:lineRule="auto" w:line="360"/>
        <w:jc w:val="both"/>
        <w:rPr>
          <w:rFonts w:cs="Arial"/>
          <w:sz w:val="22"/>
        </w:rPr>
      </w:pPr>
      <w:r>
        <w:rPr>
          <w:rFonts w:cs="Arial"/>
          <w:sz w:val="22"/>
        </w:rPr>
        <w:t xml:space="preserve">A total of 1,350 records were found in databases and grey literature searches. After excluding 450 duplicates, 900 titles and abstracts were screened, 580 of which were excluded as irrelevant to the research question, mainly on grounds of either being about Type 1 diabetes or relevant populations that were not included in the study, or not about exercise, physical activity, and self-medication. This resulted in 320 articles being fully text evaluated for eligibility. Of these, 310 were excluded, mainly because of methodological limitations, including lack of clear detail of data collection, including a lack of a control group, lack of reporting of sample size, and absence of objective measures of outcomes, making it hard to evaluate the rigour or relevance of findings reported. There were 310 articles excluded at full text; about [40]% of these were excluded due to absence of a control or comparison group, [60]% due to lack of adequate reporting of the data analysis approach, and the remainder due to the use of outcome measures not objectively validated (e.g. self-reported estimates without a validated tool). The wide initial search strategy, which maximises sensitivity, is a trade-off that is known in systematic reviews in the selection of the full-text stage, and that is reflected in this high exclusion rate at the eligibility stage (Xiao and Watson 2019). After this process, 10 studies were included in this systematic review. This selection process is shown in the PRISMA 2020 flow diagram (Figure 2) (Page et al., </w:t>
      </w:r>
      <w:r>
        <w:rPr>
          <w:rFonts w:cs="Arial"/>
          <w:sz w:val="22"/>
        </w:rPr>
        <w:t>2022</w:t>
      </w:r>
      <w:r>
        <w:rPr>
          <w:rFonts w:cs="Arial"/>
          <w:sz w:val="22"/>
        </w:rPr>
        <w:t>).</w:t>
      </w:r>
    </w:p>
    <w:p w14:paraId="7C021FCD">
      <w:pPr>
        <w:pStyle w:val="style0"/>
        <w:spacing w:lineRule="auto" w:line="360"/>
        <w:jc w:val="center"/>
        <w:rPr>
          <w:rFonts w:cs="Arial"/>
          <w:sz w:val="22"/>
        </w:rPr>
      </w:pPr>
      <w:r>
        <w:rPr>
          <w:rFonts w:cs="Arial"/>
          <w:noProof/>
          <w:sz w:val="22"/>
          <w14:ligatures xmlns:w14="http://schemas.microsoft.com/office/word/2010/wordml" w14:val="none"/>
        </w:rPr>
        <w:drawing>
          <wp:inline distL="0" distT="0" distB="0" distR="0">
            <wp:extent cx="5140325" cy="5135880"/>
            <wp:effectExtent l="0" t="0" r="3175" b="762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5140325" cy="5135880"/>
                    </a:xfrm>
                    <a:prstGeom prst="rect"/>
                    <a:ln>
                      <a:noFill/>
                    </a:ln>
                  </pic:spPr>
                </pic:pic>
              </a:graphicData>
            </a:graphic>
          </wp:inline>
        </w:drawing>
      </w:r>
    </w:p>
    <w:p w14:paraId="7C021FCE">
      <w:pPr>
        <w:pStyle w:val="style0"/>
        <w:spacing w:lineRule="auto" w:line="360"/>
        <w:jc w:val="center"/>
        <w:rPr>
          <w:rFonts w:cs="Arial"/>
          <w:sz w:val="22"/>
        </w:rPr>
      </w:pPr>
      <w:r>
        <w:rPr>
          <w:rFonts w:cs="Arial"/>
          <w:sz w:val="22"/>
        </w:rPr>
        <w:t>Figure 2: The PRISMA Flow Diagram.</w:t>
      </w:r>
    </w:p>
    <w:p w14:paraId="7C021FCF">
      <w:pPr>
        <w:pStyle w:val="style0"/>
        <w:spacing w:lineRule="auto" w:line="360"/>
        <w:jc w:val="both"/>
        <w:rPr>
          <w:rFonts w:cs="Arial"/>
          <w:sz w:val="22"/>
        </w:rPr>
      </w:pPr>
    </w:p>
    <w:bookmarkStart w:id="27" w:name="_Toc238491871"/>
    <w:p w14:paraId="7C021FD0">
      <w:pPr>
        <w:pStyle w:val="style2"/>
        <w:spacing w:lineRule="auto" w:line="360"/>
        <w:jc w:val="both"/>
        <w:rPr>
          <w:rFonts w:cs="Arial"/>
          <w:sz w:val="22"/>
          <w:szCs w:val="22"/>
        </w:rPr>
      </w:pPr>
      <w:r>
        <w:rPr>
          <w:rFonts w:cs="Arial"/>
          <w:sz w:val="22"/>
          <w:szCs w:val="22"/>
        </w:rPr>
        <w:t>3.9 Ethical Considerations</w:t>
      </w:r>
      <w:bookmarkEnd w:id="27"/>
    </w:p>
    <w:p w14:paraId="7C021FD1">
      <w:pPr>
        <w:pStyle w:val="style0"/>
        <w:spacing w:lineRule="auto" w:line="360"/>
        <w:jc w:val="both"/>
        <w:rPr>
          <w:rFonts w:cs="Arial"/>
          <w:sz w:val="22"/>
        </w:rPr>
      </w:pPr>
      <w:r>
        <w:rPr>
          <w:rFonts w:cs="Arial"/>
          <w:sz w:val="22"/>
        </w:rPr>
        <w:t xml:space="preserve">This dissertation is a systematic review of published secondary literature; therefore, formal ethical approval from a research ethics committee was not needed to collect the data directly from human participants. Ethical issues were still considered when deciding on literature, in keeping with accepted guidelines for research honesty (Page et al., </w:t>
      </w:r>
      <w:r>
        <w:rPr>
          <w:rFonts w:cs="Arial"/>
          <w:sz w:val="22"/>
        </w:rPr>
        <w:t>2022</w:t>
      </w:r>
      <w:r>
        <w:rPr>
          <w:rFonts w:cs="Arial"/>
          <w:sz w:val="22"/>
        </w:rPr>
        <w:t>): studies included had also been peer-reviewed and, if applicable, had been reviewed by their home institutions' ethics board before publication. Accurate and transparent referencing of all sources was also used to prevent the portrayal of the findings of the original authors inaccurately.</w:t>
      </w:r>
    </w:p>
    <w:bookmarkStart w:id="28" w:name="_Toc238491872"/>
    <w:p w14:paraId="7C021FD2">
      <w:pPr>
        <w:pStyle w:val="style2"/>
        <w:spacing w:lineRule="auto" w:line="360"/>
        <w:jc w:val="both"/>
        <w:rPr>
          <w:rFonts w:cs="Arial"/>
          <w:sz w:val="22"/>
          <w:szCs w:val="22"/>
        </w:rPr>
      </w:pPr>
      <w:r>
        <w:rPr>
          <w:rFonts w:cs="Arial"/>
          <w:sz w:val="22"/>
          <w:szCs w:val="22"/>
        </w:rPr>
        <w:t>3.10 Chapter Summary</w:t>
      </w:r>
      <w:bookmarkEnd w:id="28"/>
    </w:p>
    <w:p w14:paraId="7C021FD3">
      <w:pPr>
        <w:pStyle w:val="style0"/>
        <w:spacing w:lineRule="auto" w:line="360"/>
        <w:jc w:val="both"/>
        <w:rPr>
          <w:rFonts w:cs="Arial"/>
          <w:sz w:val="22"/>
        </w:rPr>
      </w:pPr>
      <w:r>
        <w:rPr>
          <w:rFonts w:cs="Arial"/>
          <w:sz w:val="22"/>
        </w:rPr>
        <w:t>In this chapter, the method of conducting the systematic literature review has been presented, which includes the PEO framework, search terms, keywords, databases, inclusion and exclusion criteria, and the PRISMA process for selecting and identifying appropriate studies. It has also discussed the ethics issues related to the review of secondary, published evidence. The data extraction and critical appraisal of the studies identified in this process are now performed, and the studies are critically appraised in Chapter Four, prior to their thematic synthesis in Chapter Five.</w:t>
      </w:r>
    </w:p>
    <w:p w14:paraId="7C021FD4">
      <w:pPr>
        <w:pStyle w:val="style0"/>
        <w:spacing w:lineRule="auto" w:line="360"/>
        <w:jc w:val="both"/>
        <w:rPr>
          <w:rFonts w:cs="Arial"/>
          <w:sz w:val="22"/>
        </w:rPr>
      </w:pPr>
    </w:p>
    <w:p w14:paraId="7C021FD5">
      <w:pPr>
        <w:pStyle w:val="style0"/>
        <w:spacing w:lineRule="auto" w:line="360"/>
        <w:jc w:val="both"/>
        <w:rPr>
          <w:rFonts w:cs="Arial"/>
          <w:sz w:val="22"/>
        </w:rPr>
      </w:pPr>
    </w:p>
    <w:p w14:paraId="7C021FD6">
      <w:pPr>
        <w:pStyle w:val="style0"/>
        <w:spacing w:lineRule="auto" w:line="360"/>
        <w:jc w:val="both"/>
        <w:rPr>
          <w:rFonts w:cs="Arial" w:eastAsia="SimSun"/>
          <w:b/>
          <w:sz w:val="22"/>
        </w:rPr>
      </w:pPr>
      <w:r>
        <w:rPr>
          <w:rFonts w:cs="Arial"/>
          <w:sz w:val="22"/>
        </w:rPr>
        <w:br w:type="page"/>
      </w:r>
    </w:p>
    <w:bookmarkStart w:id="29" w:name="_Toc238491873"/>
    <w:p w14:paraId="7C021FD7">
      <w:pPr>
        <w:pStyle w:val="style1"/>
        <w:spacing w:lineRule="auto" w:line="360"/>
        <w:jc w:val="both"/>
        <w:rPr>
          <w:rFonts w:cs="Arial"/>
          <w:sz w:val="22"/>
          <w:szCs w:val="22"/>
        </w:rPr>
      </w:pPr>
      <w:r>
        <w:rPr>
          <w:rFonts w:cs="Arial"/>
          <w:sz w:val="22"/>
          <w:szCs w:val="22"/>
        </w:rPr>
        <w:t>CHAPTER 4: DATA EXTRACTION AND EVALUATION</w:t>
      </w:r>
      <w:bookmarkEnd w:id="29"/>
      <w:r>
        <w:rPr>
          <w:rFonts w:cs="Arial"/>
          <w:sz w:val="22"/>
          <w:szCs w:val="22"/>
        </w:rPr>
        <w:t xml:space="preserve"> </w:t>
      </w:r>
    </w:p>
    <w:bookmarkStart w:id="30" w:name="_Toc238491874"/>
    <w:p w14:paraId="7C021FD8">
      <w:pPr>
        <w:pStyle w:val="style2"/>
        <w:spacing w:lineRule="auto" w:line="360"/>
        <w:jc w:val="both"/>
        <w:rPr>
          <w:rFonts w:cs="Arial"/>
          <w:sz w:val="22"/>
          <w:szCs w:val="22"/>
        </w:rPr>
      </w:pPr>
      <w:r>
        <w:rPr>
          <w:rFonts w:cs="Arial"/>
          <w:sz w:val="22"/>
          <w:szCs w:val="22"/>
        </w:rPr>
        <w:t>4.1 Introduction to Chapter</w:t>
      </w:r>
      <w:bookmarkEnd w:id="30"/>
      <w:r>
        <w:rPr>
          <w:rFonts w:cs="Arial"/>
          <w:sz w:val="22"/>
          <w:szCs w:val="22"/>
        </w:rPr>
        <w:t xml:space="preserve"> </w:t>
      </w:r>
    </w:p>
    <w:p w14:paraId="7C021FD9">
      <w:pPr>
        <w:pStyle w:val="style0"/>
        <w:spacing w:lineRule="auto" w:line="360"/>
        <w:jc w:val="both"/>
        <w:rPr>
          <w:rFonts w:cs="Arial"/>
          <w:sz w:val="22"/>
        </w:rPr>
      </w:pPr>
      <w:r>
        <w:rPr>
          <w:rFonts w:cs="Arial"/>
          <w:sz w:val="22"/>
        </w:rPr>
        <w:t>The data extraction and critical appraisal of the ten studies selected for this systematic review are presented in this chapter. It outlines the process for data extraction and critical appraisal, explains the rationale for the choice of appraisal tools used in the qualitative, quantitative, and cohort designs, and uses them to assess the methodological quality of each study before the findings are thematically synthesised in Chapter Five.</w:t>
      </w:r>
    </w:p>
    <w:bookmarkStart w:id="31" w:name="_Toc238491875"/>
    <w:p w14:paraId="7C021FDA">
      <w:pPr>
        <w:pStyle w:val="style2"/>
        <w:spacing w:lineRule="auto" w:line="360"/>
        <w:jc w:val="both"/>
        <w:rPr>
          <w:rFonts w:cs="Arial"/>
          <w:sz w:val="22"/>
          <w:szCs w:val="22"/>
        </w:rPr>
      </w:pPr>
      <w:r>
        <w:rPr>
          <w:rFonts w:cs="Arial"/>
          <w:sz w:val="22"/>
          <w:szCs w:val="22"/>
        </w:rPr>
        <w:t>4.2 Data Extraction</w:t>
      </w:r>
      <w:bookmarkEnd w:id="31"/>
      <w:r>
        <w:rPr>
          <w:rFonts w:cs="Arial"/>
          <w:sz w:val="22"/>
          <w:szCs w:val="22"/>
        </w:rPr>
        <w:t xml:space="preserve"> </w:t>
      </w:r>
    </w:p>
    <w:p w14:paraId="7C021FDB">
      <w:pPr>
        <w:pStyle w:val="style0"/>
        <w:spacing w:lineRule="auto" w:line="360"/>
        <w:jc w:val="both"/>
        <w:rPr>
          <w:rFonts w:cs="Arial"/>
          <w:sz w:val="22"/>
        </w:rPr>
      </w:pPr>
      <w:r>
        <w:rPr>
          <w:rFonts w:cs="Arial"/>
          <w:sz w:val="22"/>
        </w:rPr>
        <w:t>Data extraction involves systematically taking the relevant data from each included study to ensure that findings are consistently compared across studies (</w:t>
      </w:r>
      <w:r>
        <w:rPr>
          <w:rFonts w:cs="Arial"/>
          <w:color w:val="222222"/>
          <w:sz w:val="22"/>
          <w:shd w:val="clear" w:color="auto" w:fill="ffffff"/>
        </w:rPr>
        <w:t>Chandler</w:t>
      </w:r>
      <w:r>
        <w:rPr>
          <w:rFonts w:cs="Arial"/>
          <w:sz w:val="22"/>
        </w:rPr>
        <w:t xml:space="preserve"> et al., 2019). A data extraction form was employed for the ten studies included in this review in order to document key information for these studies, including author and year, country of study, study design, sample size, population characteristics, exposure (exercise type or medication behaviour), outcome measures, key findings, and limitations. The standardisation of this information enabled direct comparisons of the five exercise trials with the five studies related to medication self-management and adherence, and informed the critical appraisal in the subsequent sections. The final extraction table is included as Appendix 1.</w:t>
      </w:r>
    </w:p>
    <w:bookmarkStart w:id="32" w:name="_Toc238491876"/>
    <w:p w14:paraId="7C021FDC">
      <w:pPr>
        <w:pStyle w:val="style2"/>
        <w:spacing w:lineRule="auto" w:line="360"/>
        <w:jc w:val="both"/>
        <w:rPr>
          <w:rFonts w:cs="Arial"/>
          <w:sz w:val="22"/>
          <w:szCs w:val="22"/>
        </w:rPr>
      </w:pPr>
      <w:r>
        <w:rPr>
          <w:rFonts w:cs="Arial"/>
          <w:sz w:val="22"/>
          <w:szCs w:val="22"/>
        </w:rPr>
        <w:t>4.3 Brief Introduction to Critical Appraisal and Paper Quality Assessment</w:t>
      </w:r>
      <w:bookmarkEnd w:id="32"/>
      <w:r>
        <w:rPr>
          <w:rFonts w:cs="Arial"/>
          <w:sz w:val="22"/>
          <w:szCs w:val="22"/>
        </w:rPr>
        <w:t xml:space="preserve"> </w:t>
      </w:r>
    </w:p>
    <w:p w14:paraId="7C021FDD">
      <w:pPr>
        <w:pStyle w:val="style0"/>
        <w:spacing w:lineRule="auto" w:line="360"/>
        <w:jc w:val="both"/>
        <w:rPr>
          <w:rFonts w:cs="Arial"/>
          <w:sz w:val="22"/>
        </w:rPr>
      </w:pPr>
      <w:r>
        <w:rPr>
          <w:rFonts w:cs="Arial"/>
          <w:sz w:val="22"/>
        </w:rPr>
        <w:t>Critical appraisal is the systematic evaluation of the design, conduct and reporting of a study to evaluate the extent of confidence in its findings (</w:t>
      </w:r>
      <w:r>
        <w:rPr>
          <w:rFonts w:cs="Arial"/>
          <w:sz w:val="22"/>
        </w:rPr>
        <w:t>Katrak</w:t>
      </w:r>
      <w:r>
        <w:rPr>
          <w:rFonts w:cs="Arial"/>
          <w:sz w:val="22"/>
        </w:rPr>
        <w:t xml:space="preserve"> et al., 2004). In a systematic review, critical appraisal is important as different studies have varying degrees of rigour, and if all studies are judged to be equally reliable, the results may not be appropriately supported (</w:t>
      </w:r>
      <w:r>
        <w:rPr>
          <w:rFonts w:cs="Arial"/>
          <w:color w:val="222222"/>
          <w:sz w:val="22"/>
          <w:shd w:val="clear" w:color="auto" w:fill="ffffff"/>
        </w:rPr>
        <w:t>Chandler</w:t>
      </w:r>
      <w:r>
        <w:rPr>
          <w:rFonts w:cs="Arial"/>
          <w:sz w:val="22"/>
        </w:rPr>
        <w:t xml:space="preserve"> et al., 2019). This chapter does not just summarise the conclusions reached by each study, but examines how each study reached its conclusions, such as the selection of the sample, the validity of the measures and how bias was dealt with, for the purpose of assigning stronger and weaker evidence to be considered in Chapter Five. This is especially relevant here, as the studies in the ten vary from RCTs to CS surveys and Q interviews and could not be adequately appraised using one approach to the specific risks of the studies (</w:t>
      </w:r>
      <w:r>
        <w:rPr>
          <w:rFonts w:cs="Arial"/>
          <w:sz w:val="22"/>
        </w:rPr>
        <w:t>Katrak</w:t>
      </w:r>
      <w:r>
        <w:rPr>
          <w:rFonts w:cs="Arial"/>
          <w:sz w:val="22"/>
        </w:rPr>
        <w:t xml:space="preserve"> et al., 2004).</w:t>
      </w:r>
    </w:p>
    <w:bookmarkStart w:id="33" w:name="_Toc238491877"/>
    <w:p w14:paraId="7C021FDE">
      <w:pPr>
        <w:pStyle w:val="style2"/>
        <w:spacing w:lineRule="auto" w:line="360"/>
        <w:jc w:val="both"/>
        <w:rPr>
          <w:rFonts w:cs="Arial"/>
          <w:sz w:val="22"/>
          <w:szCs w:val="22"/>
        </w:rPr>
      </w:pPr>
      <w:r>
        <w:rPr>
          <w:rFonts w:cs="Arial"/>
          <w:sz w:val="22"/>
          <w:szCs w:val="22"/>
        </w:rPr>
        <w:t>4.4 Critical Appraisal Tools</w:t>
      </w:r>
      <w:bookmarkEnd w:id="33"/>
      <w:r>
        <w:rPr>
          <w:rFonts w:cs="Arial"/>
          <w:sz w:val="22"/>
          <w:szCs w:val="22"/>
        </w:rPr>
        <w:t xml:space="preserve"> </w:t>
      </w:r>
    </w:p>
    <w:p w14:paraId="7C021FDF">
      <w:pPr>
        <w:pStyle w:val="style0"/>
        <w:spacing w:lineRule="auto" w:line="360"/>
        <w:jc w:val="both"/>
        <w:rPr>
          <w:rFonts w:cs="Arial"/>
          <w:sz w:val="22"/>
        </w:rPr>
      </w:pPr>
      <w:r>
        <w:rPr>
          <w:rFonts w:cs="Arial"/>
          <w:sz w:val="22"/>
        </w:rPr>
        <w:t>A critical appraisal tool is a checklist with questions that are specific to a study design and are intended to lead the reviewer through the questions rather than being based on general feeling about the quality of the study. (</w:t>
      </w:r>
      <w:r>
        <w:rPr>
          <w:rFonts w:cs="Arial"/>
          <w:color w:val="222222"/>
          <w:sz w:val="22"/>
          <w:shd w:val="clear" w:color="auto" w:fill="ffffff"/>
        </w:rPr>
        <w:t>Haile, 2022</w:t>
      </w:r>
      <w:r>
        <w:rPr>
          <w:rFonts w:cs="Arial"/>
          <w:sz w:val="22"/>
        </w:rPr>
        <w:t xml:space="preserve">) The right tool is important, as a checklist developed for a randomised trial does not have the right questions for a cross-sectional survey or a qualitative </w:t>
      </w:r>
      <w:r>
        <w:rPr>
          <w:rFonts w:cs="Arial"/>
          <w:sz w:val="22"/>
        </w:rPr>
        <w:t>interview study (Downes et al., 2016). A total of three tools were used, which represented the three general designs of the ten studies. Randomisation, blinding and completeness of follow-up were assessed in the five exercise trials using the CASP Randomised Controlled Trial checklist (CASP, 2020). The CASP Qualitative Studies Checklist (CASP, 2018) was used for the two qualitative studies, focusing on recruitment, reflexivity and credibility of analysis. The two cross-sectional surveys were completed using the Appraisal tool for Cross-Sectional Studies (AXIS) (Downes et al., 2016); the one cohort study was completed using the CASP Cohort Study Checklist (CASP, 2018) as neither of the cross-sectional study designs is well appraised by a checklist designed for controlled trials.</w:t>
      </w:r>
    </w:p>
    <w:bookmarkStart w:id="34" w:name="_Toc238491878"/>
    <w:p w14:paraId="7C021FE0">
      <w:pPr>
        <w:pStyle w:val="style2"/>
        <w:spacing w:lineRule="auto" w:line="360"/>
        <w:jc w:val="both"/>
        <w:rPr>
          <w:rFonts w:cs="Arial"/>
          <w:sz w:val="22"/>
          <w:szCs w:val="22"/>
        </w:rPr>
      </w:pPr>
      <w:r>
        <w:rPr>
          <w:rFonts w:cs="Arial"/>
          <w:sz w:val="22"/>
          <w:szCs w:val="22"/>
        </w:rPr>
        <w:t>4.5 Evaluation of Qualitative Studies Using CASP</w:t>
      </w:r>
      <w:bookmarkEnd w:id="34"/>
      <w:r>
        <w:rPr>
          <w:rFonts w:cs="Arial"/>
          <w:sz w:val="22"/>
          <w:szCs w:val="22"/>
        </w:rPr>
        <w:t xml:space="preserve"> </w:t>
      </w:r>
    </w:p>
    <w:p w14:paraId="7C021FE1">
      <w:pPr>
        <w:pStyle w:val="style0"/>
        <w:spacing w:lineRule="auto" w:line="360"/>
        <w:jc w:val="both"/>
        <w:rPr>
          <w:rFonts w:cs="Arial"/>
          <w:sz w:val="22"/>
        </w:rPr>
      </w:pPr>
      <w:r>
        <w:rPr>
          <w:rFonts w:cs="Arial"/>
          <w:sz w:val="22"/>
        </w:rPr>
        <w:t xml:space="preserve">Both Li et al. (2025) and Puvvada et al. (2023) show a clear aim with suitable qualitative designs and recruitment strategies that are transparent. Medication self-management was sampled using purposive sampling with maximum variation to represent patients with varying experiences of medication self-management, and data collection continued until thematic saturation was reached (following saturation guidelines by Fusch and Ness (2015)), with a total of 20 interviews. Two researchers independently double-coded the data, with a third researcher with qualitative expertise consulted to settle inconsistencies, and member checking (returning transcripts to participants to ensure accuracy). Puvvada et al. (2023) also strived to reach rigour by using an insider researcher (pharmacist with local knowledge) and an outsider experienced qualitative researcher, a combination which </w:t>
      </w:r>
      <w:r>
        <w:rPr>
          <w:rFonts w:cs="Arial"/>
          <w:sz w:val="22"/>
        </w:rPr>
        <w:t>Malterud</w:t>
      </w:r>
      <w:r>
        <w:rPr>
          <w:rFonts w:cs="Arial"/>
          <w:sz w:val="22"/>
        </w:rPr>
        <w:t xml:space="preserve"> (2001) claims is useful for providing the depth required to understand the context, as well as the distance required to question the assumptions.</w:t>
      </w:r>
    </w:p>
    <w:p w14:paraId="7C021FE2">
      <w:pPr>
        <w:pStyle w:val="style0"/>
        <w:spacing w:lineRule="auto" w:line="360"/>
        <w:jc w:val="both"/>
        <w:rPr>
          <w:rFonts w:cs="Arial"/>
          <w:sz w:val="22"/>
        </w:rPr>
      </w:pPr>
      <w:r>
        <w:rPr>
          <w:rFonts w:cs="Arial"/>
          <w:sz w:val="22"/>
        </w:rPr>
        <w:t xml:space="preserve">A key weakness in the study by Puvvada et al. (2023) is that it only solicits the perceptions of doctors, rather than those of patients, about patients' self-medication behaviour, which simply reflects how doctors perceive and react to the self-medication behaviour, but not the reasons for it. This is an important distinction in this review as the research question focuses on patient behaviour and doctor perceptions may not be a true reflection of patient reasoning or experience (Mays and Pope, </w:t>
      </w:r>
      <w:r>
        <w:rPr>
          <w:rFonts w:cs="Arial"/>
          <w:color w:val="222222"/>
          <w:sz w:val="22"/>
          <w:shd w:val="clear" w:color="auto" w:fill="ffffff"/>
        </w:rPr>
        <w:t>2020</w:t>
      </w:r>
      <w:r>
        <w:rPr>
          <w:rFonts w:cs="Arial"/>
          <w:sz w:val="22"/>
        </w:rPr>
        <w:t>). The relevance of Li et al. (2025) to RQ2 is enhanced by its direct focus on patients, but the sample was drawn from a single hospital in Anhui province, meaning that the findings may not be generalisable to other healthcare systems, such as the UK.</w:t>
      </w:r>
    </w:p>
    <w:p w14:paraId="7C021FE3">
      <w:pPr>
        <w:pStyle w:val="style0"/>
        <w:spacing w:lineRule="auto" w:line="360"/>
        <w:jc w:val="both"/>
        <w:rPr>
          <w:rFonts w:cs="Arial"/>
          <w:sz w:val="22"/>
        </w:rPr>
      </w:pPr>
      <w:r>
        <w:rPr>
          <w:rFonts w:cs="Arial"/>
          <w:sz w:val="22"/>
        </w:rPr>
        <w:t xml:space="preserve">The studies were both grounded in a solid theoretical basis; in Li et al. (2025) this was COM-B, and in Puvvada et al. (2023) a phenomenological approach was used, both of which have been recognised in the literature (Michie, van </w:t>
      </w:r>
      <w:r>
        <w:rPr>
          <w:rFonts w:cs="Arial"/>
          <w:sz w:val="22"/>
        </w:rPr>
        <w:t>Stralen</w:t>
      </w:r>
      <w:r>
        <w:rPr>
          <w:rFonts w:cs="Arial"/>
          <w:sz w:val="22"/>
        </w:rPr>
        <w:t xml:space="preserve"> and West, 2011), thereby helping the analysis to be credible rather than simply asserted. Both studies present most of the evidence required by </w:t>
      </w:r>
      <w:r>
        <w:rPr>
          <w:rFonts w:cs="Arial"/>
          <w:sz w:val="22"/>
        </w:rPr>
        <w:t>CASP, but the indirect evidence provided by Puvvada et al. (2023) and the single-site design of both studies means that the results may only be considered illustrative of barriers and enablers and not as prevalence estimates.</w:t>
      </w:r>
    </w:p>
    <w:bookmarkStart w:id="35" w:name="_Toc238491879"/>
    <w:p w14:paraId="7C021FE4">
      <w:pPr>
        <w:pStyle w:val="style2"/>
        <w:spacing w:lineRule="auto" w:line="360"/>
        <w:jc w:val="both"/>
        <w:rPr>
          <w:rFonts w:cs="Arial"/>
          <w:sz w:val="22"/>
          <w:szCs w:val="22"/>
        </w:rPr>
      </w:pPr>
      <w:r>
        <w:rPr>
          <w:rFonts w:cs="Arial"/>
          <w:sz w:val="22"/>
          <w:szCs w:val="22"/>
        </w:rPr>
        <w:t>4.6 Evaluation of Quantitative Studies Using CASP and AXIS</w:t>
      </w:r>
      <w:bookmarkEnd w:id="35"/>
    </w:p>
    <w:p w14:paraId="7C021FE5">
      <w:pPr>
        <w:pStyle w:val="style0"/>
        <w:spacing w:lineRule="auto" w:line="360"/>
        <w:jc w:val="both"/>
        <w:rPr>
          <w:rFonts w:cs="Arial"/>
          <w:sz w:val="22"/>
        </w:rPr>
      </w:pPr>
      <w:r>
        <w:rPr>
          <w:rFonts w:cs="Arial"/>
          <w:sz w:val="22"/>
        </w:rPr>
        <w:t xml:space="preserve">Eight of the ten studies included in the study employed quantitative designs: five randomised controlled trials (RCT) that studied exercise (Al </w:t>
      </w:r>
      <w:r>
        <w:rPr>
          <w:rFonts w:cs="Arial"/>
          <w:sz w:val="22"/>
        </w:rPr>
        <w:t>Ozairi</w:t>
      </w:r>
      <w:r>
        <w:rPr>
          <w:rFonts w:cs="Arial"/>
          <w:sz w:val="22"/>
        </w:rPr>
        <w:t xml:space="preserve"> et al., 2023; Way et al., 2020; </w:t>
      </w:r>
      <w:r>
        <w:rPr>
          <w:rFonts w:cs="Arial"/>
          <w:sz w:val="22"/>
        </w:rPr>
        <w:t>Gulsin</w:t>
      </w:r>
      <w:r>
        <w:rPr>
          <w:rFonts w:cs="Arial"/>
          <w:sz w:val="22"/>
        </w:rPr>
        <w:t xml:space="preserve"> et al., 2020; Kobayashi et al., 2023; Magalhães et al., 2021), two cross-sectional surveys (</w:t>
      </w:r>
      <w:r>
        <w:rPr>
          <w:rFonts w:cs="Arial"/>
          <w:sz w:val="22"/>
        </w:rPr>
        <w:t>Alrasheeday</w:t>
      </w:r>
      <w:r>
        <w:rPr>
          <w:rFonts w:cs="Arial"/>
          <w:sz w:val="22"/>
        </w:rPr>
        <w:t xml:space="preserve"> et al., 2024, </w:t>
      </w:r>
      <w:r>
        <w:rPr>
          <w:rFonts w:cs="Arial"/>
          <w:sz w:val="22"/>
        </w:rPr>
        <w:t>Milushewa</w:t>
      </w:r>
      <w:r>
        <w:rPr>
          <w:rFonts w:cs="Arial"/>
          <w:sz w:val="22"/>
        </w:rPr>
        <w:t xml:space="preserve"> et al., 2026) and one cohort study (</w:t>
      </w:r>
      <w:r>
        <w:rPr>
          <w:rFonts w:cs="Arial"/>
          <w:sz w:val="22"/>
        </w:rPr>
        <w:t>Faquetti</w:t>
      </w:r>
      <w:r>
        <w:rPr>
          <w:rFonts w:cs="Arial"/>
          <w:sz w:val="22"/>
        </w:rPr>
        <w:t xml:space="preserve"> et al., 2024), which focused on prescribing safety. All eight of the analytic methods appropriate to their research questions and data type were used, including linear regression and repeated measures ANOVA in the trials, and non-parametric testing with surveys that were skewed.</w:t>
      </w:r>
    </w:p>
    <w:bookmarkStart w:id="36" w:name="_Toc238491880"/>
    <w:p w14:paraId="7C021FE6">
      <w:pPr>
        <w:pStyle w:val="style3"/>
        <w:spacing w:lineRule="auto" w:line="360"/>
        <w:jc w:val="both"/>
        <w:rPr>
          <w:rFonts w:cs="Arial"/>
          <w:sz w:val="22"/>
          <w:szCs w:val="22"/>
        </w:rPr>
      </w:pPr>
      <w:r>
        <w:rPr>
          <w:rFonts w:cs="Arial"/>
          <w:sz w:val="22"/>
          <w:szCs w:val="22"/>
        </w:rPr>
        <w:t>4.6.1. The five exercise trials</w:t>
      </w:r>
      <w:bookmarkEnd w:id="36"/>
    </w:p>
    <w:p w14:paraId="7C021FE7">
      <w:pPr>
        <w:pStyle w:val="style0"/>
        <w:spacing w:lineRule="auto" w:line="360"/>
        <w:jc w:val="both"/>
        <w:rPr>
          <w:rFonts w:cs="Arial"/>
          <w:sz w:val="22"/>
        </w:rPr>
      </w:pPr>
      <w:r>
        <w:rPr>
          <w:rFonts w:cs="Arial"/>
          <w:sz w:val="22"/>
        </w:rPr>
        <w:t xml:space="preserve">All five exercise trials were conducted using random allocation with computer-generated allocation sequences and concealed allocation to minimise the threat of selection bias that is emphasised as an essential criterion for the CASP as an RCT (CASP, 2020). Furthermore, the assessments of the group allocation were blinded by Kobayashi et al. (2023) and Magalhães et al. (2021) and cardiac imaging outcomes were analysed by blinding the assessors by </w:t>
      </w:r>
      <w:r>
        <w:rPr>
          <w:rFonts w:cs="Arial"/>
          <w:sz w:val="22"/>
        </w:rPr>
        <w:t>Gulsin</w:t>
      </w:r>
      <w:r>
        <w:rPr>
          <w:rFonts w:cs="Arial"/>
          <w:sz w:val="22"/>
        </w:rPr>
        <w:t xml:space="preserve"> et al. (2020), thus lending greater confidence that any observed effects were not influenced by the assessor's expectation. In lifestyle trials of this type, it is impossible to blind the participants to their own exercise assignment, and all 5 studies reveal this fact of the trial openly, not in secret.</w:t>
      </w:r>
    </w:p>
    <w:p w14:paraId="7C021FE8">
      <w:pPr>
        <w:pStyle w:val="style0"/>
        <w:spacing w:lineRule="auto" w:line="360"/>
        <w:jc w:val="both"/>
        <w:rPr>
          <w:rFonts w:cs="Arial"/>
          <w:sz w:val="22"/>
        </w:rPr>
      </w:pPr>
      <w:r>
        <w:rPr>
          <w:rFonts w:cs="Arial"/>
          <w:sz w:val="22"/>
        </w:rPr>
        <w:t>The size of the sample and the percentage completed were widely different across the studies, and these are important in regard to the confidence in findings extrapolating to the broader population of interest. Way et al. (2020) only enrolled 35 participants, out of a planned 45, and cite funding constraints as the reason for this, but note that the trial was underpowered, with wide confidence intervals. The sample size of 120 was larger for the intention-to-treat analysis, although only 62 of the participants adhered to the program to the per-protocol standard of 70 per cent, highlighting a common issue in unsupervised, home-based exercise interventions in which adherence rates often drop off after the initial supervision phase (</w:t>
      </w:r>
      <w:r>
        <w:rPr>
          <w:rFonts w:cs="Arial"/>
          <w:sz w:val="22"/>
        </w:rPr>
        <w:t>Vilafranca</w:t>
      </w:r>
      <w:r>
        <w:rPr>
          <w:rFonts w:cs="Arial"/>
          <w:sz w:val="22"/>
        </w:rPr>
        <w:t xml:space="preserve"> Cartagena, Tort-</w:t>
      </w:r>
      <w:r>
        <w:rPr>
          <w:rFonts w:cs="Arial"/>
          <w:sz w:val="22"/>
        </w:rPr>
        <w:t>Nasarre</w:t>
      </w:r>
      <w:r>
        <w:rPr>
          <w:rFonts w:cs="Arial"/>
          <w:sz w:val="22"/>
        </w:rPr>
        <w:t xml:space="preserve"> and </w:t>
      </w:r>
      <w:r>
        <w:rPr>
          <w:rFonts w:cs="Arial"/>
          <w:sz w:val="22"/>
        </w:rPr>
        <w:t>Rubinat</w:t>
      </w:r>
      <w:r>
        <w:rPr>
          <w:rFonts w:cs="Arial"/>
          <w:sz w:val="22"/>
        </w:rPr>
        <w:t xml:space="preserve"> Arnaldo, 2021). Kobayashi et al. (2023) experienced a similar problem, but for different reasons, as COVID-19 social distancing measures meant that trials had to be terminated early and the sample size completing the trial was approximately 45% of the randomised sample. The authors acknowledge this as a limitation, and it is noted that the trial </w:t>
      </w:r>
      <w:r>
        <w:rPr>
          <w:rFonts w:cs="Arial"/>
          <w:sz w:val="22"/>
        </w:rPr>
        <w:t>was underpowered compared to its original design, despite the statistically significant effect size for strength training on glycaemic control being reported.</w:t>
      </w:r>
    </w:p>
    <w:p w14:paraId="7C021FE9">
      <w:pPr>
        <w:pStyle w:val="style0"/>
        <w:spacing w:lineRule="auto" w:line="360"/>
        <w:jc w:val="both"/>
        <w:rPr>
          <w:rFonts w:cs="Arial"/>
          <w:sz w:val="22"/>
        </w:rPr>
      </w:pPr>
      <w:r>
        <w:rPr>
          <w:rFonts w:cs="Arial"/>
          <w:sz w:val="22"/>
        </w:rPr>
        <w:t>The five trials as a group provide a more complex view of exercise than would be suggested by a single trial headline. Supervised aerobic exercise was found to enhance the diastolic function in adults with type 2 diabetes, without causing any appreciable weight loss, whereas weight loss in the low-energy diet arm did not improve the diastolic function. (</w:t>
      </w:r>
      <w:r>
        <w:rPr>
          <w:rFonts w:cs="Arial"/>
          <w:sz w:val="22"/>
        </w:rPr>
        <w:t>Gulsin</w:t>
      </w:r>
      <w:r>
        <w:rPr>
          <w:rFonts w:cs="Arial"/>
          <w:sz w:val="22"/>
        </w:rPr>
        <w:t xml:space="preserve"> et al. 2020) This goes against a belief that exercise has a primary effect on type 2 diabetes via weight loss, and Magalhães et al. (2021) further highlight this with the finding that those who did not achieve clinically meaningful weight loss after 1 year of exercise still achieved measurable improvements in arterial stiffness and structure. Combined, these two trials indicate that the effects of exercise are mediated by mechanisms other than weight loss, which is directly relevant to the implementation of exercise in patient education for RQ1, as patients who do not notice weight loss may otherwise perceive that exercise is not working for them.</w:t>
      </w:r>
    </w:p>
    <w:p w14:paraId="7C021FEA">
      <w:pPr>
        <w:pStyle w:val="style0"/>
        <w:spacing w:lineRule="auto" w:line="360"/>
        <w:jc w:val="both"/>
        <w:rPr>
          <w:rFonts w:cs="Arial"/>
          <w:sz w:val="22"/>
        </w:rPr>
      </w:pPr>
      <w:r>
        <w:rPr>
          <w:rFonts w:cs="Arial"/>
          <w:sz w:val="22"/>
        </w:rPr>
        <w:t>Not all of the trials have been successful: this variation is informative as well. Way et al [2020] reported that LVIHIT had similar effects on the improvement of arterial stiffness and glycaemic control as longer moderate-intensity bouts, although the trial was small and needs to be replicated before this equivalence can be taken as given. This is a result of no reduction in liver fat after 32 weeks of home-based RE despite increases in lean mass, which the authors claim "with great honesty" is because of the possibility of "low-level intensity of an unsupervised home-based programme which may not have been strong enough to stimulate glycaemic control specifically." A further nuance was added by Kobayashi et al. (2023), who demonstrated that, in individuals with normal-weight T2D, strength training was superior to aerobic training, with its relative sarcopenia being the link, not excess fat mass. The authors state that this finding is not necessarily representative of the more prevalent overweight/obese form of type 2 diabetes.</w:t>
      </w:r>
    </w:p>
    <w:p w14:paraId="7C021FEB">
      <w:pPr>
        <w:pStyle w:val="style0"/>
        <w:spacing w:lineRule="auto" w:line="360"/>
        <w:jc w:val="both"/>
        <w:rPr>
          <w:rFonts w:cs="Arial"/>
          <w:sz w:val="22"/>
        </w:rPr>
      </w:pPr>
      <w:r>
        <w:rPr>
          <w:rFonts w:cs="Arial"/>
          <w:sz w:val="22"/>
        </w:rPr>
        <w:t xml:space="preserve">Another CASP consideration was outcome measurement, which had varying degrees of objectivity across the five trials, and thus adds to the risk of bias. </w:t>
      </w:r>
      <w:r>
        <w:rPr>
          <w:rFonts w:cs="Arial"/>
          <w:sz w:val="22"/>
        </w:rPr>
        <w:t>Gulsin</w:t>
      </w:r>
      <w:r>
        <w:rPr>
          <w:rFonts w:cs="Arial"/>
          <w:sz w:val="22"/>
        </w:rPr>
        <w:t xml:space="preserve"> et al. (2020) and Magalhães et al. (2021) employed objective imaging and cardiac magnetic resonance and dual-energy X-ray absorptiometry, respectively, without relying on the judgement of the participant/assessor. Kobayashi et al. (2023) and Way et al. (2020) used the laboratory measurement of HbA1c, a widely used and objective metric of glycaemic control (</w:t>
      </w:r>
      <w:r>
        <w:rPr>
          <w:rFonts w:cs="Arial"/>
          <w:color w:val="222222"/>
          <w:sz w:val="22"/>
          <w:shd w:val="clear" w:color="auto" w:fill="ffffff"/>
        </w:rPr>
        <w:t>Chandler</w:t>
      </w:r>
      <w:r>
        <w:rPr>
          <w:rFonts w:cs="Arial"/>
          <w:sz w:val="22"/>
        </w:rPr>
        <w:t xml:space="preserve"> et al., 2019). Only one trial in the group used a partial self-reported adherence log (Al </w:t>
      </w:r>
      <w:r>
        <w:rPr>
          <w:rFonts w:cs="Arial"/>
          <w:sz w:val="22"/>
        </w:rPr>
        <w:t>Ozairi</w:t>
      </w:r>
      <w:r>
        <w:rPr>
          <w:rFonts w:cs="Arial"/>
          <w:sz w:val="22"/>
        </w:rPr>
        <w:t xml:space="preserve"> et al., 2023), which may lead to higher adherence rates than the other four trials that used supervised </w:t>
      </w:r>
      <w:r>
        <w:rPr>
          <w:rFonts w:cs="Arial"/>
          <w:sz w:val="22"/>
        </w:rPr>
        <w:t>attendance (as recorded in the trial protocol), but not to invalidate the objective measures (such as DXA measures of lean mass) reported.</w:t>
      </w:r>
    </w:p>
    <w:p w14:paraId="7C021FEC">
      <w:pPr>
        <w:pStyle w:val="style0"/>
        <w:spacing w:lineRule="auto" w:line="360"/>
        <w:jc w:val="both"/>
        <w:rPr>
          <w:rFonts w:cs="Arial"/>
          <w:sz w:val="22"/>
        </w:rPr>
      </w:pPr>
      <w:r>
        <w:rPr>
          <w:rFonts w:cs="Arial"/>
          <w:sz w:val="22"/>
        </w:rPr>
        <w:t xml:space="preserve">The last is population applicability. The predominantly Asian normal weight type 2 diabetic patient groups were recruited from these studies: Kobayashi et al (2023) and Al </w:t>
      </w:r>
      <w:r>
        <w:rPr>
          <w:rFonts w:cs="Arial"/>
          <w:sz w:val="22"/>
        </w:rPr>
        <w:t>Ozairi</w:t>
      </w:r>
      <w:r>
        <w:rPr>
          <w:rFonts w:cs="Arial"/>
          <w:sz w:val="22"/>
        </w:rPr>
        <w:t xml:space="preserve"> et al (2023), both from Asia, and Way et al (2020) from Australia. The only trial done specifically in the UK is </w:t>
      </w:r>
      <w:r>
        <w:rPr>
          <w:rFonts w:cs="Arial"/>
          <w:sz w:val="22"/>
        </w:rPr>
        <w:t>Gulsin</w:t>
      </w:r>
      <w:r>
        <w:rPr>
          <w:rFonts w:cs="Arial"/>
          <w:sz w:val="22"/>
        </w:rPr>
        <w:t xml:space="preserve"> et al. (2020), which reinforces the UK focus of this dissertation; however, the other trials will be informative as type 2 diabetes pathophysiology and exercise response are consistent across the world (Colberg et al., 2016).</w:t>
      </w:r>
    </w:p>
    <w:bookmarkStart w:id="37" w:name="_Toc238491881"/>
    <w:p w14:paraId="7C021FED">
      <w:pPr>
        <w:pStyle w:val="style3"/>
        <w:spacing w:lineRule="auto" w:line="360"/>
        <w:jc w:val="both"/>
        <w:rPr>
          <w:rFonts w:cs="Arial"/>
          <w:sz w:val="22"/>
          <w:szCs w:val="22"/>
        </w:rPr>
      </w:pPr>
      <w:r>
        <w:rPr>
          <w:rFonts w:cs="Arial"/>
          <w:sz w:val="22"/>
          <w:szCs w:val="22"/>
        </w:rPr>
        <w:t>4.6.2. The two cross-sectional surveys</w:t>
      </w:r>
      <w:bookmarkEnd w:id="37"/>
    </w:p>
    <w:p w14:paraId="7C021FEE">
      <w:pPr>
        <w:pStyle w:val="style0"/>
        <w:spacing w:lineRule="auto" w:line="360"/>
        <w:jc w:val="both"/>
        <w:rPr>
          <w:rFonts w:cs="Arial"/>
          <w:sz w:val="22"/>
        </w:rPr>
      </w:pPr>
      <w:r>
        <w:rPr>
          <w:rFonts w:cs="Arial"/>
          <w:sz w:val="22"/>
        </w:rPr>
        <w:t xml:space="preserve">For the two cross-sectional surveys, both were assessed with the AXIS tool, which was created for this reason, as there is no CASP checklist available for cross-sectional designs (Downes et al., 2016). Both </w:t>
      </w:r>
      <w:r>
        <w:rPr>
          <w:rFonts w:cs="Arial"/>
          <w:sz w:val="22"/>
        </w:rPr>
        <w:t>Alrasheeday</w:t>
      </w:r>
      <w:r>
        <w:rPr>
          <w:rFonts w:cs="Arial"/>
          <w:sz w:val="22"/>
        </w:rPr>
        <w:t xml:space="preserve"> et al. (2024) and </w:t>
      </w:r>
      <w:r>
        <w:rPr>
          <w:rFonts w:cs="Arial"/>
          <w:sz w:val="22"/>
        </w:rPr>
        <w:t>Milushewa</w:t>
      </w:r>
      <w:r>
        <w:rPr>
          <w:rFonts w:cs="Arial"/>
          <w:sz w:val="22"/>
        </w:rPr>
        <w:t xml:space="preserve"> et al. (2026) have clear aims, and they both have previously tested instruments. The barriers questionnaire had reported content validity indices ranging from 0.81 to 1 and Cronbach's alpha coefficients of 0.724 and 0.813, and was formally power estimated for a sample size of 534, which is a significant strength, as many studies in this area did not report this. </w:t>
      </w:r>
      <w:r>
        <w:rPr>
          <w:rFonts w:cs="Arial"/>
          <w:sz w:val="22"/>
        </w:rPr>
        <w:t>Milushewa</w:t>
      </w:r>
      <w:r>
        <w:rPr>
          <w:rFonts w:cs="Arial"/>
          <w:sz w:val="22"/>
        </w:rPr>
        <w:t xml:space="preserve"> et al. (2026) lack greater detail about the justification of sample size, as they recruited 105 patients from one general practice in Bulgaria without stating a power calculation, and failed to explicitly discuss the effect of this on the precision of the comparisons made in the subgroups. The limitation of both studies is the cross-sectional design, which does not allow for establishing causality, and the use of self-reported data, which is susceptible to social desirability bias, especially for questions regarding medication compliance in </w:t>
      </w:r>
      <w:r>
        <w:rPr>
          <w:rFonts w:cs="Arial"/>
          <w:sz w:val="22"/>
        </w:rPr>
        <w:t>Milushewa</w:t>
      </w:r>
      <w:r>
        <w:rPr>
          <w:rFonts w:cs="Arial"/>
          <w:sz w:val="22"/>
        </w:rPr>
        <w:t xml:space="preserve"> et al. (2026), where patients might report taking medications when they actually do not, to appear cooperative with the medical advice. Although both studies also shared some common problems, both studies employed statistical tests that were appropriate for their respective non-normally distributed data.</w:t>
      </w:r>
    </w:p>
    <w:bookmarkStart w:id="38" w:name="_Toc238491882"/>
    <w:p w14:paraId="7C021FEF">
      <w:pPr>
        <w:pStyle w:val="style3"/>
        <w:spacing w:lineRule="auto" w:line="360"/>
        <w:jc w:val="both"/>
        <w:rPr>
          <w:rFonts w:cs="Arial"/>
          <w:sz w:val="22"/>
          <w:szCs w:val="22"/>
        </w:rPr>
      </w:pPr>
      <w:r>
        <w:rPr>
          <w:rFonts w:cs="Arial"/>
          <w:sz w:val="22"/>
          <w:szCs w:val="22"/>
        </w:rPr>
        <w:t xml:space="preserve">4.6.3. The single cohort </w:t>
      </w:r>
      <w:r>
        <w:rPr>
          <w:rFonts w:cs="Arial"/>
          <w:sz w:val="22"/>
          <w:szCs w:val="22"/>
        </w:rPr>
        <w:t>study</w:t>
      </w:r>
      <w:bookmarkEnd w:id="38"/>
    </w:p>
    <w:p w14:paraId="7C021FF0">
      <w:pPr>
        <w:pStyle w:val="style0"/>
        <w:spacing w:lineRule="auto" w:line="360"/>
        <w:jc w:val="both"/>
        <w:rPr>
          <w:rFonts w:cs="Arial"/>
          <w:sz w:val="22"/>
        </w:rPr>
      </w:pPr>
      <w:r>
        <w:rPr>
          <w:rFonts w:cs="Arial"/>
          <w:sz w:val="22"/>
        </w:rPr>
        <w:t xml:space="preserve">As it is a descriptive cohort study that does not use routinely collected survey or trial data in the UK, it was appraised using the CASP Cohort Study Checklist. It is mainly about sample size, having 28,604 patients from the IQVIA Medical Research Data database, which provides strong statistical precision. Confounding was also considered directly in the study by stratifying analyses by age and polypharmacy status, and by having a multidisciplinary team, which included a clinical pharmacologist and a clinical pharmacist, manually check each of the five prescribing criteria used. The authors themselves recognise, however, that there is a key limitation in the database </w:t>
      </w:r>
      <w:r>
        <w:rPr>
          <w:rFonts w:cs="Arial"/>
          <w:sz w:val="22"/>
        </w:rPr>
        <w:t>that is directly relevant to this dissertation, in that prescriptions are only those written by GPs; therefore, over-the-counter medicines like the NSAIDs and laxatives cannot be identified. The results of this study relate to risk of inappropriate prescribing and polypharmacy, rather than to the concept of self-medication as described in Chapter One, which should be taken into account when this evidence is analysed together with Li et al. (2025) and Puvvada et al. (2023) in the Chapter Five synthesis.</w:t>
      </w:r>
    </w:p>
    <w:bookmarkStart w:id="39" w:name="_Toc238491883"/>
    <w:p w14:paraId="7C021FF1">
      <w:pPr>
        <w:pStyle w:val="style2"/>
        <w:spacing w:lineRule="auto" w:line="360"/>
        <w:jc w:val="both"/>
        <w:rPr>
          <w:rFonts w:cs="Arial"/>
          <w:sz w:val="22"/>
          <w:szCs w:val="22"/>
        </w:rPr>
      </w:pPr>
      <w:r>
        <w:rPr>
          <w:rFonts w:cs="Arial"/>
          <w:sz w:val="22"/>
          <w:szCs w:val="22"/>
        </w:rPr>
        <w:t>4.7 Chapter Summary</w:t>
      </w:r>
      <w:bookmarkEnd w:id="39"/>
      <w:r>
        <w:rPr>
          <w:rFonts w:cs="Arial"/>
          <w:sz w:val="22"/>
          <w:szCs w:val="22"/>
        </w:rPr>
        <w:t xml:space="preserve"> </w:t>
      </w:r>
    </w:p>
    <w:p w14:paraId="7C021FF2">
      <w:pPr>
        <w:pStyle w:val="style0"/>
        <w:spacing w:lineRule="auto" w:line="360"/>
        <w:jc w:val="both"/>
        <w:rPr>
          <w:rFonts w:cs="Arial" w:eastAsia="SimSun"/>
          <w:b/>
          <w:sz w:val="22"/>
        </w:rPr>
      </w:pPr>
      <w:r>
        <w:rPr>
          <w:rFonts w:cs="Arial"/>
          <w:sz w:val="22"/>
        </w:rPr>
        <w:t xml:space="preserve">This chapter has described what is meant by data extraction and critical appraisal, and described the use of the CASP Randomised Controlled Trial Checklist, CASP Qualitative Studies Checklist, CASP Cohort Study Checklist and the AXIS tool to evaluate the ten studies included in this chapter in terms of their design. The evidence base was deemed to have good methodological quality in the appraisal, although some real limitations were noted such as small samples, disruption due to COVID-19 and the failure of routine prescribing data to include self-medication. </w:t>
      </w:r>
      <w:r>
        <w:rPr>
          <w:rFonts w:cs="Arial"/>
          <w:sz w:val="22"/>
        </w:rPr>
        <w:t>The exercise trials resulted in a consistent glycaemic or cardiovascular benefit but adherence varied across supervised and home-based designs and the medication-focused studies had variable clinical responses to self-medication and identified a previously under recognised source of risk based on the prescriber. The results are elaborated in six themes, and thematically synthesi</w:t>
      </w:r>
      <w:r>
        <w:rPr>
          <w:rFonts w:cs="Arial"/>
          <w:sz w:val="22"/>
        </w:rPr>
        <w:t>s</w:t>
      </w:r>
      <w:r>
        <w:rPr>
          <w:rFonts w:cs="Arial"/>
          <w:sz w:val="22"/>
        </w:rPr>
        <w:t>ed in Chapter Five.</w:t>
      </w:r>
    </w:p>
    <w:p w14:paraId="6200BA99">
      <w:pPr>
        <w:pStyle w:val="style0"/>
        <w:rPr>
          <w:rFonts w:cs="Arial" w:eastAsia="SimSun"/>
          <w:b/>
          <w:sz w:val="22"/>
        </w:rPr>
      </w:pPr>
      <w:r>
        <w:rPr>
          <w:rFonts w:cs="Arial"/>
          <w:sz w:val="22"/>
        </w:rPr>
        <w:br w:type="page"/>
      </w:r>
    </w:p>
    <w:bookmarkStart w:id="40" w:name="_Toc238491884"/>
    <w:p w14:paraId="7C021FF3">
      <w:pPr>
        <w:pStyle w:val="style1"/>
        <w:spacing w:lineRule="auto" w:line="360"/>
        <w:jc w:val="both"/>
        <w:rPr>
          <w:rFonts w:cs="Arial"/>
          <w:sz w:val="22"/>
          <w:szCs w:val="22"/>
        </w:rPr>
      </w:pPr>
      <w:r>
        <w:rPr>
          <w:rFonts w:cs="Arial"/>
          <w:sz w:val="22"/>
          <w:szCs w:val="22"/>
        </w:rPr>
        <w:t xml:space="preserve">CHAPTER 5: DATA ANALYSIS AND </w:t>
      </w:r>
      <w:bookmarkStart w:id="41" w:name="_Hlk155967668"/>
      <w:r>
        <w:rPr>
          <w:rFonts w:cs="Arial"/>
          <w:sz w:val="22"/>
          <w:szCs w:val="22"/>
        </w:rPr>
        <w:t>SYNTHESIS</w:t>
      </w:r>
      <w:bookmarkEnd w:id="40"/>
      <w:bookmarkEnd w:id="41"/>
      <w:r>
        <w:rPr>
          <w:rFonts w:cs="Arial"/>
          <w:sz w:val="22"/>
          <w:szCs w:val="22"/>
        </w:rPr>
        <w:t xml:space="preserve"> </w:t>
      </w:r>
    </w:p>
    <w:bookmarkStart w:id="42" w:name="_Toc238491885"/>
    <w:p w14:paraId="7C021FF6">
      <w:pPr>
        <w:pStyle w:val="style2"/>
        <w:spacing w:lineRule="auto" w:line="360"/>
        <w:jc w:val="both"/>
        <w:rPr>
          <w:rFonts w:cs="Arial"/>
          <w:sz w:val="22"/>
        </w:rPr>
      </w:pPr>
      <w:r>
        <w:rPr>
          <w:rFonts w:cs="Arial"/>
          <w:sz w:val="22"/>
          <w:szCs w:val="22"/>
        </w:rPr>
        <w:t>5.1 Thematic Analysis</w:t>
      </w:r>
      <w:bookmarkEnd w:id="42"/>
      <w:r>
        <w:rPr>
          <w:rFonts w:cs="Arial"/>
          <w:sz w:val="22"/>
          <w:szCs w:val="22"/>
        </w:rPr>
        <w:t xml:space="preserve"> </w:t>
      </w:r>
    </w:p>
    <w:p w14:paraId="7C021FF7">
      <w:pPr>
        <w:pStyle w:val="style0"/>
        <w:spacing w:lineRule="auto" w:line="360"/>
        <w:jc w:val="both"/>
        <w:rPr>
          <w:rFonts w:cs="Arial"/>
          <w:sz w:val="22"/>
        </w:rPr>
      </w:pPr>
      <w:r>
        <w:rPr>
          <w:rFonts w:cs="Arial"/>
          <w:sz w:val="22"/>
        </w:rPr>
        <w:t>Thematic analysis is a process used to help identify, structure and describe patterns of meaning within a set of data (Braun and Clarke, 2006). If used for secondary data in a systematic review, this is better known as thematic synthesis, because it aggregates results from several distinct studies instead of analysing a single data set (Thomas and Harden, 2008). In both quantitative and qualitative studies, themes can be identified through the descriptive nature of the results and allow for a thematic synthesis.</w:t>
      </w:r>
    </w:p>
    <w:bookmarkStart w:id="43" w:name="_Toc238491886"/>
    <w:p w14:paraId="7C021FF8">
      <w:pPr>
        <w:pStyle w:val="style2"/>
        <w:spacing w:lineRule="auto" w:line="360"/>
        <w:jc w:val="both"/>
        <w:rPr>
          <w:rFonts w:cs="Arial"/>
          <w:sz w:val="22"/>
          <w:szCs w:val="22"/>
        </w:rPr>
      </w:pPr>
      <w:r>
        <w:rPr>
          <w:rFonts w:cs="Arial"/>
          <w:sz w:val="22"/>
          <w:szCs w:val="22"/>
        </w:rPr>
        <w:t>5.</w:t>
      </w:r>
      <w:r>
        <w:rPr>
          <w:rFonts w:cs="Arial"/>
          <w:sz w:val="22"/>
          <w:szCs w:val="22"/>
        </w:rPr>
        <w:t>2</w:t>
      </w:r>
      <w:r>
        <w:rPr>
          <w:rFonts w:cs="Arial"/>
          <w:sz w:val="22"/>
          <w:szCs w:val="22"/>
        </w:rPr>
        <w:t xml:space="preserve"> Data Analysis Tool</w:t>
      </w:r>
      <w:bookmarkEnd w:id="43"/>
      <w:r>
        <w:rPr>
          <w:rFonts w:cs="Arial"/>
          <w:sz w:val="22"/>
          <w:szCs w:val="22"/>
        </w:rPr>
        <w:t xml:space="preserve"> </w:t>
      </w:r>
    </w:p>
    <w:p w14:paraId="7C021FF9">
      <w:pPr>
        <w:pStyle w:val="style0"/>
        <w:spacing w:lineRule="auto" w:line="360"/>
        <w:jc w:val="both"/>
        <w:rPr>
          <w:rFonts w:cs="Arial"/>
          <w:sz w:val="22"/>
        </w:rPr>
      </w:pPr>
      <w:r>
        <w:rPr>
          <w:rFonts w:cs="Arial"/>
          <w:sz w:val="22"/>
        </w:rPr>
        <w:t xml:space="preserve">Braun and Clarke's (2006) six-phase thematic framework </w:t>
      </w:r>
      <w:r>
        <w:rPr>
          <w:rFonts w:cs="Arial"/>
          <w:sz w:val="22"/>
        </w:rPr>
        <w:t>was</w:t>
      </w:r>
      <w:r>
        <w:rPr>
          <w:rFonts w:cs="Arial"/>
          <w:sz w:val="22"/>
        </w:rPr>
        <w:t xml:space="preserve"> applied in this review: familiarisation with the data, initial codes, search for themes, review of themes, defining and naming themes, and synthesis. The framework was selected as it offers a transparent, step-by-step approach that moves from 10 studies that are individually appraised to a set of shared themes, instead of an unstructured or purely intuitive reading of the results (Thomas and Harden, 2008).</w:t>
      </w:r>
    </w:p>
    <w:bookmarkStart w:id="44" w:name="_Toc238491887"/>
    <w:p w14:paraId="7C021FFA">
      <w:pPr>
        <w:pStyle w:val="style2"/>
        <w:spacing w:lineRule="auto" w:line="360"/>
        <w:jc w:val="both"/>
        <w:rPr>
          <w:rFonts w:cs="Arial"/>
          <w:sz w:val="22"/>
          <w:szCs w:val="22"/>
        </w:rPr>
      </w:pPr>
      <w:r>
        <w:rPr>
          <w:rFonts w:cs="Arial"/>
          <w:sz w:val="22"/>
          <w:szCs w:val="22"/>
        </w:rPr>
        <w:t>5.</w:t>
      </w:r>
      <w:r>
        <w:rPr>
          <w:rFonts w:cs="Arial"/>
          <w:sz w:val="22"/>
          <w:szCs w:val="22"/>
        </w:rPr>
        <w:t>3</w:t>
      </w:r>
      <w:r>
        <w:rPr>
          <w:rFonts w:cs="Arial"/>
          <w:sz w:val="22"/>
          <w:szCs w:val="22"/>
        </w:rPr>
        <w:t xml:space="preserve"> Characteristics of the Identified Studies</w:t>
      </w:r>
      <w:bookmarkEnd w:id="44"/>
      <w:r>
        <w:rPr>
          <w:rFonts w:cs="Arial"/>
          <w:sz w:val="22"/>
          <w:szCs w:val="22"/>
        </w:rPr>
        <w:t xml:space="preserve"> </w:t>
      </w:r>
    </w:p>
    <w:p w14:paraId="7C021FFB">
      <w:pPr>
        <w:pStyle w:val="style0"/>
        <w:spacing w:lineRule="auto" w:line="360"/>
        <w:jc w:val="both"/>
        <w:rPr>
          <w:rFonts w:cs="Arial"/>
          <w:sz w:val="22"/>
        </w:rPr>
      </w:pPr>
      <w:r>
        <w:rPr>
          <w:rFonts w:cs="Arial"/>
          <w:sz w:val="22"/>
        </w:rPr>
        <w:t>The 10 studies included: one from the UK (</w:t>
      </w:r>
      <w:r>
        <w:rPr>
          <w:rFonts w:cs="Arial"/>
          <w:sz w:val="22"/>
        </w:rPr>
        <w:t>Gulsin</w:t>
      </w:r>
      <w:r>
        <w:rPr>
          <w:rFonts w:cs="Arial"/>
          <w:sz w:val="22"/>
        </w:rPr>
        <w:t xml:space="preserve"> et al., 2020); one from Kuwait (Al </w:t>
      </w:r>
      <w:r>
        <w:rPr>
          <w:rFonts w:cs="Arial"/>
          <w:sz w:val="22"/>
        </w:rPr>
        <w:t>Ozairi</w:t>
      </w:r>
      <w:r>
        <w:rPr>
          <w:rFonts w:cs="Arial"/>
          <w:sz w:val="22"/>
        </w:rPr>
        <w:t xml:space="preserve"> et al., 2023); one from Australia (Way et al., 2020); one from the USA (Kobayashi et al., 2023); one from Portugal (Magalhães et al., 2021); one from Saudi Arabia (</w:t>
      </w:r>
      <w:r>
        <w:rPr>
          <w:rFonts w:cs="Arial"/>
          <w:sz w:val="22"/>
        </w:rPr>
        <w:t>Alrasheeday</w:t>
      </w:r>
      <w:r>
        <w:rPr>
          <w:rFonts w:cs="Arial"/>
          <w:sz w:val="22"/>
        </w:rPr>
        <w:t xml:space="preserve"> et al., 2024); one from Bulgaria (</w:t>
      </w:r>
      <w:r>
        <w:rPr>
          <w:rFonts w:cs="Arial"/>
          <w:sz w:val="22"/>
        </w:rPr>
        <w:t>Milushewa</w:t>
      </w:r>
      <w:r>
        <w:rPr>
          <w:rFonts w:cs="Arial"/>
          <w:sz w:val="22"/>
        </w:rPr>
        <w:t xml:space="preserve"> et al., 2026); one based on UK primary care data (</w:t>
      </w:r>
      <w:r>
        <w:rPr>
          <w:rFonts w:cs="Arial"/>
          <w:sz w:val="22"/>
        </w:rPr>
        <w:t>Faquetti</w:t>
      </w:r>
      <w:r>
        <w:rPr>
          <w:rFonts w:cs="Arial"/>
          <w:sz w:val="22"/>
        </w:rPr>
        <w:t xml:space="preserve"> et al., 2024); one from China (Li et al., 2025); and one from India (Puvvada et al., 2023). There were five RCTs, two cross-sectional surveys, one descriptive cohort study and two qualitative studies. The number of interviewees varied from 20 people (Puvvada et al., 2023) to 28,604 patients collected from routine primary-care records (</w:t>
      </w:r>
      <w:r>
        <w:rPr>
          <w:rFonts w:cs="Arial"/>
          <w:sz w:val="22"/>
        </w:rPr>
        <w:t>Faquetti</w:t>
      </w:r>
      <w:r>
        <w:rPr>
          <w:rFonts w:cs="Arial"/>
          <w:sz w:val="22"/>
        </w:rPr>
        <w:t xml:space="preserve"> et al., 2024). The full extraction details are included in Appendix 1.</w:t>
      </w:r>
    </w:p>
    <w:bookmarkStart w:id="45" w:name="_Toc238491888"/>
    <w:p w14:paraId="7C021FFC">
      <w:pPr>
        <w:pStyle w:val="style2"/>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 xml:space="preserve"> Emerging Themes from Included Studies</w:t>
      </w:r>
      <w:bookmarkEnd w:id="45"/>
      <w:r>
        <w:rPr>
          <w:rFonts w:cs="Arial"/>
          <w:sz w:val="22"/>
          <w:szCs w:val="22"/>
        </w:rPr>
        <w:t xml:space="preserve"> </w:t>
      </w:r>
    </w:p>
    <w:p w14:paraId="7C021FFD">
      <w:pPr>
        <w:pStyle w:val="style4109"/>
        <w:spacing w:lineRule="auto" w:line="360"/>
        <w:jc w:val="both"/>
        <w:rPr>
          <w:rFonts w:ascii="Arial" w:cs="Arial" w:hAnsi="Arial"/>
          <w:sz w:val="22"/>
          <w:szCs w:val="22"/>
        </w:rPr>
      </w:pPr>
      <w:r>
        <w:rPr>
          <w:rStyle w:val="style4110"/>
          <w:rFonts w:ascii="Arial" w:cs="Arial" w:eastAsia="SimSun" w:hAnsi="Arial"/>
          <w:sz w:val="22"/>
          <w:szCs w:val="22"/>
        </w:rPr>
        <w:t xml:space="preserve">The ten studies in this review were </w:t>
      </w:r>
      <w:r>
        <w:rPr>
          <w:rStyle w:val="style4110"/>
          <w:rFonts w:ascii="Arial" w:cs="Arial" w:eastAsia="SimSun" w:hAnsi="Arial"/>
          <w:sz w:val="22"/>
          <w:szCs w:val="22"/>
        </w:rPr>
        <w:t>analysed</w:t>
      </w:r>
      <w:r>
        <w:rPr>
          <w:rStyle w:val="style4110"/>
          <w:rFonts w:ascii="Arial" w:cs="Arial" w:eastAsia="SimSun" w:hAnsi="Arial"/>
          <w:sz w:val="22"/>
          <w:szCs w:val="22"/>
        </w:rPr>
        <w:t xml:space="preserve"> and led to the identification of six themes, three of which focused on exercise and three on medication self-management and safety, in response to the two research questions outlined in Chapter One.</w:t>
      </w:r>
      <w:r>
        <w:rPr>
          <w:rFonts w:ascii="Arial" w:cs="Arial" w:hAnsi="Arial"/>
          <w:sz w:val="22"/>
          <w:szCs w:val="22"/>
        </w:rPr>
        <w:t xml:space="preserve"> </w:t>
      </w:r>
    </w:p>
    <w:p w14:paraId="7C021FFE">
      <w:pPr>
        <w:pStyle w:val="style0"/>
        <w:spacing w:lineRule="auto" w:line="360"/>
        <w:jc w:val="both"/>
        <w:rPr>
          <w:rFonts w:cs="Arial"/>
          <w:sz w:val="22"/>
        </w:rPr>
      </w:pPr>
      <w:r>
        <w:rPr>
          <w:rFonts w:cs="Arial"/>
          <w:sz w:val="22"/>
        </w:rPr>
        <w:t>Table 4: Themes</w:t>
      </w:r>
    </w:p>
    <w:tbl>
      <w:tblPr>
        <w:tblStyle w:val="style154"/>
        <w:tblW w:w="0" w:type="auto"/>
        <w:jc w:val="center"/>
        <w:tblLook w:val="04A0" w:firstRow="1" w:lastRow="0" w:firstColumn="1" w:lastColumn="0" w:noHBand="0" w:noVBand="1"/>
      </w:tblPr>
      <w:tblGrid>
        <w:gridCol w:w="4129"/>
        <w:gridCol w:w="5229"/>
      </w:tblGrid>
      <w:tr w14:paraId="7C022001">
        <w:trPr>
          <w:jc w:val="center"/>
        </w:trPr>
        <w:tc>
          <w:tcPr>
            <w:tcW w:w="0" w:type="auto"/>
            <w:tcBorders/>
            <w:hideMark/>
          </w:tcPr>
          <w:p w14:paraId="7C021FFF">
            <w:pPr>
              <w:pStyle w:val="style0"/>
              <w:spacing w:lineRule="auto" w:line="276"/>
              <w:jc w:val="both"/>
              <w:rPr>
                <w:rFonts w:cs="Arial"/>
                <w:b/>
                <w:bCs/>
                <w:sz w:val="22"/>
              </w:rPr>
            </w:pPr>
            <w:r>
              <w:rPr>
                <w:rFonts w:cs="Arial"/>
                <w:b/>
                <w:bCs/>
                <w:sz w:val="22"/>
              </w:rPr>
              <w:t>Theme</w:t>
            </w:r>
          </w:p>
        </w:tc>
        <w:tc>
          <w:tcPr>
            <w:tcW w:w="0" w:type="auto"/>
            <w:tcBorders/>
            <w:hideMark/>
          </w:tcPr>
          <w:p w14:paraId="7C022000">
            <w:pPr>
              <w:pStyle w:val="style0"/>
              <w:spacing w:lineRule="auto" w:line="276"/>
              <w:jc w:val="both"/>
              <w:rPr>
                <w:rFonts w:cs="Arial"/>
                <w:b/>
                <w:bCs/>
                <w:sz w:val="22"/>
              </w:rPr>
            </w:pPr>
            <w:r>
              <w:rPr>
                <w:rFonts w:cs="Arial"/>
                <w:b/>
                <w:bCs/>
                <w:sz w:val="22"/>
              </w:rPr>
              <w:t>Articles where it was extracted</w:t>
            </w:r>
          </w:p>
        </w:tc>
      </w:tr>
      <w:tr w14:paraId="7C022004">
        <w:tblPrEx/>
        <w:trPr>
          <w:jc w:val="center"/>
        </w:trPr>
        <w:tc>
          <w:tcPr>
            <w:tcW w:w="0" w:type="auto"/>
            <w:tcBorders/>
            <w:hideMark/>
          </w:tcPr>
          <w:p w14:paraId="7C022002">
            <w:pPr>
              <w:pStyle w:val="style0"/>
              <w:spacing w:lineRule="auto" w:line="276"/>
              <w:jc w:val="both"/>
              <w:rPr>
                <w:rFonts w:cs="Arial"/>
                <w:sz w:val="22"/>
              </w:rPr>
            </w:pPr>
            <w:r>
              <w:rPr>
                <w:rFonts w:cs="Arial"/>
                <w:sz w:val="22"/>
              </w:rPr>
              <w:t>Exercise modality and intensity</w:t>
            </w:r>
          </w:p>
        </w:tc>
        <w:tc>
          <w:tcPr>
            <w:tcW w:w="0" w:type="auto"/>
            <w:tcBorders/>
            <w:hideMark/>
          </w:tcPr>
          <w:p w14:paraId="7C022003">
            <w:pPr>
              <w:pStyle w:val="style0"/>
              <w:spacing w:lineRule="auto" w:line="276"/>
              <w:jc w:val="both"/>
              <w:rPr>
                <w:rFonts w:cs="Arial"/>
                <w:sz w:val="22"/>
              </w:rPr>
            </w:pPr>
            <w:r>
              <w:rPr>
                <w:rFonts w:cs="Arial"/>
                <w:sz w:val="22"/>
              </w:rPr>
              <w:t xml:space="preserve">Kobayashi et al. (2023); Way et al. (2020); Al </w:t>
            </w:r>
            <w:r>
              <w:rPr>
                <w:rFonts w:cs="Arial"/>
                <w:sz w:val="22"/>
              </w:rPr>
              <w:t>Ozairi</w:t>
            </w:r>
            <w:r>
              <w:rPr>
                <w:rFonts w:cs="Arial"/>
                <w:sz w:val="22"/>
              </w:rPr>
              <w:t xml:space="preserve"> et al. (2023)</w:t>
            </w:r>
          </w:p>
        </w:tc>
      </w:tr>
      <w:tr w14:paraId="7C022007">
        <w:tblPrEx/>
        <w:trPr>
          <w:jc w:val="center"/>
        </w:trPr>
        <w:tc>
          <w:tcPr>
            <w:tcW w:w="0" w:type="auto"/>
            <w:tcBorders/>
            <w:hideMark/>
          </w:tcPr>
          <w:p w14:paraId="7C022005">
            <w:pPr>
              <w:pStyle w:val="style0"/>
              <w:spacing w:lineRule="auto" w:line="276"/>
              <w:jc w:val="both"/>
              <w:rPr>
                <w:rFonts w:cs="Arial"/>
                <w:sz w:val="22"/>
              </w:rPr>
            </w:pPr>
            <w:r>
              <w:rPr>
                <w:rFonts w:cs="Arial"/>
                <w:sz w:val="22"/>
              </w:rPr>
              <w:t>Weight-independent cardiometabolic benefit</w:t>
            </w:r>
          </w:p>
        </w:tc>
        <w:tc>
          <w:tcPr>
            <w:tcW w:w="0" w:type="auto"/>
            <w:tcBorders/>
            <w:hideMark/>
          </w:tcPr>
          <w:p w14:paraId="7C022006">
            <w:pPr>
              <w:pStyle w:val="style0"/>
              <w:spacing w:lineRule="auto" w:line="276"/>
              <w:jc w:val="both"/>
              <w:rPr>
                <w:rFonts w:cs="Arial"/>
                <w:sz w:val="22"/>
              </w:rPr>
            </w:pPr>
            <w:r>
              <w:rPr>
                <w:rFonts w:cs="Arial"/>
                <w:sz w:val="22"/>
              </w:rPr>
              <w:t>Gulsin</w:t>
            </w:r>
            <w:r>
              <w:rPr>
                <w:rFonts w:cs="Arial"/>
                <w:sz w:val="22"/>
              </w:rPr>
              <w:t xml:space="preserve"> et al. (2020); Magalhães et al. (2021)</w:t>
            </w:r>
          </w:p>
        </w:tc>
      </w:tr>
      <w:tr w14:paraId="7C02200A">
        <w:tblPrEx/>
        <w:trPr>
          <w:jc w:val="center"/>
        </w:trPr>
        <w:tc>
          <w:tcPr>
            <w:tcW w:w="0" w:type="auto"/>
            <w:tcBorders/>
            <w:hideMark/>
          </w:tcPr>
          <w:p w14:paraId="7C022008">
            <w:pPr>
              <w:pStyle w:val="style0"/>
              <w:spacing w:lineRule="auto" w:line="276"/>
              <w:jc w:val="both"/>
              <w:rPr>
                <w:rFonts w:cs="Arial"/>
                <w:sz w:val="22"/>
              </w:rPr>
            </w:pPr>
            <w:r>
              <w:rPr>
                <w:rFonts w:cs="Arial"/>
                <w:sz w:val="22"/>
              </w:rPr>
              <w:t>Adherence and behavioural barriers to exercise</w:t>
            </w:r>
          </w:p>
        </w:tc>
        <w:tc>
          <w:tcPr>
            <w:tcW w:w="0" w:type="auto"/>
            <w:tcBorders/>
            <w:hideMark/>
          </w:tcPr>
          <w:p w14:paraId="7C022009">
            <w:pPr>
              <w:pStyle w:val="style0"/>
              <w:spacing w:lineRule="auto" w:line="276"/>
              <w:jc w:val="both"/>
              <w:rPr>
                <w:rFonts w:cs="Arial"/>
                <w:sz w:val="22"/>
              </w:rPr>
            </w:pPr>
            <w:r>
              <w:rPr>
                <w:rFonts w:cs="Arial"/>
                <w:sz w:val="22"/>
              </w:rPr>
              <w:t>Alrasheeday</w:t>
            </w:r>
            <w:r>
              <w:rPr>
                <w:rFonts w:cs="Arial"/>
                <w:sz w:val="22"/>
              </w:rPr>
              <w:t xml:space="preserve"> et al. (2024); Al </w:t>
            </w:r>
            <w:r>
              <w:rPr>
                <w:rFonts w:cs="Arial"/>
                <w:sz w:val="22"/>
              </w:rPr>
              <w:t>Ozairi</w:t>
            </w:r>
            <w:r>
              <w:rPr>
                <w:rFonts w:cs="Arial"/>
                <w:sz w:val="22"/>
              </w:rPr>
              <w:t xml:space="preserve"> et al. (2023); Way et al. (2020)</w:t>
            </w:r>
          </w:p>
        </w:tc>
      </w:tr>
      <w:tr w14:paraId="7C02200D">
        <w:tblPrEx/>
        <w:trPr>
          <w:jc w:val="center"/>
        </w:trPr>
        <w:tc>
          <w:tcPr>
            <w:tcW w:w="0" w:type="auto"/>
            <w:tcBorders/>
            <w:hideMark/>
          </w:tcPr>
          <w:p w14:paraId="7C02200B">
            <w:pPr>
              <w:pStyle w:val="style0"/>
              <w:spacing w:lineRule="auto" w:line="276"/>
              <w:jc w:val="both"/>
              <w:rPr>
                <w:rFonts w:cs="Arial"/>
                <w:sz w:val="22"/>
              </w:rPr>
            </w:pPr>
            <w:r>
              <w:rPr>
                <w:rFonts w:cs="Arial"/>
                <w:sz w:val="22"/>
              </w:rPr>
              <w:t>Beliefs and self-medication practices</w:t>
            </w:r>
          </w:p>
        </w:tc>
        <w:tc>
          <w:tcPr>
            <w:tcW w:w="0" w:type="auto"/>
            <w:tcBorders/>
            <w:hideMark/>
          </w:tcPr>
          <w:p w14:paraId="7C02200C">
            <w:pPr>
              <w:pStyle w:val="style0"/>
              <w:spacing w:lineRule="auto" w:line="276"/>
              <w:jc w:val="both"/>
              <w:rPr>
                <w:rFonts w:cs="Arial"/>
                <w:sz w:val="22"/>
              </w:rPr>
            </w:pPr>
            <w:r>
              <w:rPr>
                <w:rFonts w:cs="Arial"/>
                <w:sz w:val="22"/>
              </w:rPr>
              <w:t>Puvvada et al. (2023)</w:t>
            </w:r>
          </w:p>
        </w:tc>
      </w:tr>
      <w:tr w14:paraId="7C022010">
        <w:tblPrEx/>
        <w:trPr>
          <w:jc w:val="center"/>
        </w:trPr>
        <w:tc>
          <w:tcPr>
            <w:tcW w:w="0" w:type="auto"/>
            <w:tcBorders/>
            <w:hideMark/>
          </w:tcPr>
          <w:p w14:paraId="7C02200E">
            <w:pPr>
              <w:pStyle w:val="style0"/>
              <w:spacing w:lineRule="auto" w:line="276"/>
              <w:jc w:val="both"/>
              <w:rPr>
                <w:rFonts w:cs="Arial"/>
                <w:sz w:val="22"/>
              </w:rPr>
            </w:pPr>
            <w:r>
              <w:rPr>
                <w:rFonts w:cs="Arial"/>
                <w:sz w:val="22"/>
              </w:rPr>
              <w:t>Health literacy and medication self-management</w:t>
            </w:r>
          </w:p>
        </w:tc>
        <w:tc>
          <w:tcPr>
            <w:tcW w:w="0" w:type="auto"/>
            <w:tcBorders/>
            <w:hideMark/>
          </w:tcPr>
          <w:p w14:paraId="7C02200F">
            <w:pPr>
              <w:pStyle w:val="style0"/>
              <w:spacing w:lineRule="auto" w:line="276"/>
              <w:jc w:val="both"/>
              <w:rPr>
                <w:rFonts w:cs="Arial"/>
                <w:sz w:val="22"/>
              </w:rPr>
            </w:pPr>
            <w:r>
              <w:rPr>
                <w:rFonts w:cs="Arial"/>
                <w:sz w:val="22"/>
              </w:rPr>
              <w:t xml:space="preserve">Li et al. (2025); </w:t>
            </w:r>
            <w:r>
              <w:rPr>
                <w:rFonts w:cs="Arial"/>
                <w:sz w:val="22"/>
              </w:rPr>
              <w:t>Milushewa</w:t>
            </w:r>
            <w:r>
              <w:rPr>
                <w:rFonts w:cs="Arial"/>
                <w:sz w:val="22"/>
              </w:rPr>
              <w:t xml:space="preserve"> et al. (2026)</w:t>
            </w:r>
          </w:p>
        </w:tc>
      </w:tr>
      <w:tr w14:paraId="7C022013">
        <w:tblPrEx/>
        <w:trPr>
          <w:jc w:val="center"/>
        </w:trPr>
        <w:tc>
          <w:tcPr>
            <w:tcW w:w="0" w:type="auto"/>
            <w:tcBorders/>
            <w:hideMark/>
          </w:tcPr>
          <w:p w14:paraId="7C022011">
            <w:pPr>
              <w:pStyle w:val="style0"/>
              <w:spacing w:lineRule="auto" w:line="276"/>
              <w:jc w:val="both"/>
              <w:rPr>
                <w:rFonts w:cs="Arial"/>
                <w:sz w:val="22"/>
              </w:rPr>
            </w:pPr>
            <w:r>
              <w:rPr>
                <w:rFonts w:cs="Arial"/>
                <w:sz w:val="22"/>
              </w:rPr>
              <w:t>Polypharmacy and prescribing safety</w:t>
            </w:r>
          </w:p>
        </w:tc>
        <w:tc>
          <w:tcPr>
            <w:tcW w:w="0" w:type="auto"/>
            <w:tcBorders/>
            <w:hideMark/>
          </w:tcPr>
          <w:p w14:paraId="7C022012">
            <w:pPr>
              <w:pStyle w:val="style0"/>
              <w:spacing w:lineRule="auto" w:line="276"/>
              <w:jc w:val="both"/>
              <w:rPr>
                <w:rFonts w:cs="Arial"/>
                <w:sz w:val="22"/>
              </w:rPr>
            </w:pPr>
            <w:r>
              <w:rPr>
                <w:rFonts w:cs="Arial"/>
                <w:sz w:val="22"/>
              </w:rPr>
              <w:t>Faquetti</w:t>
            </w:r>
            <w:r>
              <w:rPr>
                <w:rFonts w:cs="Arial"/>
                <w:sz w:val="22"/>
              </w:rPr>
              <w:t xml:space="preserve"> et al. (2024)</w:t>
            </w:r>
          </w:p>
        </w:tc>
      </w:tr>
    </w:tbl>
    <w:p w14:paraId="7C022014">
      <w:pPr>
        <w:pStyle w:val="style0"/>
        <w:spacing w:lineRule="auto" w:line="360"/>
        <w:jc w:val="both"/>
        <w:rPr>
          <w:rFonts w:cs="Arial"/>
          <w:sz w:val="22"/>
        </w:rPr>
      </w:pPr>
    </w:p>
    <w:bookmarkStart w:id="46" w:name="_Toc238491889"/>
    <w:p w14:paraId="7C022015">
      <w:pPr>
        <w:pStyle w:val="style3"/>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.1. Theme 1: Exercise modality and intensity</w:t>
      </w:r>
      <w:bookmarkEnd w:id="46"/>
    </w:p>
    <w:p w14:paraId="7C022016">
      <w:pPr>
        <w:pStyle w:val="style0"/>
        <w:spacing w:lineRule="auto" w:line="360"/>
        <w:jc w:val="both"/>
        <w:rPr>
          <w:rFonts w:cs="Arial"/>
          <w:sz w:val="22"/>
        </w:rPr>
      </w:pPr>
      <w:r>
        <w:rPr>
          <w:rFonts w:cs="Arial"/>
          <w:sz w:val="22"/>
        </w:rPr>
        <w:t xml:space="preserve">There is no single, consistent exercise prescription for adults with type 2 diabetes that can be recommended for use in the trials included here. For instance, strength training resulted in a significant decrease in HbA1c compared to aerobic training alone in adults with normal-weight type 2 diabetes, who are a population with relative sarcopenia and not obesity, according to Kobayashi et al. (2023). This indicates that exercise mode should be tailored to an individual's metabolic phenotype and not generalised. </w:t>
      </w:r>
    </w:p>
    <w:p w14:paraId="7C022017">
      <w:pPr>
        <w:pStyle w:val="style0"/>
        <w:spacing w:lineRule="auto" w:line="360"/>
        <w:jc w:val="both"/>
        <w:rPr>
          <w:rFonts w:cs="Arial"/>
          <w:sz w:val="22"/>
        </w:rPr>
      </w:pPr>
      <w:r>
        <w:rPr>
          <w:rFonts w:cs="Arial"/>
          <w:sz w:val="22"/>
        </w:rPr>
        <w:t xml:space="preserve">Way et al. (2020) </w:t>
      </w:r>
      <w:r>
        <w:rPr>
          <w:rFonts w:cs="Arial"/>
          <w:sz w:val="22"/>
        </w:rPr>
        <w:t>challenge</w:t>
      </w:r>
      <w:r>
        <w:rPr>
          <w:rFonts w:cs="Arial"/>
          <w:sz w:val="22"/>
        </w:rPr>
        <w:t xml:space="preserve"> the notion that increased exercise time equates to increased benefit, as the trial was designed specifically to compare the effects of 45 minutes per week moderate exercise versus 12 minutes per week high intensity exercise on HbA1c and arterial stiffness, and neither group was more effective than the other. This equivalence is not an artefact of comparing separate trials, but rather cuts at the heart of the rationale for exercise guidelines that focus on duration as the most important lever for benefit, since both arms were tested in the same trial, using a sham-exercise control.</w:t>
      </w:r>
    </w:p>
    <w:p w14:paraId="7C022018">
      <w:pPr>
        <w:pStyle w:val="style0"/>
        <w:spacing w:lineRule="auto" w:line="360"/>
        <w:jc w:val="both"/>
        <w:rPr>
          <w:rFonts w:cs="Arial"/>
          <w:sz w:val="22"/>
        </w:rPr>
      </w:pPr>
      <w:r>
        <w:rPr>
          <w:rFonts w:cs="Arial"/>
          <w:sz w:val="22"/>
        </w:rPr>
        <w:t xml:space="preserve">Resistance training was also tested in Al </w:t>
      </w:r>
      <w:r>
        <w:rPr>
          <w:rFonts w:cs="Arial"/>
          <w:sz w:val="22"/>
        </w:rPr>
        <w:t>Ozairi</w:t>
      </w:r>
      <w:r>
        <w:rPr>
          <w:rFonts w:cs="Arial"/>
          <w:sz w:val="22"/>
        </w:rPr>
        <w:t xml:space="preserve"> et al. (2023), but in the unselected sample of mixed weights and in a home setting versus a supervised environment with a sarcopenic phenotype, with no change in HbA1c compared to the same amount of lean mass gain as seen in Kobayashi et al. (2023). This null finding persisted despite the occurrence of similar findings in the per-protocol analysis, which included only those patients who achieved at least 70% adherence (which implies that the failure to obtain glycaemic benefit is not entirely attributable to poor adherence). This gap implies that the effectiveness of the earlier trial could be due to the recruited sample and the level of supervision, as well as the phenotype selection of the training categories, as the absence of supervision and phenotype selection completely eliminated the benefit. This is still an inference, not a tested finding, because it's not something that has been </w:t>
      </w:r>
      <w:r>
        <w:rPr>
          <w:rFonts w:cs="Arial"/>
          <w:sz w:val="22"/>
        </w:rPr>
        <w:t>directly measured by either of these trials, though it's a more defensible interpretation than that strength training is a good intervention overall. Together, what the three trials prove is narrower than the one explanation given: that modality alone is not predictive of glycaemic outcome, and that conditions under which a given modality was tested, population, supervision and setting, seem to be more important than the type of exercise itself, whether it was aerobic or resistance.</w:t>
      </w:r>
    </w:p>
    <w:bookmarkStart w:id="47" w:name="_Toc238491890"/>
    <w:p w14:paraId="7C022019">
      <w:pPr>
        <w:pStyle w:val="style3"/>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.2. Theme 2: Weight-independent cardiometabolic benefit</w:t>
      </w:r>
      <w:bookmarkEnd w:id="47"/>
    </w:p>
    <w:p w14:paraId="7C02201A">
      <w:pPr>
        <w:pStyle w:val="style0"/>
        <w:spacing w:lineRule="auto" w:line="360"/>
        <w:jc w:val="both"/>
        <w:rPr>
          <w:rFonts w:cs="Arial"/>
          <w:sz w:val="22"/>
        </w:rPr>
      </w:pPr>
      <w:r>
        <w:rPr>
          <w:rFonts w:cs="Arial"/>
          <w:sz w:val="22"/>
        </w:rPr>
        <w:t xml:space="preserve">The paper by </w:t>
      </w:r>
      <w:r>
        <w:rPr>
          <w:rFonts w:cs="Arial"/>
          <w:sz w:val="22"/>
        </w:rPr>
        <w:t>Gulsin</w:t>
      </w:r>
      <w:r>
        <w:rPr>
          <w:rFonts w:cs="Arial"/>
          <w:sz w:val="22"/>
        </w:rPr>
        <w:t xml:space="preserve"> et al. (2020) is particularly relevant for this theme since it is designed to separate exercise from weight loss in a single trial, without needing to compare across multiple studies. Both interventions were randomised into a working adult population with type 2 diabetes (n = 90, of whom 76 completed the trial) to assess if either could restore the subclinical diastolic dysfunction this research group had previously discovered in this group. Despite a median weight loss of only 1.6kg in the exercise arm, 12 weeks of exercise resulted in improvements in diastolic function (β=0.132, 95% CI 0.038 to 0.225, p=0.002), whereas the diet arm lost 13.6kg of median weight and did not demonstrate a corresponding cardiac benefit. This dissociation between weight loss and cardiac benefit is more difficult to explain by the variability of population or measurement, which is what makes it a stronger statement than a similar result from two separate trials.</w:t>
      </w:r>
    </w:p>
    <w:p w14:paraId="7C02201B">
      <w:pPr>
        <w:pStyle w:val="style0"/>
        <w:spacing w:lineRule="auto" w:line="360"/>
        <w:jc w:val="both"/>
        <w:rPr>
          <w:rFonts w:cs="Arial"/>
          <w:sz w:val="22"/>
        </w:rPr>
      </w:pPr>
      <w:r>
        <w:rPr>
          <w:rFonts w:cs="Arial"/>
          <w:sz w:val="22"/>
        </w:rPr>
        <w:t xml:space="preserve">This is a conclusion that is often seen as reinforced by Magalhães et al. (2021), although it is not as strong. The data in the trial's low responder classification, which are those who did not lose enough fat by exercise to qualify as clinically meaningful according to the criteria set by the study authors, were created after the randomisation process by dividing an existing exercise group into subgroups, a procedure that carries a risk of misclassifying individuals through normal biological variability, according to the study authors. While low responders did exhibit improvement in CIMT and PWV, this was a post hoc split of the responders, not a planned three-arm comparison as in </w:t>
      </w:r>
      <w:r>
        <w:rPr>
          <w:rFonts w:cs="Arial"/>
          <w:sz w:val="22"/>
        </w:rPr>
        <w:t>Gulsin</w:t>
      </w:r>
      <w:r>
        <w:rPr>
          <w:rFonts w:cs="Arial"/>
          <w:sz w:val="22"/>
        </w:rPr>
        <w:t xml:space="preserve"> et al. (2020), and the two results should not be viewed as equally compelling evidence for the same conclusion because they are heading in the same direction. Both trials reported no parallel glycaemic benefit linked to these vascular changes, so it is unclear if exercise has an action independent of blood glucose, or whether the trials were simply too small to see the glycaemic effect being much smaller.</w:t>
      </w:r>
    </w:p>
    <w:bookmarkStart w:id="48" w:name="_Toc238491891"/>
    <w:p w14:paraId="7C02201C">
      <w:pPr>
        <w:pStyle w:val="style3"/>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.3. Theme 3: Adherence and behavioural barriers to exercise</w:t>
      </w:r>
      <w:bookmarkEnd w:id="48"/>
    </w:p>
    <w:p w14:paraId="7C02201D">
      <w:pPr>
        <w:pStyle w:val="style0"/>
        <w:spacing w:lineRule="auto" w:line="360"/>
        <w:jc w:val="both"/>
        <w:rPr>
          <w:rFonts w:cs="Arial"/>
          <w:sz w:val="22"/>
        </w:rPr>
      </w:pPr>
      <w:r>
        <w:rPr>
          <w:rFonts w:cs="Arial"/>
          <w:sz w:val="22"/>
        </w:rPr>
        <w:t xml:space="preserve">Al </w:t>
      </w:r>
      <w:r>
        <w:rPr>
          <w:rFonts w:cs="Arial"/>
          <w:sz w:val="22"/>
        </w:rPr>
        <w:t>Ozairi</w:t>
      </w:r>
      <w:r>
        <w:rPr>
          <w:rFonts w:cs="Arial"/>
          <w:sz w:val="22"/>
        </w:rPr>
        <w:t xml:space="preserve"> et al. (2023) was intended to be a pragmatic investigation to determine if the infrastructure that is typically required for a supervised resistance training programme could be eliminated with the aim of creating a home-based version that would still influence HbA1C. The fact that 62 of the 120 randomised participants did not follow the protocol is not incidental to this </w:t>
      </w:r>
      <w:r>
        <w:rPr>
          <w:rFonts w:cs="Arial"/>
          <w:sz w:val="22"/>
        </w:rPr>
        <w:t>trial, but rather a direct result of the pragmatic design around which this trial was built: Gym access, in-person coaching, and close supervision all removed a structure that keeps participants engaged.</w:t>
      </w:r>
    </w:p>
    <w:p w14:paraId="7C02201E">
      <w:pPr>
        <w:pStyle w:val="style0"/>
        <w:spacing w:lineRule="auto" w:line="360"/>
        <w:jc w:val="both"/>
        <w:rPr>
          <w:rFonts w:cs="Arial"/>
          <w:sz w:val="22"/>
        </w:rPr>
      </w:pPr>
      <w:r>
        <w:rPr>
          <w:rFonts w:cs="Arial"/>
          <w:sz w:val="22"/>
        </w:rPr>
        <w:t>Way et al. (2020) did the reverse experiment, examining whether a very brief (closely supervised) intense session can still lead to high compliance rates, which it did at 97%, compared with the 91% in the same trial's moderate-intensity session. It's an uncomfortable fact for anyone who thought that lower intensity or shorter duration is better for adherence: the most physically demanding arm in either trial had the best adherence, while the least demanding, least supervised, had the worst.</w:t>
      </w:r>
    </w:p>
    <w:p w14:paraId="7C02201F">
      <w:pPr>
        <w:pStyle w:val="style0"/>
        <w:spacing w:lineRule="auto" w:line="360"/>
        <w:jc w:val="both"/>
        <w:rPr>
          <w:rFonts w:cs="Arial"/>
          <w:sz w:val="22"/>
        </w:rPr>
      </w:pPr>
      <w:r>
        <w:rPr>
          <w:rFonts w:cs="Arial"/>
          <w:sz w:val="22"/>
        </w:rPr>
        <w:t xml:space="preserve">The reasons for this are unclear, but one possible explanation is provided by </w:t>
      </w:r>
      <w:r>
        <w:rPr>
          <w:rFonts w:cs="Arial"/>
          <w:sz w:val="22"/>
        </w:rPr>
        <w:t>Alrasheeday</w:t>
      </w:r>
      <w:r>
        <w:rPr>
          <w:rFonts w:cs="Arial"/>
          <w:sz w:val="22"/>
        </w:rPr>
        <w:t xml:space="preserve"> et al. (2024), who surveyed 534 adults with type 2 diabetes to determine the personal, social and environmental barriers that most limit their engagement with physical activity, and found the barrier most frequently reported as being personal was lack of motivation (32%). There would be a case for concluding that the latter motivated the former, but this draws the conclusion from three different populations (Kuwait, Australia, and Saudi Arabia) and three distinct studies, and motivation was never measured in the sample of each of these trials.</w:t>
      </w:r>
    </w:p>
    <w:p w14:paraId="7C022020">
      <w:pPr>
        <w:pStyle w:val="style0"/>
        <w:spacing w:lineRule="auto" w:line="360"/>
        <w:jc w:val="both"/>
        <w:rPr>
          <w:rFonts w:cs="Arial"/>
          <w:sz w:val="22"/>
        </w:rPr>
      </w:pPr>
      <w:r>
        <w:rPr>
          <w:rFonts w:cs="Arial"/>
          <w:sz w:val="22"/>
        </w:rPr>
        <w:t xml:space="preserve">This is important here as </w:t>
      </w:r>
      <w:r>
        <w:rPr>
          <w:rFonts w:cs="Arial"/>
          <w:sz w:val="22"/>
        </w:rPr>
        <w:t>Alrasheeday</w:t>
      </w:r>
      <w:r>
        <w:rPr>
          <w:rFonts w:cs="Arial"/>
          <w:sz w:val="22"/>
        </w:rPr>
        <w:t xml:space="preserve"> et al. (2024) also found insulin users had significantly higher barriers to physical activity compared to diet-alone type diabetes patients (p=0.001), indicating that adherence barriers were not evenly distributed across a diabetes population, and trials that recruit more insulin-using patients (as the sample of Al </w:t>
      </w:r>
      <w:r>
        <w:rPr>
          <w:rFonts w:cs="Arial"/>
          <w:sz w:val="22"/>
        </w:rPr>
        <w:t>Ozairi</w:t>
      </w:r>
      <w:r>
        <w:rPr>
          <w:rFonts w:cs="Arial"/>
          <w:sz w:val="22"/>
        </w:rPr>
        <w:t xml:space="preserve"> et al., 2023 may have included) may therefore have greater challenges to maintaining adherence from the beginning of the programme, irrespective of the programme design. What can be said without resorting to that cross-study leap is as much as it gets: adherence to the three studies ranged from approximately 50% to close to 100%, which is enough spread to explain a significant amount of the variability across the exercise theme in general, whatever underlying psychological mechanism is responsible for it.</w:t>
      </w:r>
    </w:p>
    <w:bookmarkStart w:id="49" w:name="_Toc238491892"/>
    <w:p w14:paraId="7C022021">
      <w:pPr>
        <w:pStyle w:val="style3"/>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.4. Theme 4: Beliefs and self-medication practices</w:t>
      </w:r>
      <w:bookmarkEnd w:id="49"/>
    </w:p>
    <w:p w14:paraId="7C022022">
      <w:pPr>
        <w:pStyle w:val="style0"/>
        <w:spacing w:lineRule="auto" w:line="360"/>
        <w:jc w:val="both"/>
        <w:rPr>
          <w:rFonts w:cs="Arial"/>
          <w:sz w:val="22"/>
        </w:rPr>
      </w:pPr>
      <w:r>
        <w:rPr>
          <w:rFonts w:cs="Arial"/>
          <w:sz w:val="22"/>
        </w:rPr>
        <w:t xml:space="preserve">To assess the doctors' perceptions of self-medication in type 2 diabetes, Puvvada et al. (2023) conducted a study of 20 doctors in the district of Mysuru, India, knowing that doctors are likely to have a better insight into the phenomenon than others who interact with the population because they are the first point of contact. The internal spread of the responses in this study is perhaps the most valuable information beyond the headline that self-medication does happen. Half of the </w:t>
      </w:r>
      <w:r>
        <w:rPr>
          <w:rFonts w:cs="Arial"/>
          <w:sz w:val="22"/>
        </w:rPr>
        <w:t>sample of doctors who were treating the same population disagreed on how the self-medication can be treated; eight wanted the patients to give up on traditional medicine altogether, while ten wanted them to take both treatments, so long as the blood glucose is controlled.</w:t>
      </w:r>
    </w:p>
    <w:p w14:paraId="7C022023">
      <w:pPr>
        <w:pStyle w:val="style0"/>
        <w:spacing w:lineRule="auto" w:line="360"/>
        <w:jc w:val="both"/>
        <w:rPr>
          <w:rFonts w:cs="Arial"/>
          <w:sz w:val="22"/>
        </w:rPr>
      </w:pPr>
      <w:r>
        <w:rPr>
          <w:rFonts w:cs="Arial"/>
          <w:sz w:val="22"/>
        </w:rPr>
        <w:t xml:space="preserve">This is made more apparent when combined with another discovery from the same interviews, which was that fifteen of the twenty doctors doubted the effectiveness of government-subsidised generic drugs, and therefore preferred to prescribe more expensive brand drugs. Prescribing a more costly brand-name product when distrust is cited as a reason for patients to resort to self-medication is a logical consequence of the same affordability constraints which are cited as the reason patients go to self-medication instead of prescribed medication. It is not a conclusion that the study's authors intended or directly tested, nor does it provide proof that patients are actually reasoning as the design suggests doctors are, as the interviews only included the doctors' points of view. It is also worth noting that this mistrust was not universal even with this one point, because several of the same doctors described actively researching the manufacturing standards of Jan </w:t>
      </w:r>
      <w:r>
        <w:rPr>
          <w:rFonts w:cs="Arial"/>
          <w:sz w:val="22"/>
        </w:rPr>
        <w:t>Aushadhi</w:t>
      </w:r>
      <w:r>
        <w:rPr>
          <w:rFonts w:cs="Arial"/>
          <w:sz w:val="22"/>
        </w:rPr>
        <w:t xml:space="preserve"> to counteract their own mistrust, indicating that the mistrust identified here is not a set attitude of the doctors, but rather that some were already trying to change their attitude. This one study is not particularly valuable in proving the act of self-medication is occurring, as this had been demonstrated in previous studies, but in proving that the clinical reaction to self-medication is not uniform even among practitioners who treat the same patient population.</w:t>
      </w:r>
    </w:p>
    <w:bookmarkStart w:id="50" w:name="_Toc238491893"/>
    <w:p w14:paraId="7C022024">
      <w:pPr>
        <w:pStyle w:val="style3"/>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.5 Theme 5: Health literacy and medication self-management</w:t>
      </w:r>
      <w:bookmarkEnd w:id="50"/>
    </w:p>
    <w:p w14:paraId="7C022025">
      <w:pPr>
        <w:pStyle w:val="style0"/>
        <w:spacing w:lineRule="auto" w:line="360"/>
        <w:jc w:val="both"/>
        <w:rPr>
          <w:rFonts w:cs="Arial"/>
          <w:sz w:val="22"/>
        </w:rPr>
      </w:pPr>
      <w:r>
        <w:rPr>
          <w:rFonts w:cs="Arial"/>
          <w:sz w:val="22"/>
        </w:rPr>
        <w:t>The authors of this study (Li et al., 2025) were interested in investigating the self-management of medication in light of the COM-B model because, as they state, previous quantitative studies failed to adequately describe the interplay between capability, opportunity, and motivation in patients with type 2 diabetes, and they chose twenty semi-structured interviews to capture barriers and enablers. This was also not present in all of Li et al.'s (2025) sample; those who had been diagnosed longer than eight months indicated that they had, over time, corrected these misunderstandings through repeated encounters with clinical practice. This suggested that these misconceptions were not necessarily a consistent trait of type 2 diabetes patients in general. Some participants thought that once they started the glucose-lowering drug, they had to keep taking it forever, even if it was advised against by their doctor, which is a level of understanding that was better exposed by the qualitative design of this study than a structured questionnaire.</w:t>
      </w:r>
    </w:p>
    <w:p w14:paraId="7C022026">
      <w:pPr>
        <w:pStyle w:val="style0"/>
        <w:spacing w:lineRule="auto" w:line="360"/>
        <w:jc w:val="both"/>
        <w:rPr>
          <w:rFonts w:cs="Arial"/>
          <w:sz w:val="22"/>
        </w:rPr>
      </w:pPr>
      <w:r>
        <w:rPr>
          <w:rFonts w:cs="Arial"/>
          <w:sz w:val="22"/>
        </w:rPr>
        <w:t xml:space="preserve">However, </w:t>
      </w:r>
      <w:r>
        <w:rPr>
          <w:rFonts w:cs="Arial"/>
          <w:sz w:val="22"/>
        </w:rPr>
        <w:t>Milushewa</w:t>
      </w:r>
      <w:r>
        <w:rPr>
          <w:rFonts w:cs="Arial"/>
          <w:sz w:val="22"/>
        </w:rPr>
        <w:t xml:space="preserve"> et al. (2026) employed a completely different tool: a structured questionnaire to assess adherence and self-reported understanding among 105 patients in Bulgaria, who were asked to rate their understanding as good or excellent (92 %) and who reported high adherence </w:t>
      </w:r>
      <w:r>
        <w:rPr>
          <w:rFonts w:cs="Arial"/>
          <w:sz w:val="22"/>
        </w:rPr>
        <w:t xml:space="preserve">to their prescribed treatment (93.3%). This seems to be in opposition to Li et al. (2025) when read alone. It doesn't stand up to closer examination of </w:t>
      </w:r>
      <w:r>
        <w:rPr>
          <w:rFonts w:cs="Arial"/>
          <w:sz w:val="22"/>
        </w:rPr>
        <w:t>Milushewa</w:t>
      </w:r>
      <w:r>
        <w:rPr>
          <w:rFonts w:cs="Arial"/>
          <w:sz w:val="22"/>
        </w:rPr>
        <w:t xml:space="preserve"> et al.'s (2026) own data, however, as the same 92% of those confident said they still needed more education, while only 38% of confident respondents would be willing to participate in the pharmacist-directed support after recognising the need. If a high score in the Understanding dimension is combined with a high score in the Admitted need for information dimension, it is a measure of confidence, not understanding, in the same respondents, and self-rated confidence is a known weak indicator of actual knowledge in the field of health literacy research. This does not contradict Li et al.'s (2025) finding that patients can have "confident incorrect beliefs" at all, if this is taken into account. Although the authors do not phrase their results in this way, it's the more likely reason why the numbers in </w:t>
      </w:r>
      <w:r>
        <w:rPr>
          <w:rFonts w:cs="Arial"/>
          <w:sz w:val="22"/>
        </w:rPr>
        <w:t>Milushewa</w:t>
      </w:r>
      <w:r>
        <w:rPr>
          <w:rFonts w:cs="Arial"/>
          <w:sz w:val="22"/>
        </w:rPr>
        <w:t xml:space="preserve"> et al. (2026) don't add up consistently.</w:t>
      </w:r>
    </w:p>
    <w:bookmarkStart w:id="51" w:name="_Toc238491894"/>
    <w:p w14:paraId="7C022027">
      <w:pPr>
        <w:pStyle w:val="style3"/>
        <w:spacing w:lineRule="auto" w:line="360"/>
        <w:jc w:val="both"/>
        <w:rPr>
          <w:rFonts w:cs="Arial"/>
          <w:sz w:val="22"/>
          <w:szCs w:val="22"/>
        </w:rPr>
      </w:pPr>
      <w:r>
        <w:rPr>
          <w:rFonts w:cs="Arial"/>
          <w:sz w:val="22"/>
          <w:szCs w:val="22"/>
        </w:rPr>
        <w:t>5.</w:t>
      </w:r>
      <w:r>
        <w:rPr>
          <w:rFonts w:cs="Arial"/>
          <w:sz w:val="22"/>
          <w:szCs w:val="22"/>
        </w:rPr>
        <w:t>4</w:t>
      </w:r>
      <w:r>
        <w:rPr>
          <w:rFonts w:cs="Arial"/>
          <w:sz w:val="22"/>
          <w:szCs w:val="22"/>
        </w:rPr>
        <w:t>.6. Theme 6: Polypharmacy and prescribing safety</w:t>
      </w:r>
      <w:bookmarkEnd w:id="51"/>
    </w:p>
    <w:p w14:paraId="7C022028">
      <w:pPr>
        <w:pStyle w:val="style0"/>
        <w:spacing w:lineRule="auto" w:line="360"/>
        <w:jc w:val="both"/>
        <w:rPr>
          <w:rFonts w:cs="Arial"/>
          <w:sz w:val="22"/>
        </w:rPr>
      </w:pPr>
      <w:r>
        <w:rPr>
          <w:rFonts w:cs="Arial"/>
          <w:sz w:val="22"/>
        </w:rPr>
        <w:t xml:space="preserve">The aim of </w:t>
      </w:r>
      <w:r>
        <w:rPr>
          <w:rFonts w:cs="Arial"/>
          <w:sz w:val="22"/>
        </w:rPr>
        <w:t>Faquetti</w:t>
      </w:r>
      <w:r>
        <w:rPr>
          <w:rFonts w:cs="Arial"/>
          <w:sz w:val="22"/>
        </w:rPr>
        <w:t xml:space="preserve"> et al. (2024) was to assess for the first time in a UK primary care database how frequently inappropriate prescribing occurred when polypharmacy was initiated, in patients who were starting antidiabetic treatments, using two validated prescribing safety tools: the Beers and PROMPT criteria. The scale of its presentation, 28,604 patients, makes the internal comparison possible, which the smaller studies in this review could not. The finding that close to 40% of older adults with polypharmacy had at least one inappropriate medicine, while only one in five of middle-aged adults did, is strengthened rather than merely illustrated by the fact that the specific medicines responsible for this risk also differed by age, with proton pump inhibitors in older patients and opioids in middle-aged patients without a co-prescribed laxative. </w:t>
      </w:r>
      <w:r>
        <w:rPr>
          <w:rFonts w:cs="Arial"/>
          <w:sz w:val="22"/>
        </w:rPr>
        <w:t>Faquetti</w:t>
      </w:r>
      <w:r>
        <w:rPr>
          <w:rFonts w:cs="Arial"/>
          <w:sz w:val="22"/>
        </w:rPr>
        <w:t xml:space="preserve"> et al. (2024) conducted a sensitivity analysis that excluded patients with missing dosage data, and found a lower total prevalence of inappropriate prescribing than the main analysis, but said this was likely because of more accurate classification rather than safer prescribing.</w:t>
      </w:r>
    </w:p>
    <w:p w14:paraId="7C022029">
      <w:pPr>
        <w:pStyle w:val="style0"/>
        <w:spacing w:lineRule="auto" w:line="360"/>
        <w:jc w:val="both"/>
        <w:rPr>
          <w:rFonts w:cs="Arial"/>
          <w:sz w:val="22"/>
        </w:rPr>
      </w:pPr>
      <w:r>
        <w:rPr>
          <w:rFonts w:cs="Arial"/>
          <w:sz w:val="22"/>
        </w:rPr>
        <w:t xml:space="preserve">The more challenging question is whether this evidence should be part of a review that is focused on self-medication. Because the study's own authors state that their database cannot identify the use of over-the-counter medications, the database will not record the actual behaviour that is referred to in this dissertation as self-medication, and all prescribing decisions recorded in their database are made by a clinician, not a patient. The presentation of </w:t>
      </w:r>
      <w:r>
        <w:rPr>
          <w:rFonts w:cs="Arial"/>
          <w:sz w:val="22"/>
        </w:rPr>
        <w:t>Faquetti</w:t>
      </w:r>
      <w:r>
        <w:rPr>
          <w:rFonts w:cs="Arial"/>
          <w:sz w:val="22"/>
        </w:rPr>
        <w:t xml:space="preserve"> et al. (2024) as a similar body of evidence for RQ2 as Puvvada et al. (2023) would therefore be an exaggeration. </w:t>
      </w:r>
      <w:r>
        <w:rPr>
          <w:rFonts w:cs="Arial"/>
          <w:sz w:val="22"/>
        </w:rPr>
        <w:t xml:space="preserve">It has a more defensible, adjoining claim: that the danger to medication safety in type 2 diabetes is not just from self-medication, but also from prescribing systems that function without regard to </w:t>
      </w:r>
      <w:r>
        <w:rPr>
          <w:rFonts w:cs="Arial"/>
          <w:sz w:val="22"/>
        </w:rPr>
        <w:t>patients' choices. Self-medication is thus not to be seen as being the only, or even primary, cause of that risk</w:t>
      </w:r>
      <w:r>
        <w:rPr>
          <w:rFonts w:cs="Arial"/>
          <w:sz w:val="22"/>
        </w:rPr>
        <w:t>.</w:t>
      </w:r>
    </w:p>
    <w:bookmarkStart w:id="52" w:name="_Toc238491895"/>
    <w:p w14:paraId="7C02202A">
      <w:pPr>
        <w:pStyle w:val="style2"/>
        <w:spacing w:lineRule="auto" w:line="360"/>
        <w:jc w:val="both"/>
        <w:rPr>
          <w:rFonts w:cs="Arial"/>
          <w:sz w:val="22"/>
          <w:szCs w:val="22"/>
        </w:rPr>
      </w:pPr>
      <w:r>
        <w:rPr>
          <w:rFonts w:cs="Arial"/>
          <w:sz w:val="22"/>
          <w:szCs w:val="22"/>
        </w:rPr>
        <w:t>5.</w:t>
      </w:r>
      <w:r>
        <w:rPr>
          <w:rFonts w:cs="Arial"/>
          <w:sz w:val="22"/>
          <w:szCs w:val="22"/>
        </w:rPr>
        <w:t>5</w:t>
      </w:r>
      <w:r>
        <w:rPr>
          <w:rFonts w:cs="Arial"/>
          <w:sz w:val="22"/>
          <w:szCs w:val="22"/>
        </w:rPr>
        <w:t xml:space="preserve"> Chapter Summary</w:t>
      </w:r>
      <w:bookmarkEnd w:id="52"/>
      <w:r>
        <w:rPr>
          <w:rFonts w:cs="Arial"/>
          <w:sz w:val="22"/>
          <w:szCs w:val="22"/>
        </w:rPr>
        <w:t xml:space="preserve"> </w:t>
      </w:r>
    </w:p>
    <w:p w14:paraId="7C02202B">
      <w:pPr>
        <w:pStyle w:val="style0"/>
        <w:spacing w:lineRule="auto" w:line="360"/>
        <w:jc w:val="both"/>
        <w:rPr>
          <w:rFonts w:cs="Arial" w:eastAsia="SimSun"/>
          <w:b/>
          <w:sz w:val="22"/>
        </w:rPr>
      </w:pPr>
      <w:r>
        <w:rPr>
          <w:rFonts w:cs="Arial"/>
          <w:sz w:val="22"/>
        </w:rPr>
        <w:t>This chapter has thematically aggregated the ten studies included in the chapter into six themes: three relating to exercise modality, three to weight-independent benefits and adherence barriers, and three to self-medication beliefs, health literacy and prescribing safety. The synthesis revealed that there are pathways for the benefits of exercise in type 2 diabetes that are not necessarily seen in weight loss, and there are pathways for safety risks with medication use that involve patient behaviours as well as prescribing practices. These findings directly answer the two research questions put forward in Chapter One. These themes are discussed in Chapter Six in relation to the existing literature previewed in Chapter Two.</w:t>
      </w:r>
      <w:r>
        <w:rPr>
          <w:rFonts w:cs="Arial"/>
          <w:sz w:val="22"/>
        </w:rPr>
        <w:br w:type="page"/>
      </w:r>
    </w:p>
    <w:bookmarkStart w:id="53" w:name="_Toc238491896"/>
    <w:p w14:paraId="7C02202C">
      <w:pPr>
        <w:pStyle w:val="style1"/>
        <w:spacing w:lineRule="auto" w:line="360"/>
        <w:jc w:val="both"/>
        <w:rPr>
          <w:rFonts w:cs="Arial"/>
          <w:sz w:val="22"/>
          <w:szCs w:val="22"/>
        </w:rPr>
      </w:pPr>
      <w:r>
        <w:rPr>
          <w:rFonts w:cs="Arial"/>
          <w:sz w:val="22"/>
          <w:szCs w:val="22"/>
        </w:rPr>
        <w:t>CHAPTER 6: DISCUSSION</w:t>
      </w:r>
      <w:bookmarkEnd w:id="53"/>
      <w:r>
        <w:rPr>
          <w:rFonts w:cs="Arial"/>
          <w:sz w:val="22"/>
          <w:szCs w:val="22"/>
        </w:rPr>
        <w:t xml:space="preserve"> </w:t>
      </w:r>
    </w:p>
    <w:bookmarkStart w:id="54" w:name="_Toc238491897"/>
    <w:p w14:paraId="7C02202D">
      <w:pPr>
        <w:pStyle w:val="style2"/>
        <w:spacing w:lineRule="auto" w:line="360"/>
        <w:jc w:val="both"/>
        <w:rPr>
          <w:rFonts w:cs="Arial"/>
          <w:sz w:val="22"/>
          <w:szCs w:val="22"/>
        </w:rPr>
      </w:pPr>
      <w:r>
        <w:rPr>
          <w:rFonts w:cs="Arial"/>
          <w:sz w:val="22"/>
          <w:szCs w:val="22"/>
        </w:rPr>
        <w:t>6.1 Introduction to Chapter</w:t>
      </w:r>
      <w:bookmarkEnd w:id="54"/>
      <w:r>
        <w:rPr>
          <w:rFonts w:cs="Arial"/>
          <w:sz w:val="22"/>
          <w:szCs w:val="22"/>
        </w:rPr>
        <w:t xml:space="preserve"> </w:t>
      </w:r>
    </w:p>
    <w:p w14:paraId="7C02202E">
      <w:pPr>
        <w:pStyle w:val="style0"/>
        <w:spacing w:lineRule="auto" w:line="360"/>
        <w:jc w:val="both"/>
        <w:rPr>
          <w:rFonts w:cs="Arial"/>
          <w:sz w:val="22"/>
        </w:rPr>
      </w:pPr>
      <w:r>
        <w:rPr>
          <w:rFonts w:cs="Arial"/>
          <w:sz w:val="22"/>
        </w:rPr>
        <w:t>This chapter focuses on the six themes that were discussed in Chapter Five and relates these to the theoretical framework and literature reviewed in Chapter Two. It reflects on the contributions of this systematic review to the existing scientific evidence regarding the safety of exercise and medications in people with type 2 diabetes, and critically examines any conflicting evidence from the findings of this systematic review with respect to the established scientific evidence. The chapter then outlines the merits and weaknesses of the entire review, and a set of recommendations and conclusions are outlined in Chapter Seven.</w:t>
      </w:r>
    </w:p>
    <w:bookmarkStart w:id="55" w:name="_Toc238491898"/>
    <w:p w14:paraId="7C02202F">
      <w:pPr>
        <w:pStyle w:val="style2"/>
        <w:spacing w:lineRule="auto" w:line="360"/>
        <w:jc w:val="both"/>
        <w:rPr>
          <w:rFonts w:cs="Arial"/>
          <w:sz w:val="22"/>
          <w:szCs w:val="22"/>
        </w:rPr>
      </w:pPr>
      <w:r>
        <w:rPr>
          <w:rFonts w:cs="Arial"/>
          <w:sz w:val="22"/>
          <w:szCs w:val="22"/>
        </w:rPr>
        <w:t>6.2 Discussion of Key Findings</w:t>
      </w:r>
      <w:bookmarkEnd w:id="55"/>
    </w:p>
    <w:p w14:paraId="3FE60938">
      <w:pPr>
        <w:pStyle w:val="style0"/>
        <w:spacing w:lineRule="auto" w:line="360"/>
        <w:jc w:val="both"/>
        <w:rPr>
          <w:rFonts w:cs="Arial"/>
          <w:sz w:val="22"/>
        </w:rPr>
      </w:pPr>
      <w:r>
        <w:rPr>
          <w:rFonts w:cs="Arial"/>
          <w:sz w:val="22"/>
        </w:rPr>
        <w:t xml:space="preserve">Many of the studies of exercise and glycaemic control reviewed in Chapter Two predict glycaemic outcome with a high degree of certainty solely on the basis of exercise modality, whereas the finding that population selection and supervision are strongly predictive of glycaemic outcome does not sit so well with many of the studies on exercise and glycaemic control. It is assumed that duration of the intervention is the most important variable, and that diet/exercise can make meaningful glycaemic improvement when applied over a long period of time, rather than as a short intervention, as concluded by </w:t>
      </w:r>
      <w:r>
        <w:rPr>
          <w:rFonts w:cs="Arial"/>
          <w:sz w:val="22"/>
        </w:rPr>
        <w:t>Magkos</w:t>
      </w:r>
      <w:r>
        <w:rPr>
          <w:rFonts w:cs="Arial"/>
          <w:sz w:val="22"/>
        </w:rPr>
        <w:t xml:space="preserve">, Hjorth and Astrup (2020). Both Kobayashi et al (2023) and Al </w:t>
      </w:r>
      <w:r>
        <w:rPr>
          <w:rFonts w:cs="Arial"/>
          <w:sz w:val="22"/>
        </w:rPr>
        <w:t>Ozairi</w:t>
      </w:r>
      <w:r>
        <w:rPr>
          <w:rFonts w:cs="Arial"/>
          <w:sz w:val="22"/>
        </w:rPr>
        <w:t xml:space="preserve"> et al (2023) in this review had exercise durations of several months but different glycaemic outcomes for the same general category of exercise. This does not mean that </w:t>
      </w:r>
      <w:r>
        <w:rPr>
          <w:rFonts w:cs="Arial"/>
          <w:sz w:val="22"/>
        </w:rPr>
        <w:t>Magkos</w:t>
      </w:r>
      <w:r>
        <w:rPr>
          <w:rFonts w:cs="Arial"/>
          <w:sz w:val="22"/>
        </w:rPr>
        <w:t xml:space="preserve">, Hjorth and Astrup's (2020) focus on sustained practice is incorrect; rather, it may be incomplete if they do not also consider the nature of the metabolic phenotype being treated or the supervision provided. </w:t>
      </w:r>
      <w:r>
        <w:rPr>
          <w:rFonts w:cs="Arial"/>
          <w:sz w:val="22"/>
        </w:rPr>
        <w:t xml:space="preserve">This is an area not currently differentiated in general exercise advice, </w:t>
      </w:r>
      <w:r>
        <w:rPr>
          <w:rFonts w:cs="Arial"/>
          <w:sz w:val="22"/>
        </w:rPr>
        <w:t>e.g.</w:t>
      </w:r>
      <w:r>
        <w:rPr>
          <w:rFonts w:cs="Arial"/>
          <w:sz w:val="22"/>
        </w:rPr>
        <w:t xml:space="preserve"> NICE (2026). This is relevant in real life: if a clinician is strictly adhering to generic advice based on the modality, he/she might prescribe the wrong kind of exercise for a patient's metabolic phenotype, thus missing out on a benefit that could be achieved if the exercise prescription was provided individually and under supervision.</w:t>
      </w:r>
    </w:p>
    <w:p w14:paraId="7C022031">
      <w:pPr>
        <w:pStyle w:val="style0"/>
        <w:spacing w:lineRule="auto" w:line="360"/>
        <w:jc w:val="both"/>
        <w:rPr>
          <w:rFonts w:cs="Arial"/>
          <w:sz w:val="22"/>
        </w:rPr>
      </w:pPr>
      <w:r>
        <w:rPr>
          <w:rFonts w:cs="Arial"/>
          <w:sz w:val="22"/>
        </w:rPr>
        <w:t xml:space="preserve">The second theme of this review, cardiovascular benefits of exercise independent of significant weight loss, builds on, rather than challenges, the background literature but highlights a lack in the way this literature is commonly presented. Barry et al. (2023) </w:t>
      </w:r>
      <w:r>
        <w:rPr>
          <w:rFonts w:cs="Arial"/>
          <w:sz w:val="22"/>
        </w:rPr>
        <w:t>were</w:t>
      </w:r>
      <w:r>
        <w:rPr>
          <w:rFonts w:cs="Arial"/>
          <w:sz w:val="22"/>
        </w:rPr>
        <w:t xml:space="preserve"> critical in considering the policy for diabetes prevention in the UK, which tends to emphasise individual behaviour change and where weight loss is treated as the main indicator of success. Both </w:t>
      </w:r>
      <w:r>
        <w:rPr>
          <w:rFonts w:cs="Arial"/>
          <w:sz w:val="22"/>
        </w:rPr>
        <w:t>Gulsin</w:t>
      </w:r>
      <w:r>
        <w:rPr>
          <w:rFonts w:cs="Arial"/>
          <w:sz w:val="22"/>
        </w:rPr>
        <w:t xml:space="preserve"> et al. (2020) and Magalhães et al. (2021) add to this perspective by showing vascular or cardiac improvement in the near absence of weight change. This implies that a policy and communication approach that </w:t>
      </w:r>
      <w:r>
        <w:rPr>
          <w:rFonts w:cs="Arial"/>
          <w:sz w:val="22"/>
        </w:rPr>
        <w:t>focuses on the weight-loss measure as the primary measure of success may actually discourage patients who are gaining cardiovascular benefit but not weight loss, which has not been specifically reported in the literature from Chapter Two.</w:t>
      </w:r>
    </w:p>
    <w:p w14:paraId="7C022032">
      <w:pPr>
        <w:pStyle w:val="style0"/>
        <w:spacing w:lineRule="auto" w:line="360"/>
        <w:jc w:val="both"/>
        <w:rPr>
          <w:rFonts w:cs="Arial"/>
          <w:sz w:val="22"/>
        </w:rPr>
      </w:pPr>
      <w:r>
        <w:rPr>
          <w:rFonts w:cs="Arial"/>
          <w:sz w:val="22"/>
        </w:rPr>
        <w:t xml:space="preserve">Also, the adherence theme refers explicitly to the theoretical framework established in Chapter Two. The literature on the Health Belief Model reviewed there highlighted perceived barriers and self-efficacy as predictors of self-care behaviour, and although perceived barriers were not always significant predictors (Hu et al., 2022; Darvishi et al., 2025), it was concluded that the model accounted for better motivation than actual behaviour. The level of adherence reported across studies by Way et al. (2020) (about half); Al </w:t>
      </w:r>
      <w:r>
        <w:rPr>
          <w:rFonts w:cs="Arial"/>
          <w:sz w:val="22"/>
        </w:rPr>
        <w:t>Ozairi</w:t>
      </w:r>
      <w:r>
        <w:rPr>
          <w:rFonts w:cs="Arial"/>
          <w:sz w:val="22"/>
        </w:rPr>
        <w:t xml:space="preserve"> et al. (2023) (close to half); </w:t>
      </w:r>
      <w:r>
        <w:rPr>
          <w:rFonts w:cs="Arial"/>
          <w:sz w:val="22"/>
        </w:rPr>
        <w:t>Alrasheeday</w:t>
      </w:r>
      <w:r>
        <w:rPr>
          <w:rFonts w:cs="Arial"/>
          <w:sz w:val="22"/>
        </w:rPr>
        <w:t xml:space="preserve"> et al. (2024) (close to all) is more in line with the underlying tenets of SCT, which underpins beliefs that require social and environmental support to change rather than individual beliefs, than with HBM, which assumes individual beliefs precede any changes in behaviour. This indicates that the adherence of the trials in this review could be better understood by SCT as opposed to HBM alone as a member of motivation.</w:t>
      </w:r>
    </w:p>
    <w:p w14:paraId="7C022033">
      <w:pPr>
        <w:pStyle w:val="style0"/>
        <w:spacing w:lineRule="auto" w:line="360"/>
        <w:jc w:val="both"/>
        <w:rPr>
          <w:rFonts w:cs="Arial"/>
          <w:sz w:val="22"/>
        </w:rPr>
      </w:pPr>
      <w:r>
        <w:rPr>
          <w:rFonts w:cs="Arial"/>
          <w:sz w:val="22"/>
        </w:rPr>
        <w:t xml:space="preserve">In the medication aspect of the review, Puvvada et al. (2023) </w:t>
      </w:r>
      <w:r>
        <w:rPr>
          <w:rFonts w:cs="Arial"/>
          <w:sz w:val="22"/>
        </w:rPr>
        <w:t>validate</w:t>
      </w:r>
      <w:r>
        <w:rPr>
          <w:rFonts w:cs="Arial"/>
          <w:sz w:val="22"/>
        </w:rPr>
        <w:t xml:space="preserve"> and reinforce the work on self-medication that was discussed in Chapter Two. While not diabetes-specific, self-medication and polypharmacy were found to be associated with adverse drug reactions in all cases (</w:t>
      </w:r>
      <w:r>
        <w:rPr>
          <w:rFonts w:cs="Arial"/>
          <w:sz w:val="22"/>
        </w:rPr>
        <w:t>Fertu</w:t>
      </w:r>
      <w:r>
        <w:rPr>
          <w:rFonts w:cs="Arial"/>
          <w:sz w:val="22"/>
        </w:rPr>
        <w:t xml:space="preserve"> et al. 2026) and UK herbal medicine users often did not report this to health care professionals (Zahn et al. 2019). This is confirmed by Puvvada et al. (2023), who also studied a different health care context, making the case for non-disclosure being a general trend in self-medication, and not just in one country. Puvvada et al. (2023), however, is the first literature, aside from Chapter Two, that has captured the fact that clinicians react inconsistently to self-medication. </w:t>
      </w:r>
      <w:r>
        <w:rPr>
          <w:rFonts w:cs="Arial"/>
          <w:sz w:val="22"/>
        </w:rPr>
        <w:t>Fertu</w:t>
      </w:r>
      <w:r>
        <w:rPr>
          <w:rFonts w:cs="Arial"/>
          <w:sz w:val="22"/>
        </w:rPr>
        <w:t xml:space="preserve"> et al. (2026) and Zahn et al. (2019) did not explore the clinician's side of this relationship, and this is something that they failed to do because it was the clinician who caused this problem and not just the patient's behaviour.</w:t>
      </w:r>
    </w:p>
    <w:p w14:paraId="7C022034">
      <w:pPr>
        <w:pStyle w:val="style0"/>
        <w:spacing w:lineRule="auto" w:line="360"/>
        <w:jc w:val="both"/>
        <w:rPr>
          <w:rFonts w:cs="Arial"/>
          <w:sz w:val="22"/>
        </w:rPr>
      </w:pPr>
      <w:r>
        <w:rPr>
          <w:rFonts w:cs="Arial"/>
          <w:sz w:val="22"/>
        </w:rPr>
        <w:t xml:space="preserve">The health literacy theme is similar to the criticism of Barry et al. (2023) that education that does not reach cost, access and cultural relevance is inadequate. A study by Kayyali et al. (2019) reported that less than two-thirds of a sample of people in London were able to identify the most common risk factors for developing type 2 diabetes, while the results of this review by </w:t>
      </w:r>
      <w:r>
        <w:rPr>
          <w:rFonts w:cs="Arial"/>
          <w:sz w:val="22"/>
        </w:rPr>
        <w:t>Milushewa</w:t>
      </w:r>
      <w:r>
        <w:rPr>
          <w:rFonts w:cs="Arial"/>
          <w:sz w:val="22"/>
        </w:rPr>
        <w:t xml:space="preserve"> et al. (2026) indicate that high self-rated knowledge of T2D risk factors was combined with an admission for more education, which also supports the argument of Barry et al. (2023) in a more specific way as it suggests that there is a disconnect between knowledge and competence even among those who consider themselves well informed. Powers et al. (2020) proposed that self-</w:t>
      </w:r>
      <w:r>
        <w:rPr>
          <w:rFonts w:cs="Arial"/>
          <w:sz w:val="22"/>
        </w:rPr>
        <w:t xml:space="preserve">management support should be designed to develop knowledge and skills simultaneously, and not rely on one to lead to the other; and the difference between </w:t>
      </w:r>
      <w:r>
        <w:rPr>
          <w:rFonts w:cs="Arial"/>
          <w:sz w:val="22"/>
        </w:rPr>
        <w:t>Milushewa</w:t>
      </w:r>
      <w:r>
        <w:rPr>
          <w:rFonts w:cs="Arial"/>
          <w:sz w:val="22"/>
        </w:rPr>
        <w:t xml:space="preserve"> et al.'s (2026) confident respondents and the perceived lack of education in the knowledge/skill/confidence domain is not insignificant and exemplifies exactly the relationship between the two that Powers et al. (2020) warned against. Ahern et al. (2020), on a similar note, shifted from information to structured behaviours, and this review's synthesis indicates that it is based on evidence, not just a theory preference.</w:t>
      </w:r>
    </w:p>
    <w:p w14:paraId="7C022035">
      <w:pPr>
        <w:pStyle w:val="style0"/>
        <w:spacing w:lineRule="auto" w:line="360"/>
        <w:jc w:val="both"/>
        <w:rPr>
          <w:rFonts w:cs="Arial"/>
          <w:sz w:val="22"/>
        </w:rPr>
      </w:pPr>
      <w:r>
        <w:rPr>
          <w:rFonts w:cs="Arial"/>
          <w:sz w:val="22"/>
        </w:rPr>
        <w:t xml:space="preserve">Lastly, the polypharmacy theme is not an obvious continuation of the literature reviewed in Chapter 2, but rather a more specific area of research. </w:t>
      </w:r>
      <w:r>
        <w:rPr>
          <w:rFonts w:cs="Arial"/>
          <w:sz w:val="22"/>
        </w:rPr>
        <w:t>Fertu</w:t>
      </w:r>
      <w:r>
        <w:rPr>
          <w:rFonts w:cs="Arial"/>
          <w:sz w:val="22"/>
        </w:rPr>
        <w:t xml:space="preserve"> et al. (2026) combined self-medication and polypharmacy as a single risk, whereas the results of </w:t>
      </w:r>
      <w:r>
        <w:rPr>
          <w:rFonts w:cs="Arial"/>
          <w:sz w:val="22"/>
        </w:rPr>
        <w:t>Faquetti</w:t>
      </w:r>
      <w:r>
        <w:rPr>
          <w:rFonts w:cs="Arial"/>
          <w:sz w:val="22"/>
        </w:rPr>
        <w:t xml:space="preserve"> et al. (2024) indicate that a large proportion of inappropriate prescriptions in UK type 2 diabetes patients is due to clinician prescribing decisions, and without any patient self-medication at all. This indicates that the self-medication literature that was examined in Chapter Two was informative, but that it may have minimised the amount of medication risk that comes from within the prescribing system, as opposed to from patients as outside users of the system. The collection of the six themes in this review does not merely summarise the existing literature. They refine some of its assertions, in particular its focus on the role of supervision in modality, and highlight issues not yet explored in the literature, including the inconsistencies of clinical outcomes in relation to self-medication and the prescription-led nature of much polypharmacy risk.</w:t>
      </w:r>
    </w:p>
    <w:bookmarkStart w:id="56" w:name="_Toc238491899"/>
    <w:p w14:paraId="7C022036">
      <w:pPr>
        <w:pStyle w:val="style2"/>
        <w:spacing w:lineRule="auto" w:line="360"/>
        <w:jc w:val="both"/>
        <w:rPr>
          <w:rFonts w:cs="Arial"/>
          <w:sz w:val="22"/>
          <w:szCs w:val="22"/>
        </w:rPr>
      </w:pPr>
      <w:r>
        <w:rPr>
          <w:rFonts w:cs="Arial"/>
          <w:sz w:val="22"/>
          <w:szCs w:val="22"/>
        </w:rPr>
        <w:t>6.3 Strengths and Limitations</w:t>
      </w:r>
      <w:bookmarkEnd w:id="56"/>
      <w:r>
        <w:rPr>
          <w:rFonts w:cs="Arial"/>
          <w:sz w:val="22"/>
          <w:szCs w:val="22"/>
        </w:rPr>
        <w:t xml:space="preserve"> </w:t>
      </w:r>
    </w:p>
    <w:p w14:paraId="7C022037">
      <w:pPr>
        <w:pStyle w:val="style0"/>
        <w:spacing w:lineRule="auto" w:line="360"/>
        <w:jc w:val="both"/>
        <w:rPr>
          <w:rFonts w:cs="Arial"/>
          <w:sz w:val="22"/>
        </w:rPr>
      </w:pPr>
      <w:r>
        <w:rPr>
          <w:rFonts w:cs="Arial"/>
          <w:sz w:val="22"/>
        </w:rPr>
        <w:t>There are a number of strengths of this review. It used a structured PEO framework and PRISMA-guided search process to transparently identify 10 studies from five countries, with various study designs, each critically appraised with a checklist appropriate to the study design, not a generic checklist. The synthesis also deliberately detached the ten studies included in the synthesis from the broader background literature so that genuine comparison and critique of the evidence base on which this chapter draws to make connections back to theory was possible before the evidence was connected to theory in this chapter.</w:t>
      </w:r>
    </w:p>
    <w:p w14:paraId="7C022038">
      <w:pPr>
        <w:pStyle w:val="style0"/>
        <w:spacing w:lineRule="auto" w:line="360"/>
        <w:jc w:val="both"/>
        <w:rPr>
          <w:rFonts w:cs="Arial"/>
          <w:sz w:val="22"/>
        </w:rPr>
      </w:pPr>
      <w:r>
        <w:rPr>
          <w:rFonts w:cs="Arial"/>
          <w:sz w:val="22"/>
        </w:rPr>
        <w:t xml:space="preserve">The review </w:t>
      </w:r>
      <w:r>
        <w:rPr>
          <w:rFonts w:cs="Arial"/>
          <w:sz w:val="22"/>
        </w:rPr>
        <w:t>is also</w:t>
      </w:r>
      <w:r>
        <w:rPr>
          <w:rFonts w:cs="Arial"/>
          <w:sz w:val="22"/>
        </w:rPr>
        <w:t xml:space="preserve"> not without any limitations. The number of ten studies is small and could not be meta-analysed or have an effect size calculated because of the heterogeneity of the designs. This limitation on the scope of the evidence to English-language studies from 2019-2026 might have resulted in a lack of previous or non-English evidence that was relevant. Geographic diversity in the 10 studies is a strength with respect to generalisability. However, none of the </w:t>
      </w:r>
      <w:r>
        <w:rPr>
          <w:rFonts w:cs="Arial"/>
          <w:sz w:val="22"/>
        </w:rPr>
        <w:t>studies concerned with self-medication explicitly studied self-medication within a UK population, and this is therefore a gap in UK-specific evidence that this review is unable to fill.</w:t>
      </w:r>
    </w:p>
    <w:bookmarkStart w:id="57" w:name="_Toc238491900"/>
    <w:p w14:paraId="7C022039">
      <w:pPr>
        <w:pStyle w:val="style2"/>
        <w:spacing w:lineRule="auto" w:line="360"/>
        <w:jc w:val="both"/>
        <w:rPr>
          <w:rFonts w:cs="Arial"/>
          <w:sz w:val="22"/>
          <w:szCs w:val="22"/>
        </w:rPr>
      </w:pPr>
      <w:r>
        <w:rPr>
          <w:rFonts w:cs="Arial"/>
          <w:sz w:val="22"/>
          <w:szCs w:val="22"/>
        </w:rPr>
        <w:t>6.4 Chapter Summary</w:t>
      </w:r>
      <w:bookmarkEnd w:id="57"/>
      <w:r>
        <w:rPr>
          <w:rFonts w:cs="Arial"/>
          <w:sz w:val="22"/>
          <w:szCs w:val="22"/>
        </w:rPr>
        <w:t xml:space="preserve"> </w:t>
      </w:r>
    </w:p>
    <w:p w14:paraId="7C02203A">
      <w:pPr>
        <w:pStyle w:val="style0"/>
        <w:spacing w:lineRule="auto" w:line="360"/>
        <w:jc w:val="both"/>
        <w:rPr>
          <w:rFonts w:cs="Arial" w:eastAsia="SimSun"/>
          <w:b/>
          <w:sz w:val="22"/>
        </w:rPr>
      </w:pPr>
      <w:r>
        <w:rPr>
          <w:rFonts w:cs="Arial"/>
          <w:sz w:val="22"/>
        </w:rPr>
        <w:t>In this chapter, the six themes of Chapter Five have been compared with the literature and theory of Chapter Two, demonstrating that the results support or corroborate existing claims regarding supervision and adherence to SSP and extend the understanding of SSP regarding clinical response inconsistencies and prescriber-driven polypharmacy risk. This discussion is all brought together in Chapter Seven for recommendations and conclusions.</w:t>
      </w:r>
      <w:r>
        <w:rPr>
          <w:rFonts w:cs="Arial"/>
          <w:sz w:val="22"/>
        </w:rPr>
        <w:br w:type="page"/>
      </w:r>
    </w:p>
    <w:bookmarkStart w:id="58" w:name="_Toc238491901"/>
    <w:p w14:paraId="7C02203B">
      <w:pPr>
        <w:pStyle w:val="style1"/>
        <w:spacing w:lineRule="auto" w:line="360"/>
        <w:jc w:val="both"/>
        <w:rPr>
          <w:rFonts w:cs="Arial" w:eastAsia="Calibri"/>
          <w:sz w:val="22"/>
          <w:szCs w:val="22"/>
        </w:rPr>
      </w:pPr>
      <w:r>
        <w:rPr>
          <w:rFonts w:cs="Arial" w:eastAsia="Calibri"/>
          <w:sz w:val="22"/>
          <w:szCs w:val="22"/>
        </w:rPr>
        <w:t>CHAPTER 7: RECOMMENDATIONS AND CONCLUSION</w:t>
      </w:r>
      <w:bookmarkEnd w:id="58"/>
      <w:r>
        <w:rPr>
          <w:rFonts w:cs="Arial" w:eastAsia="Calibri"/>
          <w:sz w:val="22"/>
          <w:szCs w:val="22"/>
        </w:rPr>
        <w:t xml:space="preserve"> </w:t>
      </w:r>
    </w:p>
    <w:bookmarkStart w:id="59" w:name="_Toc238491902"/>
    <w:p w14:paraId="7C02203C">
      <w:pPr>
        <w:pStyle w:val="style2"/>
        <w:spacing w:lineRule="auto" w:line="360"/>
        <w:jc w:val="both"/>
        <w:rPr>
          <w:rFonts w:cs="Arial"/>
          <w:sz w:val="22"/>
          <w:szCs w:val="22"/>
        </w:rPr>
      </w:pPr>
      <w:r>
        <w:rPr>
          <w:rFonts w:cs="Arial"/>
          <w:sz w:val="22"/>
          <w:szCs w:val="22"/>
        </w:rPr>
        <w:t>7.1 Introduction to Chapter</w:t>
      </w:r>
      <w:bookmarkEnd w:id="59"/>
    </w:p>
    <w:p w14:paraId="7C02203D">
      <w:pPr>
        <w:pStyle w:val="style0"/>
        <w:spacing w:lineRule="auto" w:line="360"/>
        <w:jc w:val="both"/>
        <w:rPr>
          <w:rFonts w:cs="Arial"/>
          <w:sz w:val="22"/>
        </w:rPr>
      </w:pPr>
      <w:r>
        <w:rPr>
          <w:rFonts w:cs="Arial"/>
          <w:sz w:val="22"/>
        </w:rPr>
        <w:t>The findings of this systematic review have implications for practice and research, which are outlined in this chapter, followed by specific recommendations for clinical practice and research. It ends with a re-statement of the dissertation's purpose, a summary of the methodology employed, and a synthesis of the key results and implications of the dissertation to the two research questions posed in Chapter One. There is no new evidence or argument in this chapter.</w:t>
      </w:r>
    </w:p>
    <w:bookmarkStart w:id="60" w:name="_Toc238491903"/>
    <w:p w14:paraId="7C02203E">
      <w:pPr>
        <w:pStyle w:val="style2"/>
        <w:spacing w:lineRule="auto" w:line="360"/>
        <w:jc w:val="both"/>
        <w:rPr>
          <w:rFonts w:cs="Arial"/>
          <w:sz w:val="22"/>
          <w:szCs w:val="22"/>
        </w:rPr>
      </w:pPr>
      <w:r>
        <w:rPr>
          <w:rFonts w:cs="Arial"/>
          <w:sz w:val="22"/>
          <w:szCs w:val="22"/>
        </w:rPr>
        <w:t>7.2 Implications of Findings</w:t>
      </w:r>
      <w:bookmarkEnd w:id="60"/>
      <w:r>
        <w:rPr>
          <w:rFonts w:cs="Arial"/>
          <w:sz w:val="22"/>
          <w:szCs w:val="22"/>
        </w:rPr>
        <w:t xml:space="preserve"> </w:t>
      </w:r>
    </w:p>
    <w:p w14:paraId="7C02203F">
      <w:pPr>
        <w:pStyle w:val="style0"/>
        <w:spacing w:lineRule="auto" w:line="360"/>
        <w:jc w:val="both"/>
        <w:rPr>
          <w:rFonts w:cs="Arial"/>
          <w:sz w:val="22"/>
        </w:rPr>
      </w:pPr>
      <w:r>
        <w:rPr>
          <w:rFonts w:cs="Arial"/>
          <w:sz w:val="22"/>
        </w:rPr>
        <w:t>This study indicates that the beneficial effects of exercise do not rely on the modality alone, but on delivery and supervision as well, and that general exercise recommendations for type 2 diabetes may be less effective than recommendations based on the individual patient's metabolic profile and access to supervised exercise. The latter also has implications for communicating progress to patients, as success is measured not just by weight loss, but by cardiovascular gain, which could be important. From the medicine end, the lack of consensus in clinicians' responses to self-medication and the fact that polypharmacy by prescribers is an independent risk factor for medication safety suggest that patient education alone is not enough to address medication safety in type 2 diabetes. Apparently, systematic and structured approaches, including patients' and prescribers' participation, are needed.</w:t>
      </w:r>
    </w:p>
    <w:bookmarkStart w:id="61" w:name="_Toc238491904"/>
    <w:p w14:paraId="7C022040">
      <w:pPr>
        <w:pStyle w:val="style2"/>
        <w:spacing w:lineRule="auto" w:line="360"/>
        <w:jc w:val="both"/>
        <w:rPr>
          <w:rFonts w:cs="Arial"/>
          <w:sz w:val="22"/>
          <w:szCs w:val="22"/>
        </w:rPr>
      </w:pPr>
      <w:r>
        <w:rPr>
          <w:rFonts w:cs="Arial"/>
          <w:sz w:val="22"/>
          <w:szCs w:val="22"/>
        </w:rPr>
        <w:t>7.3 Recommendations for Practice</w:t>
      </w:r>
      <w:bookmarkEnd w:id="61"/>
      <w:r>
        <w:rPr>
          <w:rFonts w:cs="Arial"/>
          <w:sz w:val="22"/>
          <w:szCs w:val="22"/>
        </w:rPr>
        <w:t xml:space="preserve"> </w:t>
      </w:r>
    </w:p>
    <w:p w14:paraId="7C022041">
      <w:pPr>
        <w:pStyle w:val="style0"/>
        <w:spacing w:lineRule="auto" w:line="360"/>
        <w:jc w:val="both"/>
        <w:rPr>
          <w:rFonts w:cs="Arial"/>
          <w:sz w:val="22"/>
        </w:rPr>
      </w:pPr>
      <w:r>
        <w:rPr>
          <w:rFonts w:cs="Arial"/>
          <w:sz w:val="22"/>
        </w:rPr>
        <w:t>For adults with type 2 diabetes, a clinician should take into account the particular phenotype of the patient (whether relative sarcopenia, the loss of lean mass, or excess fat mass is the dominant feature) and then tailor the exercise type to the patient's needs instead of prescribing general aerobic guidelines. Where feasible, supervised or structured exercise programmes should be recommended over home-based exercise programmes as they showed greater evidence of glycaemic benefit than exercise category alone in this review. It is also important that health professionals recognise that confidence does not necessarily equate with competence when talking to a patient. Moreover, patients with high confidence in their own understanding of diabetes can still have practical gaps in their knowledge. As this review identified the use of self-medication by patients to be inconsistent as a clinical response, services may wish to establish more consistent and shared advice regarding the approach to and its management. Finally, whilst the inappropriate use of medication in this review was largely outside of the scope of patient behavioural interventions, regular structured medication reviews should be prioritised rather than replaced by patient-focused interventions.</w:t>
      </w:r>
    </w:p>
    <w:bookmarkStart w:id="62" w:name="_Toc238491905"/>
    <w:p w14:paraId="7C022042">
      <w:pPr>
        <w:pStyle w:val="style2"/>
        <w:spacing w:lineRule="auto" w:line="360"/>
        <w:jc w:val="both"/>
        <w:rPr>
          <w:rFonts w:cs="Arial"/>
          <w:sz w:val="22"/>
          <w:szCs w:val="22"/>
        </w:rPr>
      </w:pPr>
      <w:r>
        <w:rPr>
          <w:rFonts w:cs="Arial"/>
          <w:sz w:val="22"/>
          <w:szCs w:val="22"/>
        </w:rPr>
        <w:t>7.4 Recommendations for Future Research</w:t>
      </w:r>
      <w:bookmarkEnd w:id="62"/>
      <w:r>
        <w:rPr>
          <w:rFonts w:cs="Arial"/>
          <w:sz w:val="22"/>
          <w:szCs w:val="22"/>
        </w:rPr>
        <w:t xml:space="preserve"> </w:t>
      </w:r>
    </w:p>
    <w:p w14:paraId="7C022043">
      <w:pPr>
        <w:pStyle w:val="style0"/>
        <w:spacing w:lineRule="auto" w:line="360"/>
        <w:jc w:val="both"/>
        <w:rPr>
          <w:rFonts w:cs="Arial"/>
          <w:sz w:val="22"/>
        </w:rPr>
      </w:pPr>
      <w:r>
        <w:rPr>
          <w:rFonts w:cs="Arial"/>
          <w:sz w:val="22"/>
        </w:rPr>
        <w:t xml:space="preserve">Future study needs to determine whether supervision is the key factor in the glycaemic benefit or the exercise type, preferably by conducting trials with different levels of supervision while maintaining the same type of exercise. Due to the lack of studies exploring self-medication in the UK context, a study focusing on self-medication specifically within the UK population is recommended: future studies may wish to explore this additional area; as for medication safety, the study conducted by </w:t>
      </w:r>
      <w:r>
        <w:rPr>
          <w:rFonts w:cs="Arial"/>
          <w:sz w:val="22"/>
        </w:rPr>
        <w:t>Faquetti</w:t>
      </w:r>
      <w:r>
        <w:rPr>
          <w:rFonts w:cs="Arial"/>
          <w:sz w:val="22"/>
        </w:rPr>
        <w:t xml:space="preserve"> et al. (2024) focused on polypharmacy, rather than self-medication as described in this dissertation. Further research is required to explain the relationship between high levels of self-assessed diabetes knowledge and competence, and whether there are interventions that can improve the gap. Finally, with the inconsistent responses from clinicians to self-medication identified in Puvvada et al. (2023), future studies should focus specifically on clinicians' perspectives of self-medication and their training needs – this was an </w:t>
      </w:r>
      <w:r>
        <w:rPr>
          <w:rFonts w:cs="Arial"/>
          <w:sz w:val="22"/>
        </w:rPr>
        <w:t>underresearched</w:t>
      </w:r>
      <w:r>
        <w:rPr>
          <w:rFonts w:cs="Arial"/>
          <w:sz w:val="22"/>
        </w:rPr>
        <w:t xml:space="preserve"> aspect of medication safety in type 2 diabetes identified in this review.</w:t>
      </w:r>
    </w:p>
    <w:bookmarkStart w:id="63" w:name="_Toc238491906"/>
    <w:p w14:paraId="7C022044">
      <w:pPr>
        <w:pStyle w:val="style2"/>
        <w:spacing w:lineRule="auto" w:line="360"/>
        <w:jc w:val="both"/>
        <w:rPr>
          <w:rFonts w:cs="Arial"/>
          <w:sz w:val="22"/>
          <w:szCs w:val="22"/>
        </w:rPr>
      </w:pPr>
      <w:r>
        <w:rPr>
          <w:rFonts w:cs="Arial"/>
          <w:sz w:val="22"/>
          <w:szCs w:val="22"/>
        </w:rPr>
        <w:t>7.5 Conclusion</w:t>
      </w:r>
      <w:bookmarkEnd w:id="63"/>
      <w:r>
        <w:rPr>
          <w:rFonts w:cs="Arial"/>
          <w:sz w:val="22"/>
          <w:szCs w:val="22"/>
        </w:rPr>
        <w:t xml:space="preserve"> </w:t>
      </w:r>
    </w:p>
    <w:p w14:paraId="7C022045">
      <w:pPr>
        <w:pStyle w:val="style0"/>
        <w:spacing w:lineRule="auto" w:line="360"/>
        <w:jc w:val="both"/>
        <w:rPr>
          <w:rFonts w:cs="Arial"/>
          <w:sz w:val="22"/>
        </w:rPr>
      </w:pPr>
      <w:r>
        <w:rPr>
          <w:rFonts w:cs="Arial"/>
          <w:sz w:val="22"/>
        </w:rPr>
        <w:t>This dissertation focused on the use of exercise as a management strategy for type 2 diabetes, and the public health risk involved with self-medication in adults with T2D. It was performed as a systematic literature review because this method enables identification, appraisal and synthesis of published evidence in a systematic and transparent way, and is relevant to the research questions: what published evidence shows about the role of exercise in the management of type 2 diabetes, and what published evidence shows about the risks associated with self-medication in the population living with type 2 diabetes.</w:t>
      </w:r>
    </w:p>
    <w:p w14:paraId="7C022046">
      <w:pPr>
        <w:pStyle w:val="style0"/>
        <w:spacing w:lineRule="auto" w:line="360"/>
        <w:jc w:val="both"/>
        <w:rPr>
          <w:rFonts w:cs="Arial"/>
          <w:sz w:val="22"/>
        </w:rPr>
      </w:pPr>
      <w:r>
        <w:rPr>
          <w:rFonts w:cs="Arial"/>
          <w:sz w:val="22"/>
        </w:rPr>
        <w:t>The search was carried out systematically on PubMed, ScienceDirect, CINAHL, Google Scholar and other grey literature sources, following a PEO search strategy. After screening, 10 studies fulfilled the inclusion criteria, including five randomised controlled trials on exercise, two cross-sectional surveys, one cohort study and two qualitative studies focusing on medication self-management and self-medication. All studies were critically appraised according to the appropriate tool type for each study and then were thematically synthesised into six themes, following the framework proposed by Braun and Clarke (2006).</w:t>
      </w:r>
    </w:p>
    <w:p w14:paraId="7C022047">
      <w:pPr>
        <w:pStyle w:val="style0"/>
        <w:spacing w:lineRule="auto" w:line="360"/>
        <w:jc w:val="both"/>
        <w:rPr>
          <w:rFonts w:cs="Arial"/>
          <w:sz w:val="22"/>
        </w:rPr>
      </w:pPr>
      <w:r>
        <w:rPr>
          <w:rFonts w:cs="Arial"/>
          <w:sz w:val="22"/>
        </w:rPr>
        <w:t xml:space="preserve">The review concluded that the benefits of exercise in type 2 diabetes rely more on modality selection, supervision, and delivery setting rather than on the specific type of exercise (aerobic vs resistance), and cardiovascular benefit can be achieved without weight loss. It also identified that the beliefs, stigma and access to care shape self-medication behaviour, that patient confidence in their knowledge of diabetes is not a reliable indicator of actual knowledge and that medication </w:t>
      </w:r>
      <w:r>
        <w:rPr>
          <w:rFonts w:cs="Arial"/>
          <w:sz w:val="22"/>
        </w:rPr>
        <w:t>safety risk is not only a patient problem, but also a problem caused by the use of more medications than are necessary by patients, which is something that cannot be overcome by educating patients alone.</w:t>
      </w:r>
    </w:p>
    <w:p w14:paraId="7C022048">
      <w:pPr>
        <w:pStyle w:val="style0"/>
        <w:spacing w:lineRule="auto" w:line="360"/>
        <w:jc w:val="both"/>
        <w:rPr>
          <w:rFonts w:cs="Arial" w:eastAsia="SimSun"/>
          <w:b/>
          <w:sz w:val="22"/>
        </w:rPr>
      </w:pPr>
      <w:r>
        <w:rPr>
          <w:rFonts w:cs="Arial"/>
          <w:sz w:val="22"/>
        </w:rPr>
        <w:t xml:space="preserve">The implications of these findings are important as they contradict assumptions that are part of generic exercise and medication safety guidelines and demonstrate a true lack of UK-based evidence regarding self-medication in type 2 diabetes. The four points presented in this dissertation are collectively evidence that better and safer diabetes self-management relies on individualisation of exercise recommendations, a shared responsibility for medication safety, and the understanding that self-confidence in understanding is not a good predictor of actual health literacy. </w:t>
      </w:r>
      <w:r>
        <w:rPr>
          <w:rFonts w:cs="Arial"/>
          <w:sz w:val="22"/>
        </w:rPr>
        <w:br w:type="page"/>
      </w:r>
    </w:p>
    <w:bookmarkStart w:id="64" w:name="_Toc238491907"/>
    <w:p w14:paraId="7C022049">
      <w:pPr>
        <w:pStyle w:val="style1"/>
        <w:spacing w:lineRule="auto" w:line="360"/>
        <w:jc w:val="both"/>
        <w:rPr>
          <w:rFonts w:cs="Arial"/>
          <w:sz w:val="22"/>
          <w:szCs w:val="22"/>
        </w:rPr>
      </w:pPr>
      <w:r>
        <w:rPr>
          <w:rFonts w:cs="Arial"/>
          <w:sz w:val="22"/>
          <w:szCs w:val="22"/>
        </w:rPr>
        <w:t>References</w:t>
      </w:r>
      <w:bookmarkEnd w:id="64"/>
    </w:p>
    <w:p w14:paraId="7C02204A">
      <w:pPr>
        <w:pStyle w:val="style0"/>
        <w:spacing w:lineRule="auto" w:line="360"/>
        <w:ind w:left="720" w:hanging="720"/>
        <w:jc w:val="both"/>
        <w:rPr>
          <w:rFonts w:cs="Arial"/>
          <w:sz w:val="22"/>
        </w:rPr>
      </w:pPr>
      <w:r>
        <w:rPr>
          <w:rFonts w:cs="Arial"/>
          <w:color w:val="222222"/>
          <w:sz w:val="22"/>
          <w:shd w:val="clear" w:color="auto" w:fill="ffffff"/>
        </w:rPr>
        <w:t xml:space="preserve">Ahern, A.L., Woolston, J., Wells, E., Sharp, S.J., Islam, N., Lawlor, E.R., Duschinsky, R., Hill, A.J., Doble, B., Wilson, E. and Morris, S., (2020). </w:t>
      </w:r>
      <w:r>
        <w:rPr>
          <w:rFonts w:cs="Arial"/>
          <w:color w:val="222222"/>
          <w:sz w:val="22"/>
          <w:shd w:val="clear" w:color="auto" w:fill="ffffff"/>
        </w:rPr>
        <w:t>‘</w:t>
      </w:r>
      <w:r>
        <w:rPr>
          <w:rFonts w:cs="Arial"/>
          <w:color w:val="222222"/>
          <w:sz w:val="22"/>
          <w:shd w:val="clear" w:color="auto" w:fill="ffffff"/>
        </w:rPr>
        <w:t>Clinical and cost-effectiveness of a diabetes education and behavioural weight management programme versus a diabetes education programme in adults with a recent diagnosis of type 2 diabetes: study protocol for the Glucose Lowering through Weight management (</w:t>
      </w:r>
      <w:r>
        <w:rPr>
          <w:rFonts w:cs="Arial"/>
          <w:color w:val="222222"/>
          <w:sz w:val="22"/>
          <w:shd w:val="clear" w:color="auto" w:fill="ffffff"/>
        </w:rPr>
        <w:t>GLoW</w:t>
      </w:r>
      <w:r>
        <w:rPr>
          <w:rFonts w:cs="Arial"/>
          <w:color w:val="222222"/>
          <w:sz w:val="22"/>
          <w:shd w:val="clear" w:color="auto" w:fill="ffffff"/>
        </w:rPr>
        <w:t>) randomised controlled trial</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BMJ open</w:t>
      </w:r>
      <w:r>
        <w:rPr>
          <w:rFonts w:cs="Arial"/>
          <w:color w:val="222222"/>
          <w:sz w:val="22"/>
          <w:shd w:val="clear" w:color="auto" w:fill="ffffff"/>
        </w:rPr>
        <w:t>, </w:t>
      </w:r>
      <w:r>
        <w:rPr>
          <w:rFonts w:cs="Arial"/>
          <w:i/>
          <w:iCs/>
          <w:color w:val="222222"/>
          <w:sz w:val="22"/>
          <w:shd w:val="clear" w:color="auto" w:fill="ffffff"/>
        </w:rPr>
        <w:t>10</w:t>
      </w:r>
      <w:r>
        <w:rPr>
          <w:rFonts w:cs="Arial"/>
          <w:color w:val="222222"/>
          <w:sz w:val="22"/>
          <w:shd w:val="clear" w:color="auto" w:fill="ffffff"/>
        </w:rPr>
        <w:t>(4), p.e035020.</w:t>
      </w:r>
    </w:p>
    <w:p w14:paraId="055FA412">
      <w:pPr>
        <w:pStyle w:val="style0"/>
        <w:spacing w:lineRule="auto" w:line="360"/>
        <w:ind w:left="720" w:hanging="720"/>
        <w:jc w:val="both"/>
        <w:rPr>
          <w:rFonts w:cs="Arial"/>
          <w:sz w:val="22"/>
        </w:rPr>
      </w:pPr>
      <w:r>
        <w:rPr>
          <w:rFonts w:cs="Arial"/>
          <w:sz w:val="22"/>
        </w:rPr>
        <w:t xml:space="preserve">Al </w:t>
      </w:r>
      <w:r>
        <w:rPr>
          <w:rFonts w:cs="Arial"/>
          <w:sz w:val="22"/>
        </w:rPr>
        <w:t>Ozairi</w:t>
      </w:r>
      <w:r>
        <w:rPr>
          <w:rFonts w:cs="Arial"/>
          <w:sz w:val="22"/>
        </w:rPr>
        <w:t xml:space="preserve">, E., Alsaeed, D., Al </w:t>
      </w:r>
      <w:r>
        <w:rPr>
          <w:rFonts w:cs="Arial"/>
          <w:sz w:val="22"/>
        </w:rPr>
        <w:t>Roudhan</w:t>
      </w:r>
      <w:r>
        <w:rPr>
          <w:rFonts w:cs="Arial"/>
          <w:sz w:val="22"/>
        </w:rPr>
        <w:t xml:space="preserve">, D., Jalali, M., </w:t>
      </w:r>
      <w:r>
        <w:rPr>
          <w:rFonts w:cs="Arial"/>
          <w:sz w:val="22"/>
        </w:rPr>
        <w:t>Mashankar</w:t>
      </w:r>
      <w:r>
        <w:rPr>
          <w:rFonts w:cs="Arial"/>
          <w:sz w:val="22"/>
        </w:rPr>
        <w:t xml:space="preserve">, A., </w:t>
      </w:r>
      <w:r>
        <w:rPr>
          <w:rFonts w:cs="Arial"/>
          <w:sz w:val="22"/>
        </w:rPr>
        <w:t>Taliping</w:t>
      </w:r>
      <w:r>
        <w:rPr>
          <w:rFonts w:cs="Arial"/>
          <w:sz w:val="22"/>
        </w:rPr>
        <w:t xml:space="preserve">, D., Abdulla, A., Gill, J.M., Sattar, N., Welsh, P. and Gray, S.R. (2023) 'The effect of home-based resistance exercise training in people with type 2 diabetes: a randomised controlled trial', </w:t>
      </w:r>
      <w:r>
        <w:rPr>
          <w:rFonts w:cs="Arial"/>
          <w:i/>
          <w:iCs/>
          <w:sz w:val="22"/>
        </w:rPr>
        <w:t>Diabetes/Metabolism Research and Reviews</w:t>
      </w:r>
      <w:r>
        <w:rPr>
          <w:rFonts w:cs="Arial"/>
          <w:sz w:val="22"/>
        </w:rPr>
        <w:t>, 39(7), e3677.</w:t>
      </w:r>
    </w:p>
    <w:p w14:paraId="0CE8DD2E">
      <w:pPr>
        <w:pStyle w:val="style0"/>
        <w:spacing w:lineRule="auto" w:line="360"/>
        <w:ind w:left="720" w:hanging="720"/>
        <w:jc w:val="both"/>
        <w:rPr>
          <w:rFonts w:cs="Arial"/>
          <w:sz w:val="22"/>
        </w:rPr>
      </w:pPr>
      <w:r>
        <w:rPr>
          <w:rFonts w:ascii="Times New Roman" w:cs="Times New Roman" w:eastAsia="Times New Roman" w:hAnsi="Times New Roman"/>
          <w:kern w:val="0"/>
          <w:szCs w:val="24"/>
          <w:lang w:val="en-US"/>
          <w14:ligatures xmlns:w14="http://schemas.microsoft.com/office/word/2010/wordml" w14:val="none"/>
        </w:rPr>
        <w:t xml:space="preserve">Alqarni, A.S., Pasay-An, E., </w:t>
      </w:r>
      <w:r>
        <w:rPr>
          <w:rFonts w:ascii="Times New Roman" w:cs="Times New Roman" w:eastAsia="Times New Roman" w:hAnsi="Times New Roman"/>
          <w:kern w:val="0"/>
          <w:szCs w:val="24"/>
          <w:lang w:val="en-US"/>
          <w14:ligatures xmlns:w14="http://schemas.microsoft.com/office/word/2010/wordml" w14:val="none"/>
        </w:rPr>
        <w:t>Saguban</w:t>
      </w:r>
      <w:r>
        <w:rPr>
          <w:rFonts w:ascii="Times New Roman" w:cs="Times New Roman" w:eastAsia="Times New Roman" w:hAnsi="Times New Roman"/>
          <w:kern w:val="0"/>
          <w:szCs w:val="24"/>
          <w:lang w:val="en-US"/>
          <w14:ligatures xmlns:w14="http://schemas.microsoft.com/office/word/2010/wordml" w14:val="none"/>
        </w:rPr>
        <w:t xml:space="preserve">, R., Cabansag, D., Gonzales, F., </w:t>
      </w:r>
      <w:r>
        <w:rPr>
          <w:rFonts w:ascii="Times New Roman" w:cs="Times New Roman" w:eastAsia="Times New Roman" w:hAnsi="Times New Roman"/>
          <w:kern w:val="0"/>
          <w:szCs w:val="24"/>
          <w:lang w:val="en-US"/>
          <w14:ligatures xmlns:w14="http://schemas.microsoft.com/office/word/2010/wordml" w14:val="none"/>
        </w:rPr>
        <w:t>Alkubati</w:t>
      </w:r>
      <w:r>
        <w:rPr>
          <w:rFonts w:ascii="Times New Roman" w:cs="Times New Roman" w:eastAsia="Times New Roman" w:hAnsi="Times New Roman"/>
          <w:kern w:val="0"/>
          <w:szCs w:val="24"/>
          <w:lang w:val="en-US"/>
          <w14:ligatures xmlns:w14="http://schemas.microsoft.com/office/word/2010/wordml" w14:val="none"/>
        </w:rPr>
        <w:t xml:space="preserve">, S., Villareal, S., </w:t>
      </w:r>
      <w:r>
        <w:rPr>
          <w:rFonts w:ascii="Times New Roman" w:cs="Times New Roman" w:eastAsia="Times New Roman" w:hAnsi="Times New Roman"/>
          <w:kern w:val="0"/>
          <w:szCs w:val="24"/>
          <w:lang w:val="en-US"/>
          <w14:ligatures xmlns:w14="http://schemas.microsoft.com/office/word/2010/wordml" w14:val="none"/>
        </w:rPr>
        <w:t>Lagura</w:t>
      </w:r>
      <w:r>
        <w:rPr>
          <w:rFonts w:ascii="Times New Roman" w:cs="Times New Roman" w:eastAsia="Times New Roman" w:hAnsi="Times New Roman"/>
          <w:kern w:val="0"/>
          <w:szCs w:val="24"/>
          <w:lang w:val="en-US"/>
          <w14:ligatures xmlns:w14="http://schemas.microsoft.com/office/word/2010/wordml" w14:val="none"/>
        </w:rPr>
        <w:t xml:space="preserve">, G.A.L., Alshammari, S.A., </w:t>
      </w:r>
      <w:r>
        <w:rPr>
          <w:rFonts w:ascii="Times New Roman" w:cs="Times New Roman" w:eastAsia="Times New Roman" w:hAnsi="Times New Roman"/>
          <w:kern w:val="0"/>
          <w:szCs w:val="24"/>
          <w:lang w:val="en-US"/>
          <w14:ligatures xmlns:w14="http://schemas.microsoft.com/office/word/2010/wordml" w14:val="none"/>
        </w:rPr>
        <w:t>Aljarboa</w:t>
      </w:r>
      <w:r>
        <w:rPr>
          <w:rFonts w:ascii="Times New Roman" w:cs="Times New Roman" w:eastAsia="Times New Roman" w:hAnsi="Times New Roman"/>
          <w:kern w:val="0"/>
          <w:szCs w:val="24"/>
          <w:lang w:val="en-US"/>
          <w14:ligatures xmlns:w14="http://schemas.microsoft.com/office/word/2010/wordml" w14:val="none"/>
        </w:rPr>
        <w:t xml:space="preserve">, B.E. and Mostoles Jr, R. (2023) 'Relationship between the health literacy and self-medication behavior of primary health care clientele in the Hail region, Saudi Arabia: implications for public health', </w:t>
      </w:r>
      <w:r>
        <w:rPr>
          <w:rFonts w:ascii="Times New Roman" w:cs="Times New Roman" w:eastAsia="Times New Roman" w:hAnsi="Times New Roman"/>
          <w:i/>
          <w:iCs/>
          <w:kern w:val="0"/>
          <w:szCs w:val="24"/>
          <w:lang w:val="en-US"/>
          <w14:ligatures xmlns:w14="http://schemas.microsoft.com/office/word/2010/wordml" w14:val="none"/>
        </w:rPr>
        <w:t>European Journal of Investigation in Health, Psychology and Education</w:t>
      </w:r>
      <w:r>
        <w:rPr>
          <w:rFonts w:ascii="Times New Roman" w:cs="Times New Roman" w:eastAsia="Times New Roman" w:hAnsi="Times New Roman"/>
          <w:kern w:val="0"/>
          <w:szCs w:val="24"/>
          <w:lang w:val="en-US"/>
          <w14:ligatures xmlns:w14="http://schemas.microsoft.com/office/word/2010/wordml" w14:val="none"/>
        </w:rPr>
        <w:t xml:space="preserve">, 13(6), pp. 1043–1057. </w:t>
      </w:r>
    </w:p>
    <w:p w14:paraId="7C02204D">
      <w:pPr>
        <w:pStyle w:val="style0"/>
        <w:spacing w:lineRule="auto" w:line="360"/>
        <w:ind w:left="720" w:hanging="720"/>
        <w:jc w:val="both"/>
        <w:rPr>
          <w:rFonts w:cs="Arial"/>
          <w:sz w:val="22"/>
        </w:rPr>
      </w:pPr>
      <w:r>
        <w:rPr>
          <w:rFonts w:cs="Arial"/>
          <w:sz w:val="22"/>
        </w:rPr>
        <w:t>Alrasheeday</w:t>
      </w:r>
      <w:r>
        <w:rPr>
          <w:rFonts w:cs="Arial"/>
          <w:sz w:val="22"/>
        </w:rPr>
        <w:t xml:space="preserve">, A.M., Alshammari, H.S., Alshammari, B., </w:t>
      </w:r>
      <w:r>
        <w:rPr>
          <w:rFonts w:cs="Arial"/>
          <w:sz w:val="22"/>
        </w:rPr>
        <w:t>Alkubati</w:t>
      </w:r>
      <w:r>
        <w:rPr>
          <w:rFonts w:cs="Arial"/>
          <w:sz w:val="22"/>
        </w:rPr>
        <w:t xml:space="preserve">, S.A., </w:t>
      </w:r>
      <w:r>
        <w:rPr>
          <w:rFonts w:cs="Arial"/>
          <w:sz w:val="22"/>
        </w:rPr>
        <w:t>Llego</w:t>
      </w:r>
      <w:r>
        <w:rPr>
          <w:rFonts w:cs="Arial"/>
          <w:sz w:val="22"/>
        </w:rPr>
        <w:t xml:space="preserve">, J.H., Alshammari, A.D., Alshammari, M.H., </w:t>
      </w:r>
      <w:r>
        <w:rPr>
          <w:rFonts w:cs="Arial"/>
          <w:sz w:val="22"/>
        </w:rPr>
        <w:t>Almohammed</w:t>
      </w:r>
      <w:r>
        <w:rPr>
          <w:rFonts w:cs="Arial"/>
          <w:sz w:val="22"/>
        </w:rPr>
        <w:t xml:space="preserve">, R.A., </w:t>
      </w:r>
      <w:r>
        <w:rPr>
          <w:rFonts w:cs="Arial"/>
          <w:sz w:val="22"/>
        </w:rPr>
        <w:t>Alsheeb</w:t>
      </w:r>
      <w:r>
        <w:rPr>
          <w:rFonts w:cs="Arial"/>
          <w:sz w:val="22"/>
        </w:rPr>
        <w:t xml:space="preserve">, S.M.S. and Alshammari, F. (2024) 'Perceived barriers to healthy lifestyle adherence and associated factors among patients with type 2 diabetes mellitus: implications for improved self-care', </w:t>
      </w:r>
      <w:r>
        <w:rPr>
          <w:rFonts w:cs="Arial"/>
          <w:i/>
          <w:iCs/>
          <w:sz w:val="22"/>
        </w:rPr>
        <w:t>Patient Preference and Adherence</w:t>
      </w:r>
      <w:r>
        <w:rPr>
          <w:rFonts w:cs="Arial"/>
          <w:sz w:val="22"/>
        </w:rPr>
        <w:t>, 18, pp. 2425–2439.</w:t>
      </w:r>
    </w:p>
    <w:p w14:paraId="7C02204E">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Alwhaibi</w:t>
      </w:r>
      <w:r>
        <w:rPr>
          <w:rFonts w:cs="Arial"/>
          <w:color w:val="222222"/>
          <w:sz w:val="22"/>
          <w:shd w:val="clear" w:color="auto" w:fill="ffffff"/>
        </w:rPr>
        <w:t xml:space="preserve">, M., Bin Malik, S., </w:t>
      </w:r>
      <w:r>
        <w:rPr>
          <w:rFonts w:cs="Arial"/>
          <w:color w:val="222222"/>
          <w:sz w:val="22"/>
          <w:shd w:val="clear" w:color="auto" w:fill="ffffff"/>
        </w:rPr>
        <w:t>Alswailem</w:t>
      </w:r>
      <w:r>
        <w:rPr>
          <w:rFonts w:cs="Arial"/>
          <w:color w:val="222222"/>
          <w:sz w:val="22"/>
          <w:shd w:val="clear" w:color="auto" w:fill="ffffff"/>
        </w:rPr>
        <w:t xml:space="preserve">, L. and </w:t>
      </w:r>
      <w:r>
        <w:rPr>
          <w:rFonts w:cs="Arial"/>
          <w:color w:val="222222"/>
          <w:sz w:val="22"/>
          <w:shd w:val="clear" w:color="auto" w:fill="ffffff"/>
        </w:rPr>
        <w:t>Alruthia</w:t>
      </w:r>
      <w:r>
        <w:rPr>
          <w:rFonts w:cs="Arial"/>
          <w:color w:val="222222"/>
          <w:sz w:val="22"/>
          <w:shd w:val="clear" w:color="auto" w:fill="ffffff"/>
        </w:rPr>
        <w:t xml:space="preserve">, Y., (2023). </w:t>
      </w:r>
      <w:r>
        <w:rPr>
          <w:rFonts w:cs="Arial"/>
          <w:color w:val="222222"/>
          <w:sz w:val="22"/>
          <w:shd w:val="clear" w:color="auto" w:fill="ffffff"/>
        </w:rPr>
        <w:t>‘</w:t>
      </w:r>
      <w:r>
        <w:rPr>
          <w:rFonts w:cs="Arial"/>
          <w:color w:val="222222"/>
          <w:sz w:val="22"/>
          <w:shd w:val="clear" w:color="auto" w:fill="ffffff"/>
        </w:rPr>
        <w:t>Self-medication among adults with chronic health conditions: a population-based cross-sectional survey in Saudi Arabia</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BMJ open</w:t>
      </w:r>
      <w:r>
        <w:rPr>
          <w:rFonts w:cs="Arial"/>
          <w:color w:val="222222"/>
          <w:sz w:val="22"/>
          <w:shd w:val="clear" w:color="auto" w:fill="ffffff"/>
        </w:rPr>
        <w:t>, </w:t>
      </w:r>
      <w:r>
        <w:rPr>
          <w:rFonts w:cs="Arial"/>
          <w:i/>
          <w:iCs/>
          <w:color w:val="222222"/>
          <w:sz w:val="22"/>
          <w:shd w:val="clear" w:color="auto" w:fill="ffffff"/>
        </w:rPr>
        <w:t>13</w:t>
      </w:r>
      <w:r>
        <w:rPr>
          <w:rFonts w:cs="Arial"/>
          <w:color w:val="222222"/>
          <w:sz w:val="22"/>
          <w:shd w:val="clear" w:color="auto" w:fill="ffffff"/>
        </w:rPr>
        <w:t>(4), p.e069206.</w:t>
      </w:r>
    </w:p>
    <w:p w14:paraId="7C02204F">
      <w:pPr>
        <w:pStyle w:val="style0"/>
        <w:spacing w:lineRule="auto" w:line="360"/>
        <w:ind w:left="720" w:hanging="720"/>
        <w:jc w:val="both"/>
        <w:rPr>
          <w:rFonts w:cs="Arial"/>
          <w:sz w:val="22"/>
        </w:rPr>
      </w:pPr>
      <w:r>
        <w:rPr>
          <w:rFonts w:cs="Arial"/>
          <w:sz w:val="22"/>
        </w:rPr>
        <w:t xml:space="preserve">Barry, E., Greenhalgh, T., Shaw, S. and Papoutsi, C., (2023). </w:t>
      </w:r>
      <w:r>
        <w:rPr>
          <w:rFonts w:cs="Arial"/>
          <w:sz w:val="22"/>
        </w:rPr>
        <w:t>‘</w:t>
      </w:r>
      <w:r>
        <w:rPr>
          <w:rFonts w:cs="Arial"/>
          <w:sz w:val="22"/>
        </w:rPr>
        <w:t>Explaining the UK's 'high-risk'</w:t>
      </w:r>
      <w:r>
        <w:rPr>
          <w:rFonts w:cs="Arial"/>
          <w:sz w:val="22"/>
        </w:rPr>
        <w:t xml:space="preserve"> </w:t>
      </w:r>
      <w:r>
        <w:rPr>
          <w:rFonts w:cs="Arial"/>
          <w:sz w:val="22"/>
        </w:rPr>
        <w:t>approach to type 2 diabetes prevention: findings from a qualitative interview study with policy-makers in England</w:t>
      </w:r>
      <w:r>
        <w:rPr>
          <w:rFonts w:cs="Arial"/>
          <w:sz w:val="22"/>
        </w:rPr>
        <w:t>’,</w:t>
      </w:r>
      <w:r>
        <w:rPr>
          <w:rFonts w:cs="Arial"/>
          <w:sz w:val="22"/>
        </w:rPr>
        <w:t xml:space="preserve"> </w:t>
      </w:r>
      <w:r>
        <w:rPr>
          <w:rFonts w:cs="Arial"/>
          <w:i/>
          <w:iCs/>
          <w:sz w:val="22"/>
        </w:rPr>
        <w:t>BMJ open</w:t>
      </w:r>
      <w:r>
        <w:rPr>
          <w:rFonts w:cs="Arial"/>
          <w:sz w:val="22"/>
        </w:rPr>
        <w:t>, 13(2), p.e066301.</w:t>
      </w:r>
    </w:p>
    <w:p w14:paraId="7C022050">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Booth, A., Martyn-St James, M., Clowes, M. and Sutton, A., (2021). </w:t>
      </w:r>
      <w:r>
        <w:rPr>
          <w:rFonts w:cs="Arial"/>
          <w:color w:val="222222"/>
          <w:sz w:val="22"/>
          <w:shd w:val="clear" w:color="auto" w:fill="ffffff"/>
        </w:rPr>
        <w:t>‘</w:t>
      </w:r>
      <w:r>
        <w:rPr>
          <w:rFonts w:cs="Arial"/>
          <w:color w:val="222222"/>
          <w:sz w:val="22"/>
          <w:shd w:val="clear" w:color="auto" w:fill="ffffff"/>
        </w:rPr>
        <w:t>Systematic approaches to a successful literature review</w:t>
      </w:r>
      <w:r>
        <w:rPr>
          <w:rFonts w:cs="Arial"/>
          <w:color w:val="222222"/>
          <w:sz w:val="22"/>
          <w:shd w:val="clear" w:color="auto" w:fill="ffffff"/>
        </w:rPr>
        <w:t>’,</w:t>
      </w:r>
      <w:r>
        <w:t xml:space="preserve"> </w:t>
      </w:r>
      <w:r>
        <w:rPr>
          <w:rFonts w:cs="Arial"/>
          <w:color w:val="222222"/>
          <w:sz w:val="22"/>
          <w:shd w:val="clear" w:color="auto" w:fill="ffffff"/>
        </w:rPr>
        <w:t xml:space="preserve">3rd </w:t>
      </w:r>
      <w:r>
        <w:rPr>
          <w:rFonts w:cs="Arial"/>
          <w:color w:val="222222"/>
          <w:sz w:val="22"/>
          <w:shd w:val="clear" w:color="auto" w:fill="ffffff"/>
        </w:rPr>
        <w:t>edn</w:t>
      </w:r>
      <w:r>
        <w:rPr>
          <w:rFonts w:cs="Arial"/>
          <w:color w:val="222222"/>
          <w:sz w:val="22"/>
          <w:shd w:val="clear" w:color="auto" w:fill="ffffff"/>
        </w:rPr>
        <w:t>. SAGE Publications.</w:t>
      </w:r>
    </w:p>
    <w:p w14:paraId="7C022051">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Bramer, W.M., </w:t>
      </w:r>
      <w:r>
        <w:rPr>
          <w:rFonts w:cs="Arial"/>
          <w:color w:val="222222"/>
          <w:sz w:val="22"/>
          <w:shd w:val="clear" w:color="auto" w:fill="ffffff"/>
        </w:rPr>
        <w:t>Rethlefsen</w:t>
      </w:r>
      <w:r>
        <w:rPr>
          <w:rFonts w:cs="Arial"/>
          <w:color w:val="222222"/>
          <w:sz w:val="22"/>
          <w:shd w:val="clear" w:color="auto" w:fill="ffffff"/>
        </w:rPr>
        <w:t xml:space="preserve">, M.L., </w:t>
      </w:r>
      <w:r>
        <w:rPr>
          <w:rFonts w:cs="Arial"/>
          <w:color w:val="222222"/>
          <w:sz w:val="22"/>
          <w:shd w:val="clear" w:color="auto" w:fill="ffffff"/>
        </w:rPr>
        <w:t>Kleijnen</w:t>
      </w:r>
      <w:r>
        <w:rPr>
          <w:rFonts w:cs="Arial"/>
          <w:color w:val="222222"/>
          <w:sz w:val="22"/>
          <w:shd w:val="clear" w:color="auto" w:fill="ffffff"/>
        </w:rPr>
        <w:t xml:space="preserve">, J. and Franco, O.H. (2017) 'Optimal database combinations for literature searches in systematic reviews: a prospective exploratory study', </w:t>
      </w:r>
      <w:r>
        <w:rPr>
          <w:rFonts w:cs="Arial"/>
          <w:i/>
          <w:iCs/>
          <w:color w:val="222222"/>
          <w:sz w:val="22"/>
          <w:shd w:val="clear" w:color="auto" w:fill="ffffff"/>
        </w:rPr>
        <w:t>Systematic Reviews</w:t>
      </w:r>
      <w:r>
        <w:rPr>
          <w:rFonts w:cs="Arial"/>
          <w:color w:val="222222"/>
          <w:sz w:val="22"/>
          <w:shd w:val="clear" w:color="auto" w:fill="ffffff"/>
        </w:rPr>
        <w:t>, 6, 245.</w:t>
      </w:r>
    </w:p>
    <w:p w14:paraId="7C022052">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Braun, V. and Clarke, V., (2006). </w:t>
      </w:r>
      <w:r>
        <w:rPr>
          <w:rFonts w:cs="Arial"/>
          <w:color w:val="222222"/>
          <w:sz w:val="22"/>
          <w:shd w:val="clear" w:color="auto" w:fill="ffffff"/>
        </w:rPr>
        <w:t>‘</w:t>
      </w:r>
      <w:r>
        <w:rPr>
          <w:rFonts w:cs="Arial"/>
          <w:color w:val="222222"/>
          <w:sz w:val="22"/>
          <w:shd w:val="clear" w:color="auto" w:fill="ffffff"/>
        </w:rPr>
        <w:t>Using thematic analysis in psychology</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Qualitative research in psychology</w:t>
      </w:r>
      <w:r>
        <w:rPr>
          <w:rFonts w:cs="Arial"/>
          <w:color w:val="222222"/>
          <w:sz w:val="22"/>
          <w:shd w:val="clear" w:color="auto" w:fill="ffffff"/>
        </w:rPr>
        <w:t>, </w:t>
      </w:r>
      <w:r>
        <w:rPr>
          <w:rFonts w:cs="Arial"/>
          <w:i/>
          <w:iCs/>
          <w:color w:val="222222"/>
          <w:sz w:val="22"/>
          <w:shd w:val="clear" w:color="auto" w:fill="ffffff"/>
        </w:rPr>
        <w:t>3</w:t>
      </w:r>
      <w:r>
        <w:rPr>
          <w:rFonts w:cs="Arial"/>
          <w:color w:val="222222"/>
          <w:sz w:val="22"/>
          <w:shd w:val="clear" w:color="auto" w:fill="ffffff"/>
        </w:rPr>
        <w:t>(2), pp.77-101.</w:t>
      </w:r>
    </w:p>
    <w:p w14:paraId="5509A36B">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Chandler, J., Cumpston, M., Li, T., Page, M.J. and Welch, V.J. (eds) (2019) </w:t>
      </w:r>
      <w:r>
        <w:rPr>
          <w:rFonts w:cs="Arial"/>
          <w:color w:val="222222"/>
          <w:sz w:val="22"/>
          <w:shd w:val="clear" w:color="auto" w:fill="ffffff"/>
        </w:rPr>
        <w:t>‘</w:t>
      </w:r>
      <w:r>
        <w:rPr>
          <w:rFonts w:cs="Arial"/>
          <w:color w:val="222222"/>
          <w:sz w:val="22"/>
          <w:shd w:val="clear" w:color="auto" w:fill="ffffff"/>
        </w:rPr>
        <w:t>Cochrane Handbook for Systematic Reviews of Interventions</w:t>
      </w:r>
      <w:r>
        <w:rPr>
          <w:rFonts w:cs="Arial"/>
          <w:color w:val="222222"/>
          <w:sz w:val="22"/>
          <w:shd w:val="clear" w:color="auto" w:fill="ffffff"/>
        </w:rPr>
        <w:t>’</w:t>
      </w:r>
      <w:r>
        <w:rPr>
          <w:rFonts w:cs="Arial"/>
          <w:color w:val="222222"/>
          <w:sz w:val="22"/>
          <w:shd w:val="clear" w:color="auto" w:fill="ffffff"/>
        </w:rPr>
        <w:t xml:space="preserve"> 2nd </w:t>
      </w:r>
      <w:r>
        <w:rPr>
          <w:rFonts w:cs="Arial"/>
          <w:color w:val="222222"/>
          <w:sz w:val="22"/>
          <w:shd w:val="clear" w:color="auto" w:fill="ffffff"/>
        </w:rPr>
        <w:t>edn</w:t>
      </w:r>
      <w:r>
        <w:rPr>
          <w:rFonts w:cs="Arial"/>
          <w:color w:val="222222"/>
          <w:sz w:val="22"/>
          <w:shd w:val="clear" w:color="auto" w:fill="ffffff"/>
        </w:rPr>
        <w:t>. Wiley.</w:t>
      </w:r>
    </w:p>
    <w:p w14:paraId="7C022054">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Colberg, S.R., Sigal, R.J., Yardley, J.E., Riddell, M.C., Dunstan, D.W., Dempsey, P.C., Horton, E.S., Castorino, K. and Tate, D.F., (2016). </w:t>
      </w:r>
      <w:r>
        <w:rPr>
          <w:rFonts w:cs="Arial"/>
          <w:color w:val="222222"/>
          <w:sz w:val="22"/>
          <w:shd w:val="clear" w:color="auto" w:fill="ffffff"/>
        </w:rPr>
        <w:t>‘</w:t>
      </w:r>
      <w:r>
        <w:rPr>
          <w:rFonts w:cs="Arial"/>
          <w:color w:val="222222"/>
          <w:sz w:val="22"/>
          <w:shd w:val="clear" w:color="auto" w:fill="ffffff"/>
        </w:rPr>
        <w:t>Physical activity/exercise and diabetes: a position statement of the American Diabetes Association</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Diabetes care</w:t>
      </w:r>
      <w:r>
        <w:rPr>
          <w:rFonts w:cs="Arial"/>
          <w:color w:val="222222"/>
          <w:sz w:val="22"/>
          <w:shd w:val="clear" w:color="auto" w:fill="ffffff"/>
        </w:rPr>
        <w:t>, </w:t>
      </w:r>
      <w:r>
        <w:rPr>
          <w:rFonts w:cs="Arial"/>
          <w:i/>
          <w:iCs/>
          <w:color w:val="222222"/>
          <w:sz w:val="22"/>
          <w:shd w:val="clear" w:color="auto" w:fill="ffffff"/>
        </w:rPr>
        <w:t>39</w:t>
      </w:r>
      <w:r>
        <w:rPr>
          <w:rFonts w:cs="Arial"/>
          <w:color w:val="222222"/>
          <w:sz w:val="22"/>
          <w:shd w:val="clear" w:color="auto" w:fill="ffffff"/>
        </w:rPr>
        <w:t>(11), p.2065.</w:t>
      </w:r>
    </w:p>
    <w:p w14:paraId="7C022055">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Cooke, A., Smith, D. and Booth, A. (2012) 'Beyond PICO: the SPIDER tool for qualitative evidence synthesis', </w:t>
      </w:r>
      <w:r>
        <w:rPr>
          <w:rFonts w:cs="Arial"/>
          <w:i/>
          <w:iCs/>
          <w:color w:val="222222"/>
          <w:sz w:val="22"/>
          <w:shd w:val="clear" w:color="auto" w:fill="ffffff"/>
        </w:rPr>
        <w:t>Qualitative Health Research</w:t>
      </w:r>
      <w:r>
        <w:rPr>
          <w:rFonts w:cs="Arial"/>
          <w:color w:val="222222"/>
          <w:sz w:val="22"/>
          <w:shd w:val="clear" w:color="auto" w:fill="ffffff"/>
        </w:rPr>
        <w:t>, 22(10), pp. 1435–1443.</w:t>
      </w:r>
    </w:p>
    <w:p w14:paraId="7C022056">
      <w:pPr>
        <w:pStyle w:val="style0"/>
        <w:spacing w:lineRule="auto" w:line="360"/>
        <w:ind w:left="720" w:hanging="720"/>
        <w:jc w:val="both"/>
        <w:rPr>
          <w:rFonts w:cs="Arial"/>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Critical Appraisal Skills </w:t>
      </w:r>
      <w:r>
        <w:rPr>
          <w:rFonts w:cs="Arial" w:eastAsia="Times New Roman"/>
          <w:kern w:val="0"/>
          <w:sz w:val="22"/>
          <w:lang w:val="en-US"/>
          <w14:ligatures xmlns:w14="http://schemas.microsoft.com/office/word/2010/wordml" w14:val="none"/>
        </w:rPr>
        <w:t>Programme</w:t>
      </w:r>
      <w:r>
        <w:rPr>
          <w:rFonts w:cs="Arial" w:eastAsia="Times New Roman"/>
          <w:kern w:val="0"/>
          <w:sz w:val="22"/>
          <w:lang w:val="en-US"/>
          <w14:ligatures xmlns:w14="http://schemas.microsoft.com/office/word/2010/wordml" w14:val="none"/>
        </w:rPr>
        <w:t xml:space="preserve"> (CASP) (2018) </w:t>
      </w:r>
      <w:r>
        <w:rPr>
          <w:rFonts w:cs="Arial" w:eastAsia="Times New Roman"/>
          <w:i/>
          <w:iCs/>
          <w:kern w:val="0"/>
          <w:sz w:val="22"/>
          <w:lang w:val="en-US"/>
          <w14:ligatures xmlns:w14="http://schemas.microsoft.com/office/word/2010/wordml" w14:val="none"/>
        </w:rPr>
        <w:t>CASP qualitative checklist</w:t>
      </w:r>
      <w:r>
        <w:rPr>
          <w:rFonts w:cs="Arial" w:eastAsia="Times New Roman"/>
          <w:kern w:val="0"/>
          <w:sz w:val="22"/>
          <w:lang w:val="en-US"/>
          <w14:ligatures xmlns:w14="http://schemas.microsoft.com/office/word/2010/wordml" w14:val="none"/>
        </w:rPr>
        <w:t xml:space="preserve">. </w:t>
      </w:r>
      <w:r>
        <w:rPr>
          <w:rFonts w:cs="Arial"/>
          <w:sz w:val="22"/>
        </w:rPr>
        <w:t>Available at: https://casp-uk.net/casp-checklists/CASP-checklist-qualitative-2024.pdf (Accessed: 22 June 2026).</w:t>
      </w:r>
    </w:p>
    <w:p w14:paraId="7C022057">
      <w:pPr>
        <w:pStyle w:val="style0"/>
        <w:spacing w:lineRule="auto" w:line="360"/>
        <w:ind w:left="720" w:hanging="720"/>
        <w:jc w:val="both"/>
        <w:rPr>
          <w:rFonts w:cs="Arial"/>
          <w:kern w:val="0"/>
          <w:sz w:val="22"/>
          <w:lang w:val="en-US"/>
          <w14:ligatures xmlns:w14="http://schemas.microsoft.com/office/word/2010/wordml" w14:val="none"/>
        </w:rPr>
      </w:pPr>
      <w:r>
        <w:rPr>
          <w:rFonts w:cs="Arial"/>
          <w:sz w:val="22"/>
        </w:rPr>
        <w:t xml:space="preserve">Critical Appraisal Skills Programme (CASP) (2018) </w:t>
      </w:r>
      <w:r>
        <w:rPr>
          <w:rFonts w:cs="Arial"/>
          <w:i/>
          <w:iCs/>
          <w:sz w:val="22"/>
        </w:rPr>
        <w:t>Cohort Study Checklist</w:t>
      </w:r>
      <w:r>
        <w:rPr>
          <w:rFonts w:cs="Arial"/>
          <w:sz w:val="22"/>
        </w:rPr>
        <w:t> (no date) </w:t>
      </w:r>
      <w:r>
        <w:rPr>
          <w:rFonts w:cs="Arial"/>
          <w:i/>
          <w:iCs/>
          <w:sz w:val="22"/>
        </w:rPr>
        <w:t>CASP</w:t>
      </w:r>
      <w:r>
        <w:rPr>
          <w:rFonts w:cs="Arial"/>
          <w:sz w:val="22"/>
        </w:rPr>
        <w:t>. Available at: https://casp-uk.net/casp-tools-checklists/cohort-study-checklist/ (Accessed: 25 July 2026).</w:t>
      </w:r>
    </w:p>
    <w:p w14:paraId="7C022058">
      <w:pPr>
        <w:pStyle w:val="style0"/>
        <w:spacing w:lineRule="auto" w:line="360"/>
        <w:ind w:left="720" w:hanging="720"/>
        <w:jc w:val="both"/>
        <w:rPr>
          <w:rFonts w:cs="Arial"/>
          <w:kern w:val="0"/>
          <w:sz w:val="22"/>
          <w:lang w:val="en-US"/>
          <w14:ligatures xmlns:w14="http://schemas.microsoft.com/office/word/2010/wordml" w14:val="none"/>
        </w:rPr>
      </w:pPr>
      <w:r>
        <w:rPr>
          <w:rFonts w:cs="Arial"/>
          <w:sz w:val="22"/>
        </w:rPr>
        <w:t xml:space="preserve">Critical Appraisal Skills Programme (CASP) (2018) </w:t>
      </w:r>
      <w:r>
        <w:rPr>
          <w:rFonts w:cs="Arial"/>
          <w:i/>
          <w:iCs/>
          <w:sz w:val="22"/>
        </w:rPr>
        <w:t>Qualitative Studies Checklist</w:t>
      </w:r>
      <w:r>
        <w:rPr>
          <w:rFonts w:cs="Arial"/>
          <w:sz w:val="22"/>
        </w:rPr>
        <w:t> (no date) </w:t>
      </w:r>
      <w:r>
        <w:rPr>
          <w:rFonts w:cs="Arial"/>
          <w:i/>
          <w:iCs/>
          <w:sz w:val="22"/>
        </w:rPr>
        <w:t>CASP</w:t>
      </w:r>
      <w:r>
        <w:rPr>
          <w:rFonts w:cs="Arial"/>
          <w:sz w:val="22"/>
        </w:rPr>
        <w:t>. Available at: https://casp-uk.net/casp-tools-checklists/qualitative-studies-checklist/ (Accessed: 25 July 2026).</w:t>
      </w:r>
    </w:p>
    <w:p w14:paraId="7C022059">
      <w:pPr>
        <w:pStyle w:val="style0"/>
        <w:spacing w:lineRule="auto" w:line="360"/>
        <w:ind w:left="720" w:hanging="720"/>
        <w:jc w:val="both"/>
        <w:rPr>
          <w:rFonts w:cs="Arial"/>
          <w:kern w:val="0"/>
          <w:sz w:val="22"/>
          <w:lang w:val="en-US"/>
          <w14:ligatures xmlns:w14="http://schemas.microsoft.com/office/word/2010/wordml" w14:val="none"/>
        </w:rPr>
      </w:pPr>
      <w:r>
        <w:rPr>
          <w:rFonts w:cs="Arial"/>
          <w:sz w:val="22"/>
        </w:rPr>
        <w:t xml:space="preserve">Critical Appraisal Skills Programme (CASP) (2020) </w:t>
      </w:r>
      <w:r>
        <w:rPr>
          <w:rFonts w:cs="Arial"/>
          <w:i/>
          <w:iCs/>
          <w:sz w:val="22"/>
        </w:rPr>
        <w:t>Randomised Controlled Trials (RCTs) Checklist</w:t>
      </w:r>
      <w:r>
        <w:rPr>
          <w:rFonts w:cs="Arial"/>
          <w:sz w:val="22"/>
        </w:rPr>
        <w:t> (no date) </w:t>
      </w:r>
      <w:r>
        <w:rPr>
          <w:rFonts w:cs="Arial"/>
          <w:i/>
          <w:iCs/>
          <w:sz w:val="22"/>
        </w:rPr>
        <w:t>CASP</w:t>
      </w:r>
      <w:r>
        <w:rPr>
          <w:rFonts w:cs="Arial"/>
          <w:sz w:val="22"/>
        </w:rPr>
        <w:t>. Available at: https://casp-uk.net/casp-tools-checklists/randomised-controlled-trial-rct-checklist/ (Accessed: 25 July 2026).</w:t>
      </w:r>
    </w:p>
    <w:p w14:paraId="7C02205A">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Darvishi, A., Hassani, L., Mohseni, S. and Shahabi, N., (2025). </w:t>
      </w:r>
      <w:r>
        <w:rPr>
          <w:rFonts w:cs="Arial"/>
          <w:color w:val="222222"/>
          <w:sz w:val="22"/>
          <w:shd w:val="clear" w:color="auto" w:fill="ffffff"/>
        </w:rPr>
        <w:t>‘</w:t>
      </w:r>
      <w:r>
        <w:rPr>
          <w:rFonts w:cs="Arial"/>
          <w:color w:val="222222"/>
          <w:sz w:val="22"/>
          <w:shd w:val="clear" w:color="auto" w:fill="ffffff"/>
        </w:rPr>
        <w:t>Predicting preventive self-care behaviours among type 2 diabetes based on the health belief model in Bandar Abbas city: A cross-sectional study</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BMJ open</w:t>
      </w:r>
      <w:r>
        <w:rPr>
          <w:rFonts w:cs="Arial"/>
          <w:color w:val="222222"/>
          <w:sz w:val="22"/>
          <w:shd w:val="clear" w:color="auto" w:fill="ffffff"/>
        </w:rPr>
        <w:t>, </w:t>
      </w:r>
      <w:r>
        <w:rPr>
          <w:rFonts w:cs="Arial"/>
          <w:i/>
          <w:iCs/>
          <w:color w:val="222222"/>
          <w:sz w:val="22"/>
          <w:shd w:val="clear" w:color="auto" w:fill="ffffff"/>
        </w:rPr>
        <w:t>15</w:t>
      </w:r>
      <w:r>
        <w:rPr>
          <w:rFonts w:cs="Arial"/>
          <w:color w:val="222222"/>
          <w:sz w:val="22"/>
          <w:shd w:val="clear" w:color="auto" w:fill="ffffff"/>
        </w:rPr>
        <w:t>(1), p.e091420.</w:t>
      </w:r>
    </w:p>
    <w:p w14:paraId="7C02205B">
      <w:pPr>
        <w:pStyle w:val="style0"/>
        <w:spacing w:lineRule="auto" w:line="360"/>
        <w:ind w:left="720" w:hanging="720"/>
        <w:jc w:val="both"/>
        <w:rPr>
          <w:rFonts w:cs="Arial"/>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Diabetes UK (2025) </w:t>
      </w:r>
      <w:r>
        <w:rPr>
          <w:rFonts w:cs="Arial"/>
          <w:i/>
          <w:iCs/>
          <w:sz w:val="22"/>
        </w:rPr>
        <w:t xml:space="preserve">How many people in the UK have </w:t>
      </w:r>
      <w:r>
        <w:rPr>
          <w:rFonts w:cs="Arial"/>
          <w:i/>
          <w:iCs/>
          <w:sz w:val="22"/>
        </w:rPr>
        <w:t>diabetes?</w:t>
      </w:r>
      <w:r>
        <w:rPr>
          <w:rFonts w:cs="Arial"/>
          <w:sz w:val="22"/>
        </w:rPr>
        <w:t>,</w:t>
      </w:r>
      <w:r>
        <w:rPr>
          <w:rFonts w:cs="Arial"/>
          <w:sz w:val="22"/>
        </w:rPr>
        <w:t> </w:t>
      </w:r>
      <w:r>
        <w:rPr>
          <w:rFonts w:cs="Arial"/>
          <w:i/>
          <w:iCs/>
          <w:sz w:val="22"/>
        </w:rPr>
        <w:t>Diabetes UK</w:t>
      </w:r>
      <w:r>
        <w:rPr>
          <w:rFonts w:cs="Arial"/>
          <w:sz w:val="22"/>
        </w:rPr>
        <w:t>. Diabetes UK. Available at: https://www.diabetes.org.uk/about-us/about-the-charity/our-strategy/statistics (Accessed: 19 June 2026).</w:t>
      </w:r>
    </w:p>
    <w:p w14:paraId="7C02205C">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Downes, M.J., Brennan, M.L., Williams, H.C. and Dean, R.S., (2016). </w:t>
      </w:r>
      <w:r>
        <w:rPr>
          <w:rFonts w:cs="Arial"/>
          <w:color w:val="222222"/>
          <w:sz w:val="22"/>
          <w:shd w:val="clear" w:color="auto" w:fill="ffffff"/>
        </w:rPr>
        <w:t>‘</w:t>
      </w:r>
      <w:r>
        <w:rPr>
          <w:rFonts w:cs="Arial"/>
          <w:color w:val="222222"/>
          <w:sz w:val="22"/>
          <w:shd w:val="clear" w:color="auto" w:fill="ffffff"/>
        </w:rPr>
        <w:t>Development of a critical appraisal tool to assess the quality of cross-sectional studies (AXIS)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BMJ open</w:t>
      </w:r>
      <w:r>
        <w:rPr>
          <w:rFonts w:cs="Arial"/>
          <w:color w:val="222222"/>
          <w:sz w:val="22"/>
          <w:shd w:val="clear" w:color="auto" w:fill="ffffff"/>
        </w:rPr>
        <w:t>, </w:t>
      </w:r>
      <w:r>
        <w:rPr>
          <w:rFonts w:cs="Arial"/>
          <w:i/>
          <w:iCs/>
          <w:color w:val="222222"/>
          <w:sz w:val="22"/>
          <w:shd w:val="clear" w:color="auto" w:fill="ffffff"/>
        </w:rPr>
        <w:t>6</w:t>
      </w:r>
      <w:r>
        <w:rPr>
          <w:rFonts w:cs="Arial"/>
          <w:color w:val="222222"/>
          <w:sz w:val="22"/>
          <w:shd w:val="clear" w:color="auto" w:fill="ffffff"/>
        </w:rPr>
        <w:t>(12), p.e011458.</w:t>
      </w:r>
    </w:p>
    <w:p w14:paraId="7C02205D">
      <w:pPr>
        <w:pStyle w:val="style0"/>
        <w:spacing w:lineRule="auto" w:line="360"/>
        <w:ind w:left="720" w:hanging="720"/>
        <w:jc w:val="both"/>
        <w:rPr>
          <w:rFonts w:cs="Arial"/>
          <w:sz w:val="22"/>
        </w:rPr>
      </w:pPr>
      <w:r>
        <w:rPr>
          <w:rFonts w:cs="Arial"/>
          <w:sz w:val="22"/>
        </w:rPr>
        <w:t xml:space="preserve">Eckstein, M.L., Williams, D.M., O'Neil, L.K., Hayes, J., Stephens, J.W. and Bracken, R.M., (2019). </w:t>
      </w:r>
      <w:r>
        <w:rPr>
          <w:rFonts w:cs="Arial"/>
          <w:sz w:val="22"/>
        </w:rPr>
        <w:t>‘</w:t>
      </w:r>
      <w:r>
        <w:rPr>
          <w:rFonts w:cs="Arial"/>
          <w:sz w:val="22"/>
        </w:rPr>
        <w:t>Physical exercise and non</w:t>
      </w:r>
      <w:r>
        <w:rPr>
          <w:rFonts w:ascii="Cambria Math" w:cs="Cambria Math" w:hAnsi="Cambria Math"/>
          <w:sz w:val="22"/>
        </w:rPr>
        <w:t>‐</w:t>
      </w:r>
      <w:r>
        <w:rPr>
          <w:rFonts w:cs="Arial"/>
          <w:sz w:val="22"/>
        </w:rPr>
        <w:t>insulin glucose</w:t>
      </w:r>
      <w:r>
        <w:rPr>
          <w:rFonts w:ascii="Cambria Math" w:cs="Cambria Math" w:hAnsi="Cambria Math"/>
          <w:sz w:val="22"/>
        </w:rPr>
        <w:t>‐</w:t>
      </w:r>
      <w:r>
        <w:rPr>
          <w:rFonts w:cs="Arial"/>
          <w:sz w:val="22"/>
        </w:rPr>
        <w:t>lowering therapies in the management of Type 2 diabetes mellitus: a clinical review</w:t>
      </w:r>
      <w:r>
        <w:rPr>
          <w:rFonts w:cs="Arial"/>
          <w:sz w:val="22"/>
        </w:rPr>
        <w:t>’,</w:t>
      </w:r>
      <w:r>
        <w:rPr>
          <w:rFonts w:cs="Arial"/>
          <w:sz w:val="22"/>
        </w:rPr>
        <w:t xml:space="preserve"> </w:t>
      </w:r>
      <w:r>
        <w:rPr>
          <w:rFonts w:cs="Arial"/>
          <w:i/>
          <w:iCs/>
          <w:sz w:val="22"/>
        </w:rPr>
        <w:t>Diabetic Medicine</w:t>
      </w:r>
      <w:r>
        <w:rPr>
          <w:rFonts w:cs="Arial"/>
          <w:sz w:val="22"/>
        </w:rPr>
        <w:t>, 36(3), pp.349-358.</w:t>
      </w:r>
    </w:p>
    <w:p w14:paraId="552F99CA">
      <w:pPr>
        <w:pStyle w:val="style0"/>
        <w:spacing w:lineRule="auto" w:line="360"/>
        <w:ind w:left="720" w:hanging="720"/>
        <w:jc w:val="both"/>
        <w:rPr>
          <w:rFonts w:cs="Arial"/>
          <w:sz w:val="22"/>
        </w:rPr>
      </w:pPr>
      <w:r>
        <w:rPr>
          <w:rFonts w:cs="Arial"/>
          <w:color w:val="222222"/>
          <w:sz w:val="20"/>
          <w:szCs w:val="20"/>
          <w:shd w:val="clear" w:color="auto" w:fill="ffffff"/>
        </w:rPr>
        <w:t>Faquetti</w:t>
      </w:r>
      <w:r>
        <w:rPr>
          <w:rFonts w:cs="Arial"/>
          <w:color w:val="222222"/>
          <w:sz w:val="20"/>
          <w:szCs w:val="20"/>
          <w:shd w:val="clear" w:color="auto" w:fill="ffffff"/>
        </w:rPr>
        <w:t xml:space="preserve">, M.L., Frey, G., </w:t>
      </w:r>
      <w:r>
        <w:rPr>
          <w:rFonts w:cs="Arial"/>
          <w:color w:val="222222"/>
          <w:sz w:val="20"/>
          <w:szCs w:val="20"/>
          <w:shd w:val="clear" w:color="auto" w:fill="ffffff"/>
        </w:rPr>
        <w:t>Stämpfli</w:t>
      </w:r>
      <w:r>
        <w:rPr>
          <w:rFonts w:cs="Arial"/>
          <w:color w:val="222222"/>
          <w:sz w:val="20"/>
          <w:szCs w:val="20"/>
          <w:shd w:val="clear" w:color="auto" w:fill="ffffff"/>
        </w:rPr>
        <w:t>, D., Weiler, S. and Burden, A.M., 2024. Prevalence of potentially inappropriate medications among newly treated patients with type 2 diabetes in UK primary care. </w:t>
      </w:r>
      <w:r>
        <w:rPr>
          <w:rFonts w:cs="Arial"/>
          <w:i/>
          <w:iCs/>
          <w:color w:val="222222"/>
          <w:sz w:val="20"/>
          <w:szCs w:val="20"/>
          <w:shd w:val="clear" w:color="auto" w:fill="ffffff"/>
        </w:rPr>
        <w:t>British Journal of Clinical Pharmacology</w:t>
      </w:r>
      <w:r>
        <w:rPr>
          <w:rFonts w:cs="Arial"/>
          <w:color w:val="222222"/>
          <w:sz w:val="20"/>
          <w:szCs w:val="20"/>
          <w:shd w:val="clear" w:color="auto" w:fill="ffffff"/>
        </w:rPr>
        <w:t>, </w:t>
      </w:r>
      <w:r>
        <w:rPr>
          <w:rFonts w:cs="Arial"/>
          <w:i/>
          <w:iCs/>
          <w:color w:val="222222"/>
          <w:sz w:val="20"/>
          <w:szCs w:val="20"/>
          <w:shd w:val="clear" w:color="auto" w:fill="ffffff"/>
        </w:rPr>
        <w:t>90</w:t>
      </w:r>
      <w:r>
        <w:rPr>
          <w:rFonts w:cs="Arial"/>
          <w:color w:val="222222"/>
          <w:sz w:val="20"/>
          <w:szCs w:val="20"/>
          <w:shd w:val="clear" w:color="auto" w:fill="ffffff"/>
        </w:rPr>
        <w:t>(6), pp.1376-1394.</w:t>
      </w:r>
    </w:p>
    <w:p w14:paraId="7C02205F">
      <w:pPr>
        <w:pStyle w:val="style0"/>
        <w:spacing w:lineRule="auto" w:line="360"/>
        <w:ind w:left="720" w:hanging="720"/>
        <w:jc w:val="both"/>
        <w:rPr>
          <w:rFonts w:cs="Arial"/>
          <w:sz w:val="22"/>
        </w:rPr>
      </w:pPr>
      <w:r>
        <w:rPr>
          <w:rFonts w:cs="Arial"/>
          <w:sz w:val="22"/>
        </w:rPr>
        <w:t>Fertu</w:t>
      </w:r>
      <w:r>
        <w:rPr>
          <w:rFonts w:cs="Arial"/>
          <w:sz w:val="22"/>
        </w:rPr>
        <w:t xml:space="preserve">, I.D., Dumitru, C.N., Iacob, A., Tudor, M., Stefan, C.S. and Tudor, S.S. (2026) 'Medication safety in the context of self-medication and polypharmacy: a systematic review of prevalence, risk factors, and clinical implications', </w:t>
      </w:r>
      <w:r>
        <w:rPr>
          <w:rFonts w:cs="Arial"/>
          <w:i/>
          <w:iCs/>
          <w:sz w:val="22"/>
        </w:rPr>
        <w:t>Electronic Journal of General Medicine</w:t>
      </w:r>
      <w:r>
        <w:rPr>
          <w:rFonts w:cs="Arial"/>
          <w:sz w:val="22"/>
        </w:rPr>
        <w:t xml:space="preserve">, 23(3), em739. </w:t>
      </w:r>
    </w:p>
    <w:p w14:paraId="7C022060">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Fusch Ph D, P.I. and Ness, L.R., (2015). </w:t>
      </w:r>
      <w:r>
        <w:rPr>
          <w:rFonts w:cs="Arial"/>
          <w:color w:val="222222"/>
          <w:sz w:val="22"/>
          <w:shd w:val="clear" w:color="auto" w:fill="ffffff"/>
        </w:rPr>
        <w:t>‘</w:t>
      </w:r>
      <w:r>
        <w:rPr>
          <w:rFonts w:cs="Arial"/>
          <w:color w:val="222222"/>
          <w:sz w:val="22"/>
          <w:shd w:val="clear" w:color="auto" w:fill="ffffff"/>
        </w:rPr>
        <w:t>Are we there yet? Data saturation in qualitative research</w:t>
      </w:r>
      <w:r>
        <w:rPr>
          <w:rFonts w:cs="Arial"/>
          <w:color w:val="222222"/>
          <w:sz w:val="22"/>
          <w:shd w:val="clear" w:color="auto" w:fill="ffffff"/>
        </w:rPr>
        <w:t>’</w:t>
      </w:r>
      <w:r>
        <w:rPr>
          <w:rFonts w:cs="Arial"/>
          <w:color w:val="222222"/>
          <w:sz w:val="22"/>
          <w:shd w:val="clear" w:color="auto" w:fill="ffffff"/>
        </w:rPr>
        <w:t xml:space="preserve">, </w:t>
      </w:r>
      <w:r>
        <w:rPr>
          <w:rFonts w:cs="Arial"/>
          <w:i/>
          <w:iCs/>
          <w:color w:val="222222"/>
          <w:sz w:val="22"/>
          <w:shd w:val="clear" w:color="auto" w:fill="ffffff"/>
        </w:rPr>
        <w:t>The Qualitative Report</w:t>
      </w:r>
      <w:r>
        <w:rPr>
          <w:rFonts w:cs="Arial"/>
          <w:color w:val="222222"/>
          <w:sz w:val="22"/>
          <w:shd w:val="clear" w:color="auto" w:fill="ffffff"/>
        </w:rPr>
        <w:t>, 20(9), pp. 1408–1416.</w:t>
      </w:r>
    </w:p>
    <w:p w14:paraId="7C022061">
      <w:pPr>
        <w:pStyle w:val="style0"/>
        <w:spacing w:lineRule="auto" w:line="360"/>
        <w:ind w:left="720" w:hanging="720"/>
        <w:jc w:val="both"/>
        <w:rPr>
          <w:rFonts w:cs="Arial"/>
          <w:sz w:val="22"/>
        </w:rPr>
      </w:pPr>
      <w:r>
        <w:rPr>
          <w:rFonts w:cs="Arial"/>
          <w:sz w:val="22"/>
        </w:rPr>
        <w:t>Gulsin</w:t>
      </w:r>
      <w:r>
        <w:rPr>
          <w:rFonts w:cs="Arial"/>
          <w:sz w:val="22"/>
        </w:rPr>
        <w:t xml:space="preserve">, G.S., Swarbrick, D.J., Athithan, L., Brady, E.M., Henson, J., Baldry, E., </w:t>
      </w:r>
      <w:r>
        <w:rPr>
          <w:rFonts w:cs="Arial"/>
          <w:sz w:val="22"/>
        </w:rPr>
        <w:t>Argyridou</w:t>
      </w:r>
      <w:r>
        <w:rPr>
          <w:rFonts w:cs="Arial"/>
          <w:sz w:val="22"/>
        </w:rPr>
        <w:t xml:space="preserve">, S., </w:t>
      </w:r>
      <w:r>
        <w:rPr>
          <w:rFonts w:cs="Arial"/>
          <w:sz w:val="22"/>
        </w:rPr>
        <w:t>Jaicim</w:t>
      </w:r>
      <w:r>
        <w:rPr>
          <w:rFonts w:cs="Arial"/>
          <w:sz w:val="22"/>
        </w:rPr>
        <w:t xml:space="preserve">, N.B., Squire, G., Walters, Y. and Marsh, A.M., (2020). </w:t>
      </w:r>
      <w:r>
        <w:rPr>
          <w:rFonts w:cs="Arial"/>
          <w:sz w:val="22"/>
        </w:rPr>
        <w:t>‘</w:t>
      </w:r>
      <w:r>
        <w:rPr>
          <w:rFonts w:cs="Arial"/>
          <w:sz w:val="22"/>
        </w:rPr>
        <w:t>Effects of low-energy diet or exercise on cardiovascular function in working-age adults with type 2 diabetes: a prospective, randomised, open-label, blinded end point trial</w:t>
      </w:r>
      <w:r>
        <w:rPr>
          <w:rFonts w:cs="Arial"/>
          <w:sz w:val="22"/>
        </w:rPr>
        <w:t>’,</w:t>
      </w:r>
      <w:r>
        <w:rPr>
          <w:rFonts w:cs="Arial"/>
          <w:sz w:val="22"/>
        </w:rPr>
        <w:t xml:space="preserve"> </w:t>
      </w:r>
      <w:r>
        <w:rPr>
          <w:rFonts w:cs="Arial"/>
          <w:i/>
          <w:iCs/>
          <w:sz w:val="22"/>
        </w:rPr>
        <w:t>Diabetes care</w:t>
      </w:r>
      <w:r>
        <w:rPr>
          <w:rFonts w:cs="Arial"/>
          <w:sz w:val="22"/>
        </w:rPr>
        <w:t>, 43(6), pp.1300-1310.</w:t>
      </w:r>
    </w:p>
    <w:p w14:paraId="7C022063">
      <w:pPr>
        <w:pStyle w:val="style0"/>
        <w:spacing w:lineRule="auto" w:line="360"/>
        <w:ind w:left="720" w:hanging="720"/>
        <w:jc w:val="both"/>
        <w:rPr>
          <w:rFonts w:cs="Arial"/>
          <w:sz w:val="22"/>
        </w:rPr>
      </w:pPr>
      <w:r>
        <w:rPr>
          <w:rFonts w:cs="Arial"/>
          <w:color w:val="222222"/>
          <w:sz w:val="22"/>
          <w:shd w:val="clear" w:color="auto" w:fill="ffffff"/>
        </w:rPr>
        <w:t>Haile, Z.T., (2022). Critical appraisal tools and reporting guidelines. </w:t>
      </w:r>
      <w:r>
        <w:rPr>
          <w:rFonts w:cs="Arial"/>
          <w:i/>
          <w:iCs/>
          <w:color w:val="222222"/>
          <w:sz w:val="22"/>
          <w:shd w:val="clear" w:color="auto" w:fill="ffffff"/>
        </w:rPr>
        <w:t>Journal of Human Lactation</w:t>
      </w:r>
      <w:r>
        <w:rPr>
          <w:rFonts w:cs="Arial"/>
          <w:color w:val="222222"/>
          <w:sz w:val="22"/>
          <w:shd w:val="clear" w:color="auto" w:fill="ffffff"/>
        </w:rPr>
        <w:t>, </w:t>
      </w:r>
      <w:r>
        <w:rPr>
          <w:rFonts w:cs="Arial"/>
          <w:i/>
          <w:iCs/>
          <w:color w:val="222222"/>
          <w:sz w:val="22"/>
          <w:shd w:val="clear" w:color="auto" w:fill="ffffff"/>
        </w:rPr>
        <w:t>38</w:t>
      </w:r>
      <w:r>
        <w:rPr>
          <w:rFonts w:cs="Arial"/>
          <w:color w:val="222222"/>
          <w:sz w:val="22"/>
          <w:shd w:val="clear" w:color="auto" w:fill="ffffff"/>
        </w:rPr>
        <w:t>(1), pp.21-27.</w:t>
      </w:r>
    </w:p>
    <w:p w14:paraId="7C022064">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Hong, Q.N., </w:t>
      </w:r>
      <w:r>
        <w:rPr>
          <w:rFonts w:cs="Arial"/>
          <w:color w:val="222222"/>
          <w:sz w:val="22"/>
          <w:shd w:val="clear" w:color="auto" w:fill="ffffff"/>
        </w:rPr>
        <w:t>Fàbregues</w:t>
      </w:r>
      <w:r>
        <w:rPr>
          <w:rFonts w:cs="Arial"/>
          <w:color w:val="222222"/>
          <w:sz w:val="22"/>
          <w:shd w:val="clear" w:color="auto" w:fill="ffffff"/>
        </w:rPr>
        <w:t xml:space="preserve">, S., Bartlett, G., Boardman, F., Cargo, M., Dagenais, P., Gagnon, M.P., Griffiths, F., Nicolau, B., </w:t>
      </w:r>
      <w:r>
        <w:rPr>
          <w:rFonts w:cs="Arial"/>
          <w:color w:val="222222"/>
          <w:sz w:val="22"/>
          <w:shd w:val="clear" w:color="auto" w:fill="ffffff"/>
        </w:rPr>
        <w:t>O'Cathain</w:t>
      </w:r>
      <w:r>
        <w:rPr>
          <w:rFonts w:cs="Arial"/>
          <w:color w:val="222222"/>
          <w:sz w:val="22"/>
          <w:shd w:val="clear" w:color="auto" w:fill="ffffff"/>
        </w:rPr>
        <w:t xml:space="preserve">, A. and Rousseau, M.C., (2018). </w:t>
      </w:r>
      <w:r>
        <w:rPr>
          <w:rFonts w:cs="Arial"/>
          <w:color w:val="222222"/>
          <w:sz w:val="22"/>
          <w:shd w:val="clear" w:color="auto" w:fill="ffffff"/>
        </w:rPr>
        <w:t>‘</w:t>
      </w:r>
      <w:r>
        <w:rPr>
          <w:rFonts w:cs="Arial"/>
          <w:color w:val="222222"/>
          <w:sz w:val="22"/>
          <w:shd w:val="clear" w:color="auto" w:fill="ffffff"/>
        </w:rPr>
        <w:t>The Mixed Methods Appraisal Tool (MMAT) version 2018 for information professionals and researchers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Education for information</w:t>
      </w:r>
      <w:r>
        <w:rPr>
          <w:rFonts w:cs="Arial"/>
          <w:color w:val="222222"/>
          <w:sz w:val="22"/>
          <w:shd w:val="clear" w:color="auto" w:fill="ffffff"/>
        </w:rPr>
        <w:t>, </w:t>
      </w:r>
      <w:r>
        <w:rPr>
          <w:rFonts w:cs="Arial"/>
          <w:i/>
          <w:iCs/>
          <w:color w:val="222222"/>
          <w:sz w:val="22"/>
          <w:shd w:val="clear" w:color="auto" w:fill="ffffff"/>
        </w:rPr>
        <w:t>34</w:t>
      </w:r>
      <w:r>
        <w:rPr>
          <w:rFonts w:cs="Arial"/>
          <w:color w:val="222222"/>
          <w:sz w:val="22"/>
          <w:shd w:val="clear" w:color="auto" w:fill="ffffff"/>
        </w:rPr>
        <w:t>(4), pp.285-291.</w:t>
      </w:r>
    </w:p>
    <w:p w14:paraId="7C022065">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Hu, Y., Liu, H., Wu, J. and Fang, G., (2022). </w:t>
      </w:r>
      <w:r>
        <w:rPr>
          <w:rFonts w:cs="Arial"/>
          <w:color w:val="222222"/>
          <w:sz w:val="22"/>
          <w:shd w:val="clear" w:color="auto" w:fill="ffffff"/>
        </w:rPr>
        <w:t>‘</w:t>
      </w:r>
      <w:r>
        <w:rPr>
          <w:rFonts w:cs="Arial"/>
          <w:color w:val="222222"/>
          <w:sz w:val="22"/>
          <w:shd w:val="clear" w:color="auto" w:fill="ffffff"/>
        </w:rPr>
        <w:t>Factors influencing self-care behaviours of patients with type 2 diabetes in China based on the health belief model: a cross-sectional study</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BMJ open</w:t>
      </w:r>
      <w:r>
        <w:rPr>
          <w:rFonts w:cs="Arial"/>
          <w:color w:val="222222"/>
          <w:sz w:val="22"/>
          <w:shd w:val="clear" w:color="auto" w:fill="ffffff"/>
        </w:rPr>
        <w:t>, </w:t>
      </w:r>
      <w:r>
        <w:rPr>
          <w:rFonts w:cs="Arial"/>
          <w:i/>
          <w:iCs/>
          <w:color w:val="222222"/>
          <w:sz w:val="22"/>
          <w:shd w:val="clear" w:color="auto" w:fill="ffffff"/>
        </w:rPr>
        <w:t>12</w:t>
      </w:r>
      <w:r>
        <w:rPr>
          <w:rFonts w:cs="Arial"/>
          <w:color w:val="222222"/>
          <w:sz w:val="22"/>
          <w:shd w:val="clear" w:color="auto" w:fill="ffffff"/>
        </w:rPr>
        <w:t>(8), p.e044369.</w:t>
      </w:r>
    </w:p>
    <w:p w14:paraId="7C022066">
      <w:pPr>
        <w:pStyle w:val="style0"/>
        <w:spacing w:lineRule="auto" w:line="360"/>
        <w:ind w:left="720" w:hanging="720"/>
        <w:jc w:val="both"/>
        <w:rPr>
          <w:rFonts w:cs="Arial"/>
          <w:sz w:val="22"/>
        </w:rPr>
      </w:pPr>
      <w:r>
        <w:rPr>
          <w:rFonts w:cs="Arial"/>
          <w:sz w:val="22"/>
        </w:rPr>
        <w:t xml:space="preserve">International Diabetes Federation (2024) IDF Diabetes Atlas, 11th </w:t>
      </w:r>
      <w:r>
        <w:rPr>
          <w:rFonts w:cs="Arial"/>
          <w:sz w:val="22"/>
        </w:rPr>
        <w:t>edn</w:t>
      </w:r>
      <w:r>
        <w:rPr>
          <w:rFonts w:cs="Arial"/>
          <w:sz w:val="22"/>
        </w:rPr>
        <w:t>. Brussels: International Diabetes Federation. Available at: https://diabetesatlas.org/</w:t>
      </w:r>
    </w:p>
    <w:p w14:paraId="7C022067">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Katrak</w:t>
      </w:r>
      <w:r>
        <w:rPr>
          <w:rFonts w:cs="Arial"/>
          <w:color w:val="222222"/>
          <w:sz w:val="22"/>
          <w:shd w:val="clear" w:color="auto" w:fill="ffffff"/>
        </w:rPr>
        <w:t xml:space="preserve">, P., </w:t>
      </w:r>
      <w:r>
        <w:rPr>
          <w:rFonts w:cs="Arial"/>
          <w:color w:val="222222"/>
          <w:sz w:val="22"/>
          <w:shd w:val="clear" w:color="auto" w:fill="ffffff"/>
        </w:rPr>
        <w:t>Bialocerkowski</w:t>
      </w:r>
      <w:r>
        <w:rPr>
          <w:rFonts w:cs="Arial"/>
          <w:color w:val="222222"/>
          <w:sz w:val="22"/>
          <w:shd w:val="clear" w:color="auto" w:fill="ffffff"/>
        </w:rPr>
        <w:t xml:space="preserve">, A.E., Massy-Westropp, N., Kumar, V.S. and Grimmer, K.A., (2004). </w:t>
      </w:r>
      <w:r>
        <w:rPr>
          <w:rFonts w:cs="Arial"/>
          <w:color w:val="222222"/>
          <w:sz w:val="22"/>
          <w:shd w:val="clear" w:color="auto" w:fill="ffffff"/>
        </w:rPr>
        <w:t>‘</w:t>
      </w:r>
      <w:r>
        <w:rPr>
          <w:rFonts w:cs="Arial"/>
          <w:color w:val="222222"/>
          <w:sz w:val="22"/>
          <w:shd w:val="clear" w:color="auto" w:fill="ffffff"/>
        </w:rPr>
        <w:t>A systematic review of the content of critical appraisal tools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BMC medical research methodology</w:t>
      </w:r>
      <w:r>
        <w:rPr>
          <w:rFonts w:cs="Arial"/>
          <w:color w:val="222222"/>
          <w:sz w:val="22"/>
          <w:shd w:val="clear" w:color="auto" w:fill="ffffff"/>
        </w:rPr>
        <w:t>, </w:t>
      </w:r>
      <w:r>
        <w:rPr>
          <w:rFonts w:cs="Arial"/>
          <w:i/>
          <w:iCs/>
          <w:color w:val="222222"/>
          <w:sz w:val="22"/>
          <w:shd w:val="clear" w:color="auto" w:fill="ffffff"/>
        </w:rPr>
        <w:t>4</w:t>
      </w:r>
      <w:r>
        <w:rPr>
          <w:rFonts w:cs="Arial"/>
          <w:color w:val="222222"/>
          <w:sz w:val="22"/>
          <w:shd w:val="clear" w:color="auto" w:fill="ffffff"/>
        </w:rPr>
        <w:t>(1), p.22.</w:t>
      </w:r>
    </w:p>
    <w:p w14:paraId="7C022068">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Kaveh, M.H., </w:t>
      </w:r>
      <w:r>
        <w:rPr>
          <w:rFonts w:cs="Arial"/>
          <w:color w:val="222222"/>
          <w:sz w:val="22"/>
          <w:shd w:val="clear" w:color="auto" w:fill="ffffff"/>
        </w:rPr>
        <w:t>Montazer</w:t>
      </w:r>
      <w:r>
        <w:rPr>
          <w:rFonts w:cs="Arial"/>
          <w:color w:val="222222"/>
          <w:sz w:val="22"/>
          <w:shd w:val="clear" w:color="auto" w:fill="ffffff"/>
        </w:rPr>
        <w:t xml:space="preserve">, M., Karimi, M. and Hassanzadeh, J., (2022). </w:t>
      </w:r>
      <w:r>
        <w:rPr>
          <w:rFonts w:cs="Arial"/>
          <w:color w:val="222222"/>
          <w:sz w:val="22"/>
          <w:shd w:val="clear" w:color="auto" w:fill="ffffff"/>
        </w:rPr>
        <w:t>‘</w:t>
      </w:r>
      <w:r>
        <w:rPr>
          <w:rFonts w:cs="Arial"/>
          <w:color w:val="222222"/>
          <w:sz w:val="22"/>
          <w:shd w:val="clear" w:color="auto" w:fill="ffffff"/>
        </w:rPr>
        <w:t xml:space="preserve">Effects of a theory-based training program with follow-up home visits on self-management </w:t>
      </w:r>
      <w:r>
        <w:rPr>
          <w:rFonts w:cs="Arial"/>
          <w:color w:val="222222"/>
          <w:sz w:val="22"/>
          <w:shd w:val="clear" w:color="auto" w:fill="ffffff"/>
        </w:rPr>
        <w:t>behavior</w:t>
      </w:r>
      <w:r>
        <w:rPr>
          <w:rFonts w:cs="Arial"/>
          <w:color w:val="222222"/>
          <w:sz w:val="22"/>
          <w:shd w:val="clear" w:color="auto" w:fill="ffffff"/>
        </w:rPr>
        <w:t xml:space="preserve">, </w:t>
      </w:r>
      <w:r>
        <w:rPr>
          <w:rFonts w:cs="Arial"/>
          <w:color w:val="222222"/>
          <w:sz w:val="22"/>
          <w:shd w:val="clear" w:color="auto" w:fill="ffffff"/>
        </w:rPr>
        <w:t>glycemic</w:t>
      </w:r>
      <w:r>
        <w:rPr>
          <w:rFonts w:cs="Arial"/>
          <w:color w:val="222222"/>
          <w:sz w:val="22"/>
          <w:shd w:val="clear" w:color="auto" w:fill="ffffff"/>
        </w:rPr>
        <w:t xml:space="preserve"> index, and quality of life among Iranian patients with type 2 diabetes mellitus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BMC Public Health</w:t>
      </w:r>
      <w:r>
        <w:rPr>
          <w:rFonts w:cs="Arial"/>
          <w:color w:val="222222"/>
          <w:sz w:val="22"/>
          <w:shd w:val="clear" w:color="auto" w:fill="ffffff"/>
        </w:rPr>
        <w:t>, </w:t>
      </w:r>
      <w:r>
        <w:rPr>
          <w:rFonts w:cs="Arial"/>
          <w:i/>
          <w:iCs/>
          <w:color w:val="222222"/>
          <w:sz w:val="22"/>
          <w:shd w:val="clear" w:color="auto" w:fill="ffffff"/>
        </w:rPr>
        <w:t>22</w:t>
      </w:r>
      <w:r>
        <w:rPr>
          <w:rFonts w:cs="Arial"/>
          <w:color w:val="222222"/>
          <w:sz w:val="22"/>
          <w:shd w:val="clear" w:color="auto" w:fill="ffffff"/>
        </w:rPr>
        <w:t>(1), p.1559.</w:t>
      </w:r>
    </w:p>
    <w:p w14:paraId="7C022069">
      <w:pPr>
        <w:pStyle w:val="style0"/>
        <w:spacing w:lineRule="auto" w:line="360"/>
        <w:ind w:left="720" w:hanging="720"/>
        <w:jc w:val="both"/>
        <w:rPr>
          <w:rFonts w:cs="Arial"/>
          <w:sz w:val="22"/>
        </w:rPr>
      </w:pPr>
      <w:r>
        <w:rPr>
          <w:rFonts w:cs="Arial"/>
          <w:sz w:val="22"/>
        </w:rPr>
        <w:t xml:space="preserve">Kayyali, R., Slater, N., Sahi, A., </w:t>
      </w:r>
      <w:r>
        <w:rPr>
          <w:rFonts w:cs="Arial"/>
          <w:sz w:val="22"/>
        </w:rPr>
        <w:t>Mepani</w:t>
      </w:r>
      <w:r>
        <w:rPr>
          <w:rFonts w:cs="Arial"/>
          <w:sz w:val="22"/>
        </w:rPr>
        <w:t xml:space="preserve">, D., Lalji, K. and Abdallah, A., (2019). </w:t>
      </w:r>
      <w:r>
        <w:rPr>
          <w:rFonts w:cs="Arial"/>
          <w:sz w:val="22"/>
        </w:rPr>
        <w:t>‘</w:t>
      </w:r>
      <w:r>
        <w:rPr>
          <w:rFonts w:cs="Arial"/>
          <w:sz w:val="22"/>
        </w:rPr>
        <w:t>Type 2 Diabetes: how informed are the general public? A cross-sectional study investigating disease awareness and barriers to communicating knowledge in high-risk populations in London</w:t>
      </w:r>
      <w:r>
        <w:rPr>
          <w:rFonts w:cs="Arial"/>
          <w:sz w:val="22"/>
        </w:rPr>
        <w:t>’,</w:t>
      </w:r>
      <w:r>
        <w:rPr>
          <w:rFonts w:cs="Arial"/>
          <w:sz w:val="22"/>
        </w:rPr>
        <w:t xml:space="preserve"> </w:t>
      </w:r>
      <w:r>
        <w:rPr>
          <w:rFonts w:cs="Arial"/>
          <w:i/>
          <w:iCs/>
          <w:sz w:val="22"/>
        </w:rPr>
        <w:t>BMC Public Health</w:t>
      </w:r>
      <w:r>
        <w:rPr>
          <w:rFonts w:cs="Arial"/>
          <w:sz w:val="22"/>
        </w:rPr>
        <w:t>, 19(1), p.138.</w:t>
      </w:r>
    </w:p>
    <w:p w14:paraId="7C02206A">
      <w:pPr>
        <w:pStyle w:val="style0"/>
        <w:spacing w:lineRule="auto" w:line="360"/>
        <w:ind w:left="720" w:hanging="720"/>
        <w:jc w:val="both"/>
        <w:rPr>
          <w:rFonts w:cs="Arial"/>
          <w:sz w:val="22"/>
        </w:rPr>
      </w:pPr>
      <w:r>
        <w:rPr>
          <w:rFonts w:cs="Arial"/>
          <w:sz w:val="22"/>
        </w:rPr>
        <w:t xml:space="preserve">Kobayashi, Y., Long, J., Dan, S., Johannsen, N.M., Talamoa, R., Raghuram, S., Chung, S., Kent, K., Basina, M., Lamendola, C. and Haddad, F., (2023). </w:t>
      </w:r>
      <w:r>
        <w:rPr>
          <w:rFonts w:cs="Arial"/>
          <w:sz w:val="22"/>
        </w:rPr>
        <w:t>‘</w:t>
      </w:r>
      <w:r>
        <w:rPr>
          <w:rFonts w:cs="Arial"/>
          <w:sz w:val="22"/>
        </w:rPr>
        <w:t>Strength training is more effective than aerobic exercise for improving glycaemic control and body composition in people with normal-weight type 2 diabetes: a randomised controlled trial</w:t>
      </w:r>
      <w:r>
        <w:rPr>
          <w:rFonts w:cs="Arial"/>
          <w:sz w:val="22"/>
        </w:rPr>
        <w:t>’,</w:t>
      </w:r>
      <w:r>
        <w:rPr>
          <w:rFonts w:cs="Arial"/>
          <w:sz w:val="22"/>
        </w:rPr>
        <w:t xml:space="preserve"> </w:t>
      </w:r>
      <w:r>
        <w:rPr>
          <w:rFonts w:cs="Arial"/>
          <w:i/>
          <w:iCs/>
          <w:sz w:val="22"/>
        </w:rPr>
        <w:t>Diabetologia</w:t>
      </w:r>
      <w:r>
        <w:rPr>
          <w:rFonts w:cs="Arial"/>
          <w:sz w:val="22"/>
        </w:rPr>
        <w:t>, 66(10), pp.1897-1907.</w:t>
      </w:r>
    </w:p>
    <w:p w14:paraId="7C02206B">
      <w:pPr>
        <w:pStyle w:val="style0"/>
        <w:spacing w:lineRule="auto" w:line="360"/>
        <w:ind w:left="720" w:hanging="720"/>
        <w:jc w:val="both"/>
        <w:rPr>
          <w:rFonts w:cs="Arial"/>
          <w:sz w:val="22"/>
        </w:rPr>
      </w:pPr>
      <w:r>
        <w:rPr>
          <w:rFonts w:cs="Arial"/>
          <w:sz w:val="22"/>
        </w:rPr>
        <w:t xml:space="preserve">Li, H., Li, Y., Wang, J., Zhang, Y. and Ben, S., (2025). </w:t>
      </w:r>
      <w:r>
        <w:rPr>
          <w:rFonts w:cs="Arial"/>
          <w:sz w:val="22"/>
        </w:rPr>
        <w:t>‘</w:t>
      </w:r>
      <w:r>
        <w:rPr>
          <w:rFonts w:cs="Arial"/>
          <w:sz w:val="22"/>
        </w:rPr>
        <w:t>Enablers and barriers to medication self-management in patients with type 2 diabetes: a qualitative study using the COM-B mode</w:t>
      </w:r>
      <w:r>
        <w:rPr>
          <w:rFonts w:cs="Arial"/>
          <w:sz w:val="22"/>
        </w:rPr>
        <w:t>l’,</w:t>
      </w:r>
      <w:r>
        <w:rPr>
          <w:rFonts w:cs="Arial"/>
          <w:sz w:val="22"/>
        </w:rPr>
        <w:t xml:space="preserve"> </w:t>
      </w:r>
      <w:r>
        <w:rPr>
          <w:rFonts w:cs="Arial"/>
          <w:i/>
          <w:iCs/>
          <w:sz w:val="22"/>
        </w:rPr>
        <w:t>Patient preference and adherence</w:t>
      </w:r>
      <w:r>
        <w:rPr>
          <w:rFonts w:cs="Arial"/>
          <w:sz w:val="22"/>
        </w:rPr>
        <w:t>, pp.485-501.</w:t>
      </w:r>
    </w:p>
    <w:p w14:paraId="7C02206C">
      <w:pPr>
        <w:pStyle w:val="style0"/>
        <w:spacing w:lineRule="auto" w:line="360"/>
        <w:ind w:left="720" w:hanging="720"/>
        <w:jc w:val="both"/>
        <w:rPr>
          <w:rFonts w:cs="Arial"/>
          <w:sz w:val="22"/>
        </w:rPr>
      </w:pPr>
      <w:r>
        <w:rPr>
          <w:rFonts w:cs="Arial"/>
          <w:sz w:val="22"/>
        </w:rPr>
        <w:t xml:space="preserve">Magalhães, J.P., Hetherington-Rauth, M., Júdice, P.B., Correia, I.R., Rosa, G.B., Henriques-Neto, D., Melo, X., Silva, A.M. and Sardinha, L.B., (2021). </w:t>
      </w:r>
      <w:r>
        <w:rPr>
          <w:rFonts w:cs="Arial"/>
          <w:sz w:val="22"/>
        </w:rPr>
        <w:t>‘</w:t>
      </w:r>
      <w:r>
        <w:rPr>
          <w:rFonts w:cs="Arial"/>
          <w:sz w:val="22"/>
        </w:rPr>
        <w:t xml:space="preserve">Interindividual variability in fat mass response to a 1-year randomised controlled trial with different exercise intensities in type 2 diabetes: implications on </w:t>
      </w:r>
      <w:r>
        <w:rPr>
          <w:rFonts w:cs="Arial"/>
          <w:sz w:val="22"/>
        </w:rPr>
        <w:t>glycemic</w:t>
      </w:r>
      <w:r>
        <w:rPr>
          <w:rFonts w:cs="Arial"/>
          <w:sz w:val="22"/>
        </w:rPr>
        <w:t xml:space="preserve"> control and vascular function</w:t>
      </w:r>
      <w:r>
        <w:rPr>
          <w:rFonts w:cs="Arial"/>
          <w:sz w:val="22"/>
        </w:rPr>
        <w:t>’,</w:t>
      </w:r>
      <w:r>
        <w:rPr>
          <w:rFonts w:cs="Arial"/>
          <w:sz w:val="22"/>
        </w:rPr>
        <w:t xml:space="preserve"> </w:t>
      </w:r>
      <w:r>
        <w:rPr>
          <w:rFonts w:cs="Arial"/>
          <w:i/>
          <w:iCs/>
          <w:sz w:val="22"/>
        </w:rPr>
        <w:t>Frontiers in physiology</w:t>
      </w:r>
      <w:r>
        <w:rPr>
          <w:rFonts w:cs="Arial"/>
          <w:sz w:val="22"/>
        </w:rPr>
        <w:t>, 12, p.698971.</w:t>
      </w:r>
    </w:p>
    <w:p w14:paraId="7C02206D">
      <w:pPr>
        <w:pStyle w:val="style0"/>
        <w:spacing w:lineRule="auto" w:line="360"/>
        <w:ind w:left="720" w:hanging="720"/>
        <w:jc w:val="both"/>
        <w:rPr>
          <w:rFonts w:cs="Arial"/>
          <w:sz w:val="22"/>
        </w:rPr>
      </w:pPr>
      <w:r>
        <w:rPr>
          <w:rFonts w:cs="Arial"/>
          <w:sz w:val="22"/>
        </w:rPr>
        <w:t>Magkos</w:t>
      </w:r>
      <w:r>
        <w:rPr>
          <w:rFonts w:cs="Arial"/>
          <w:sz w:val="22"/>
        </w:rPr>
        <w:t xml:space="preserve">, F., Hjorth, M.F. and Astrup, A., (2020). </w:t>
      </w:r>
      <w:r>
        <w:rPr>
          <w:rFonts w:cs="Arial"/>
          <w:sz w:val="22"/>
        </w:rPr>
        <w:t>‘</w:t>
      </w:r>
      <w:r>
        <w:rPr>
          <w:rFonts w:cs="Arial"/>
          <w:sz w:val="22"/>
        </w:rPr>
        <w:t>Diet and exercise in the prevention and treatment of type 2 diabetes mellitu</w:t>
      </w:r>
      <w:r>
        <w:rPr>
          <w:rFonts w:cs="Arial"/>
          <w:sz w:val="22"/>
        </w:rPr>
        <w:t>s’,</w:t>
      </w:r>
      <w:r>
        <w:rPr>
          <w:rFonts w:cs="Arial"/>
          <w:sz w:val="22"/>
        </w:rPr>
        <w:t xml:space="preserve"> </w:t>
      </w:r>
      <w:r>
        <w:rPr>
          <w:rFonts w:cs="Arial"/>
          <w:i/>
          <w:iCs/>
          <w:sz w:val="22"/>
        </w:rPr>
        <w:t>Nature Reviews Endocrinology</w:t>
      </w:r>
      <w:r>
        <w:rPr>
          <w:rFonts w:cs="Arial"/>
          <w:sz w:val="22"/>
        </w:rPr>
        <w:t>, 16(10), pp.545-555.</w:t>
      </w:r>
    </w:p>
    <w:p w14:paraId="7C02206E">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Malterud</w:t>
      </w:r>
      <w:r>
        <w:rPr>
          <w:rFonts w:cs="Arial"/>
          <w:color w:val="222222"/>
          <w:sz w:val="22"/>
          <w:shd w:val="clear" w:color="auto" w:fill="ffffff"/>
        </w:rPr>
        <w:t>, K., (2001). Qualitative research: standards, challenges, and guidelines. </w:t>
      </w:r>
      <w:r>
        <w:rPr>
          <w:rFonts w:cs="Arial"/>
          <w:i/>
          <w:iCs/>
          <w:color w:val="222222"/>
          <w:sz w:val="22"/>
          <w:shd w:val="clear" w:color="auto" w:fill="ffffff"/>
        </w:rPr>
        <w:t>The lancet</w:t>
      </w:r>
      <w:r>
        <w:rPr>
          <w:rFonts w:cs="Arial"/>
          <w:color w:val="222222"/>
          <w:sz w:val="22"/>
          <w:shd w:val="clear" w:color="auto" w:fill="ffffff"/>
        </w:rPr>
        <w:t>, </w:t>
      </w:r>
      <w:r>
        <w:rPr>
          <w:rFonts w:cs="Arial"/>
          <w:i/>
          <w:iCs/>
          <w:color w:val="222222"/>
          <w:sz w:val="22"/>
          <w:shd w:val="clear" w:color="auto" w:fill="ffffff"/>
        </w:rPr>
        <w:t>358</w:t>
      </w:r>
      <w:r>
        <w:rPr>
          <w:rFonts w:cs="Arial"/>
          <w:color w:val="222222"/>
          <w:sz w:val="22"/>
          <w:shd w:val="clear" w:color="auto" w:fill="ffffff"/>
        </w:rPr>
        <w:t>(9280), pp.483-488.</w:t>
      </w:r>
    </w:p>
    <w:p w14:paraId="7C02206F">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Mays, N. and Pope, C., (2020). </w:t>
      </w:r>
      <w:r>
        <w:rPr>
          <w:rFonts w:cs="Arial"/>
          <w:color w:val="222222"/>
          <w:sz w:val="22"/>
          <w:shd w:val="clear" w:color="auto" w:fill="ffffff"/>
        </w:rPr>
        <w:t>‘</w:t>
      </w:r>
      <w:r>
        <w:rPr>
          <w:rFonts w:cs="Arial"/>
          <w:color w:val="222222"/>
          <w:sz w:val="22"/>
          <w:shd w:val="clear" w:color="auto" w:fill="ffffff"/>
        </w:rPr>
        <w:t>Quality in qualitative research</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Qualitative research in health care</w:t>
      </w:r>
      <w:r>
        <w:rPr>
          <w:rFonts w:cs="Arial"/>
          <w:color w:val="222222"/>
          <w:sz w:val="22"/>
          <w:shd w:val="clear" w:color="auto" w:fill="ffffff"/>
        </w:rPr>
        <w:t>, pp.211-233.</w:t>
      </w:r>
    </w:p>
    <w:p w14:paraId="7C022070">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Melkamu, L., Berhe, R. and </w:t>
      </w:r>
      <w:r>
        <w:rPr>
          <w:rFonts w:cs="Arial"/>
          <w:color w:val="222222"/>
          <w:sz w:val="22"/>
          <w:shd w:val="clear" w:color="auto" w:fill="ffffff"/>
        </w:rPr>
        <w:t>Handebo</w:t>
      </w:r>
      <w:r>
        <w:rPr>
          <w:rFonts w:cs="Arial"/>
          <w:color w:val="222222"/>
          <w:sz w:val="22"/>
          <w:shd w:val="clear" w:color="auto" w:fill="ffffff"/>
        </w:rPr>
        <w:t xml:space="preserve">, S., (2021). </w:t>
      </w:r>
      <w:r>
        <w:rPr>
          <w:rFonts w:cs="Arial"/>
          <w:color w:val="222222"/>
          <w:sz w:val="22"/>
          <w:shd w:val="clear" w:color="auto" w:fill="ffffff"/>
        </w:rPr>
        <w:t>‘</w:t>
      </w:r>
      <w:r>
        <w:rPr>
          <w:rFonts w:cs="Arial"/>
          <w:color w:val="222222"/>
          <w:sz w:val="22"/>
          <w:shd w:val="clear" w:color="auto" w:fill="ffffff"/>
        </w:rPr>
        <w:t>Does patients' perception affect self-care practices? The perspective of health belief model</w:t>
      </w:r>
      <w:r>
        <w:rPr>
          <w:rFonts w:cs="Arial"/>
          <w:color w:val="222222"/>
          <w:sz w:val="22"/>
          <w:shd w:val="clear" w:color="auto" w:fill="ffffff"/>
        </w:rPr>
        <w:t xml:space="preserve">’, </w:t>
      </w:r>
      <w:r>
        <w:rPr>
          <w:rFonts w:cs="Arial"/>
          <w:i/>
          <w:iCs/>
          <w:color w:val="222222"/>
          <w:sz w:val="22"/>
          <w:shd w:val="clear" w:color="auto" w:fill="ffffff"/>
        </w:rPr>
        <w:t>Diabetes, Metabolic Syndrome and Obesity</w:t>
      </w:r>
      <w:r>
        <w:rPr>
          <w:rFonts w:cs="Arial"/>
          <w:color w:val="222222"/>
          <w:sz w:val="22"/>
          <w:shd w:val="clear" w:color="auto" w:fill="ffffff"/>
        </w:rPr>
        <w:t>, pp.2145-2154.</w:t>
      </w:r>
    </w:p>
    <w:p w14:paraId="7C022071">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Michie, S., Van </w:t>
      </w:r>
      <w:r>
        <w:rPr>
          <w:rFonts w:cs="Arial"/>
          <w:color w:val="222222"/>
          <w:sz w:val="22"/>
          <w:shd w:val="clear" w:color="auto" w:fill="ffffff"/>
        </w:rPr>
        <w:t>Stralen</w:t>
      </w:r>
      <w:r>
        <w:rPr>
          <w:rFonts w:cs="Arial"/>
          <w:color w:val="222222"/>
          <w:sz w:val="22"/>
          <w:shd w:val="clear" w:color="auto" w:fill="ffffff"/>
        </w:rPr>
        <w:t xml:space="preserve">, M.M. and West, R., (2011). </w:t>
      </w:r>
      <w:r>
        <w:rPr>
          <w:rFonts w:cs="Arial"/>
          <w:color w:val="222222"/>
          <w:sz w:val="22"/>
          <w:shd w:val="clear" w:color="auto" w:fill="ffffff"/>
        </w:rPr>
        <w:t>‘</w:t>
      </w:r>
      <w:r>
        <w:rPr>
          <w:rFonts w:cs="Arial"/>
          <w:color w:val="222222"/>
          <w:sz w:val="22"/>
          <w:shd w:val="clear" w:color="auto" w:fill="ffffff"/>
        </w:rPr>
        <w:t>The behaviour change wheel: a new method for characterising and designing behaviour change interventions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Implementation science</w:t>
      </w:r>
      <w:r>
        <w:rPr>
          <w:rFonts w:cs="Arial"/>
          <w:color w:val="222222"/>
          <w:sz w:val="22"/>
          <w:shd w:val="clear" w:color="auto" w:fill="ffffff"/>
        </w:rPr>
        <w:t>, </w:t>
      </w:r>
      <w:r>
        <w:rPr>
          <w:rFonts w:cs="Arial"/>
          <w:i/>
          <w:iCs/>
          <w:color w:val="222222"/>
          <w:sz w:val="22"/>
          <w:shd w:val="clear" w:color="auto" w:fill="ffffff"/>
        </w:rPr>
        <w:t>6</w:t>
      </w:r>
      <w:r>
        <w:rPr>
          <w:rFonts w:cs="Arial"/>
          <w:color w:val="222222"/>
          <w:sz w:val="22"/>
          <w:shd w:val="clear" w:color="auto" w:fill="ffffff"/>
        </w:rPr>
        <w:t>(1), p.42.</w:t>
      </w:r>
    </w:p>
    <w:p w14:paraId="7C022072">
      <w:pPr>
        <w:pStyle w:val="style0"/>
        <w:spacing w:lineRule="auto" w:line="360"/>
        <w:ind w:left="720" w:hanging="720"/>
        <w:jc w:val="both"/>
        <w:rPr>
          <w:rFonts w:cs="Arial"/>
          <w:sz w:val="22"/>
        </w:rPr>
      </w:pPr>
      <w:r>
        <w:rPr>
          <w:rFonts w:cs="Arial"/>
          <w:sz w:val="22"/>
        </w:rPr>
        <w:t>Milushewa</w:t>
      </w:r>
      <w:r>
        <w:rPr>
          <w:rFonts w:cs="Arial"/>
          <w:sz w:val="22"/>
        </w:rPr>
        <w:t xml:space="preserve">, P., </w:t>
      </w:r>
      <w:r>
        <w:rPr>
          <w:rFonts w:cs="Arial"/>
          <w:sz w:val="22"/>
        </w:rPr>
        <w:t>Chenesheva</w:t>
      </w:r>
      <w:r>
        <w:rPr>
          <w:rFonts w:cs="Arial"/>
          <w:sz w:val="22"/>
        </w:rPr>
        <w:t xml:space="preserve">, N. and Petkova, V., (2026). </w:t>
      </w:r>
      <w:r>
        <w:rPr>
          <w:rFonts w:cs="Arial"/>
          <w:sz w:val="22"/>
        </w:rPr>
        <w:t>‘</w:t>
      </w:r>
      <w:r>
        <w:rPr>
          <w:rFonts w:cs="Arial"/>
          <w:sz w:val="22"/>
        </w:rPr>
        <w:t>Self-Management, Adherence, and the Role of Pharmaceutical Care in Patients with T2DM in Primary Practice: A Cross-Sectional Survey in Bulgaria</w:t>
      </w:r>
      <w:r>
        <w:rPr>
          <w:rFonts w:cs="Arial"/>
          <w:sz w:val="22"/>
        </w:rPr>
        <w:t>’,</w:t>
      </w:r>
      <w:r>
        <w:rPr>
          <w:rFonts w:cs="Arial"/>
          <w:sz w:val="22"/>
        </w:rPr>
        <w:t xml:space="preserve"> </w:t>
      </w:r>
      <w:r>
        <w:rPr>
          <w:rFonts w:cs="Arial"/>
          <w:i/>
          <w:iCs/>
          <w:sz w:val="22"/>
        </w:rPr>
        <w:t>Pharmacy</w:t>
      </w:r>
      <w:r>
        <w:rPr>
          <w:rFonts w:cs="Arial"/>
          <w:sz w:val="22"/>
        </w:rPr>
        <w:t>, 14(1), p.35.</w:t>
      </w:r>
    </w:p>
    <w:p w14:paraId="7C022073">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Munn, Z., Peters, M.D., Stern, C., </w:t>
      </w:r>
      <w:r>
        <w:rPr>
          <w:rFonts w:cs="Arial"/>
          <w:color w:val="222222"/>
          <w:sz w:val="22"/>
          <w:shd w:val="clear" w:color="auto" w:fill="ffffff"/>
        </w:rPr>
        <w:t>Tufanaru</w:t>
      </w:r>
      <w:r>
        <w:rPr>
          <w:rFonts w:cs="Arial"/>
          <w:color w:val="222222"/>
          <w:sz w:val="22"/>
          <w:shd w:val="clear" w:color="auto" w:fill="ffffff"/>
        </w:rPr>
        <w:t xml:space="preserve">, C., McArthur, A. and </w:t>
      </w:r>
      <w:r>
        <w:rPr>
          <w:rFonts w:cs="Arial"/>
          <w:color w:val="222222"/>
          <w:sz w:val="22"/>
          <w:shd w:val="clear" w:color="auto" w:fill="ffffff"/>
        </w:rPr>
        <w:t>Aromataris</w:t>
      </w:r>
      <w:r>
        <w:rPr>
          <w:rFonts w:cs="Arial"/>
          <w:color w:val="222222"/>
          <w:sz w:val="22"/>
          <w:shd w:val="clear" w:color="auto" w:fill="ffffff"/>
        </w:rPr>
        <w:t xml:space="preserve">, E., (2018). </w:t>
      </w:r>
      <w:r>
        <w:rPr>
          <w:rFonts w:cs="Arial"/>
          <w:color w:val="222222"/>
          <w:sz w:val="22"/>
          <w:shd w:val="clear" w:color="auto" w:fill="ffffff"/>
        </w:rPr>
        <w:t>‘</w:t>
      </w:r>
      <w:r>
        <w:rPr>
          <w:rFonts w:cs="Arial"/>
          <w:color w:val="222222"/>
          <w:sz w:val="22"/>
          <w:shd w:val="clear" w:color="auto" w:fill="ffffff"/>
        </w:rPr>
        <w:t>Systematic review or scoping review? Guidance for authors when choosing between a systematic or scoping review approach</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BMC medical research methodology</w:t>
      </w:r>
      <w:r>
        <w:rPr>
          <w:rFonts w:cs="Arial"/>
          <w:color w:val="222222"/>
          <w:sz w:val="22"/>
          <w:shd w:val="clear" w:color="auto" w:fill="ffffff"/>
        </w:rPr>
        <w:t>, </w:t>
      </w:r>
      <w:r>
        <w:rPr>
          <w:rFonts w:cs="Arial"/>
          <w:i/>
          <w:iCs/>
          <w:color w:val="222222"/>
          <w:sz w:val="22"/>
          <w:shd w:val="clear" w:color="auto" w:fill="ffffff"/>
        </w:rPr>
        <w:t>18</w:t>
      </w:r>
      <w:r>
        <w:rPr>
          <w:rFonts w:cs="Arial"/>
          <w:color w:val="222222"/>
          <w:sz w:val="22"/>
          <w:shd w:val="clear" w:color="auto" w:fill="ffffff"/>
        </w:rPr>
        <w:t>(1), p.143.</w:t>
      </w:r>
    </w:p>
    <w:p w14:paraId="7C022074">
      <w:pPr>
        <w:pStyle w:val="style0"/>
        <w:spacing w:lineRule="auto" w:line="360"/>
        <w:ind w:left="720" w:hanging="720"/>
        <w:jc w:val="both"/>
        <w:rPr>
          <w:rFonts w:cs="Arial"/>
          <w:color w:val="000000"/>
          <w:sz w:val="22"/>
        </w:rPr>
      </w:pPr>
      <w:r>
        <w:rPr>
          <w:rFonts w:cs="Arial"/>
          <w:sz w:val="22"/>
        </w:rPr>
        <w:t xml:space="preserve">National Institute for Health and Care Excellence (NICE) (2026) </w:t>
      </w:r>
      <w:r>
        <w:rPr>
          <w:rFonts w:cs="Arial"/>
          <w:i/>
          <w:iCs/>
          <w:sz w:val="22"/>
        </w:rPr>
        <w:t>Type 2 diabetes in adults: management. NICE guideline NG28</w:t>
      </w:r>
      <w:r>
        <w:rPr>
          <w:rFonts w:cs="Arial"/>
          <w:sz w:val="22"/>
        </w:rPr>
        <w:t xml:space="preserve">. </w:t>
      </w:r>
      <w:r>
        <w:rPr>
          <w:rFonts w:cs="Arial"/>
          <w:i/>
          <w:iCs/>
          <w:color w:val="000000"/>
          <w:sz w:val="22"/>
        </w:rPr>
        <w:t>NICE</w:t>
      </w:r>
      <w:r>
        <w:rPr>
          <w:rFonts w:cs="Arial"/>
          <w:color w:val="000000"/>
          <w:sz w:val="22"/>
        </w:rPr>
        <w:t>. Available at: https://www.nice.org.uk/guidance/ng28 (Accessed: 19 June 2026).</w:t>
      </w:r>
    </w:p>
    <w:p w14:paraId="7C022075">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Nowell, L.S., Norris, J.M., White, D.E. and Moules, N.J., (2017). </w:t>
      </w:r>
      <w:r>
        <w:rPr>
          <w:rFonts w:cs="Arial"/>
          <w:color w:val="222222"/>
          <w:sz w:val="22"/>
          <w:shd w:val="clear" w:color="auto" w:fill="ffffff"/>
        </w:rPr>
        <w:t>‘</w:t>
      </w:r>
      <w:r>
        <w:rPr>
          <w:rFonts w:cs="Arial"/>
          <w:color w:val="222222"/>
          <w:sz w:val="22"/>
          <w:shd w:val="clear" w:color="auto" w:fill="ffffff"/>
        </w:rPr>
        <w:t>Thematic analysis: Striving to meet the trustworthiness criteria</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International journal of qualitative methods</w:t>
      </w:r>
      <w:r>
        <w:rPr>
          <w:rFonts w:cs="Arial"/>
          <w:color w:val="222222"/>
          <w:sz w:val="22"/>
          <w:shd w:val="clear" w:color="auto" w:fill="ffffff"/>
        </w:rPr>
        <w:t>, </w:t>
      </w:r>
      <w:r>
        <w:rPr>
          <w:rFonts w:cs="Arial"/>
          <w:i/>
          <w:iCs/>
          <w:color w:val="222222"/>
          <w:sz w:val="22"/>
          <w:shd w:val="clear" w:color="auto" w:fill="ffffff"/>
        </w:rPr>
        <w:t>16</w:t>
      </w:r>
      <w:r>
        <w:rPr>
          <w:rFonts w:cs="Arial"/>
          <w:color w:val="222222"/>
          <w:sz w:val="22"/>
          <w:shd w:val="clear" w:color="auto" w:fill="ffffff"/>
        </w:rPr>
        <w:t>(1), p.1609406917733847.</w:t>
      </w:r>
    </w:p>
    <w:p w14:paraId="7C022076">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Obirikorang</w:t>
      </w:r>
      <w:r>
        <w:rPr>
          <w:rFonts w:cs="Arial"/>
          <w:color w:val="222222"/>
          <w:sz w:val="22"/>
          <w:shd w:val="clear" w:color="auto" w:fill="ffffff"/>
        </w:rPr>
        <w:t xml:space="preserve">, Y., Acheampong, E., Anto, E.O., Afrifa-Yamoah, E., Adua, E., Taylor, J., </w:t>
      </w:r>
      <w:r>
        <w:rPr>
          <w:rFonts w:cs="Arial"/>
          <w:color w:val="222222"/>
          <w:sz w:val="22"/>
          <w:shd w:val="clear" w:color="auto" w:fill="ffffff"/>
        </w:rPr>
        <w:t>Fondjo</w:t>
      </w:r>
      <w:r>
        <w:rPr>
          <w:rFonts w:cs="Arial"/>
          <w:color w:val="222222"/>
          <w:sz w:val="22"/>
          <w:shd w:val="clear" w:color="auto" w:fill="ffffff"/>
        </w:rPr>
        <w:t xml:space="preserve">, L.A., </w:t>
      </w:r>
      <w:r>
        <w:rPr>
          <w:rFonts w:cs="Arial"/>
          <w:color w:val="222222"/>
          <w:sz w:val="22"/>
          <w:shd w:val="clear" w:color="auto" w:fill="ffffff"/>
        </w:rPr>
        <w:t>Lokpo</w:t>
      </w:r>
      <w:r>
        <w:rPr>
          <w:rFonts w:cs="Arial"/>
          <w:color w:val="222222"/>
          <w:sz w:val="22"/>
          <w:shd w:val="clear" w:color="auto" w:fill="ffffff"/>
        </w:rPr>
        <w:t xml:space="preserve">, S.Y., </w:t>
      </w:r>
      <w:r>
        <w:rPr>
          <w:rFonts w:cs="Arial"/>
          <w:color w:val="222222"/>
          <w:sz w:val="22"/>
          <w:shd w:val="clear" w:color="auto" w:fill="ffffff"/>
        </w:rPr>
        <w:t>Adu</w:t>
      </w:r>
      <w:r>
        <w:rPr>
          <w:rFonts w:cs="Arial"/>
          <w:color w:val="222222"/>
          <w:sz w:val="22"/>
          <w:shd w:val="clear" w:color="auto" w:fill="ffffff"/>
        </w:rPr>
        <w:t xml:space="preserve">, E.A., </w:t>
      </w:r>
      <w:r>
        <w:rPr>
          <w:rFonts w:cs="Arial"/>
          <w:color w:val="222222"/>
          <w:sz w:val="22"/>
          <w:shd w:val="clear" w:color="auto" w:fill="ffffff"/>
        </w:rPr>
        <w:t>Adutwum</w:t>
      </w:r>
      <w:r>
        <w:rPr>
          <w:rFonts w:cs="Arial"/>
          <w:color w:val="222222"/>
          <w:sz w:val="22"/>
          <w:shd w:val="clear" w:color="auto" w:fill="ffffff"/>
        </w:rPr>
        <w:t xml:space="preserve">, B. and Antwi, E.O., (2022). </w:t>
      </w:r>
      <w:r>
        <w:rPr>
          <w:rFonts w:cs="Arial"/>
          <w:color w:val="222222"/>
          <w:sz w:val="22"/>
          <w:shd w:val="clear" w:color="auto" w:fill="ffffff"/>
        </w:rPr>
        <w:t>‘</w:t>
      </w:r>
      <w:r>
        <w:rPr>
          <w:rFonts w:cs="Arial"/>
          <w:color w:val="222222"/>
          <w:sz w:val="22"/>
          <w:shd w:val="clear" w:color="auto" w:fill="ffffff"/>
        </w:rPr>
        <w:t xml:space="preserve">Nexus between constructs </w:t>
      </w:r>
      <w:r>
        <w:rPr>
          <w:rFonts w:cs="Arial"/>
          <w:color w:val="222222"/>
          <w:sz w:val="22"/>
          <w:shd w:val="clear" w:color="auto" w:fill="ffffff"/>
        </w:rPr>
        <w:t>of social cognitive theory model and diabetes self-management among Ghanaian diabetic patients: A mediation modelling approach</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PLOS Global Public Health</w:t>
      </w:r>
      <w:r>
        <w:rPr>
          <w:rFonts w:cs="Arial"/>
          <w:color w:val="222222"/>
          <w:sz w:val="22"/>
          <w:shd w:val="clear" w:color="auto" w:fill="ffffff"/>
        </w:rPr>
        <w:t>, </w:t>
      </w:r>
      <w:r>
        <w:rPr>
          <w:rFonts w:cs="Arial"/>
          <w:i/>
          <w:iCs/>
          <w:color w:val="222222"/>
          <w:sz w:val="22"/>
          <w:shd w:val="clear" w:color="auto" w:fill="ffffff"/>
        </w:rPr>
        <w:t>2</w:t>
      </w:r>
      <w:r>
        <w:rPr>
          <w:rFonts w:cs="Arial"/>
          <w:color w:val="222222"/>
          <w:sz w:val="22"/>
          <w:shd w:val="clear" w:color="auto" w:fill="ffffff"/>
        </w:rPr>
        <w:t>(7), p.e0000736.</w:t>
      </w:r>
    </w:p>
    <w:p w14:paraId="7C022077">
      <w:pPr>
        <w:pStyle w:val="style0"/>
        <w:spacing w:lineRule="auto" w:line="360"/>
        <w:ind w:left="720" w:hanging="720"/>
        <w:jc w:val="both"/>
        <w:rPr>
          <w:rFonts w:cs="Arial"/>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Office for Health Improvement and Disparities (2025) </w:t>
      </w:r>
      <w:r>
        <w:rPr>
          <w:rFonts w:cs="Arial"/>
          <w:i/>
          <w:iCs/>
          <w:sz w:val="22"/>
        </w:rPr>
        <w:t>Diabetes profile: statistical commentary, March 2025</w:t>
      </w:r>
      <w:r>
        <w:rPr>
          <w:rFonts w:cs="Arial"/>
          <w:sz w:val="22"/>
        </w:rPr>
        <w:t> (2026) </w:t>
      </w:r>
      <w:r>
        <w:rPr>
          <w:rFonts w:cs="Arial"/>
          <w:i/>
          <w:iCs/>
          <w:sz w:val="22"/>
        </w:rPr>
        <w:t>GOV.UK</w:t>
      </w:r>
      <w:r>
        <w:rPr>
          <w:rFonts w:cs="Arial"/>
          <w:sz w:val="22"/>
        </w:rPr>
        <w:t>. Available at: https://www.gov.uk/government/statistics/diabetes-profile-update-march-2025/diabetes-profile-statistical-commentary-march-2025 (Accessed: 19 June 2026).</w:t>
      </w:r>
    </w:p>
    <w:p w14:paraId="7C022078">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Page, M.J., McKenzie, J.E., Bossuyt, P.M., </w:t>
      </w:r>
      <w:r>
        <w:rPr>
          <w:rFonts w:cs="Arial"/>
          <w:color w:val="222222"/>
          <w:sz w:val="22"/>
          <w:shd w:val="clear" w:color="auto" w:fill="ffffff"/>
        </w:rPr>
        <w:t>Boutron</w:t>
      </w:r>
      <w:r>
        <w:rPr>
          <w:rFonts w:cs="Arial"/>
          <w:color w:val="222222"/>
          <w:sz w:val="22"/>
          <w:shd w:val="clear" w:color="auto" w:fill="ffffff"/>
        </w:rPr>
        <w:t xml:space="preserve">, I., Hoffmann, T.C., Mulrow, C.D., </w:t>
      </w:r>
      <w:r>
        <w:rPr>
          <w:rFonts w:cs="Arial"/>
          <w:color w:val="222222"/>
          <w:sz w:val="22"/>
          <w:shd w:val="clear" w:color="auto" w:fill="ffffff"/>
        </w:rPr>
        <w:t>Shamseer</w:t>
      </w:r>
      <w:r>
        <w:rPr>
          <w:rFonts w:cs="Arial"/>
          <w:color w:val="222222"/>
          <w:sz w:val="22"/>
          <w:shd w:val="clear" w:color="auto" w:fill="ffffff"/>
        </w:rPr>
        <w:t xml:space="preserve">, L., Tetzlaff, J.M., Akl, E.A., Brennan, S.E. and Chou, R., (2022). </w:t>
      </w:r>
      <w:r>
        <w:rPr>
          <w:rFonts w:cs="Arial"/>
          <w:color w:val="222222"/>
          <w:sz w:val="22"/>
          <w:shd w:val="clear" w:color="auto" w:fill="ffffff"/>
        </w:rPr>
        <w:t>‘</w:t>
      </w:r>
      <w:r>
        <w:rPr>
          <w:rFonts w:cs="Arial"/>
          <w:color w:val="222222"/>
          <w:sz w:val="22"/>
          <w:shd w:val="clear" w:color="auto" w:fill="ffffff"/>
        </w:rPr>
        <w:t>The PRISMA 2020 statement: an updated guideline for reporting systematic reviews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Revista</w:t>
      </w:r>
      <w:r>
        <w:rPr>
          <w:rFonts w:cs="Arial"/>
          <w:i/>
          <w:iCs/>
          <w:color w:val="222222"/>
          <w:sz w:val="22"/>
          <w:shd w:val="clear" w:color="auto" w:fill="ffffff"/>
        </w:rPr>
        <w:t xml:space="preserve"> </w:t>
      </w:r>
      <w:r>
        <w:rPr>
          <w:rFonts w:cs="Arial"/>
          <w:i/>
          <w:iCs/>
          <w:color w:val="222222"/>
          <w:sz w:val="22"/>
          <w:shd w:val="clear" w:color="auto" w:fill="ffffff"/>
        </w:rPr>
        <w:t>panamericana</w:t>
      </w:r>
      <w:r>
        <w:rPr>
          <w:rFonts w:cs="Arial"/>
          <w:i/>
          <w:iCs/>
          <w:color w:val="222222"/>
          <w:sz w:val="22"/>
          <w:shd w:val="clear" w:color="auto" w:fill="ffffff"/>
        </w:rPr>
        <w:t xml:space="preserve"> de </w:t>
      </w:r>
      <w:r>
        <w:rPr>
          <w:rFonts w:cs="Arial"/>
          <w:i/>
          <w:iCs/>
          <w:color w:val="222222"/>
          <w:sz w:val="22"/>
          <w:shd w:val="clear" w:color="auto" w:fill="ffffff"/>
        </w:rPr>
        <w:t>salud</w:t>
      </w:r>
      <w:r>
        <w:rPr>
          <w:rFonts w:cs="Arial"/>
          <w:i/>
          <w:iCs/>
          <w:color w:val="222222"/>
          <w:sz w:val="22"/>
          <w:shd w:val="clear" w:color="auto" w:fill="ffffff"/>
        </w:rPr>
        <w:t xml:space="preserve"> publica</w:t>
      </w:r>
      <w:r>
        <w:rPr>
          <w:rFonts w:cs="Arial"/>
          <w:color w:val="222222"/>
          <w:sz w:val="22"/>
          <w:shd w:val="clear" w:color="auto" w:fill="ffffff"/>
        </w:rPr>
        <w:t>, </w:t>
      </w:r>
      <w:r>
        <w:rPr>
          <w:rFonts w:cs="Arial"/>
          <w:i/>
          <w:iCs/>
          <w:color w:val="222222"/>
          <w:sz w:val="22"/>
          <w:shd w:val="clear" w:color="auto" w:fill="ffffff"/>
        </w:rPr>
        <w:t>46</w:t>
      </w:r>
      <w:r>
        <w:rPr>
          <w:rFonts w:cs="Arial"/>
          <w:color w:val="222222"/>
          <w:sz w:val="22"/>
          <w:shd w:val="clear" w:color="auto" w:fill="ffffff"/>
        </w:rPr>
        <w:t>, p.e112.</w:t>
      </w:r>
    </w:p>
    <w:p w14:paraId="7C022079">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Parmar, J., El Masri, A., MacMillan, F., McCaffery, K. and Arora, A., (2025). </w:t>
      </w:r>
      <w:r>
        <w:rPr>
          <w:rFonts w:cs="Arial"/>
          <w:color w:val="222222"/>
          <w:sz w:val="22"/>
          <w:shd w:val="clear" w:color="auto" w:fill="ffffff"/>
        </w:rPr>
        <w:t>‘</w:t>
      </w:r>
      <w:r>
        <w:rPr>
          <w:rFonts w:cs="Arial"/>
          <w:color w:val="222222"/>
          <w:sz w:val="22"/>
          <w:shd w:val="clear" w:color="auto" w:fill="ffffff"/>
        </w:rPr>
        <w:t>Health literacy and medication adherence in adults from ethnic minority backgrounds with type 2 diabetes mellitus: a systematic review</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BMC Public Health</w:t>
      </w:r>
      <w:r>
        <w:rPr>
          <w:rFonts w:cs="Arial"/>
          <w:color w:val="222222"/>
          <w:sz w:val="22"/>
          <w:shd w:val="clear" w:color="auto" w:fill="ffffff"/>
        </w:rPr>
        <w:t>, </w:t>
      </w:r>
      <w:r>
        <w:rPr>
          <w:rFonts w:cs="Arial"/>
          <w:i/>
          <w:iCs/>
          <w:color w:val="222222"/>
          <w:sz w:val="22"/>
          <w:shd w:val="clear" w:color="auto" w:fill="ffffff"/>
        </w:rPr>
        <w:t>25</w:t>
      </w:r>
      <w:r>
        <w:rPr>
          <w:rFonts w:cs="Arial"/>
          <w:color w:val="222222"/>
          <w:sz w:val="22"/>
          <w:shd w:val="clear" w:color="auto" w:fill="ffffff"/>
        </w:rPr>
        <w:t>(1), p.222.</w:t>
      </w:r>
    </w:p>
    <w:p w14:paraId="24B806A7">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Pottier, P., </w:t>
      </w:r>
      <w:r>
        <w:rPr>
          <w:rFonts w:cs="Arial"/>
          <w:color w:val="222222"/>
          <w:sz w:val="22"/>
          <w:shd w:val="clear" w:color="auto" w:fill="ffffff"/>
        </w:rPr>
        <w:t>Lagisz</w:t>
      </w:r>
      <w:r>
        <w:rPr>
          <w:rFonts w:cs="Arial"/>
          <w:color w:val="222222"/>
          <w:sz w:val="22"/>
          <w:shd w:val="clear" w:color="auto" w:fill="ffffff"/>
        </w:rPr>
        <w:t xml:space="preserve">, M., Burke, S., </w:t>
      </w:r>
      <w:r>
        <w:rPr>
          <w:rFonts w:cs="Arial"/>
          <w:color w:val="222222"/>
          <w:sz w:val="22"/>
          <w:shd w:val="clear" w:color="auto" w:fill="ffffff"/>
        </w:rPr>
        <w:t>Drobniak</w:t>
      </w:r>
      <w:r>
        <w:rPr>
          <w:rFonts w:cs="Arial"/>
          <w:color w:val="222222"/>
          <w:sz w:val="22"/>
          <w:shd w:val="clear" w:color="auto" w:fill="ffffff"/>
        </w:rPr>
        <w:t xml:space="preserve">, S.M., Downing, P.A., Macartney, E.L., </w:t>
      </w:r>
      <w:r>
        <w:rPr>
          <w:rFonts w:cs="Arial"/>
          <w:color w:val="222222"/>
          <w:sz w:val="22"/>
          <w:shd w:val="clear" w:color="auto" w:fill="ffffff"/>
        </w:rPr>
        <w:t>Martinig</w:t>
      </w:r>
      <w:r>
        <w:rPr>
          <w:rFonts w:cs="Arial"/>
          <w:color w:val="222222"/>
          <w:sz w:val="22"/>
          <w:shd w:val="clear" w:color="auto" w:fill="ffffff"/>
        </w:rPr>
        <w:t xml:space="preserve">, A.R., Mizuno, A., Morrison, K., Pollo, P. and </w:t>
      </w:r>
      <w:r>
        <w:rPr>
          <w:rFonts w:cs="Arial"/>
          <w:color w:val="222222"/>
          <w:sz w:val="22"/>
          <w:shd w:val="clear" w:color="auto" w:fill="ffffff"/>
        </w:rPr>
        <w:t>Ricolfi</w:t>
      </w:r>
      <w:r>
        <w:rPr>
          <w:rFonts w:cs="Arial"/>
          <w:color w:val="222222"/>
          <w:sz w:val="22"/>
          <w:shd w:val="clear" w:color="auto" w:fill="ffffff"/>
        </w:rPr>
        <w:t xml:space="preserve">, L. (2024) 'Title, abstract and keywords: a practical guide to maximise the visibility and impact of academic papers', </w:t>
      </w:r>
      <w:r>
        <w:rPr>
          <w:rFonts w:cs="Arial"/>
          <w:i/>
          <w:iCs/>
          <w:color w:val="222222"/>
          <w:sz w:val="22"/>
          <w:shd w:val="clear" w:color="auto" w:fill="ffffff"/>
        </w:rPr>
        <w:t>Proceedings of the Royal Society B: Biological Sciences,</w:t>
      </w:r>
      <w:r>
        <w:rPr>
          <w:rFonts w:cs="Arial"/>
          <w:color w:val="222222"/>
          <w:sz w:val="22"/>
          <w:shd w:val="clear" w:color="auto" w:fill="ffffff"/>
        </w:rPr>
        <w:t xml:space="preserve"> 291(2027), 20241222.</w:t>
      </w:r>
    </w:p>
    <w:p w14:paraId="7C02207B">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Powers, M.A., Bardsley, J.K., Cypress, M., Funnell, M.M., Harms, D., Hess-Fischl, A., Hooks, B., Isaacs, D., Mandel, E.D., Maryniuk, M.D. and Norton, A., (2020). Diabetes self-management education and support in adults with type 2 diabetes: a consensus report of the American Diabetes Association, the Association of Diabetes Care &amp; Education Specialists, the Academy of Nutrition and Dietetics, the American Academy of Family Physicians, the American Academy of PAs, the American Association of Nurse Practitioners, and the American Pharmacists Association. </w:t>
      </w:r>
      <w:r>
        <w:rPr>
          <w:rFonts w:cs="Arial"/>
          <w:i/>
          <w:iCs/>
          <w:color w:val="222222"/>
          <w:sz w:val="22"/>
          <w:shd w:val="clear" w:color="auto" w:fill="ffffff"/>
        </w:rPr>
        <w:t>Journal of the American Pharmacists Association</w:t>
      </w:r>
      <w:r>
        <w:rPr>
          <w:rFonts w:cs="Arial"/>
          <w:color w:val="222222"/>
          <w:sz w:val="22"/>
          <w:shd w:val="clear" w:color="auto" w:fill="ffffff"/>
        </w:rPr>
        <w:t>, </w:t>
      </w:r>
      <w:r>
        <w:rPr>
          <w:rFonts w:cs="Arial"/>
          <w:i/>
          <w:iCs/>
          <w:color w:val="222222"/>
          <w:sz w:val="22"/>
          <w:shd w:val="clear" w:color="auto" w:fill="ffffff"/>
        </w:rPr>
        <w:t>60</w:t>
      </w:r>
      <w:r>
        <w:rPr>
          <w:rFonts w:cs="Arial"/>
          <w:color w:val="222222"/>
          <w:sz w:val="22"/>
          <w:shd w:val="clear" w:color="auto" w:fill="ffffff"/>
        </w:rPr>
        <w:t xml:space="preserve">(6), </w:t>
      </w:r>
      <w:r>
        <w:rPr>
          <w:rFonts w:cs="Arial"/>
          <w:color w:val="222222"/>
          <w:sz w:val="22"/>
          <w:shd w:val="clear" w:color="auto" w:fill="ffffff"/>
        </w:rPr>
        <w:t>pp.e</w:t>
      </w:r>
      <w:r>
        <w:rPr>
          <w:rFonts w:cs="Arial"/>
          <w:color w:val="222222"/>
          <w:sz w:val="22"/>
          <w:shd w:val="clear" w:color="auto" w:fill="ffffff"/>
        </w:rPr>
        <w:t>1-e18.</w:t>
      </w:r>
    </w:p>
    <w:p w14:paraId="7C02207C">
      <w:pPr>
        <w:pStyle w:val="style0"/>
        <w:spacing w:lineRule="auto" w:line="360"/>
        <w:ind w:left="720" w:hanging="720"/>
        <w:jc w:val="both"/>
        <w:rPr>
          <w:rFonts w:cs="Arial"/>
          <w:sz w:val="22"/>
        </w:rPr>
      </w:pPr>
      <w:r>
        <w:rPr>
          <w:rFonts w:cs="Arial"/>
          <w:sz w:val="22"/>
        </w:rPr>
        <w:t xml:space="preserve">Puvvada, R.K., Tang, C.Y., Thomas, J., Kay, M., Higgs, P., Jois, M., Madhan, R. and Gupta, S., (2023). </w:t>
      </w:r>
      <w:r>
        <w:rPr>
          <w:rFonts w:cs="Arial"/>
          <w:sz w:val="22"/>
        </w:rPr>
        <w:t>‘</w:t>
      </w:r>
      <w:r>
        <w:rPr>
          <w:rFonts w:cs="Arial"/>
          <w:sz w:val="22"/>
        </w:rPr>
        <w:t>Using 17th century medication for modern diabetes management: Doctors' perceptions of self-medication practices–A qualitative study</w:t>
      </w:r>
      <w:r>
        <w:rPr>
          <w:rFonts w:cs="Arial"/>
          <w:sz w:val="22"/>
        </w:rPr>
        <w:t>’,</w:t>
      </w:r>
      <w:r>
        <w:rPr>
          <w:rFonts w:cs="Arial"/>
          <w:sz w:val="22"/>
        </w:rPr>
        <w:t xml:space="preserve"> </w:t>
      </w:r>
      <w:r>
        <w:rPr>
          <w:rFonts w:cs="Arial"/>
          <w:i/>
          <w:iCs/>
          <w:sz w:val="22"/>
        </w:rPr>
        <w:t>Journal of Diabetes &amp; Metabolic Disorders</w:t>
      </w:r>
      <w:r>
        <w:rPr>
          <w:rFonts w:cs="Arial"/>
          <w:sz w:val="22"/>
        </w:rPr>
        <w:t>, 22(1), pp.375-383.</w:t>
      </w:r>
    </w:p>
    <w:p w14:paraId="7C02207D">
      <w:pPr>
        <w:pStyle w:val="style0"/>
        <w:spacing w:lineRule="auto" w:line="360"/>
        <w:ind w:left="720" w:hanging="720"/>
        <w:jc w:val="both"/>
        <w:rPr>
          <w:rFonts w:cs="Arial"/>
          <w:sz w:val="22"/>
        </w:rPr>
      </w:pPr>
      <w:r>
        <w:rPr>
          <w:rFonts w:cs="Arial"/>
          <w:sz w:val="22"/>
        </w:rPr>
        <w:t xml:space="preserve">Rajput, S.A., </w:t>
      </w:r>
      <w:r>
        <w:rPr>
          <w:rFonts w:cs="Arial"/>
          <w:sz w:val="22"/>
        </w:rPr>
        <w:t>Ashraff</w:t>
      </w:r>
      <w:r>
        <w:rPr>
          <w:rFonts w:cs="Arial"/>
          <w:sz w:val="22"/>
        </w:rPr>
        <w:t xml:space="preserve">, S. and Siddiqui, M., (2022). </w:t>
      </w:r>
      <w:r>
        <w:rPr>
          <w:rFonts w:cs="Arial"/>
          <w:sz w:val="22"/>
        </w:rPr>
        <w:t>‘</w:t>
      </w:r>
      <w:r>
        <w:rPr>
          <w:rFonts w:cs="Arial"/>
          <w:sz w:val="22"/>
        </w:rPr>
        <w:t>Diet and management of type II diabetes mellitus in the United Kingdom: a narrative review</w:t>
      </w:r>
      <w:r>
        <w:rPr>
          <w:rFonts w:cs="Arial"/>
          <w:sz w:val="22"/>
        </w:rPr>
        <w:t>’,</w:t>
      </w:r>
      <w:r>
        <w:rPr>
          <w:rFonts w:cs="Arial"/>
          <w:sz w:val="22"/>
        </w:rPr>
        <w:t xml:space="preserve"> </w:t>
      </w:r>
      <w:r>
        <w:rPr>
          <w:rFonts w:cs="Arial"/>
          <w:i/>
          <w:iCs/>
          <w:sz w:val="22"/>
        </w:rPr>
        <w:t>Diabetology</w:t>
      </w:r>
      <w:r>
        <w:rPr>
          <w:rFonts w:cs="Arial"/>
          <w:sz w:val="22"/>
        </w:rPr>
        <w:t>, 3(1), pp.72-78.</w:t>
      </w:r>
    </w:p>
    <w:p w14:paraId="7C02207E">
      <w:pPr>
        <w:pStyle w:val="style94"/>
        <w:spacing w:lineRule="auto" w:line="360"/>
        <w:ind w:left="720" w:hanging="720"/>
        <w:jc w:val="both"/>
        <w:rPr>
          <w:rFonts w:ascii="Arial" w:cs="Arial" w:hAnsi="Arial"/>
          <w:color w:val="222222"/>
          <w:sz w:val="22"/>
          <w:szCs w:val="22"/>
          <w:shd w:val="clear" w:color="auto" w:fill="ffffff"/>
        </w:rPr>
      </w:pPr>
      <w:r>
        <w:rPr>
          <w:rFonts w:ascii="Arial" w:cs="Arial" w:hAnsi="Arial"/>
          <w:color w:val="222222"/>
          <w:sz w:val="22"/>
          <w:szCs w:val="22"/>
          <w:shd w:val="clear" w:color="auto" w:fill="ffffff"/>
        </w:rPr>
        <w:t xml:space="preserve">Smith, Y., Garcia-Torres, R., Coughlin, S.S., Ling, J., Marin, T., </w:t>
      </w:r>
      <w:r>
        <w:rPr>
          <w:rFonts w:ascii="Arial" w:cs="Arial" w:hAnsi="Arial"/>
          <w:color w:val="222222"/>
          <w:sz w:val="22"/>
          <w:szCs w:val="22"/>
          <w:shd w:val="clear" w:color="auto" w:fill="ffffff"/>
        </w:rPr>
        <w:t>Su</w:t>
      </w:r>
      <w:r>
        <w:rPr>
          <w:rFonts w:ascii="Arial" w:cs="Arial" w:hAnsi="Arial"/>
          <w:color w:val="222222"/>
          <w:sz w:val="22"/>
          <w:szCs w:val="22"/>
          <w:shd w:val="clear" w:color="auto" w:fill="ffffff"/>
        </w:rPr>
        <w:t xml:space="preserve">, S. and Young, L., (2020). </w:t>
      </w:r>
      <w:r>
        <w:rPr>
          <w:rFonts w:ascii="Arial" w:cs="Arial" w:hAnsi="Arial"/>
          <w:color w:val="222222"/>
          <w:sz w:val="22"/>
          <w:szCs w:val="22"/>
          <w:shd w:val="clear" w:color="auto" w:fill="ffffff"/>
        </w:rPr>
        <w:t>‘</w:t>
      </w:r>
      <w:r>
        <w:rPr>
          <w:rFonts w:ascii="Arial" w:cs="Arial" w:hAnsi="Arial"/>
          <w:color w:val="222222"/>
          <w:sz w:val="22"/>
          <w:szCs w:val="22"/>
          <w:shd w:val="clear" w:color="auto" w:fill="ffffff"/>
        </w:rPr>
        <w:t>Effectiveness of social cognitive theory–based interventions for glycemic control in adults with type 2 diabetes mellitus: protocol for a systematic review and meta-analysis</w:t>
      </w:r>
      <w:r>
        <w:rPr>
          <w:rFonts w:ascii="Arial" w:cs="Arial" w:hAnsi="Arial"/>
          <w:color w:val="222222"/>
          <w:sz w:val="22"/>
          <w:szCs w:val="22"/>
          <w:shd w:val="clear" w:color="auto" w:fill="ffffff"/>
        </w:rPr>
        <w:t>’,</w:t>
      </w:r>
      <w:r>
        <w:rPr>
          <w:rFonts w:ascii="Arial" w:cs="Arial" w:hAnsi="Arial"/>
          <w:color w:val="222222"/>
          <w:sz w:val="22"/>
          <w:szCs w:val="22"/>
          <w:shd w:val="clear" w:color="auto" w:fill="ffffff"/>
        </w:rPr>
        <w:t> </w:t>
      </w:r>
      <w:r>
        <w:rPr>
          <w:rFonts w:ascii="Arial" w:cs="Arial" w:hAnsi="Arial"/>
          <w:i/>
          <w:iCs/>
          <w:color w:val="222222"/>
          <w:sz w:val="22"/>
          <w:szCs w:val="22"/>
          <w:shd w:val="clear" w:color="auto" w:fill="ffffff"/>
        </w:rPr>
        <w:t>JMIR research protocols</w:t>
      </w:r>
      <w:r>
        <w:rPr>
          <w:rFonts w:ascii="Arial" w:cs="Arial" w:hAnsi="Arial"/>
          <w:color w:val="222222"/>
          <w:sz w:val="22"/>
          <w:szCs w:val="22"/>
          <w:shd w:val="clear" w:color="auto" w:fill="ffffff"/>
        </w:rPr>
        <w:t>, </w:t>
      </w:r>
      <w:r>
        <w:rPr>
          <w:rFonts w:ascii="Arial" w:cs="Arial" w:hAnsi="Arial"/>
          <w:i/>
          <w:iCs/>
          <w:color w:val="222222"/>
          <w:sz w:val="22"/>
          <w:szCs w:val="22"/>
          <w:shd w:val="clear" w:color="auto" w:fill="ffffff"/>
        </w:rPr>
        <w:t>9</w:t>
      </w:r>
      <w:r>
        <w:rPr>
          <w:rFonts w:ascii="Arial" w:cs="Arial" w:hAnsi="Arial"/>
          <w:color w:val="222222"/>
          <w:sz w:val="22"/>
          <w:szCs w:val="22"/>
          <w:shd w:val="clear" w:color="auto" w:fill="ffffff"/>
        </w:rPr>
        <w:t>(9), p.e17148.</w:t>
      </w:r>
    </w:p>
    <w:p w14:paraId="7C02207F">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Snyder, H., (2019). </w:t>
      </w:r>
      <w:r>
        <w:rPr>
          <w:rFonts w:cs="Arial"/>
          <w:color w:val="222222"/>
          <w:sz w:val="22"/>
          <w:shd w:val="clear" w:color="auto" w:fill="ffffff"/>
        </w:rPr>
        <w:t>‘</w:t>
      </w:r>
      <w:r>
        <w:rPr>
          <w:rFonts w:cs="Arial"/>
          <w:color w:val="222222"/>
          <w:sz w:val="22"/>
          <w:shd w:val="clear" w:color="auto" w:fill="ffffff"/>
        </w:rPr>
        <w:t>Literature review as a research methodology: An overview and guidelines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Journal of business research</w:t>
      </w:r>
      <w:r>
        <w:rPr>
          <w:rFonts w:cs="Arial"/>
          <w:color w:val="222222"/>
          <w:sz w:val="22"/>
          <w:shd w:val="clear" w:color="auto" w:fill="ffffff"/>
        </w:rPr>
        <w:t>, </w:t>
      </w:r>
      <w:r>
        <w:rPr>
          <w:rFonts w:cs="Arial"/>
          <w:i/>
          <w:iCs/>
          <w:color w:val="222222"/>
          <w:sz w:val="22"/>
          <w:shd w:val="clear" w:color="auto" w:fill="ffffff"/>
        </w:rPr>
        <w:t>104</w:t>
      </w:r>
      <w:r>
        <w:rPr>
          <w:rFonts w:cs="Arial"/>
          <w:color w:val="222222"/>
          <w:sz w:val="22"/>
          <w:shd w:val="clear" w:color="auto" w:fill="ffffff"/>
        </w:rPr>
        <w:t>, pp.333-339.</w:t>
      </w:r>
    </w:p>
    <w:p w14:paraId="7C022080">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Thomas, J. and Harden, A., (2008). </w:t>
      </w:r>
      <w:r>
        <w:rPr>
          <w:rFonts w:cs="Arial"/>
          <w:color w:val="222222"/>
          <w:sz w:val="22"/>
          <w:shd w:val="clear" w:color="auto" w:fill="ffffff"/>
        </w:rPr>
        <w:t>‘</w:t>
      </w:r>
      <w:r>
        <w:rPr>
          <w:rFonts w:cs="Arial"/>
          <w:color w:val="222222"/>
          <w:sz w:val="22"/>
          <w:shd w:val="clear" w:color="auto" w:fill="ffffff"/>
        </w:rPr>
        <w:t>Methods for the thematic synthesis of qualitative research in systematic reviews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BMC medical research methodology</w:t>
      </w:r>
      <w:r>
        <w:rPr>
          <w:rFonts w:cs="Arial"/>
          <w:color w:val="222222"/>
          <w:sz w:val="22"/>
          <w:shd w:val="clear" w:color="auto" w:fill="ffffff"/>
        </w:rPr>
        <w:t>, </w:t>
      </w:r>
      <w:r>
        <w:rPr>
          <w:rFonts w:cs="Arial"/>
          <w:i/>
          <w:iCs/>
          <w:color w:val="222222"/>
          <w:sz w:val="22"/>
          <w:shd w:val="clear" w:color="auto" w:fill="ffffff"/>
        </w:rPr>
        <w:t>8</w:t>
      </w:r>
      <w:r>
        <w:rPr>
          <w:rFonts w:cs="Arial"/>
          <w:color w:val="222222"/>
          <w:sz w:val="22"/>
          <w:shd w:val="clear" w:color="auto" w:fill="ffffff"/>
        </w:rPr>
        <w:t>(1), p.45.</w:t>
      </w:r>
    </w:p>
    <w:p w14:paraId="7C022081">
      <w:pPr>
        <w:pStyle w:val="style0"/>
        <w:spacing w:before="100" w:beforeAutospacing="true" w:after="100" w:afterAutospacing="true" w:lineRule="auto" w:line="360"/>
        <w:ind w:left="720" w:hanging="720"/>
        <w:jc w:val="both"/>
        <w:rPr>
          <w:rFonts w:cs="Arial"/>
          <w:color w:val="222222"/>
          <w:sz w:val="22"/>
          <w:shd w:val="clear" w:color="auto" w:fill="ffffff"/>
        </w:rPr>
      </w:pPr>
      <w:r>
        <w:rPr>
          <w:rFonts w:cs="Arial"/>
          <w:color w:val="222222"/>
          <w:sz w:val="22"/>
          <w:shd w:val="clear" w:color="auto" w:fill="ffffff"/>
        </w:rPr>
        <w:t xml:space="preserve">Tong, A., Flemming, K., McInnes, E., Oliver, S. and Craig, J., (2012). </w:t>
      </w:r>
      <w:r>
        <w:rPr>
          <w:rFonts w:cs="Arial"/>
          <w:color w:val="222222"/>
          <w:sz w:val="22"/>
          <w:shd w:val="clear" w:color="auto" w:fill="ffffff"/>
        </w:rPr>
        <w:t>‘</w:t>
      </w:r>
      <w:r>
        <w:rPr>
          <w:rFonts w:cs="Arial"/>
          <w:color w:val="222222"/>
          <w:sz w:val="22"/>
          <w:shd w:val="clear" w:color="auto" w:fill="ffffff"/>
        </w:rPr>
        <w:t>Enhancing transparency in reporting the synthesis of qualitative research: ENTREQ</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BMC medical research methodology</w:t>
      </w:r>
      <w:r>
        <w:rPr>
          <w:rFonts w:cs="Arial"/>
          <w:color w:val="222222"/>
          <w:sz w:val="22"/>
          <w:shd w:val="clear" w:color="auto" w:fill="ffffff"/>
        </w:rPr>
        <w:t>, </w:t>
      </w:r>
      <w:r>
        <w:rPr>
          <w:rFonts w:cs="Arial"/>
          <w:i/>
          <w:iCs/>
          <w:color w:val="222222"/>
          <w:sz w:val="22"/>
          <w:shd w:val="clear" w:color="auto" w:fill="ffffff"/>
        </w:rPr>
        <w:t>12</w:t>
      </w:r>
      <w:r>
        <w:rPr>
          <w:rFonts w:cs="Arial"/>
          <w:color w:val="222222"/>
          <w:sz w:val="22"/>
          <w:shd w:val="clear" w:color="auto" w:fill="ffffff"/>
        </w:rPr>
        <w:t>(1), p.181.</w:t>
      </w:r>
    </w:p>
    <w:p w14:paraId="7C022082">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Vilafranca</w:t>
      </w:r>
      <w:r>
        <w:rPr>
          <w:rFonts w:cs="Arial"/>
          <w:color w:val="222222"/>
          <w:sz w:val="22"/>
          <w:shd w:val="clear" w:color="auto" w:fill="ffffff"/>
        </w:rPr>
        <w:t xml:space="preserve"> Cartagena, M., Tort-</w:t>
      </w:r>
      <w:r>
        <w:rPr>
          <w:rFonts w:cs="Arial"/>
          <w:color w:val="222222"/>
          <w:sz w:val="22"/>
          <w:shd w:val="clear" w:color="auto" w:fill="ffffff"/>
        </w:rPr>
        <w:t>Nasarre</w:t>
      </w:r>
      <w:r>
        <w:rPr>
          <w:rFonts w:cs="Arial"/>
          <w:color w:val="222222"/>
          <w:sz w:val="22"/>
          <w:shd w:val="clear" w:color="auto" w:fill="ffffff"/>
        </w:rPr>
        <w:t xml:space="preserve">, G. and </w:t>
      </w:r>
      <w:r>
        <w:rPr>
          <w:rFonts w:cs="Arial"/>
          <w:color w:val="222222"/>
          <w:sz w:val="22"/>
          <w:shd w:val="clear" w:color="auto" w:fill="ffffff"/>
        </w:rPr>
        <w:t>Rubinat</w:t>
      </w:r>
      <w:r>
        <w:rPr>
          <w:rFonts w:cs="Arial"/>
          <w:color w:val="222222"/>
          <w:sz w:val="22"/>
          <w:shd w:val="clear" w:color="auto" w:fill="ffffff"/>
        </w:rPr>
        <w:t xml:space="preserve"> Arnaldo, E., (2021). </w:t>
      </w:r>
      <w:r>
        <w:rPr>
          <w:rFonts w:cs="Arial"/>
          <w:color w:val="222222"/>
          <w:sz w:val="22"/>
          <w:shd w:val="clear" w:color="auto" w:fill="ffffff"/>
        </w:rPr>
        <w:t>‘</w:t>
      </w:r>
      <w:r>
        <w:rPr>
          <w:rFonts w:cs="Arial"/>
          <w:color w:val="222222"/>
          <w:sz w:val="22"/>
          <w:shd w:val="clear" w:color="auto" w:fill="ffffff"/>
        </w:rPr>
        <w:t>Barriers and facilitators for physical activity in adults with type 2 diabetes mellitus: a scoping review</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International journal of environmental research and public health</w:t>
      </w:r>
      <w:r>
        <w:rPr>
          <w:rFonts w:cs="Arial"/>
          <w:color w:val="222222"/>
          <w:sz w:val="22"/>
          <w:shd w:val="clear" w:color="auto" w:fill="ffffff"/>
        </w:rPr>
        <w:t>, </w:t>
      </w:r>
      <w:r>
        <w:rPr>
          <w:rFonts w:cs="Arial"/>
          <w:i/>
          <w:iCs/>
          <w:color w:val="222222"/>
          <w:sz w:val="22"/>
          <w:shd w:val="clear" w:color="auto" w:fill="ffffff"/>
        </w:rPr>
        <w:t>18</w:t>
      </w:r>
      <w:r>
        <w:rPr>
          <w:rFonts w:cs="Arial"/>
          <w:color w:val="222222"/>
          <w:sz w:val="22"/>
          <w:shd w:val="clear" w:color="auto" w:fill="ffffff"/>
        </w:rPr>
        <w:t>(10), p.5359.</w:t>
      </w:r>
    </w:p>
    <w:p w14:paraId="7C022084">
      <w:pPr>
        <w:pStyle w:val="style0"/>
        <w:spacing w:lineRule="auto" w:line="360"/>
        <w:ind w:left="720" w:hanging="720"/>
        <w:jc w:val="both"/>
        <w:rPr>
          <w:rFonts w:cs="Arial"/>
          <w:sz w:val="22"/>
        </w:rPr>
      </w:pPr>
      <w:r>
        <w:rPr>
          <w:rFonts w:cs="Arial"/>
          <w:sz w:val="22"/>
        </w:rPr>
        <w:t xml:space="preserve">Way, K.L., Sabag, A., Sultana, R.N., Baker, M.K., Keating, S.E., Lanting, S., </w:t>
      </w:r>
      <w:r>
        <w:rPr>
          <w:rFonts w:cs="Arial"/>
          <w:sz w:val="22"/>
        </w:rPr>
        <w:t>Gerofi</w:t>
      </w:r>
      <w:r>
        <w:rPr>
          <w:rFonts w:cs="Arial"/>
          <w:sz w:val="22"/>
        </w:rPr>
        <w:t xml:space="preserve">, J., Chuter, V.H., Caterson, I.D., Twigg, S.M. and Johnson, N.A., (2020). </w:t>
      </w:r>
      <w:r>
        <w:rPr>
          <w:rFonts w:cs="Arial"/>
          <w:sz w:val="22"/>
        </w:rPr>
        <w:t>‘</w:t>
      </w:r>
      <w:r>
        <w:rPr>
          <w:rFonts w:cs="Arial"/>
          <w:sz w:val="22"/>
        </w:rPr>
        <w:t>The effect of low-volume high-intensity interval training on cardiovascular health outcomes in type 2 diabetes: A randomised controlled trial</w:t>
      </w:r>
      <w:r>
        <w:rPr>
          <w:rFonts w:cs="Arial"/>
          <w:sz w:val="22"/>
        </w:rPr>
        <w:t>’,</w:t>
      </w:r>
      <w:r>
        <w:rPr>
          <w:rFonts w:cs="Arial"/>
          <w:sz w:val="22"/>
        </w:rPr>
        <w:t xml:space="preserve"> </w:t>
      </w:r>
      <w:r>
        <w:rPr>
          <w:rFonts w:cs="Arial"/>
          <w:i/>
          <w:iCs/>
          <w:sz w:val="22"/>
        </w:rPr>
        <w:t>International journal of cardiology</w:t>
      </w:r>
      <w:r>
        <w:rPr>
          <w:rFonts w:cs="Arial"/>
          <w:sz w:val="22"/>
        </w:rPr>
        <w:t>, 320, pp.148-154.</w:t>
      </w:r>
    </w:p>
    <w:p w14:paraId="7C022085">
      <w:pPr>
        <w:pStyle w:val="style0"/>
        <w:spacing w:lineRule="auto" w:line="360"/>
        <w:ind w:left="720" w:hanging="720"/>
        <w:jc w:val="both"/>
        <w:rPr>
          <w:rFonts w:cs="Arial"/>
          <w:sz w:val="22"/>
        </w:rPr>
      </w:pPr>
      <w:r>
        <w:rPr>
          <w:rFonts w:cs="Arial"/>
          <w:sz w:val="22"/>
        </w:rPr>
        <w:t xml:space="preserve">Whicher, C.A., </w:t>
      </w:r>
      <w:r>
        <w:rPr>
          <w:rFonts w:cs="Arial"/>
          <w:sz w:val="22"/>
        </w:rPr>
        <w:t>O'neill</w:t>
      </w:r>
      <w:r>
        <w:rPr>
          <w:rFonts w:cs="Arial"/>
          <w:sz w:val="22"/>
        </w:rPr>
        <w:t xml:space="preserve">, S. and Holt, R.G., (2020). </w:t>
      </w:r>
      <w:r>
        <w:rPr>
          <w:rFonts w:cs="Arial"/>
          <w:sz w:val="22"/>
        </w:rPr>
        <w:t>‘</w:t>
      </w:r>
      <w:r>
        <w:rPr>
          <w:rFonts w:cs="Arial"/>
          <w:sz w:val="22"/>
        </w:rPr>
        <w:t>Diabetes in the UK: 2019</w:t>
      </w:r>
      <w:r>
        <w:rPr>
          <w:rFonts w:cs="Arial"/>
          <w:sz w:val="22"/>
        </w:rPr>
        <w:t>’,</w:t>
      </w:r>
      <w:r>
        <w:rPr>
          <w:rFonts w:cs="Arial"/>
          <w:sz w:val="22"/>
        </w:rPr>
        <w:t xml:space="preserve"> </w:t>
      </w:r>
      <w:r>
        <w:rPr>
          <w:rFonts w:cs="Arial"/>
          <w:i/>
          <w:iCs/>
          <w:sz w:val="22"/>
        </w:rPr>
        <w:t>Diabetic medicine</w:t>
      </w:r>
      <w:r>
        <w:rPr>
          <w:rFonts w:cs="Arial"/>
          <w:sz w:val="22"/>
        </w:rPr>
        <w:t>, 37(2), pp.242-247.</w:t>
      </w:r>
    </w:p>
    <w:p w14:paraId="7C022086">
      <w:pPr>
        <w:pStyle w:val="style0"/>
        <w:spacing w:lineRule="auto" w:line="360"/>
        <w:ind w:left="720" w:hanging="720"/>
        <w:jc w:val="both"/>
        <w:rPr>
          <w:rFonts w:cs="Arial"/>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World Health Organization (WHO) (2024) </w:t>
      </w:r>
      <w:r>
        <w:rPr>
          <w:rFonts w:cs="Arial"/>
          <w:i/>
          <w:iCs/>
          <w:sz w:val="22"/>
        </w:rPr>
        <w:t>Diabetes</w:t>
      </w:r>
      <w:r>
        <w:rPr>
          <w:rFonts w:cs="Arial"/>
          <w:sz w:val="22"/>
        </w:rPr>
        <w:t> </w:t>
      </w:r>
      <w:r>
        <w:rPr>
          <w:rFonts w:cs="Arial"/>
          <w:i/>
          <w:iCs/>
          <w:sz w:val="22"/>
        </w:rPr>
        <w:t>World Health Organization</w:t>
      </w:r>
      <w:r>
        <w:rPr>
          <w:rFonts w:cs="Arial"/>
          <w:sz w:val="22"/>
        </w:rPr>
        <w:t>. World Health Organization. Available at: https://www.who.int/news-room/fact-sheets/detail/diabetes (Accessed: 19 June 2026).</w:t>
      </w:r>
    </w:p>
    <w:p w14:paraId="7C022087">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Xiao, Y. and Watson, M., (2019). </w:t>
      </w:r>
      <w:r>
        <w:rPr>
          <w:rFonts w:cs="Arial"/>
          <w:color w:val="222222"/>
          <w:sz w:val="22"/>
          <w:shd w:val="clear" w:color="auto" w:fill="ffffff"/>
        </w:rPr>
        <w:t>‘</w:t>
      </w:r>
      <w:r>
        <w:rPr>
          <w:rFonts w:cs="Arial"/>
          <w:color w:val="222222"/>
          <w:sz w:val="22"/>
          <w:shd w:val="clear" w:color="auto" w:fill="ffffff"/>
        </w:rPr>
        <w:t>Guidance on conducting a systematic literature review</w:t>
      </w:r>
      <w:r>
        <w:rPr>
          <w:rFonts w:cs="Arial"/>
          <w:color w:val="222222"/>
          <w:sz w:val="22"/>
          <w:shd w:val="clear" w:color="auto" w:fill="ffffff"/>
        </w:rPr>
        <w:t xml:space="preserve">’, </w:t>
      </w:r>
      <w:r>
        <w:rPr>
          <w:rFonts w:cs="Arial"/>
          <w:i/>
          <w:iCs/>
          <w:color w:val="222222"/>
          <w:sz w:val="22"/>
          <w:shd w:val="clear" w:color="auto" w:fill="ffffff"/>
        </w:rPr>
        <w:t>Journal of planning education and research</w:t>
      </w:r>
      <w:r>
        <w:rPr>
          <w:rFonts w:cs="Arial"/>
          <w:color w:val="222222"/>
          <w:sz w:val="22"/>
          <w:shd w:val="clear" w:color="auto" w:fill="ffffff"/>
        </w:rPr>
        <w:t>, </w:t>
      </w:r>
      <w:r>
        <w:rPr>
          <w:rFonts w:cs="Arial"/>
          <w:i/>
          <w:iCs/>
          <w:color w:val="222222"/>
          <w:sz w:val="22"/>
          <w:shd w:val="clear" w:color="auto" w:fill="ffffff"/>
        </w:rPr>
        <w:t>39</w:t>
      </w:r>
      <w:r>
        <w:rPr>
          <w:rFonts w:cs="Arial"/>
          <w:color w:val="222222"/>
          <w:sz w:val="22"/>
          <w:shd w:val="clear" w:color="auto" w:fill="ffffff"/>
        </w:rPr>
        <w:t>(1), pp.93-112.</w:t>
      </w:r>
    </w:p>
    <w:p w14:paraId="7C022088">
      <w:pPr>
        <w:pStyle w:val="style0"/>
        <w:spacing w:lineRule="auto" w:line="360"/>
        <w:ind w:left="720" w:hanging="720"/>
        <w:jc w:val="both"/>
        <w:rPr>
          <w:rFonts w:cs="Arial"/>
          <w:sz w:val="22"/>
        </w:rPr>
      </w:pPr>
      <w:r>
        <w:rPr>
          <w:rFonts w:cs="Arial"/>
          <w:sz w:val="22"/>
        </w:rPr>
        <w:t xml:space="preserve">Zahn, R., Perry, N., Perry, E. and </w:t>
      </w:r>
      <w:r>
        <w:rPr>
          <w:rFonts w:cs="Arial"/>
          <w:sz w:val="22"/>
        </w:rPr>
        <w:t>Mukaetova-Ladinska</w:t>
      </w:r>
      <w:r>
        <w:rPr>
          <w:rFonts w:cs="Arial"/>
          <w:sz w:val="22"/>
        </w:rPr>
        <w:t xml:space="preserve">, E.B., (2019). </w:t>
      </w:r>
      <w:r>
        <w:rPr>
          <w:rFonts w:cs="Arial"/>
          <w:sz w:val="22"/>
        </w:rPr>
        <w:t>‘</w:t>
      </w:r>
      <w:r>
        <w:rPr>
          <w:rFonts w:cs="Arial"/>
          <w:sz w:val="22"/>
        </w:rPr>
        <w:t>Use of herbal medicines: Pilot survey of UK users' views</w:t>
      </w:r>
      <w:r>
        <w:rPr>
          <w:rFonts w:cs="Arial"/>
          <w:sz w:val="22"/>
        </w:rPr>
        <w:t>’,</w:t>
      </w:r>
      <w:r>
        <w:rPr>
          <w:rFonts w:cs="Arial"/>
          <w:sz w:val="22"/>
        </w:rPr>
        <w:t xml:space="preserve"> </w:t>
      </w:r>
      <w:r>
        <w:rPr>
          <w:rFonts w:cs="Arial"/>
          <w:i/>
          <w:iCs/>
          <w:sz w:val="22"/>
        </w:rPr>
        <w:t>Complementary Therapies in Medicine</w:t>
      </w:r>
      <w:r>
        <w:rPr>
          <w:rFonts w:cs="Arial"/>
          <w:sz w:val="22"/>
        </w:rPr>
        <w:t>, 44, pp.83-90.</w:t>
      </w:r>
    </w:p>
    <w:p w14:paraId="7C022089">
      <w:pPr>
        <w:pStyle w:val="style0"/>
        <w:spacing w:lineRule="auto" w:line="360"/>
        <w:ind w:left="720" w:hanging="720"/>
        <w:jc w:val="both"/>
        <w:rPr>
          <w:rFonts w:cs="Arial"/>
          <w:color w:val="222222"/>
          <w:sz w:val="22"/>
          <w:shd w:val="clear" w:color="auto" w:fill="ffffff"/>
        </w:rPr>
      </w:pPr>
      <w:r>
        <w:rPr>
          <w:rFonts w:cs="Arial"/>
          <w:color w:val="222222"/>
          <w:sz w:val="22"/>
          <w:shd w:val="clear" w:color="auto" w:fill="ffffff"/>
        </w:rPr>
        <w:t xml:space="preserve">Zheng, Y., Liu, J., Tang, P.K., Hu, H. and Ung, C.O.L., (2023). </w:t>
      </w:r>
      <w:r>
        <w:rPr>
          <w:rFonts w:cs="Arial"/>
          <w:color w:val="222222"/>
          <w:sz w:val="22"/>
          <w:shd w:val="clear" w:color="auto" w:fill="ffffff"/>
        </w:rPr>
        <w:t>‘</w:t>
      </w:r>
      <w:r>
        <w:rPr>
          <w:rFonts w:cs="Arial"/>
          <w:color w:val="222222"/>
          <w:sz w:val="22"/>
          <w:shd w:val="clear" w:color="auto" w:fill="ffffff"/>
        </w:rPr>
        <w:t>A systematic review of self-medication practice during the COVID-19 pandemic: implications for pharmacy practice in supporting public health measures</w:t>
      </w:r>
      <w:r>
        <w:rPr>
          <w:rFonts w:cs="Arial"/>
          <w:color w:val="222222"/>
          <w:sz w:val="22"/>
          <w:shd w:val="clear" w:color="auto" w:fill="ffffff"/>
        </w:rPr>
        <w:t>’,</w:t>
      </w:r>
      <w:r>
        <w:rPr>
          <w:rFonts w:cs="Arial"/>
          <w:color w:val="222222"/>
          <w:sz w:val="22"/>
          <w:shd w:val="clear" w:color="auto" w:fill="ffffff"/>
        </w:rPr>
        <w:t> </w:t>
      </w:r>
      <w:r>
        <w:rPr>
          <w:rFonts w:cs="Arial"/>
          <w:i/>
          <w:iCs/>
          <w:color w:val="222222"/>
          <w:sz w:val="22"/>
          <w:shd w:val="clear" w:color="auto" w:fill="ffffff"/>
        </w:rPr>
        <w:t>Frontiers in Public Health</w:t>
      </w:r>
      <w:r>
        <w:rPr>
          <w:rFonts w:cs="Arial"/>
          <w:color w:val="222222"/>
          <w:sz w:val="22"/>
          <w:shd w:val="clear" w:color="auto" w:fill="ffffff"/>
        </w:rPr>
        <w:t>, </w:t>
      </w:r>
      <w:r>
        <w:rPr>
          <w:rFonts w:cs="Arial"/>
          <w:i/>
          <w:iCs/>
          <w:color w:val="222222"/>
          <w:sz w:val="22"/>
          <w:shd w:val="clear" w:color="auto" w:fill="ffffff"/>
        </w:rPr>
        <w:t>11</w:t>
      </w:r>
      <w:r>
        <w:rPr>
          <w:rFonts w:cs="Arial"/>
          <w:color w:val="222222"/>
          <w:sz w:val="22"/>
          <w:shd w:val="clear" w:color="auto" w:fill="ffffff"/>
        </w:rPr>
        <w:t>, p.1184882.</w:t>
      </w:r>
    </w:p>
    <w:p w14:paraId="7C02208A">
      <w:pPr>
        <w:pStyle w:val="style1"/>
        <w:spacing w:lineRule="auto" w:line="360"/>
        <w:rPr>
          <w:rFonts w:cs="Arial"/>
          <w:sz w:val="22"/>
          <w:szCs w:val="22"/>
        </w:rPr>
        <w:sectPr>
          <w:footerReference w:type="default" r:id="rId5"/>
          <w:pgSz w:w="12240" w:h="15840" w:orient="portrait"/>
          <w:pgMar w:top="1440" w:right="1440" w:bottom="1440" w:left="1440" w:header="720" w:footer="720" w:gutter="0"/>
          <w:cols w:space="720"/>
          <w:docGrid w:linePitch="360"/>
        </w:sectPr>
      </w:pPr>
    </w:p>
    <w:bookmarkStart w:id="65" w:name="_Toc238491908"/>
    <w:p w14:paraId="7C02208B">
      <w:pPr>
        <w:pStyle w:val="style1"/>
        <w:spacing w:lineRule="auto" w:line="360"/>
        <w:rPr>
          <w:rFonts w:cs="Arial"/>
          <w:sz w:val="22"/>
          <w:szCs w:val="22"/>
        </w:rPr>
      </w:pPr>
      <w:r>
        <w:rPr>
          <w:rFonts w:cs="Arial"/>
          <w:sz w:val="22"/>
          <w:szCs w:val="22"/>
        </w:rPr>
        <w:t>Appendix</w:t>
      </w:r>
      <w:bookmarkEnd w:id="65"/>
    </w:p>
    <w:p w14:paraId="7C02208C">
      <w:pPr>
        <w:pStyle w:val="style0"/>
        <w:spacing w:lineRule="auto" w:line="360"/>
        <w:rPr>
          <w:rFonts w:cs="Arial"/>
          <w:sz w:val="22"/>
        </w:rPr>
      </w:pPr>
      <w:r>
        <w:rPr>
          <w:rFonts w:cs="Arial"/>
          <w:sz w:val="22"/>
        </w:rPr>
        <w:t>Appendix 1: Data Extraction Table</w:t>
      </w:r>
    </w:p>
    <w:tbl>
      <w:tblPr>
        <w:tblStyle w:val="style154"/>
        <w:tblW w:w="0" w:type="auto"/>
        <w:tblLook w:val="04A0" w:firstRow="1" w:lastRow="0" w:firstColumn="1" w:lastColumn="0" w:noHBand="0" w:noVBand="1"/>
      </w:tblPr>
      <w:tblGrid>
        <w:gridCol w:w="1228"/>
        <w:gridCol w:w="962"/>
        <w:gridCol w:w="1759"/>
        <w:gridCol w:w="1151"/>
        <w:gridCol w:w="1198"/>
        <w:gridCol w:w="1534"/>
        <w:gridCol w:w="1857"/>
        <w:gridCol w:w="1578"/>
        <w:gridCol w:w="1689"/>
      </w:tblGrid>
      <w:tr w14:paraId="7C022096">
        <w:trPr/>
        <w:tc>
          <w:tcPr>
            <w:tcW w:w="0" w:type="auto"/>
            <w:tcBorders/>
            <w:hideMark/>
          </w:tcPr>
          <w:p w14:paraId="7C02208D">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Author (Year)</w:t>
            </w:r>
          </w:p>
        </w:tc>
        <w:tc>
          <w:tcPr>
            <w:tcW w:w="0" w:type="auto"/>
            <w:tcBorders/>
            <w:hideMark/>
          </w:tcPr>
          <w:p w14:paraId="7C02208E">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Country</w:t>
            </w:r>
          </w:p>
        </w:tc>
        <w:tc>
          <w:tcPr>
            <w:tcW w:w="0" w:type="auto"/>
            <w:tcBorders/>
            <w:hideMark/>
          </w:tcPr>
          <w:p w14:paraId="7C02208F">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Design</w:t>
            </w:r>
          </w:p>
        </w:tc>
        <w:tc>
          <w:tcPr>
            <w:tcW w:w="0" w:type="auto"/>
            <w:tcBorders/>
            <w:hideMark/>
          </w:tcPr>
          <w:p w14:paraId="7C022090">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Sample</w:t>
            </w:r>
          </w:p>
        </w:tc>
        <w:tc>
          <w:tcPr>
            <w:tcW w:w="0" w:type="auto"/>
            <w:tcBorders/>
            <w:hideMark/>
          </w:tcPr>
          <w:p w14:paraId="7C022091">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Population</w:t>
            </w:r>
          </w:p>
        </w:tc>
        <w:tc>
          <w:tcPr>
            <w:tcW w:w="0" w:type="auto"/>
            <w:tcBorders/>
            <w:hideMark/>
          </w:tcPr>
          <w:p w14:paraId="7C022092">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Exposure/Issue</w:t>
            </w:r>
          </w:p>
        </w:tc>
        <w:tc>
          <w:tcPr>
            <w:tcW w:w="0" w:type="auto"/>
            <w:tcBorders/>
            <w:hideMark/>
          </w:tcPr>
          <w:p w14:paraId="7C022093">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Outcome Measures</w:t>
            </w:r>
          </w:p>
        </w:tc>
        <w:tc>
          <w:tcPr>
            <w:tcW w:w="0" w:type="auto"/>
            <w:tcBorders/>
            <w:hideMark/>
          </w:tcPr>
          <w:p w14:paraId="7C022094">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Key Findings</w:t>
            </w:r>
          </w:p>
        </w:tc>
        <w:tc>
          <w:tcPr>
            <w:tcW w:w="0" w:type="auto"/>
            <w:tcBorders/>
            <w:hideMark/>
          </w:tcPr>
          <w:p w14:paraId="7C022095">
            <w:pPr>
              <w:pStyle w:val="style0"/>
              <w:spacing w:lineRule="auto" w:line="360"/>
              <w:jc w:val="center"/>
              <w:rPr>
                <w:rFonts w:cs="Arial" w:eastAsia="Times New Roman"/>
                <w:b/>
                <w:bCs/>
                <w:kern w:val="0"/>
                <w:sz w:val="22"/>
                <w:lang w:val="en-US"/>
                <w14:ligatures xmlns:w14="http://schemas.microsoft.com/office/word/2010/wordml" w14:val="none"/>
              </w:rPr>
            </w:pPr>
            <w:r>
              <w:rPr>
                <w:rFonts w:cs="Arial" w:eastAsia="Times New Roman"/>
                <w:b/>
                <w:bCs/>
                <w:kern w:val="0"/>
                <w:sz w:val="22"/>
                <w:lang w:val="en-US"/>
                <w14:ligatures xmlns:w14="http://schemas.microsoft.com/office/word/2010/wordml" w14:val="none"/>
              </w:rPr>
              <w:t>Limitations</w:t>
            </w:r>
          </w:p>
        </w:tc>
      </w:tr>
      <w:tr w14:paraId="7C0220A0">
        <w:tblPrEx/>
        <w:trPr/>
        <w:tc>
          <w:tcPr>
            <w:tcW w:w="0" w:type="auto"/>
            <w:tcBorders/>
            <w:hideMark/>
          </w:tcPr>
          <w:p w14:paraId="7C022097">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Al </w:t>
            </w:r>
            <w:r>
              <w:rPr>
                <w:rFonts w:cs="Arial" w:eastAsia="Times New Roman"/>
                <w:kern w:val="0"/>
                <w:sz w:val="22"/>
                <w:lang w:val="en-US"/>
                <w14:ligatures xmlns:w14="http://schemas.microsoft.com/office/word/2010/wordml" w14:val="none"/>
              </w:rPr>
              <w:t>Ozairi</w:t>
            </w:r>
            <w:r>
              <w:rPr>
                <w:rFonts w:cs="Arial" w:eastAsia="Times New Roman"/>
                <w:kern w:val="0"/>
                <w:sz w:val="22"/>
                <w:lang w:val="en-US"/>
                <w14:ligatures xmlns:w14="http://schemas.microsoft.com/office/word/2010/wordml" w14:val="none"/>
              </w:rPr>
              <w:t xml:space="preserve"> et al. (2023)</w:t>
            </w:r>
          </w:p>
        </w:tc>
        <w:tc>
          <w:tcPr>
            <w:tcW w:w="0" w:type="auto"/>
            <w:tcBorders/>
            <w:hideMark/>
          </w:tcPr>
          <w:p w14:paraId="7C022098">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Kuwait</w:t>
            </w:r>
          </w:p>
        </w:tc>
        <w:tc>
          <w:tcPr>
            <w:tcW w:w="0" w:type="auto"/>
            <w:tcBorders/>
            <w:hideMark/>
          </w:tcPr>
          <w:p w14:paraId="7C022099">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RCT</w:t>
            </w:r>
          </w:p>
        </w:tc>
        <w:tc>
          <w:tcPr>
            <w:tcW w:w="0" w:type="auto"/>
            <w:tcBorders/>
            <w:hideMark/>
          </w:tcPr>
          <w:p w14:paraId="7C02209A">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N=120 (ITT); N=62 (PP)</w:t>
            </w:r>
          </w:p>
        </w:tc>
        <w:tc>
          <w:tcPr>
            <w:tcW w:w="0" w:type="auto"/>
            <w:tcBorders/>
            <w:hideMark/>
          </w:tcPr>
          <w:p w14:paraId="7C02209B">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Adults ≥21y, T2D, stable medication</w:t>
            </w:r>
          </w:p>
        </w:tc>
        <w:tc>
          <w:tcPr>
            <w:tcW w:w="0" w:type="auto"/>
            <w:tcBorders/>
            <w:hideMark/>
          </w:tcPr>
          <w:p w14:paraId="7C02209C">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Home-based resistance exercise, 3x/week, 32 weeks vs usual care</w:t>
            </w:r>
          </w:p>
        </w:tc>
        <w:tc>
          <w:tcPr>
            <w:tcW w:w="0" w:type="auto"/>
            <w:tcBorders/>
            <w:hideMark/>
          </w:tcPr>
          <w:p w14:paraId="7C02209D">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HbA1c (primary); DXA body composition; SPPB, grip strength, push-ups; accelerometer PA; QoL; CGM and liver fat (subset)</w:t>
            </w:r>
          </w:p>
        </w:tc>
        <w:tc>
          <w:tcPr>
            <w:tcW w:w="0" w:type="auto"/>
            <w:tcBorders/>
            <w:hideMark/>
          </w:tcPr>
          <w:p w14:paraId="7C02209E">
            <w:pPr>
              <w:pStyle w:val="style0"/>
              <w:spacing w:lineRule="auto" w:line="360"/>
              <w:rPr>
                <w:rFonts w:cs="Arial" w:eastAsia="Times New Roman"/>
                <w:kern w:val="0"/>
                <w:sz w:val="22"/>
                <w:lang w:val="en-US"/>
                <w14:ligatures xmlns:w14="http://schemas.microsoft.com/office/word/2010/wordml" w14:val="none"/>
              </w:rPr>
            </w:pPr>
            <w:r>
              <w:rPr>
                <w:rFonts w:cs="Arial"/>
                <w:sz w:val="22"/>
              </w:rPr>
              <w:t>No change in HbA1c; gain of arm/leg lean mass and push up capacity; decrease in liver fat</w:t>
            </w:r>
          </w:p>
        </w:tc>
        <w:tc>
          <w:tcPr>
            <w:tcW w:w="0" w:type="auto"/>
            <w:tcBorders/>
            <w:hideMark/>
          </w:tcPr>
          <w:p w14:paraId="7C02209F">
            <w:pPr>
              <w:pStyle w:val="style0"/>
              <w:spacing w:lineRule="auto" w:line="360"/>
              <w:rPr>
                <w:rFonts w:cs="Arial" w:eastAsia="Times New Roman"/>
                <w:kern w:val="0"/>
                <w:sz w:val="22"/>
                <w:lang w:val="en-US"/>
                <w14:ligatures xmlns:w14="http://schemas.microsoft.com/office/word/2010/wordml" w14:val="none"/>
              </w:rPr>
            </w:pPr>
            <w:r>
              <w:rPr>
                <w:rFonts w:cs="Arial"/>
                <w:sz w:val="22"/>
              </w:rPr>
              <w:t>COVID-19 altered original 3 arm design; low adherence per protocol (52%); adherence log self-reported.</w:t>
            </w:r>
          </w:p>
        </w:tc>
      </w:tr>
      <w:tr w14:paraId="7C0220AA">
        <w:tblPrEx/>
        <w:trPr/>
        <w:tc>
          <w:tcPr>
            <w:tcW w:w="0" w:type="auto"/>
            <w:tcBorders/>
            <w:hideMark/>
          </w:tcPr>
          <w:p w14:paraId="7C0220A1">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Way et al. (2020)</w:t>
            </w:r>
          </w:p>
        </w:tc>
        <w:tc>
          <w:tcPr>
            <w:tcW w:w="0" w:type="auto"/>
            <w:tcBorders/>
            <w:hideMark/>
          </w:tcPr>
          <w:p w14:paraId="7C0220A2">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Australia</w:t>
            </w:r>
          </w:p>
        </w:tc>
        <w:tc>
          <w:tcPr>
            <w:tcW w:w="0" w:type="auto"/>
            <w:tcBorders/>
            <w:hideMark/>
          </w:tcPr>
          <w:p w14:paraId="7C0220A3">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RCT</w:t>
            </w:r>
          </w:p>
        </w:tc>
        <w:tc>
          <w:tcPr>
            <w:tcW w:w="0" w:type="auto"/>
            <w:tcBorders/>
            <w:hideMark/>
          </w:tcPr>
          <w:p w14:paraId="7C0220A4">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N=35 completers (12 MICT, 12 HIIT, 11 PLA)</w:t>
            </w:r>
          </w:p>
        </w:tc>
        <w:tc>
          <w:tcPr>
            <w:tcW w:w="0" w:type="auto"/>
            <w:tcBorders/>
            <w:hideMark/>
          </w:tcPr>
          <w:p w14:paraId="7C0220A5">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Inactive adults 18-65y, BMI 30-45, T2D</w:t>
            </w:r>
          </w:p>
        </w:tc>
        <w:tc>
          <w:tcPr>
            <w:tcW w:w="0" w:type="auto"/>
            <w:tcBorders/>
            <w:hideMark/>
          </w:tcPr>
          <w:p w14:paraId="7C0220A6">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12 weeks low-volume HIIT (12 min/</w:t>
            </w:r>
            <w:r>
              <w:rPr>
                <w:rFonts w:cs="Arial" w:eastAsia="Times New Roman"/>
                <w:kern w:val="0"/>
                <w:sz w:val="22"/>
                <w:lang w:val="en-US"/>
                <w14:ligatures xmlns:w14="http://schemas.microsoft.com/office/word/2010/wordml" w14:val="none"/>
              </w:rPr>
              <w:t>wk</w:t>
            </w:r>
            <w:r>
              <w:rPr>
                <w:rFonts w:cs="Arial" w:eastAsia="Times New Roman"/>
                <w:kern w:val="0"/>
                <w:sz w:val="22"/>
                <w:lang w:val="en-US"/>
                <w14:ligatures xmlns:w14="http://schemas.microsoft.com/office/word/2010/wordml" w14:val="none"/>
              </w:rPr>
              <w:t>) vs MICT (135 min/</w:t>
            </w:r>
            <w:r>
              <w:rPr>
                <w:rFonts w:cs="Arial" w:eastAsia="Times New Roman"/>
                <w:kern w:val="0"/>
                <w:sz w:val="22"/>
                <w:lang w:val="en-US"/>
                <w14:ligatures xmlns:w14="http://schemas.microsoft.com/office/word/2010/wordml" w14:val="none"/>
              </w:rPr>
              <w:t>wk</w:t>
            </w:r>
            <w:r>
              <w:rPr>
                <w:rFonts w:cs="Arial" w:eastAsia="Times New Roman"/>
                <w:kern w:val="0"/>
                <w:sz w:val="22"/>
                <w:lang w:val="en-US"/>
                <w14:ligatures xmlns:w14="http://schemas.microsoft.com/office/word/2010/wordml" w14:val="none"/>
              </w:rPr>
              <w:t>) vs sham placebo</w:t>
            </w:r>
          </w:p>
        </w:tc>
        <w:tc>
          <w:tcPr>
            <w:tcW w:w="0" w:type="auto"/>
            <w:tcBorders/>
            <w:hideMark/>
          </w:tcPr>
          <w:p w14:paraId="7C0220A7">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Central arterial stiffness (PWV); hemodynamics; VO2peak; HbA1c; lipids; waist </w:t>
            </w:r>
            <w:r>
              <w:rPr>
                <w:rFonts w:cs="Arial" w:eastAsia="Times New Roman"/>
                <w:kern w:val="0"/>
                <w:sz w:val="22"/>
                <w:lang w:val="en-US"/>
                <w14:ligatures xmlns:w14="http://schemas.microsoft.com/office/word/2010/wordml" w14:val="none"/>
              </w:rPr>
              <w:t>circumference; BP</w:t>
            </w:r>
          </w:p>
        </w:tc>
        <w:tc>
          <w:tcPr>
            <w:tcW w:w="0" w:type="auto"/>
            <w:tcBorders/>
            <w:hideMark/>
          </w:tcPr>
          <w:p w14:paraId="7C0220A8">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PWV, HbA1c, BP systolic and waist circumference showed similar improvement </w:t>
            </w:r>
            <w:r>
              <w:rPr>
                <w:rStyle w:val="style4110"/>
                <w:rFonts w:cs="Arial"/>
                <w:sz w:val="22"/>
              </w:rPr>
              <w:t>in HIIT and MICT compared to placebo.</w:t>
            </w:r>
          </w:p>
        </w:tc>
        <w:tc>
          <w:tcPr>
            <w:tcW w:w="0" w:type="auto"/>
            <w:tcBorders/>
            <w:hideMark/>
          </w:tcPr>
          <w:p w14:paraId="7C0220A9">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Weak sample size; Pre-existing imbalance in lipid-lowering drugs; low rate of return of the accelerometer </w:t>
            </w:r>
            <w:r>
              <w:rPr>
                <w:rStyle w:val="style4110"/>
                <w:rFonts w:cs="Arial"/>
                <w:sz w:val="22"/>
              </w:rPr>
              <w:t>after intervention.</w:t>
            </w:r>
          </w:p>
        </w:tc>
      </w:tr>
      <w:tr w14:paraId="7C0220B4">
        <w:tblPrEx/>
        <w:trPr/>
        <w:tc>
          <w:tcPr>
            <w:tcW w:w="0" w:type="auto"/>
            <w:tcBorders/>
            <w:hideMark/>
          </w:tcPr>
          <w:p w14:paraId="7C0220AB">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Gulsin</w:t>
            </w:r>
            <w:r>
              <w:rPr>
                <w:rFonts w:cs="Arial" w:eastAsia="Times New Roman"/>
                <w:kern w:val="0"/>
                <w:sz w:val="22"/>
                <w:lang w:val="en-US"/>
                <w14:ligatures xmlns:w14="http://schemas.microsoft.com/office/word/2010/wordml" w14:val="none"/>
              </w:rPr>
              <w:t xml:space="preserve"> et al. (2020)</w:t>
            </w:r>
          </w:p>
        </w:tc>
        <w:tc>
          <w:tcPr>
            <w:tcW w:w="0" w:type="auto"/>
            <w:tcBorders/>
            <w:hideMark/>
          </w:tcPr>
          <w:p w14:paraId="7C0220AC">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UK</w:t>
            </w:r>
          </w:p>
        </w:tc>
        <w:tc>
          <w:tcPr>
            <w:tcW w:w="0" w:type="auto"/>
            <w:tcBorders/>
            <w:hideMark/>
          </w:tcPr>
          <w:p w14:paraId="7C0220AD">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RCT with nested case-control</w:t>
            </w:r>
          </w:p>
        </w:tc>
        <w:tc>
          <w:tcPr>
            <w:tcW w:w="0" w:type="auto"/>
            <w:tcBorders/>
            <w:hideMark/>
          </w:tcPr>
          <w:p w14:paraId="7C0220AE">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N=90 </w:t>
            </w:r>
            <w:r>
              <w:rPr>
                <w:rFonts w:cs="Arial" w:eastAsia="Times New Roman"/>
                <w:kern w:val="0"/>
                <w:sz w:val="22"/>
                <w:lang w:val="en-US"/>
                <w14:ligatures xmlns:w14="http://schemas.microsoft.com/office/word/2010/wordml" w14:val="none"/>
              </w:rPr>
              <w:t>randomised</w:t>
            </w:r>
            <w:r>
              <w:rPr>
                <w:rFonts w:cs="Arial" w:eastAsia="Times New Roman"/>
                <w:kern w:val="0"/>
                <w:sz w:val="22"/>
                <w:lang w:val="en-US"/>
                <w14:ligatures xmlns:w14="http://schemas.microsoft.com/office/word/2010/wordml" w14:val="none"/>
              </w:rPr>
              <w:t xml:space="preserve"> (76 completed) + 36 healthy controls</w:t>
            </w:r>
          </w:p>
        </w:tc>
        <w:tc>
          <w:tcPr>
            <w:tcW w:w="0" w:type="auto"/>
            <w:tcBorders/>
            <w:hideMark/>
          </w:tcPr>
          <w:p w14:paraId="7C0220AF">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Working-age adults 18-65y, T2D, BMI&gt;30</w:t>
            </w:r>
          </w:p>
        </w:tc>
        <w:tc>
          <w:tcPr>
            <w:tcW w:w="0" w:type="auto"/>
            <w:tcBorders/>
            <w:hideMark/>
          </w:tcPr>
          <w:p w14:paraId="7C0220B0">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12-week supervised aerobic exercise vs low-energy meal replacement diet vs routine care</w:t>
            </w:r>
          </w:p>
        </w:tc>
        <w:tc>
          <w:tcPr>
            <w:tcW w:w="0" w:type="auto"/>
            <w:tcBorders/>
            <w:hideMark/>
          </w:tcPr>
          <w:p w14:paraId="7C0220B1">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LV peak early diastolic strain rate (CMR, primary); echo E/A, E/e'; LV mass/volumes; aortic distensibility; peak VO2</w:t>
            </w:r>
          </w:p>
        </w:tc>
        <w:tc>
          <w:tcPr>
            <w:tcW w:w="0" w:type="auto"/>
            <w:tcBorders/>
            <w:hideMark/>
          </w:tcPr>
          <w:p w14:paraId="7C0220B2">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There was minimal weight loss in the exercise arm, and no improvement in diastolic function, but a 13.6kg weight loss in the diet arm.</w:t>
            </w:r>
          </w:p>
        </w:tc>
        <w:tc>
          <w:tcPr>
            <w:tcW w:w="0" w:type="auto"/>
            <w:tcBorders/>
            <w:hideMark/>
          </w:tcPr>
          <w:p w14:paraId="7C0220B3">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Small sample size; unblinded allocation of intervention; short 12-week follow-up; 19% exercise arm non-compliance</w:t>
            </w:r>
          </w:p>
        </w:tc>
      </w:tr>
      <w:tr w14:paraId="7C0220BE">
        <w:tblPrEx/>
        <w:trPr/>
        <w:tc>
          <w:tcPr>
            <w:tcW w:w="0" w:type="auto"/>
            <w:tcBorders/>
            <w:hideMark/>
          </w:tcPr>
          <w:p w14:paraId="7C0220B5">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Kobayashi et al. (2023)</w:t>
            </w:r>
          </w:p>
        </w:tc>
        <w:tc>
          <w:tcPr>
            <w:tcW w:w="0" w:type="auto"/>
            <w:tcBorders/>
            <w:hideMark/>
          </w:tcPr>
          <w:p w14:paraId="7C0220B6">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USA</w:t>
            </w:r>
          </w:p>
        </w:tc>
        <w:tc>
          <w:tcPr>
            <w:tcW w:w="0" w:type="auto"/>
            <w:tcBorders/>
            <w:hideMark/>
          </w:tcPr>
          <w:p w14:paraId="7C0220B7">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RCT</w:t>
            </w:r>
          </w:p>
        </w:tc>
        <w:tc>
          <w:tcPr>
            <w:tcW w:w="0" w:type="auto"/>
            <w:tcBorders/>
            <w:hideMark/>
          </w:tcPr>
          <w:p w14:paraId="7C0220B8">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N=186 </w:t>
            </w:r>
            <w:r>
              <w:rPr>
                <w:rFonts w:cs="Arial" w:eastAsia="Times New Roman"/>
                <w:kern w:val="0"/>
                <w:sz w:val="22"/>
                <w:lang w:val="en-US"/>
                <w14:ligatures xmlns:w14="http://schemas.microsoft.com/office/word/2010/wordml" w14:val="none"/>
              </w:rPr>
              <w:t>randomised</w:t>
            </w:r>
            <w:r>
              <w:rPr>
                <w:rFonts w:cs="Arial" w:eastAsia="Times New Roman"/>
                <w:kern w:val="0"/>
                <w:sz w:val="22"/>
                <w:lang w:val="en-US"/>
                <w14:ligatures xmlns:w14="http://schemas.microsoft.com/office/word/2010/wordml" w14:val="none"/>
              </w:rPr>
              <w:t xml:space="preserve"> (131 completed)</w:t>
            </w:r>
          </w:p>
        </w:tc>
        <w:tc>
          <w:tcPr>
            <w:tcW w:w="0" w:type="auto"/>
            <w:tcBorders/>
            <w:hideMark/>
          </w:tcPr>
          <w:p w14:paraId="7C0220B9">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Normal-weight (BMI&lt;25) adults 18-80y, T2D</w:t>
            </w:r>
          </w:p>
        </w:tc>
        <w:tc>
          <w:tcPr>
            <w:tcW w:w="0" w:type="auto"/>
            <w:tcBorders/>
            <w:hideMark/>
          </w:tcPr>
          <w:p w14:paraId="7C0220BA">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9-month strength training vs aerobic training vs combined training</w:t>
            </w:r>
          </w:p>
        </w:tc>
        <w:tc>
          <w:tcPr>
            <w:tcW w:w="0" w:type="auto"/>
            <w:tcBorders/>
            <w:hideMark/>
          </w:tcPr>
          <w:p w14:paraId="7C0220BB">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HbA1c (primary); DXA body composition (ALMI-Z, FMI-Z); muscle strength</w:t>
            </w:r>
          </w:p>
        </w:tc>
        <w:tc>
          <w:tcPr>
            <w:tcW w:w="0" w:type="auto"/>
            <w:tcBorders/>
            <w:hideMark/>
          </w:tcPr>
          <w:p w14:paraId="7C0220BC">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Strength training was an effective intervention for reducing HbA1c compared to </w:t>
            </w:r>
            <w:r>
              <w:rPr>
                <w:rStyle w:val="style4110"/>
                <w:rFonts w:cs="Arial"/>
                <w:sz w:val="22"/>
              </w:rPr>
              <w:t>aerobic training and lean mass gain was an independent predictor of HbA1c reduction.</w:t>
            </w:r>
          </w:p>
        </w:tc>
        <w:tc>
          <w:tcPr>
            <w:tcW w:w="0" w:type="auto"/>
            <w:tcBorders/>
            <w:hideMark/>
          </w:tcPr>
          <w:p w14:paraId="7C0220BD">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Shortened due to COVID-19 shelter-in-place, with ~45% follow-up rate, and underpowered.</w:t>
            </w:r>
          </w:p>
        </w:tc>
      </w:tr>
      <w:tr w14:paraId="7C0220C8">
        <w:tblPrEx/>
        <w:trPr/>
        <w:tc>
          <w:tcPr>
            <w:tcW w:w="0" w:type="auto"/>
            <w:tcBorders/>
            <w:hideMark/>
          </w:tcPr>
          <w:p w14:paraId="7C0220BF">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Magalhães et al. (2021)</w:t>
            </w:r>
          </w:p>
        </w:tc>
        <w:tc>
          <w:tcPr>
            <w:tcW w:w="0" w:type="auto"/>
            <w:tcBorders/>
            <w:hideMark/>
          </w:tcPr>
          <w:p w14:paraId="7C0220C0">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Portugal</w:t>
            </w:r>
          </w:p>
        </w:tc>
        <w:tc>
          <w:tcPr>
            <w:tcW w:w="0" w:type="auto"/>
            <w:tcBorders/>
            <w:hideMark/>
          </w:tcPr>
          <w:p w14:paraId="7C0220C1">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RCT</w:t>
            </w:r>
          </w:p>
        </w:tc>
        <w:tc>
          <w:tcPr>
            <w:tcW w:w="0" w:type="auto"/>
            <w:tcBorders/>
            <w:hideMark/>
          </w:tcPr>
          <w:p w14:paraId="7C0220C2">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N=62 completers of 80 </w:t>
            </w:r>
            <w:r>
              <w:rPr>
                <w:rFonts w:cs="Arial" w:eastAsia="Times New Roman"/>
                <w:kern w:val="0"/>
                <w:sz w:val="22"/>
                <w:lang w:val="en-US"/>
                <w14:ligatures xmlns:w14="http://schemas.microsoft.com/office/word/2010/wordml" w14:val="none"/>
              </w:rPr>
              <w:t>randomised</w:t>
            </w:r>
          </w:p>
        </w:tc>
        <w:tc>
          <w:tcPr>
            <w:tcW w:w="0" w:type="auto"/>
            <w:tcBorders/>
            <w:hideMark/>
          </w:tcPr>
          <w:p w14:paraId="7C0220C3">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Adults with T2D</w:t>
            </w:r>
          </w:p>
        </w:tc>
        <w:tc>
          <w:tcPr>
            <w:tcW w:w="0" w:type="auto"/>
            <w:tcBorders/>
            <w:hideMark/>
          </w:tcPr>
          <w:p w14:paraId="7C0220C4">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1-year MCT or HIIT (both plus resistance training) vs control</w:t>
            </w:r>
          </w:p>
        </w:tc>
        <w:tc>
          <w:tcPr>
            <w:tcW w:w="0" w:type="auto"/>
            <w:tcBorders/>
            <w:hideMark/>
          </w:tcPr>
          <w:p w14:paraId="7C0220C5">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Fat mass (DXA); HbA1c, HOMA-IR; vascular stiffness/structure (</w:t>
            </w:r>
            <w:r>
              <w:rPr>
                <w:rFonts w:cs="Arial" w:eastAsia="Times New Roman"/>
                <w:kern w:val="0"/>
                <w:sz w:val="22"/>
                <w:lang w:val="en-US"/>
                <w14:ligatures xmlns:w14="http://schemas.microsoft.com/office/word/2010/wordml" w14:val="none"/>
              </w:rPr>
              <w:t>cIMT</w:t>
            </w:r>
            <w:r>
              <w:rPr>
                <w:rFonts w:cs="Arial" w:eastAsia="Times New Roman"/>
                <w:kern w:val="0"/>
                <w:sz w:val="22"/>
                <w:lang w:val="en-US"/>
                <w14:ligatures xmlns:w14="http://schemas.microsoft.com/office/word/2010/wordml" w14:val="none"/>
              </w:rPr>
              <w:t>, PWV)</w:t>
            </w:r>
          </w:p>
        </w:tc>
        <w:tc>
          <w:tcPr>
            <w:tcW w:w="0" w:type="auto"/>
            <w:tcBorders/>
            <w:hideMark/>
          </w:tcPr>
          <w:p w14:paraId="7C0220C6">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There was no difference between fat mass responders for MCT/HIIT and control; low responders also experienced some benefit in the vascular system; no glycaemic </w:t>
            </w:r>
            <w:r>
              <w:rPr>
                <w:rStyle w:val="style4110"/>
                <w:rFonts w:cs="Arial"/>
                <w:sz w:val="22"/>
              </w:rPr>
              <w:t>benefit was seen.</w:t>
            </w:r>
          </w:p>
        </w:tc>
        <w:tc>
          <w:tcPr>
            <w:tcW w:w="0" w:type="auto"/>
            <w:tcBorders/>
            <w:hideMark/>
          </w:tcPr>
          <w:p w14:paraId="7C0220C7">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Post-hoc responder classification is susceptible to incorrect classification; small numbers of responders;</w:t>
            </w:r>
          </w:p>
        </w:tc>
      </w:tr>
      <w:tr w14:paraId="7C0220D2">
        <w:tblPrEx/>
        <w:trPr/>
        <w:tc>
          <w:tcPr>
            <w:tcW w:w="0" w:type="auto"/>
            <w:tcBorders/>
            <w:hideMark/>
          </w:tcPr>
          <w:p w14:paraId="7C0220C9">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Alrasheeday</w:t>
            </w:r>
            <w:r>
              <w:rPr>
                <w:rFonts w:cs="Arial" w:eastAsia="Times New Roman"/>
                <w:kern w:val="0"/>
                <w:sz w:val="22"/>
                <w:lang w:val="en-US"/>
                <w14:ligatures xmlns:w14="http://schemas.microsoft.com/office/word/2010/wordml" w14:val="none"/>
              </w:rPr>
              <w:t xml:space="preserve"> et al. (2024)</w:t>
            </w:r>
          </w:p>
        </w:tc>
        <w:tc>
          <w:tcPr>
            <w:tcW w:w="0" w:type="auto"/>
            <w:tcBorders/>
            <w:hideMark/>
          </w:tcPr>
          <w:p w14:paraId="7C0220CA">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Saudi Arabia</w:t>
            </w:r>
          </w:p>
        </w:tc>
        <w:tc>
          <w:tcPr>
            <w:tcW w:w="0" w:type="auto"/>
            <w:tcBorders/>
            <w:hideMark/>
          </w:tcPr>
          <w:p w14:paraId="7C0220CB">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Cross-sectional survey</w:t>
            </w:r>
          </w:p>
        </w:tc>
        <w:tc>
          <w:tcPr>
            <w:tcW w:w="0" w:type="auto"/>
            <w:tcBorders/>
            <w:hideMark/>
          </w:tcPr>
          <w:p w14:paraId="7C0220CC">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N=534</w:t>
            </w:r>
          </w:p>
        </w:tc>
        <w:tc>
          <w:tcPr>
            <w:tcW w:w="0" w:type="auto"/>
            <w:tcBorders/>
            <w:hideMark/>
          </w:tcPr>
          <w:p w14:paraId="7C0220CD">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Adults with T2D, primary healthcare </w:t>
            </w:r>
            <w:r>
              <w:rPr>
                <w:rFonts w:cs="Arial" w:eastAsia="Times New Roman"/>
                <w:kern w:val="0"/>
                <w:sz w:val="22"/>
                <w:lang w:val="en-US"/>
                <w14:ligatures xmlns:w14="http://schemas.microsoft.com/office/word/2010/wordml" w14:val="none"/>
              </w:rPr>
              <w:t>centres</w:t>
            </w:r>
          </w:p>
        </w:tc>
        <w:tc>
          <w:tcPr>
            <w:tcW w:w="0" w:type="auto"/>
            <w:tcBorders/>
            <w:hideMark/>
          </w:tcPr>
          <w:p w14:paraId="7C0220CE">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Perceived personal, social and environmental barriers to healthy eating and physical activity</w:t>
            </w:r>
          </w:p>
        </w:tc>
        <w:tc>
          <w:tcPr>
            <w:tcW w:w="0" w:type="auto"/>
            <w:tcBorders/>
            <w:hideMark/>
          </w:tcPr>
          <w:p w14:paraId="7C0220CF">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Validated barriers questionnaire (CVI 0.81-1; Cronbach's alpha 0.72-0.81)</w:t>
            </w:r>
          </w:p>
        </w:tc>
        <w:tc>
          <w:tcPr>
            <w:tcW w:w="0" w:type="auto"/>
            <w:tcBorders/>
            <w:hideMark/>
          </w:tcPr>
          <w:p w14:paraId="7C0220D0">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Felt barriers to healthy eating 34.9%, to physical activity 28% (lack of motivation most common) which varied by age, gender, financial status and insulin use.</w:t>
            </w:r>
          </w:p>
        </w:tc>
        <w:tc>
          <w:tcPr>
            <w:tcW w:w="0" w:type="auto"/>
            <w:tcBorders/>
            <w:hideMark/>
          </w:tcPr>
          <w:p w14:paraId="7C0220D1">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Cross-sectional, no causality; convenience sampling; facility-based, self-report</w:t>
            </w:r>
          </w:p>
        </w:tc>
      </w:tr>
      <w:tr w14:paraId="7C0220DC">
        <w:tblPrEx/>
        <w:trPr/>
        <w:tc>
          <w:tcPr>
            <w:tcW w:w="0" w:type="auto"/>
            <w:tcBorders/>
            <w:hideMark/>
          </w:tcPr>
          <w:p w14:paraId="7C0220D3">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Li et al. (2025)</w:t>
            </w:r>
          </w:p>
        </w:tc>
        <w:tc>
          <w:tcPr>
            <w:tcW w:w="0" w:type="auto"/>
            <w:tcBorders/>
            <w:hideMark/>
          </w:tcPr>
          <w:p w14:paraId="7C0220D4">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China</w:t>
            </w:r>
          </w:p>
        </w:tc>
        <w:tc>
          <w:tcPr>
            <w:tcW w:w="0" w:type="auto"/>
            <w:tcBorders/>
            <w:hideMark/>
          </w:tcPr>
          <w:p w14:paraId="7C0220D5">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Qualitative (COM-B framework analysis)</w:t>
            </w:r>
          </w:p>
        </w:tc>
        <w:tc>
          <w:tcPr>
            <w:tcW w:w="0" w:type="auto"/>
            <w:tcBorders/>
            <w:hideMark/>
          </w:tcPr>
          <w:p w14:paraId="7C0220D6">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N=20 patients</w:t>
            </w:r>
          </w:p>
        </w:tc>
        <w:tc>
          <w:tcPr>
            <w:tcW w:w="0" w:type="auto"/>
            <w:tcBorders/>
            <w:hideMark/>
          </w:tcPr>
          <w:p w14:paraId="7C0220D7">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Adults with T2D on medication</w:t>
            </w:r>
          </w:p>
        </w:tc>
        <w:tc>
          <w:tcPr>
            <w:tcW w:w="0" w:type="auto"/>
            <w:tcBorders/>
            <w:hideMark/>
          </w:tcPr>
          <w:p w14:paraId="7C0220D8">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Enablers and barriers to medication self-management</w:t>
            </w:r>
          </w:p>
        </w:tc>
        <w:tc>
          <w:tcPr>
            <w:tcW w:w="0" w:type="auto"/>
            <w:tcBorders/>
            <w:hideMark/>
          </w:tcPr>
          <w:p w14:paraId="7C0220D9">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Semi-structured interviews; themes via COM-B (capability, </w:t>
            </w:r>
            <w:r>
              <w:rPr>
                <w:rFonts w:cs="Arial" w:eastAsia="Times New Roman"/>
                <w:kern w:val="0"/>
                <w:sz w:val="22"/>
                <w:lang w:val="en-US"/>
                <w14:ligatures xmlns:w14="http://schemas.microsoft.com/office/word/2010/wordml" w14:val="none"/>
              </w:rPr>
              <w:t>opportunity, motivation)</w:t>
            </w:r>
          </w:p>
        </w:tc>
        <w:tc>
          <w:tcPr>
            <w:tcW w:w="0" w:type="auto"/>
            <w:tcBorders/>
            <w:hideMark/>
          </w:tcPr>
          <w:p w14:paraId="7C0220DA">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Enablers: insurance support, medication self-efficacy.</w:t>
            </w:r>
            <w:r>
              <w:rPr>
                <w:rFonts w:cs="Arial"/>
                <w:sz w:val="22"/>
              </w:rPr>
              <w:t xml:space="preserve"> </w:t>
            </w:r>
            <w:r>
              <w:rPr>
                <w:rStyle w:val="style4110"/>
                <w:rFonts w:cs="Arial"/>
                <w:sz w:val="22"/>
              </w:rPr>
              <w:t xml:space="preserve">Risk factors: </w:t>
            </w:r>
            <w:r>
              <w:rPr>
                <w:rStyle w:val="style4110"/>
                <w:rFonts w:cs="Arial"/>
                <w:sz w:val="22"/>
              </w:rPr>
              <w:t>lack of literacy, ageing, resource limitations, misconceptions</w:t>
            </w:r>
          </w:p>
        </w:tc>
        <w:tc>
          <w:tcPr>
            <w:tcW w:w="0" w:type="auto"/>
            <w:tcBorders/>
            <w:hideMark/>
          </w:tcPr>
          <w:p w14:paraId="7C0220DB">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No multiple hospital; no people in the house; self-reports/recalls bias; culturally </w:t>
            </w:r>
            <w:r>
              <w:rPr>
                <w:rStyle w:val="style4110"/>
                <w:rFonts w:cs="Arial"/>
                <w:sz w:val="22"/>
              </w:rPr>
              <w:t>specific to China.</w:t>
            </w:r>
          </w:p>
        </w:tc>
      </w:tr>
      <w:tr w14:paraId="7C0220E6">
        <w:tblPrEx/>
        <w:trPr/>
        <w:tc>
          <w:tcPr>
            <w:tcW w:w="0" w:type="auto"/>
            <w:tcBorders/>
            <w:hideMark/>
          </w:tcPr>
          <w:p w14:paraId="7C0220DD">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Milushewa</w:t>
            </w:r>
            <w:r>
              <w:rPr>
                <w:rFonts w:cs="Arial" w:eastAsia="Times New Roman"/>
                <w:kern w:val="0"/>
                <w:sz w:val="22"/>
                <w:lang w:val="en-US"/>
                <w14:ligatures xmlns:w14="http://schemas.microsoft.com/office/word/2010/wordml" w14:val="none"/>
              </w:rPr>
              <w:t xml:space="preserve"> et al. (2026)</w:t>
            </w:r>
          </w:p>
        </w:tc>
        <w:tc>
          <w:tcPr>
            <w:tcW w:w="0" w:type="auto"/>
            <w:tcBorders/>
            <w:hideMark/>
          </w:tcPr>
          <w:p w14:paraId="7C0220DE">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Bulgaria</w:t>
            </w:r>
          </w:p>
        </w:tc>
        <w:tc>
          <w:tcPr>
            <w:tcW w:w="0" w:type="auto"/>
            <w:tcBorders/>
            <w:hideMark/>
          </w:tcPr>
          <w:p w14:paraId="7C0220DF">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Cross-sectional survey</w:t>
            </w:r>
          </w:p>
        </w:tc>
        <w:tc>
          <w:tcPr>
            <w:tcW w:w="0" w:type="auto"/>
            <w:tcBorders/>
            <w:hideMark/>
          </w:tcPr>
          <w:p w14:paraId="7C0220E0">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N=105</w:t>
            </w:r>
          </w:p>
        </w:tc>
        <w:tc>
          <w:tcPr>
            <w:tcW w:w="0" w:type="auto"/>
            <w:tcBorders/>
            <w:hideMark/>
          </w:tcPr>
          <w:p w14:paraId="7C0220E1">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Adults with T2DM, primary care</w:t>
            </w:r>
          </w:p>
        </w:tc>
        <w:tc>
          <w:tcPr>
            <w:tcW w:w="0" w:type="auto"/>
            <w:tcBorders/>
            <w:hideMark/>
          </w:tcPr>
          <w:p w14:paraId="7C0220E2">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Self-management, adherence, pharmacist role</w:t>
            </w:r>
          </w:p>
        </w:tc>
        <w:tc>
          <w:tcPr>
            <w:tcW w:w="0" w:type="auto"/>
            <w:tcBorders/>
            <w:hideMark/>
          </w:tcPr>
          <w:p w14:paraId="7C0220E3">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DSMQ-based questionnaire across multiple domains</w:t>
            </w:r>
          </w:p>
        </w:tc>
        <w:tc>
          <w:tcPr>
            <w:tcW w:w="0" w:type="auto"/>
            <w:tcBorders/>
            <w:hideMark/>
          </w:tcPr>
          <w:p w14:paraId="7C0220E4">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Medication adherence 93 %; less adherence to diet/monitoring; self-rated understanding of medication and PA 92 %; more education needed 41 %</w:t>
            </w:r>
          </w:p>
        </w:tc>
        <w:tc>
          <w:tcPr>
            <w:tcW w:w="0" w:type="auto"/>
            <w:tcBorders/>
            <w:hideMark/>
          </w:tcPr>
          <w:p w14:paraId="7C0220E5">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The presence of single site, small sample, self-</w:t>
            </w:r>
            <w:r>
              <w:rPr>
                <w:rStyle w:val="style4110"/>
                <w:rFonts w:cs="Arial"/>
                <w:sz w:val="22"/>
              </w:rPr>
              <w:t>reportsocial</w:t>
            </w:r>
            <w:r>
              <w:rPr>
                <w:rStyle w:val="style4110"/>
                <w:rFonts w:cs="Arial"/>
                <w:sz w:val="22"/>
              </w:rPr>
              <w:t xml:space="preserve"> desirable item, and cross-sectional are to be considered.</w:t>
            </w:r>
          </w:p>
        </w:tc>
      </w:tr>
      <w:tr w14:paraId="7C0220F0">
        <w:tblPrEx/>
        <w:trPr/>
        <w:tc>
          <w:tcPr>
            <w:tcW w:w="0" w:type="auto"/>
            <w:tcBorders/>
            <w:hideMark/>
          </w:tcPr>
          <w:p w14:paraId="7C0220E7">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Faquetti</w:t>
            </w:r>
            <w:r>
              <w:rPr>
                <w:rFonts w:cs="Arial" w:eastAsia="Times New Roman"/>
                <w:kern w:val="0"/>
                <w:sz w:val="22"/>
                <w:lang w:val="en-US"/>
                <w14:ligatures xmlns:w14="http://schemas.microsoft.com/office/word/2010/wordml" w14:val="none"/>
              </w:rPr>
              <w:t xml:space="preserve"> et al. (2024)</w:t>
            </w:r>
          </w:p>
        </w:tc>
        <w:tc>
          <w:tcPr>
            <w:tcW w:w="0" w:type="auto"/>
            <w:tcBorders/>
            <w:hideMark/>
          </w:tcPr>
          <w:p w14:paraId="7C0220E8">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UK</w:t>
            </w:r>
          </w:p>
        </w:tc>
        <w:tc>
          <w:tcPr>
            <w:tcW w:w="0" w:type="auto"/>
            <w:tcBorders/>
            <w:hideMark/>
          </w:tcPr>
          <w:p w14:paraId="7C0220E9">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Descriptive cohort study</w:t>
            </w:r>
          </w:p>
        </w:tc>
        <w:tc>
          <w:tcPr>
            <w:tcW w:w="0" w:type="auto"/>
            <w:tcBorders/>
            <w:hideMark/>
          </w:tcPr>
          <w:p w14:paraId="7C0220EA">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N=28,604</w:t>
            </w:r>
          </w:p>
        </w:tc>
        <w:tc>
          <w:tcPr>
            <w:tcW w:w="0" w:type="auto"/>
            <w:tcBorders/>
            <w:hideMark/>
          </w:tcPr>
          <w:p w14:paraId="7C0220EB">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Adults ≥45y starting </w:t>
            </w:r>
            <w:r>
              <w:rPr>
                <w:rFonts w:cs="Arial" w:eastAsia="Times New Roman"/>
                <w:kern w:val="0"/>
                <w:sz w:val="22"/>
                <w:lang w:val="en-US"/>
                <w14:ligatures xmlns:w14="http://schemas.microsoft.com/office/word/2010/wordml" w14:val="none"/>
              </w:rPr>
              <w:t>first non-insulin antidiabetic treatment</w:t>
            </w:r>
          </w:p>
        </w:tc>
        <w:tc>
          <w:tcPr>
            <w:tcW w:w="0" w:type="auto"/>
            <w:tcBorders/>
            <w:hideMark/>
          </w:tcPr>
          <w:p w14:paraId="7C0220EC">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Polypharmacy status; potentially </w:t>
            </w:r>
            <w:r>
              <w:rPr>
                <w:rFonts w:cs="Arial" w:eastAsia="Times New Roman"/>
                <w:kern w:val="0"/>
                <w:sz w:val="22"/>
                <w:lang w:val="en-US"/>
                <w14:ligatures xmlns:w14="http://schemas.microsoft.com/office/word/2010/wordml" w14:val="none"/>
              </w:rPr>
              <w:t>inappropriate prescriptions (Beers/PROMPT criteria)</w:t>
            </w:r>
          </w:p>
        </w:tc>
        <w:tc>
          <w:tcPr>
            <w:tcW w:w="0" w:type="auto"/>
            <w:tcBorders/>
            <w:hideMark/>
          </w:tcPr>
          <w:p w14:paraId="7C0220ED">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Prevalence of PIPs, stratified by age and </w:t>
            </w:r>
            <w:r>
              <w:rPr>
                <w:rFonts w:cs="Arial" w:eastAsia="Times New Roman"/>
                <w:kern w:val="0"/>
                <w:sz w:val="22"/>
                <w:lang w:val="en-US"/>
                <w14:ligatures xmlns:w14="http://schemas.microsoft.com/office/word/2010/wordml" w14:val="none"/>
              </w:rPr>
              <w:t>polypharmacy status</w:t>
            </w:r>
          </w:p>
        </w:tc>
        <w:tc>
          <w:tcPr>
            <w:tcW w:w="0" w:type="auto"/>
            <w:tcBorders/>
            <w:hideMark/>
          </w:tcPr>
          <w:p w14:paraId="7C0220EE">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The prevalence of </w:t>
            </w:r>
            <w:r>
              <w:rPr>
                <w:rStyle w:val="style4110"/>
                <w:rFonts w:cs="Arial"/>
                <w:sz w:val="22"/>
              </w:rPr>
              <w:t>polypharmacy was higher (64.7%) and 39.6% of older adults and 22.7% of middle-aged adults with polypharmacy had ≥1 inappropriate prescription.</w:t>
            </w:r>
          </w:p>
        </w:tc>
        <w:tc>
          <w:tcPr>
            <w:tcW w:w="0" w:type="auto"/>
            <w:tcBorders/>
            <w:hideMark/>
          </w:tcPr>
          <w:p w14:paraId="7C0220EF">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 xml:space="preserve">Database is not able to identify use of </w:t>
            </w:r>
            <w:r>
              <w:rPr>
                <w:rStyle w:val="style4110"/>
                <w:rFonts w:cs="Arial"/>
                <w:sz w:val="22"/>
              </w:rPr>
              <w:t>OTC medicines; some missing dosage, duration information for medicines prescribed.</w:t>
            </w:r>
          </w:p>
        </w:tc>
      </w:tr>
      <w:tr w14:paraId="7C0220FB">
        <w:tblPrEx/>
        <w:trPr/>
        <w:tc>
          <w:tcPr>
            <w:tcW w:w="0" w:type="auto"/>
            <w:tcBorders/>
            <w:hideMark/>
          </w:tcPr>
          <w:p w14:paraId="7C0220F1">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Puvvada et al. (2023)</w:t>
            </w:r>
          </w:p>
        </w:tc>
        <w:tc>
          <w:tcPr>
            <w:tcW w:w="0" w:type="auto"/>
            <w:tcBorders/>
            <w:hideMark/>
          </w:tcPr>
          <w:p w14:paraId="7C0220F2">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India</w:t>
            </w:r>
          </w:p>
        </w:tc>
        <w:tc>
          <w:tcPr>
            <w:tcW w:w="0" w:type="auto"/>
            <w:tcBorders/>
            <w:hideMark/>
          </w:tcPr>
          <w:p w14:paraId="7C0220F3">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Qualitative (phenomenological)</w:t>
            </w:r>
          </w:p>
        </w:tc>
        <w:tc>
          <w:tcPr>
            <w:tcW w:w="0" w:type="auto"/>
            <w:tcBorders/>
            <w:hideMark/>
          </w:tcPr>
          <w:p w14:paraId="7C0220F4">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N=20 doctors</w:t>
            </w:r>
          </w:p>
        </w:tc>
        <w:tc>
          <w:tcPr>
            <w:tcW w:w="0" w:type="auto"/>
            <w:tcBorders/>
            <w:hideMark/>
          </w:tcPr>
          <w:p w14:paraId="7C0220F5">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Doctors treating adults with T2D</w:t>
            </w:r>
          </w:p>
        </w:tc>
        <w:tc>
          <w:tcPr>
            <w:tcW w:w="0" w:type="auto"/>
            <w:tcBorders/>
            <w:hideMark/>
          </w:tcPr>
          <w:p w14:paraId="7C0220F6">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Doctors' perceptions of patients' self-medication practices</w:t>
            </w:r>
          </w:p>
        </w:tc>
        <w:tc>
          <w:tcPr>
            <w:tcW w:w="0" w:type="auto"/>
            <w:tcBorders/>
            <w:hideMark/>
          </w:tcPr>
          <w:p w14:paraId="7C0220F7">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Semi-structured interviews; thematic analysis (Braun and Clarke, 2006)</w:t>
            </w:r>
          </w:p>
        </w:tc>
        <w:tc>
          <w:tcPr>
            <w:tcW w:w="0" w:type="auto"/>
            <w:tcBorders/>
            <w:hideMark/>
          </w:tcPr>
          <w:p w14:paraId="7C0220F8">
            <w:pPr>
              <w:pStyle w:val="style0"/>
              <w:spacing w:lineRule="auto" w:line="360"/>
              <w:rPr>
                <w:rFonts w:cs="Arial" w:eastAsia="Times New Roman"/>
                <w:kern w:val="0"/>
                <w:sz w:val="22"/>
                <w:lang w:val="en-US"/>
                <w14:ligatures xmlns:w14="http://schemas.microsoft.com/office/word/2010/wordml" w14:val="none"/>
              </w:rPr>
            </w:pPr>
            <w:r>
              <w:rPr>
                <w:rFonts w:cs="Arial" w:eastAsia="Times New Roman"/>
                <w:kern w:val="0"/>
                <w:sz w:val="22"/>
                <w:lang w:val="en-US"/>
                <w14:ligatures xmlns:w14="http://schemas.microsoft.com/office/word/2010/wordml" w14:val="none"/>
              </w:rPr>
              <w:t xml:space="preserve">Two patterns of self-medication were revealed, related to stigma, affordability and doctor mistrust of generic </w:t>
            </w:r>
            <w:r>
              <w:rPr>
                <w:rFonts w:cs="Arial" w:eastAsia="Times New Roman"/>
                <w:kern w:val="0"/>
                <w:sz w:val="22"/>
                <w:lang w:val="en-US"/>
                <w14:ligatures xmlns:w14="http://schemas.microsoft.com/office/word/2010/wordml" w14:val="none"/>
              </w:rPr>
              <w:t>medicines; inconsistent doctor strategies</w:t>
            </w:r>
          </w:p>
          <w:p w14:paraId="7C0220F9">
            <w:pPr>
              <w:pStyle w:val="style0"/>
              <w:spacing w:lineRule="auto" w:line="360"/>
              <w:rPr>
                <w:rFonts w:cs="Arial" w:eastAsia="Times New Roman"/>
                <w:kern w:val="0"/>
                <w:sz w:val="22"/>
                <w:lang w:val="en-US"/>
                <w14:ligatures xmlns:w14="http://schemas.microsoft.com/office/word/2010/wordml" w14:val="none"/>
              </w:rPr>
            </w:pPr>
          </w:p>
        </w:tc>
        <w:tc>
          <w:tcPr>
            <w:tcW w:w="0" w:type="auto"/>
            <w:tcBorders/>
            <w:hideMark/>
          </w:tcPr>
          <w:p w14:paraId="7C0220FA">
            <w:pPr>
              <w:pStyle w:val="style0"/>
              <w:spacing w:lineRule="auto" w:line="360"/>
              <w:rPr>
                <w:rFonts w:cs="Arial" w:eastAsia="Times New Roman"/>
                <w:kern w:val="0"/>
                <w:sz w:val="22"/>
                <w:lang w:val="en-US"/>
                <w14:ligatures xmlns:w14="http://schemas.microsoft.com/office/word/2010/wordml" w14:val="none"/>
              </w:rPr>
            </w:pPr>
            <w:r>
              <w:rPr>
                <w:rStyle w:val="style4110"/>
                <w:rFonts w:cs="Arial"/>
                <w:sz w:val="22"/>
              </w:rPr>
              <w:t>Doctors' perception, rather than patient's, single city, some underrepresented females.</w:t>
            </w:r>
          </w:p>
        </w:tc>
      </w:tr>
    </w:tbl>
    <w:p w14:paraId="7C0220FC">
      <w:pPr>
        <w:pStyle w:val="style0"/>
        <w:spacing w:lineRule="auto" w:line="360"/>
        <w:ind w:left="720" w:hanging="720"/>
        <w:jc w:val="both"/>
        <w:rPr>
          <w:rFonts w:cs="Arial"/>
          <w:color w:val="222222"/>
          <w:sz w:val="22"/>
          <w:shd w:val="clear" w:color="auto" w:fill="ffffff"/>
        </w:rPr>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Arial Unicode MS">
    <w:altName w:val="Arial Unicode MS"/>
    <w:panose1 w:val="020b0604020002020204"/>
    <w:charset w:val="80"/>
    <w:family w:val="swiss"/>
    <w:pitch w:val="variable"/>
    <w:sig w:usb0="F7FFAFFF" w:usb1="E9DFFFFF" w:usb2="0000003F" w:usb3="00000000" w:csb0="003F01FF" w:csb1="00000000"/>
  </w:font>
  <w:font w:name="Cambria Math">
    <w:altName w:val="Cambria Math"/>
    <w:panose1 w:val="02040503050004030204"/>
    <w:charset w:val="00"/>
    <w:family w:val="roman"/>
    <w:pitch w:val="variable"/>
    <w:sig w:usb0="E00006FF" w:usb1="420024FF" w:usb2="02000000" w:usb3="00000000" w:csb0="0000019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C022103">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14:paraId="7C022104">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6FA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4C9A0F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19F4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rPr>
      <w:rFonts w:ascii="Arial" w:hAnsi="Arial"/>
      <w:kern w:val="2"/>
      <w:sz w:val="24"/>
      <w:lang w:val="en-GB"/>
      <w14:ligatures xmlns:w14="http://schemas.microsoft.com/office/word/2010/wordml" w14:val="standardContextual"/>
    </w:rPr>
  </w:style>
  <w:style w:type="paragraph" w:styleId="style1">
    <w:name w:val="heading 1"/>
    <w:basedOn w:val="style0"/>
    <w:next w:val="style0"/>
    <w:link w:val="style4097"/>
    <w:qFormat/>
    <w:uiPriority w:val="9"/>
    <w:pPr>
      <w:keepNext/>
      <w:keepLines/>
      <w:spacing w:before="240" w:after="0"/>
      <w:outlineLvl w:val="0"/>
    </w:pPr>
    <w:rPr>
      <w:rFonts w:eastAsia="SimSun"/>
      <w:b/>
      <w:szCs w:val="32"/>
    </w:rPr>
  </w:style>
  <w:style w:type="paragraph" w:styleId="style2">
    <w:name w:val="heading 2"/>
    <w:basedOn w:val="style0"/>
    <w:next w:val="style0"/>
    <w:link w:val="style4098"/>
    <w:qFormat/>
    <w:uiPriority w:val="9"/>
    <w:pPr>
      <w:keepNext/>
      <w:keepLines/>
      <w:spacing w:before="40" w:after="0"/>
      <w:outlineLvl w:val="1"/>
    </w:pPr>
    <w:rPr>
      <w:rFonts w:eastAsia="SimSun"/>
      <w:b/>
      <w:szCs w:val="26"/>
    </w:rPr>
  </w:style>
  <w:style w:type="paragraph" w:styleId="style3">
    <w:name w:val="heading 3"/>
    <w:basedOn w:val="style0"/>
    <w:next w:val="style0"/>
    <w:link w:val="style4101"/>
    <w:qFormat/>
    <w:uiPriority w:val="9"/>
    <w:pPr>
      <w:keepNext/>
      <w:keepLines/>
      <w:spacing w:before="40" w:after="0"/>
      <w:outlineLvl w:val="2"/>
    </w:pPr>
    <w:rPr>
      <w:rFonts w:eastAsia="SimSun"/>
      <w:b/>
      <w:szCs w:val="24"/>
    </w:rPr>
  </w:style>
  <w:style w:type="paragraph" w:styleId="style4">
    <w:name w:val="heading 4"/>
    <w:basedOn w:val="style0"/>
    <w:next w:val="style0"/>
    <w:link w:val="style4105"/>
    <w:qFormat/>
    <w:uiPriority w:val="9"/>
    <w:pPr>
      <w:keepNext/>
      <w:keepLines/>
      <w:spacing w:before="40" w:after="0"/>
      <w:outlineLvl w:val="3"/>
    </w:pPr>
    <w:rPr>
      <w:rFonts w:ascii="Calibri Light" w:eastAsia="SimSun" w:hAnsi="Calibri Light"/>
      <w:i/>
      <w:iCs/>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cd06f783-f31d-4d70-ab4f-cf29333c43da"/>
    <w:basedOn w:val="style65"/>
    <w:next w:val="style4097"/>
    <w:link w:val="style1"/>
    <w:uiPriority w:val="9"/>
    <w:rPr>
      <w:rFonts w:ascii="Arial" w:cs="SimSun" w:eastAsia="SimSun" w:hAnsi="Arial"/>
      <w:b/>
      <w:kern w:val="2"/>
      <w:szCs w:val="32"/>
      <w:lang w:val="en-GB"/>
      <w14:ligatures xmlns:w14="http://schemas.microsoft.com/office/word/2010/wordml" w14:val="standardContextual"/>
    </w:rPr>
  </w:style>
  <w:style w:type="character" w:customStyle="1" w:styleId="style4098">
    <w:name w:val="Heading 2 Char_b56d0b11-73d0-4a3b-9c89-cb5f86cd67a0"/>
    <w:basedOn w:val="style65"/>
    <w:next w:val="style4098"/>
    <w:link w:val="style2"/>
    <w:uiPriority w:val="9"/>
    <w:rPr>
      <w:rFonts w:ascii="Arial" w:cs="SimSun" w:eastAsia="SimSun" w:hAnsi="Arial"/>
      <w:b/>
      <w:kern w:val="2"/>
      <w:szCs w:val="26"/>
      <w:lang w:val="en-GB"/>
      <w14:ligatures xmlns:w14="http://schemas.microsoft.com/office/word/2010/wordml" w14:val="standardContextual"/>
    </w:rPr>
  </w:style>
  <w:style w:type="paragraph" w:customStyle="1" w:styleId="style4099">
    <w:name w:val="Heading 31"/>
    <w:basedOn w:val="style0"/>
    <w:next w:val="style4099"/>
    <w:link w:val="style4100"/>
    <w:pPr/>
    <w:rPr>
      <w:b/>
    </w:rPr>
  </w:style>
  <w:style w:type="character" w:customStyle="1" w:styleId="style4100">
    <w:name w:val="heading 3 Char"/>
    <w:basedOn w:val="style65"/>
    <w:next w:val="style4100"/>
    <w:link w:val="style4099"/>
    <w:rPr>
      <w:rFonts w:ascii="Times New Roman" w:hAnsi="Times New Roman"/>
      <w:b/>
      <w:sz w:val="24"/>
    </w:rPr>
  </w:style>
  <w:style w:type="character" w:customStyle="1" w:styleId="style4101">
    <w:name w:val="Heading 3 Char_91616c51-b1f2-4d3f-b595-2f0b4bde5e96"/>
    <w:basedOn w:val="style65"/>
    <w:next w:val="style4101"/>
    <w:link w:val="style3"/>
    <w:uiPriority w:val="9"/>
    <w:rPr>
      <w:rFonts w:ascii="Times New Roman" w:cs="SimSun" w:eastAsia="SimSun" w:hAnsi="Times New Roman"/>
      <w:b/>
      <w:kern w:val="2"/>
      <w:sz w:val="24"/>
      <w:szCs w:val="24"/>
      <w:lang w:val="en-GB"/>
      <w14:ligatures xmlns:w14="http://schemas.microsoft.com/office/word/2010/wordml" w14:val="standardContextual"/>
    </w:rPr>
  </w:style>
  <w:style w:type="paragraph" w:styleId="style62">
    <w:name w:val="Title"/>
    <w:basedOn w:val="style0"/>
    <w:next w:val="style0"/>
    <w:link w:val="style4102"/>
    <w:qFormat/>
    <w:uiPriority w:val="10"/>
    <w:pPr>
      <w:spacing w:after="0" w:lineRule="auto" w:line="240"/>
      <w:contextualSpacing/>
    </w:pPr>
    <w:rPr>
      <w:rFonts w:eastAsia="SimSun"/>
      <w:spacing w:val="-10"/>
      <w:kern w:val="28"/>
      <w:szCs w:val="56"/>
    </w:rPr>
  </w:style>
  <w:style w:type="character" w:customStyle="1" w:styleId="style4102">
    <w:name w:val="Title Char_c78087d3-715f-48a1-87d2-05fcbff56718"/>
    <w:basedOn w:val="style65"/>
    <w:next w:val="style4102"/>
    <w:link w:val="style62"/>
    <w:uiPriority w:val="10"/>
    <w:rPr>
      <w:rFonts w:ascii="Arial" w:cs="SimSun" w:eastAsia="SimSun" w:hAnsi="Arial"/>
      <w:spacing w:val="-10"/>
      <w:kern w:val="28"/>
      <w:szCs w:val="56"/>
      <w:lang w:val="en-GB"/>
      <w14:ligatures xmlns:w14="http://schemas.microsoft.com/office/word/2010/wordml" w14:val="standardContextual"/>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103"/>
    <w:uiPriority w:val="99"/>
    <w:pPr>
      <w:tabs>
        <w:tab w:val="center" w:leader="none" w:pos="4680"/>
        <w:tab w:val="right" w:leader="none" w:pos="9360"/>
      </w:tabs>
      <w:spacing w:after="0" w:lineRule="auto" w:line="240"/>
    </w:pPr>
    <w:rPr/>
  </w:style>
  <w:style w:type="character" w:customStyle="1" w:styleId="style4103">
    <w:name w:val="Header Char_13a83c17-5e26-42f0-b93f-869544c6d620"/>
    <w:basedOn w:val="style65"/>
    <w:next w:val="style4103"/>
    <w:link w:val="style31"/>
    <w:uiPriority w:val="99"/>
    <w:rPr>
      <w:rFonts w:ascii="Arial" w:hAnsi="Arial"/>
      <w:kern w:val="2"/>
      <w:sz w:val="24"/>
      <w:lang w:val="en-GB"/>
      <w14:ligatures xmlns:w14="http://schemas.microsoft.com/office/word/2010/wordml" w14:val="standardContextual"/>
    </w:rPr>
  </w:style>
  <w:style w:type="paragraph" w:styleId="style32">
    <w:name w:val="footer"/>
    <w:basedOn w:val="style0"/>
    <w:next w:val="style32"/>
    <w:link w:val="style4104"/>
    <w:uiPriority w:val="99"/>
    <w:pPr>
      <w:tabs>
        <w:tab w:val="center" w:leader="none" w:pos="4680"/>
        <w:tab w:val="right" w:leader="none" w:pos="9360"/>
      </w:tabs>
      <w:spacing w:after="0" w:lineRule="auto" w:line="240"/>
    </w:pPr>
    <w:rPr/>
  </w:style>
  <w:style w:type="character" w:customStyle="1" w:styleId="style4104">
    <w:name w:val="Footer Char_378714ea-37e0-4302-a2c7-e39c7b249472"/>
    <w:basedOn w:val="style65"/>
    <w:next w:val="style4104"/>
    <w:link w:val="style32"/>
    <w:uiPriority w:val="99"/>
    <w:rPr>
      <w:rFonts w:ascii="Arial" w:hAnsi="Arial"/>
      <w:kern w:val="2"/>
      <w:sz w:val="24"/>
      <w:lang w:val="en-GB"/>
      <w14:ligatures xmlns:w14="http://schemas.microsoft.com/office/word/2010/wordml" w14:val="standardContextual"/>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Cs w:val="24"/>
      <w:lang w:val="en-US"/>
      <w14:ligatures xmlns:w14="http://schemas.microsoft.com/office/word/2010/wordml" w14:val="none"/>
    </w:rPr>
  </w:style>
  <w:style w:type="character" w:styleId="style88">
    <w:name w:val="Emphasis"/>
    <w:basedOn w:val="style65"/>
    <w:next w:val="style88"/>
    <w:qFormat/>
    <w:uiPriority w:val="20"/>
    <w:rPr>
      <w:i/>
      <w:iCs/>
    </w:rPr>
  </w:style>
  <w:style w:type="character" w:styleId="style85">
    <w:name w:val="Hyperlink"/>
    <w:basedOn w:val="style65"/>
    <w:next w:val="style85"/>
    <w:uiPriority w:val="99"/>
    <w:rPr>
      <w:color w:val="0000ff"/>
      <w:u w:val="single"/>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05">
    <w:name w:val="Heading 4 Char_ebf51a56-8c70-4580-bf84-003b583ce818"/>
    <w:basedOn w:val="style65"/>
    <w:next w:val="style4105"/>
    <w:link w:val="style4"/>
    <w:uiPriority w:val="9"/>
    <w:rPr>
      <w:rFonts w:ascii="Calibri Light" w:cs="SimSun" w:eastAsia="SimSun" w:hAnsi="Calibri Light"/>
      <w:i/>
      <w:iCs/>
      <w:color w:val="2f5496"/>
      <w:kern w:val="2"/>
      <w:sz w:val="24"/>
      <w:lang w:val="en-GB"/>
      <w14:ligatures xmlns:w14="http://schemas.microsoft.com/office/word/2010/wordml" w14:val="standardContextual"/>
    </w:rPr>
  </w:style>
  <w:style w:type="paragraph" w:styleId="style178">
    <w:name w:val="Revision"/>
    <w:next w:val="style178"/>
    <w:uiPriority w:val="99"/>
    <w:pPr>
      <w:spacing w:after="0" w:lineRule="auto" w:line="240"/>
    </w:pPr>
    <w:rPr>
      <w:rFonts w:ascii="Arial" w:hAnsi="Arial"/>
      <w:kern w:val="2"/>
      <w:sz w:val="24"/>
      <w:lang w:val="en-GB"/>
      <w14:ligatures xmlns:w14="http://schemas.microsoft.com/office/word/2010/wordml" w14:val="standardContextual"/>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6"/>
    <w:uiPriority w:val="99"/>
    <w:pPr>
      <w:spacing w:lineRule="auto" w:line="240"/>
    </w:pPr>
    <w:rPr>
      <w:sz w:val="20"/>
      <w:szCs w:val="20"/>
    </w:rPr>
  </w:style>
  <w:style w:type="character" w:customStyle="1" w:styleId="style4106">
    <w:name w:val="Comment Text Char"/>
    <w:basedOn w:val="style65"/>
    <w:next w:val="style4106"/>
    <w:link w:val="style30"/>
    <w:uiPriority w:val="99"/>
    <w:rPr>
      <w:rFonts w:ascii="Arial" w:hAnsi="Arial"/>
      <w:kern w:val="2"/>
      <w:sz w:val="20"/>
      <w:szCs w:val="20"/>
      <w:lang w:val="en-GB"/>
      <w14:ligatures xmlns:w14="http://schemas.microsoft.com/office/word/2010/wordml" w14:val="standardContextual"/>
    </w:rPr>
  </w:style>
  <w:style w:type="paragraph" w:styleId="style106">
    <w:name w:val="annotation subject"/>
    <w:basedOn w:val="style30"/>
    <w:next w:val="style30"/>
    <w:link w:val="style4107"/>
    <w:uiPriority w:val="99"/>
    <w:pPr/>
    <w:rPr>
      <w:b/>
      <w:bCs/>
    </w:rPr>
  </w:style>
  <w:style w:type="character" w:customStyle="1" w:styleId="style4107">
    <w:name w:val="Comment Subject Char"/>
    <w:basedOn w:val="style4106"/>
    <w:next w:val="style4107"/>
    <w:link w:val="style106"/>
    <w:uiPriority w:val="99"/>
    <w:rPr>
      <w:rFonts w:ascii="Arial" w:hAnsi="Arial"/>
      <w:b/>
      <w:bCs/>
      <w:kern w:val="2"/>
      <w:sz w:val="20"/>
      <w:szCs w:val="20"/>
      <w:lang w:val="en-GB"/>
      <w14:ligatures xmlns:w14="http://schemas.microsoft.com/office/word/2010/wordml" w14:val="standardContextual"/>
    </w:rPr>
  </w:style>
  <w:style w:type="character" w:customStyle="1" w:styleId="style4108">
    <w:name w:val="Unresolved Mention1"/>
    <w:basedOn w:val="style65"/>
    <w:next w:val="style4108"/>
    <w:uiPriority w:val="99"/>
    <w:rPr>
      <w:color w:val="605e5c"/>
      <w:shd w:val="clear" w:color="auto" w:fill="e1dfdd"/>
    </w:rPr>
  </w:style>
  <w:style w:type="paragraph" w:customStyle="1" w:styleId="style4109">
    <w:name w:val="font-claude-response-body"/>
    <w:basedOn w:val="style0"/>
    <w:next w:val="style4109"/>
    <w:pPr>
      <w:spacing w:before="100" w:beforeAutospacing="true" w:after="100" w:afterAutospacing="true" w:lineRule="auto" w:line="240"/>
    </w:pPr>
    <w:rPr>
      <w:rFonts w:ascii="Times New Roman" w:cs="Times New Roman" w:eastAsia="Times New Roman" w:hAnsi="Times New Roman"/>
      <w:kern w:val="0"/>
      <w:szCs w:val="24"/>
      <w:lang w:val="en-US"/>
      <w14:ligatures xmlns:w14="http://schemas.microsoft.com/office/word/2010/wordml" w14:val="none"/>
    </w:rPr>
  </w:style>
  <w:style w:type="character" w:styleId="style87">
    <w:name w:val="Strong"/>
    <w:basedOn w:val="style65"/>
    <w:next w:val="style87"/>
    <w:qFormat/>
    <w:uiPriority w:val="22"/>
    <w:rPr>
      <w:b/>
      <w:bCs/>
    </w:rPr>
  </w:style>
  <w:style w:type="character" w:customStyle="1" w:styleId="style4110">
    <w:name w:val="cursor-pointer"/>
    <w:basedOn w:val="style65"/>
    <w:next w:val="style4110"/>
  </w:style>
  <w:style w:type="paragraph" w:styleId="style66">
    <w:name w:val="Body Text"/>
    <w:basedOn w:val="style0"/>
    <w:next w:val="style66"/>
    <w:link w:val="style4111"/>
    <w:qFormat/>
    <w:uiPriority w:val="1"/>
    <w:pPr>
      <w:widowControl w:val="false"/>
      <w:autoSpaceDE w:val="false"/>
      <w:autoSpaceDN w:val="false"/>
      <w:spacing w:after="0" w:lineRule="auto" w:line="240"/>
    </w:pPr>
    <w:rPr>
      <w:rFonts w:cs="Calibri Light" w:eastAsia="Calibri Light"/>
      <w:kern w:val="0"/>
      <w:sz w:val="22"/>
      <w:lang w:bidi="en-GB" w:eastAsia="en-GB"/>
      <w14:ligatures xmlns:w14="http://schemas.microsoft.com/office/word/2010/wordml" w14:val="none"/>
    </w:rPr>
  </w:style>
  <w:style w:type="character" w:customStyle="1" w:styleId="style4111">
    <w:name w:val="Body Text Char"/>
    <w:basedOn w:val="style65"/>
    <w:next w:val="style4111"/>
    <w:link w:val="style66"/>
    <w:uiPriority w:val="1"/>
    <w:rPr>
      <w:rFonts w:ascii="Arial" w:cs="Calibri Light" w:eastAsia="Calibri Light" w:hAnsi="Arial"/>
      <w:lang w:val="en-GB" w:bidi="en-GB" w:eastAsia="en-GB"/>
    </w:rPr>
  </w:style>
  <w:style w:type="paragraph" w:styleId="style266">
    <w:name w:val="TOC Heading"/>
    <w:basedOn w:val="style1"/>
    <w:next w:val="style0"/>
    <w:qFormat/>
    <w:uiPriority w:val="39"/>
    <w:pPr>
      <w:outlineLvl w:val="9"/>
    </w:pPr>
    <w:rPr>
      <w:rFonts w:ascii="Calibri Light" w:hAnsi="Calibri Light"/>
      <w:b w:val="false"/>
      <w:color w:val="2f5496"/>
      <w:kern w:val="0"/>
      <w:sz w:val="32"/>
      <w:lang w:val="en-US"/>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paragraph" w:styleId="style101">
    <w:name w:val="HTML Preformatted"/>
    <w:basedOn w:val="style0"/>
    <w:next w:val="style101"/>
    <w:link w:val="style4112"/>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Rule="auto" w:line="240"/>
    </w:pPr>
    <w:rPr>
      <w:rFonts w:ascii="Courier New" w:cs="Courier New" w:eastAsia="Times New Roman" w:hAnsi="Courier New"/>
      <w:kern w:val="0"/>
      <w:sz w:val="20"/>
      <w:szCs w:val="20"/>
      <w:lang w:val="en-US"/>
      <w14:ligatures xmlns:w14="http://schemas.microsoft.com/office/word/2010/wordml" w14:val="none"/>
    </w:rPr>
  </w:style>
  <w:style w:type="character" w:customStyle="1" w:styleId="style4112">
    <w:name w:val="HTML Preformatted Char"/>
    <w:basedOn w:val="style65"/>
    <w:next w:val="style4112"/>
    <w:link w:val="style101"/>
    <w:uiPriority w:val="99"/>
    <w:rPr>
      <w:rFonts w:ascii="Courier New" w:cs="Courier New" w:eastAsia="Times New Roman" w:hAnsi="Courier New"/>
      <w:sz w:val="20"/>
      <w:szCs w:val="20"/>
    </w:rPr>
  </w:style>
  <w:style w:type="character" w:styleId="style98">
    <w:name w:val="HTML Code"/>
    <w:basedOn w:val="style65"/>
    <w:next w:val="style98"/>
    <w:uiPriority w:val="99"/>
    <w:rPr>
      <w:rFonts w:ascii="Courier New" w:cs="Courier New" w:eastAsia="Times New Roman" w:hAnsi="Courier New"/>
      <w:sz w:val="20"/>
      <w:szCs w:val="2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407D-F7D4-427D-AB17-19358DA0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16487</Words>
  <Pages>59</Pages>
  <Characters>93594</Characters>
  <Application>WPS Office</Application>
  <DocSecurity>0</DocSecurity>
  <Paragraphs>550</Paragraphs>
  <ScaleCrop>false</ScaleCrop>
  <LinksUpToDate>false</LinksUpToDate>
  <CharactersWithSpaces>109661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2026-08-24T14:24:00Z</dcterms:created>
  <dc:creator>WPS Office</dc:creator>
  <lastModifiedBy>23021RAAEG</lastModifiedBy>
  <dcterms:modified xsi:type="dcterms:W3CDTF">2026-08-25T02:58:47Z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755ce47d2b9a4994a738ca3122550ee9_23</vt:lpwstr>
  </property>
</Properties>
</file>