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rFonts w:ascii="Arial" w:cs="Arial" w:hAnsi="Arial"/>
          <w:lang w:val="en-US"/>
        </w:rPr>
      </w:pPr>
      <w:r>
        <w:rPr>
          <w:rFonts w:ascii="Arial" w:cs="Arial" w:hAnsi="Arial"/>
          <w:noProof/>
        </w:rPr>
        <w:drawing>
          <wp:inline distL="0" distT="0" distB="0" distR="0">
            <wp:extent cx="4006850" cy="1673359"/>
            <wp:effectExtent l="0" t="0" r="0" b="3175"/>
            <wp:docPr id="1026" name="Picture 1" descr="University of Wales Trinity Saint David ..."/>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4006850" cy="1673359"/>
                    </a:xfrm>
                    <a:prstGeom prst="rect"/>
                    <a:ln>
                      <a:noFill/>
                    </a:ln>
                  </pic:spPr>
                </pic:pic>
              </a:graphicData>
            </a:graphic>
          </wp:inline>
        </w:drawing>
      </w:r>
    </w:p>
    <w:p>
      <w:pPr>
        <w:pStyle w:val="style0"/>
        <w:jc w:val="center"/>
        <w:rPr>
          <w:rFonts w:ascii="Arial" w:cs="Arial" w:hAnsi="Arial"/>
          <w:lang w:val="en-US"/>
        </w:rPr>
      </w:pPr>
    </w:p>
    <w:p>
      <w:pPr>
        <w:pStyle w:val="style0"/>
        <w:jc w:val="center"/>
        <w:rPr>
          <w:rFonts w:ascii="Arial" w:cs="Arial" w:hAnsi="Arial"/>
          <w:b/>
          <w:bCs/>
          <w:sz w:val="36"/>
          <w:szCs w:val="36"/>
        </w:rPr>
      </w:pPr>
      <w:r>
        <w:rPr>
          <w:rFonts w:ascii="Arial" w:cs="Arial" w:hAnsi="Arial"/>
          <w:b/>
          <w:bCs/>
          <w:sz w:val="28"/>
          <w:szCs w:val="28"/>
          <w:lang w:val="en-US"/>
        </w:rPr>
        <w:t xml:space="preserve">Research Title: </w:t>
      </w:r>
      <w:r>
        <w:rPr>
          <w:rFonts w:ascii="Arial" w:cs="Arial" w:hAnsi="Arial"/>
          <w:b/>
          <w:bCs/>
        </w:rPr>
        <w:t>How Social Media Marketing Shapes Consumer Perceptions and Purchase Decisions: Evidence from the UK</w:t>
      </w:r>
    </w:p>
    <w:p>
      <w:pPr>
        <w:pStyle w:val="style0"/>
        <w:jc w:val="center"/>
        <w:rPr>
          <w:rFonts w:ascii="Arial" w:cs="Arial" w:hAnsi="Arial"/>
          <w:sz w:val="28"/>
          <w:szCs w:val="28"/>
        </w:rPr>
      </w:pPr>
      <w:r>
        <w:rPr>
          <w:rFonts w:ascii="Arial" w:cs="Arial" w:hAnsi="Arial"/>
          <w:b/>
          <w:bCs/>
          <w:sz w:val="28"/>
          <w:szCs w:val="28"/>
        </w:rPr>
        <w:t>Programme:</w:t>
      </w:r>
      <w:r>
        <w:rPr>
          <w:rFonts w:ascii="Arial" w:cs="Arial" w:hAnsi="Arial"/>
          <w:sz w:val="28"/>
          <w:szCs w:val="28"/>
        </w:rPr>
        <w:t xml:space="preserve"> </w:t>
      </w:r>
      <w:r>
        <w:rPr>
          <w:rFonts w:ascii="Arial" w:cs="Arial" w:hAnsi="Arial"/>
          <w:sz w:val="28"/>
          <w:szCs w:val="28"/>
        </w:rPr>
        <w:t>Master’s</w:t>
      </w:r>
      <w:r>
        <w:rPr>
          <w:rFonts w:ascii="Arial" w:cs="Arial" w:hAnsi="Arial"/>
          <w:sz w:val="28"/>
          <w:szCs w:val="28"/>
        </w:rPr>
        <w:t xml:space="preserve"> Of Business Administration</w:t>
      </w:r>
    </w:p>
    <w:p>
      <w:pPr>
        <w:pStyle w:val="style0"/>
        <w:jc w:val="center"/>
        <w:rPr>
          <w:rFonts w:ascii="Arial" w:cs="Arial" w:hAnsi="Arial"/>
          <w:sz w:val="28"/>
          <w:szCs w:val="28"/>
        </w:rPr>
      </w:pPr>
      <w:r>
        <w:rPr>
          <w:rFonts w:ascii="Arial" w:cs="Arial" w:hAnsi="Arial"/>
          <w:b/>
          <w:bCs/>
          <w:sz w:val="28"/>
          <w:szCs w:val="28"/>
        </w:rPr>
        <w:t>Module:</w:t>
      </w:r>
      <w:r>
        <w:rPr>
          <w:rFonts w:ascii="Arial" w:cs="Arial" w:hAnsi="Arial"/>
          <w:sz w:val="28"/>
          <w:szCs w:val="28"/>
        </w:rPr>
        <w:t xml:space="preserve"> Dissertation</w:t>
      </w:r>
    </w:p>
    <w:p>
      <w:pPr>
        <w:pStyle w:val="style0"/>
        <w:jc w:val="center"/>
        <w:rPr>
          <w:rFonts w:ascii="Arial" w:cs="Arial" w:hAnsi="Arial"/>
          <w:sz w:val="28"/>
          <w:szCs w:val="28"/>
        </w:rPr>
      </w:pPr>
      <w:r>
        <w:rPr>
          <w:rFonts w:ascii="Arial" w:cs="Arial" w:hAnsi="Arial"/>
          <w:b/>
          <w:bCs/>
          <w:sz w:val="28"/>
          <w:szCs w:val="28"/>
        </w:rPr>
        <w:t>Module code:</w:t>
      </w:r>
      <w:r>
        <w:rPr>
          <w:rFonts w:ascii="Arial" w:cs="Arial" w:hAnsi="Arial"/>
          <w:sz w:val="28"/>
          <w:szCs w:val="28"/>
        </w:rPr>
        <w:t xml:space="preserve"> LCMB7035</w:t>
      </w:r>
    </w:p>
    <w:p>
      <w:pPr>
        <w:pStyle w:val="style0"/>
        <w:jc w:val="center"/>
        <w:rPr>
          <w:rFonts w:ascii="Arial" w:cs="Arial" w:hAnsi="Arial"/>
        </w:rPr>
      </w:pPr>
      <w:r>
        <w:rPr>
          <w:rFonts w:ascii="Arial" w:cs="Arial" w:hAnsi="Arial"/>
          <w:b/>
          <w:bCs/>
          <w:sz w:val="28"/>
          <w:szCs w:val="28"/>
        </w:rPr>
        <w:t>Supervisor name:</w:t>
      </w:r>
      <w:r>
        <w:rPr>
          <w:rFonts w:ascii="Arial" w:cs="Arial" w:hAnsi="Arial"/>
          <w:sz w:val="28"/>
          <w:szCs w:val="28"/>
        </w:rPr>
        <w:t xml:space="preserve"> </w:t>
      </w:r>
      <w:r>
        <w:rPr>
          <w:rFonts w:ascii="Arial" w:cs="Arial" w:hAnsi="Arial"/>
        </w:rPr>
        <w:t>Irfan Shahrukh</w:t>
      </w:r>
    </w:p>
    <w:p>
      <w:pPr>
        <w:pStyle w:val="style0"/>
        <w:jc w:val="center"/>
        <w:rPr>
          <w:rFonts w:ascii="Arial" w:cs="Arial" w:hAnsi="Arial"/>
          <w:b/>
          <w:bCs/>
        </w:rPr>
      </w:pPr>
      <w:r>
        <w:rPr>
          <w:rFonts w:ascii="Arial" w:cs="Arial" w:hAnsi="Arial"/>
          <w:b/>
          <w:bCs/>
        </w:rPr>
        <w:t>Submitted by:</w:t>
      </w:r>
    </w:p>
    <w:p>
      <w:pPr>
        <w:pStyle w:val="style0"/>
        <w:jc w:val="center"/>
        <w:rPr>
          <w:rFonts w:ascii="Arial" w:cs="Arial" w:hAnsi="Arial"/>
          <w:sz w:val="22"/>
          <w:szCs w:val="22"/>
        </w:rPr>
      </w:pPr>
      <w:r>
        <w:rPr>
          <w:rFonts w:ascii="Arial" w:cs="Arial" w:hAnsi="Arial"/>
          <w:b/>
          <w:bCs/>
          <w:sz w:val="22"/>
          <w:szCs w:val="22"/>
        </w:rPr>
        <w:t>Name:</w:t>
      </w:r>
      <w:r>
        <w:rPr>
          <w:rFonts w:ascii="Arial" w:cs="Arial" w:hAnsi="Arial"/>
          <w:sz w:val="22"/>
          <w:szCs w:val="22"/>
        </w:rPr>
        <w:t xml:space="preserve"> </w:t>
      </w:r>
      <w:r>
        <w:rPr>
          <w:rFonts w:ascii="Arial" w:cs="Arial" w:hAnsi="Arial"/>
          <w:color w:val="000000"/>
          <w:sz w:val="22"/>
          <w:szCs w:val="22"/>
        </w:rPr>
        <w:t>Syed Tahbib Baksh</w:t>
      </w:r>
    </w:p>
    <w:p>
      <w:pPr>
        <w:pStyle w:val="style0"/>
        <w:jc w:val="center"/>
        <w:rPr>
          <w:rFonts w:ascii="Arial" w:cs="Arial" w:hAnsi="Arial"/>
        </w:rPr>
      </w:pPr>
      <w:r>
        <w:rPr>
          <w:rFonts w:ascii="Arial" w:cs="Arial" w:hAnsi="Arial"/>
          <w:b/>
          <w:bCs/>
        </w:rPr>
        <w:t>Student ID:</w:t>
      </w:r>
      <w:r>
        <w:rPr>
          <w:rFonts w:ascii="Arial" w:cs="Arial" w:hAnsi="Arial"/>
        </w:rPr>
        <w:t xml:space="preserve"> </w:t>
      </w:r>
      <w:r>
        <w:rPr>
          <w:rFonts w:ascii="Arial" w:cs="Arial" w:hAnsi="Arial"/>
          <w:sz w:val="22"/>
          <w:szCs w:val="22"/>
        </w:rPr>
        <w:t>2431869</w:t>
      </w:r>
    </w:p>
    <w:p>
      <w:pPr>
        <w:pStyle w:val="style0"/>
        <w:rPr>
          <w:rFonts w:ascii="Arial" w:cs="Arial" w:hAnsi="Arial"/>
          <w:b/>
          <w:bCs/>
        </w:rPr>
      </w:pPr>
      <w:r>
        <w:rPr>
          <w:rFonts w:ascii="Arial" w:cs="Arial" w:hAnsi="Arial"/>
          <w:b/>
          <w:bCs/>
        </w:rPr>
        <w:br w:type="page"/>
      </w:r>
    </w:p>
    <w:p>
      <w:pPr>
        <w:pStyle w:val="style266"/>
        <w:jc w:val="center"/>
        <w:rPr>
          <w:rFonts w:ascii="Arial" w:cs="Arial" w:hAnsi="Arial"/>
          <w:b/>
          <w:bCs/>
          <w:sz w:val="22"/>
          <w:szCs w:val="22"/>
        </w:rPr>
      </w:pPr>
      <w:r>
        <w:rPr>
          <w:rFonts w:ascii="Arial" w:cs="Arial" w:hAnsi="Arial"/>
          <w:b/>
          <w:bCs/>
          <w:sz w:val="22"/>
          <w:szCs w:val="22"/>
        </w:rPr>
        <w:t>Table of Contents</w:t>
      </w:r>
    </w:p>
    <w:p>
      <w:pPr>
        <w:pStyle w:val="style19"/>
        <w:tabs>
          <w:tab w:val="right" w:leader="dot" w:pos="9019"/>
        </w:tabs>
        <w:rPr>
          <w:rFonts w:ascii="Aptos" w:eastAsia="宋体" w:hAnsi="Aptos"/>
          <w:noProof/>
          <w:kern w:val="2"/>
          <w:lang w:eastAsia="en-GB"/>
        </w:rPr>
      </w:pPr>
      <w:r>
        <w:rPr>
          <w:rFonts w:ascii="Arial" w:cs="Arial" w:hAnsi="Arial"/>
          <w:sz w:val="22"/>
          <w:szCs w:val="22"/>
        </w:rPr>
        <w:fldChar w:fldCharType="begin"/>
      </w:r>
      <w:r>
        <w:rPr>
          <w:rFonts w:ascii="Arial" w:cs="Arial" w:hAnsi="Arial"/>
          <w:sz w:val="22"/>
          <w:szCs w:val="22"/>
        </w:rPr>
        <w:instrText xml:space="preserve"> TOC \o "1-3" \h \z \u </w:instrText>
      </w:r>
      <w:r>
        <w:rPr>
          <w:rFonts w:ascii="Arial" w:cs="Arial" w:hAnsi="Arial"/>
          <w:sz w:val="22"/>
          <w:szCs w:val="22"/>
        </w:rPr>
        <w:fldChar w:fldCharType="separate"/>
      </w:r>
      <w:r>
        <w:rPr/>
        <w:fldChar w:fldCharType="begin"/>
      </w:r>
      <w:r>
        <w:instrText xml:space="preserve"> HYPERLINK \l "_Toc224819473" </w:instrText>
      </w:r>
      <w:r>
        <w:rPr/>
        <w:fldChar w:fldCharType="separate"/>
      </w:r>
      <w:r>
        <w:rPr>
          <w:rStyle w:val="style85"/>
          <w:rFonts w:cs="Arial"/>
          <w:noProof/>
        </w:rPr>
        <w:t>1. Introduction</w:t>
      </w:r>
      <w:r>
        <w:rPr>
          <w:noProof/>
          <w:webHidden/>
        </w:rPr>
        <w:tab/>
      </w:r>
      <w:r>
        <w:rPr>
          <w:noProof/>
          <w:webHidden/>
        </w:rPr>
        <w:fldChar w:fldCharType="begin"/>
      </w:r>
      <w:r>
        <w:rPr>
          <w:noProof/>
          <w:webHidden/>
        </w:rPr>
        <w:instrText xml:space="preserve"> PAGEREF _Toc224819473 \h </w:instrText>
      </w:r>
      <w:r>
        <w:rPr>
          <w:noProof/>
          <w:webHidden/>
        </w:rPr>
        <w:fldChar w:fldCharType="separate"/>
      </w:r>
      <w:r>
        <w:rPr>
          <w:noProof/>
          <w:webHidden/>
        </w:rPr>
        <w:t>1</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"_Toc224819474" </w:instrText>
      </w:r>
      <w:r>
        <w:rPr/>
        <w:fldChar w:fldCharType="separate"/>
      </w:r>
      <w:r>
        <w:rPr>
          <w:rStyle w:val="style85"/>
          <w:rFonts w:cs="Arial"/>
          <w:noProof/>
        </w:rPr>
        <w:t>1.1 Background and Context</w:t>
      </w:r>
      <w:r>
        <w:rPr>
          <w:noProof/>
          <w:webHidden/>
        </w:rPr>
        <w:tab/>
      </w:r>
      <w:r>
        <w:rPr>
          <w:noProof/>
          <w:webHidden/>
        </w:rPr>
        <w:fldChar w:fldCharType="begin"/>
      </w:r>
      <w:r>
        <w:rPr>
          <w:noProof/>
          <w:webHidden/>
        </w:rPr>
        <w:instrText xml:space="preserve"> PAGEREF _Toc224819474 \h </w:instrText>
      </w:r>
      <w:r>
        <w:rPr>
          <w:noProof/>
          <w:webHidden/>
        </w:rPr>
        <w:fldChar w:fldCharType="separate"/>
      </w:r>
      <w:r>
        <w:rPr>
          <w:noProof/>
          <w:webHidden/>
        </w:rPr>
        <w:t>1</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"_Toc224819475" </w:instrText>
      </w:r>
      <w:r>
        <w:rPr/>
        <w:fldChar w:fldCharType="separate"/>
      </w:r>
      <w:r>
        <w:rPr>
          <w:rStyle w:val="style85"/>
          <w:rFonts w:cs="Arial"/>
          <w:noProof/>
        </w:rPr>
        <w:t>1.2 Problem Statement and Research Gap</w:t>
      </w:r>
      <w:r>
        <w:rPr>
          <w:noProof/>
          <w:webHidden/>
        </w:rPr>
        <w:tab/>
      </w:r>
      <w:r>
        <w:rPr>
          <w:noProof/>
          <w:webHidden/>
        </w:rPr>
        <w:fldChar w:fldCharType="begin"/>
      </w:r>
      <w:r>
        <w:rPr>
          <w:noProof/>
          <w:webHidden/>
        </w:rPr>
        <w:instrText xml:space="preserve"> PAGEREF _Toc224819475 \h </w:instrText>
      </w:r>
      <w:r>
        <w:rPr>
          <w:noProof/>
          <w:webHidden/>
        </w:rPr>
        <w:fldChar w:fldCharType="separate"/>
      </w:r>
      <w:r>
        <w:rPr>
          <w:noProof/>
          <w:webHidden/>
        </w:rPr>
        <w:t>1</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"_Toc224819476" </w:instrText>
      </w:r>
      <w:r>
        <w:rPr/>
        <w:fldChar w:fldCharType="separate"/>
      </w:r>
      <w:r>
        <w:rPr>
          <w:rStyle w:val="style85"/>
          <w:rFonts w:cs="Arial"/>
          <w:noProof/>
        </w:rPr>
        <w:t>1.3 Research aim</w:t>
      </w:r>
      <w:r>
        <w:rPr>
          <w:noProof/>
          <w:webHidden/>
        </w:rPr>
        <w:tab/>
      </w:r>
      <w:r>
        <w:rPr>
          <w:noProof/>
          <w:webHidden/>
        </w:rPr>
        <w:fldChar w:fldCharType="begin"/>
      </w:r>
      <w:r>
        <w:rPr>
          <w:noProof/>
          <w:webHidden/>
        </w:rPr>
        <w:instrText xml:space="preserve"> PAGEREF _Toc224819476 \h </w:instrText>
      </w:r>
      <w:r>
        <w:rPr>
          <w:noProof/>
          <w:webHidden/>
        </w:rPr>
        <w:fldChar w:fldCharType="separate"/>
      </w:r>
      <w:r>
        <w:rPr>
          <w:noProof/>
          <w:webHidden/>
        </w:rPr>
        <w:t>1</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"_Toc224819477" </w:instrText>
      </w:r>
      <w:r>
        <w:rPr/>
        <w:fldChar w:fldCharType="separate"/>
      </w:r>
      <w:r>
        <w:rPr>
          <w:rStyle w:val="style85"/>
          <w:rFonts w:cs="Arial"/>
          <w:noProof/>
        </w:rPr>
        <w:t>1.4 Research objectives</w:t>
      </w:r>
      <w:r>
        <w:rPr>
          <w:noProof/>
          <w:webHidden/>
        </w:rPr>
        <w:tab/>
      </w:r>
      <w:r>
        <w:rPr>
          <w:noProof/>
          <w:webHidden/>
        </w:rPr>
        <w:fldChar w:fldCharType="begin"/>
      </w:r>
      <w:r>
        <w:rPr>
          <w:noProof/>
          <w:webHidden/>
        </w:rPr>
        <w:instrText xml:space="preserve"> PAGEREF _Toc224819477 \h </w:instrText>
      </w:r>
      <w:r>
        <w:rPr>
          <w:noProof/>
          <w:webHidden/>
        </w:rPr>
        <w:fldChar w:fldCharType="separate"/>
      </w:r>
      <w:r>
        <w:rPr>
          <w:noProof/>
          <w:webHidden/>
        </w:rPr>
        <w:t>2</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"_Toc224819478" </w:instrText>
      </w:r>
      <w:r>
        <w:rPr/>
        <w:fldChar w:fldCharType="separate"/>
      </w:r>
      <w:r>
        <w:rPr>
          <w:rStyle w:val="style85"/>
          <w:rFonts w:cs="Arial"/>
          <w:noProof/>
        </w:rPr>
        <w:t>1.5 Research questions</w:t>
      </w:r>
      <w:r>
        <w:rPr>
          <w:noProof/>
          <w:webHidden/>
        </w:rPr>
        <w:tab/>
      </w:r>
      <w:r>
        <w:rPr>
          <w:noProof/>
          <w:webHidden/>
        </w:rPr>
        <w:fldChar w:fldCharType="begin"/>
      </w:r>
      <w:r>
        <w:rPr>
          <w:noProof/>
          <w:webHidden/>
        </w:rPr>
        <w:instrText xml:space="preserve"> PAGEREF _Toc224819478 \h </w:instrText>
      </w:r>
      <w:r>
        <w:rPr>
          <w:noProof/>
          <w:webHidden/>
        </w:rPr>
        <w:fldChar w:fldCharType="separate"/>
      </w:r>
      <w:r>
        <w:rPr>
          <w:noProof/>
          <w:webHidden/>
        </w:rPr>
        <w:t>2</w:t>
      </w:r>
      <w:r>
        <w:rPr>
          <w:noProof/>
          <w:webHidden/>
        </w:rPr>
        <w:fldChar w:fldCharType="end"/>
      </w:r>
      <w:r>
        <w:rPr/>
        <w:fldChar w:fldCharType="end"/>
      </w:r>
    </w:p>
    <w:p>
      <w:pPr>
        <w:pStyle w:val="style19"/>
        <w:tabs>
          <w:tab w:val="right" w:leader="dot" w:pos="9019"/>
        </w:tabs>
        <w:rPr>
          <w:rFonts w:ascii="Aptos" w:eastAsia="宋体" w:hAnsi="Aptos"/>
          <w:noProof/>
          <w:kern w:val="2"/>
          <w:lang w:eastAsia="en-GB"/>
        </w:rPr>
      </w:pPr>
      <w:r>
        <w:rPr/>
        <w:fldChar w:fldCharType="begin"/>
      </w:r>
      <w:r>
        <w:instrText xml:space="preserve"> HYPERLINK \l "_Toc224819479" </w:instrText>
      </w:r>
      <w:r>
        <w:rPr/>
        <w:fldChar w:fldCharType="separate"/>
      </w:r>
      <w:r>
        <w:rPr>
          <w:rStyle w:val="style85"/>
          <w:rFonts w:cs="Arial"/>
          <w:noProof/>
        </w:rPr>
        <w:t>2. Literature Review</w:t>
      </w:r>
      <w:r>
        <w:rPr>
          <w:noProof/>
          <w:webHidden/>
        </w:rPr>
        <w:tab/>
      </w:r>
      <w:r>
        <w:rPr>
          <w:noProof/>
          <w:webHidden/>
        </w:rPr>
        <w:fldChar w:fldCharType="begin"/>
      </w:r>
      <w:r>
        <w:rPr>
          <w:noProof/>
          <w:webHidden/>
        </w:rPr>
        <w:instrText xml:space="preserve"> PAGEREF _Toc224819479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"_Toc224819480" </w:instrText>
      </w:r>
      <w:r>
        <w:rPr/>
        <w:fldChar w:fldCharType="separate"/>
      </w:r>
      <w:r>
        <w:rPr>
          <w:rStyle w:val="style85"/>
          <w:rFonts w:cs="Arial"/>
          <w:noProof/>
        </w:rPr>
        <w:t>2.1 Theme 1: Operationalising exposure and engagement</w:t>
      </w:r>
      <w:r>
        <w:rPr>
          <w:noProof/>
          <w:webHidden/>
        </w:rPr>
        <w:tab/>
      </w:r>
      <w:r>
        <w:rPr>
          <w:noProof/>
          <w:webHidden/>
        </w:rPr>
        <w:fldChar w:fldCharType="begin"/>
      </w:r>
      <w:r>
        <w:rPr>
          <w:noProof/>
          <w:webHidden/>
        </w:rPr>
        <w:instrText xml:space="preserve"> PAGEREF _Toc224819480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"_Toc224819481" </w:instrText>
      </w:r>
      <w:r>
        <w:rPr/>
        <w:fldChar w:fldCharType="separate"/>
      </w:r>
      <w:r>
        <w:rPr>
          <w:rStyle w:val="style85"/>
          <w:rFonts w:cs="Arial"/>
          <w:noProof/>
        </w:rPr>
        <w:t>2.2 Theme 2: Trust and credibility</w:t>
      </w:r>
      <w:r>
        <w:rPr>
          <w:noProof/>
          <w:webHidden/>
        </w:rPr>
        <w:tab/>
      </w:r>
      <w:r>
        <w:rPr>
          <w:noProof/>
          <w:webHidden/>
        </w:rPr>
        <w:fldChar w:fldCharType="begin"/>
      </w:r>
      <w:r>
        <w:rPr>
          <w:noProof/>
          <w:webHidden/>
        </w:rPr>
        <w:instrText xml:space="preserve"> PAGEREF _Toc224819481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"_Toc224819482" </w:instrText>
      </w:r>
      <w:r>
        <w:rPr/>
        <w:fldChar w:fldCharType="separate"/>
      </w:r>
      <w:r>
        <w:rPr>
          <w:rStyle w:val="style85"/>
          <w:rFonts w:cs="Arial"/>
          <w:noProof/>
        </w:rPr>
        <w:t>2.3 Theme 3: Perceived value as a consumer assessment</w:t>
      </w:r>
      <w:r>
        <w:rPr>
          <w:noProof/>
          <w:webHidden/>
        </w:rPr>
        <w:tab/>
      </w:r>
      <w:r>
        <w:rPr>
          <w:noProof/>
          <w:webHidden/>
        </w:rPr>
        <w:fldChar w:fldCharType="begin"/>
      </w:r>
      <w:r>
        <w:rPr>
          <w:noProof/>
          <w:webHidden/>
        </w:rPr>
        <w:instrText xml:space="preserve"> PAGEREF _Toc224819482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"_Toc224819483" </w:instrText>
      </w:r>
      <w:r>
        <w:rPr/>
        <w:fldChar w:fldCharType="separate"/>
      </w:r>
      <w:r>
        <w:rPr>
          <w:rStyle w:val="style85"/>
          <w:rFonts w:cs="Arial"/>
          <w:noProof/>
        </w:rPr>
        <w:t>2.4 Theme 4: From consumer evaluation to purchase outcomes</w:t>
      </w:r>
      <w:r>
        <w:rPr>
          <w:noProof/>
          <w:webHidden/>
        </w:rPr>
        <w:tab/>
      </w:r>
      <w:r>
        <w:rPr>
          <w:noProof/>
          <w:webHidden/>
        </w:rPr>
        <w:fldChar w:fldCharType="begin"/>
      </w:r>
      <w:r>
        <w:rPr>
          <w:noProof/>
          <w:webHidden/>
        </w:rPr>
        <w:instrText xml:space="preserve"> PAGEREF _Toc224819483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"_Toc224819484" </w:instrText>
      </w:r>
      <w:r>
        <w:rPr/>
        <w:fldChar w:fldCharType="separate"/>
      </w:r>
      <w:r>
        <w:rPr>
          <w:rStyle w:val="style85"/>
          <w:rFonts w:cs="Arial"/>
          <w:noProof/>
        </w:rPr>
        <w:t>2.5 Theme 5: UK-context evidence and synthesis</w:t>
      </w:r>
      <w:r>
        <w:rPr>
          <w:noProof/>
          <w:webHidden/>
        </w:rPr>
        <w:tab/>
      </w:r>
      <w:r>
        <w:rPr>
          <w:noProof/>
          <w:webHidden/>
        </w:rPr>
        <w:fldChar w:fldCharType="begin"/>
      </w:r>
      <w:r>
        <w:rPr>
          <w:noProof/>
          <w:webHidden/>
        </w:rPr>
        <w:instrText xml:space="preserve"> PAGEREF _Toc224819484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019"/>
        </w:tabs>
        <w:rPr>
          <w:rFonts w:ascii="Aptos" w:eastAsia="宋体" w:hAnsi="Aptos"/>
          <w:noProof/>
          <w:kern w:val="2"/>
          <w:lang w:eastAsia="en-GB"/>
        </w:rPr>
      </w:pPr>
      <w:r>
        <w:rPr/>
        <w:fldChar w:fldCharType="begin"/>
      </w:r>
      <w:r>
        <w:instrText xml:space="preserve"> HYPERLINK \l "_Toc224819485" </w:instrText>
      </w:r>
      <w:r>
        <w:rPr/>
        <w:fldChar w:fldCharType="separate"/>
      </w:r>
      <w:r>
        <w:rPr>
          <w:rStyle w:val="style85"/>
          <w:rFonts w:cs="Arial"/>
          <w:noProof/>
        </w:rPr>
        <w:t>3. Methodology</w:t>
      </w:r>
      <w:r>
        <w:rPr>
          <w:noProof/>
          <w:webHidden/>
        </w:rPr>
        <w:tab/>
      </w:r>
      <w:r>
        <w:rPr>
          <w:noProof/>
          <w:webHidden/>
        </w:rPr>
        <w:fldChar w:fldCharType="begin"/>
      </w:r>
      <w:r>
        <w:rPr>
          <w:noProof/>
          <w:webHidden/>
        </w:rPr>
        <w:instrText xml:space="preserve"> PAGEREF _Toc224819485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"_Toc224819486" </w:instrText>
      </w:r>
      <w:r>
        <w:rPr/>
        <w:fldChar w:fldCharType="separate"/>
      </w:r>
      <w:r>
        <w:rPr>
          <w:rStyle w:val="style85"/>
          <w:rFonts w:cs="Arial"/>
          <w:noProof/>
        </w:rPr>
        <w:t>3.1 Research philosophy and approach</w:t>
      </w:r>
      <w:r>
        <w:rPr>
          <w:noProof/>
          <w:webHidden/>
        </w:rPr>
        <w:tab/>
      </w:r>
      <w:r>
        <w:rPr>
          <w:noProof/>
          <w:webHidden/>
        </w:rPr>
        <w:fldChar w:fldCharType="begin"/>
      </w:r>
      <w:r>
        <w:rPr>
          <w:noProof/>
          <w:webHidden/>
        </w:rPr>
        <w:instrText xml:space="preserve"> PAGEREF _Toc224819486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"_Toc224819487" </w:instrText>
      </w:r>
      <w:r>
        <w:rPr/>
        <w:fldChar w:fldCharType="separate"/>
      </w:r>
      <w:r>
        <w:rPr>
          <w:rStyle w:val="style85"/>
          <w:rFonts w:cs="Arial"/>
          <w:noProof/>
        </w:rPr>
        <w:t>3.2 Research strategy and time horizon</w:t>
      </w:r>
      <w:r>
        <w:rPr>
          <w:noProof/>
          <w:webHidden/>
        </w:rPr>
        <w:tab/>
      </w:r>
      <w:r>
        <w:rPr>
          <w:noProof/>
          <w:webHidden/>
        </w:rPr>
        <w:fldChar w:fldCharType="begin"/>
      </w:r>
      <w:r>
        <w:rPr>
          <w:noProof/>
          <w:webHidden/>
        </w:rPr>
        <w:instrText xml:space="preserve"> PAGEREF _Toc224819487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"_Toc224819488" </w:instrText>
      </w:r>
      <w:r>
        <w:rPr/>
        <w:fldChar w:fldCharType="separate"/>
      </w:r>
      <w:r>
        <w:rPr>
          <w:rStyle w:val="style85"/>
          <w:rFonts w:cs="Arial"/>
          <w:noProof/>
        </w:rPr>
        <w:t>3.3 Population and sampling</w:t>
      </w:r>
      <w:r>
        <w:rPr>
          <w:noProof/>
          <w:webHidden/>
        </w:rPr>
        <w:tab/>
      </w:r>
      <w:r>
        <w:rPr>
          <w:noProof/>
          <w:webHidden/>
        </w:rPr>
        <w:fldChar w:fldCharType="begin"/>
      </w:r>
      <w:r>
        <w:rPr>
          <w:noProof/>
          <w:webHidden/>
        </w:rPr>
        <w:instrText xml:space="preserve"> PAGEREF _Toc224819488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"_Toc224819489" </w:instrText>
      </w:r>
      <w:r>
        <w:rPr/>
        <w:fldChar w:fldCharType="separate"/>
      </w:r>
      <w:r>
        <w:rPr>
          <w:rStyle w:val="style85"/>
          <w:rFonts w:cs="Arial"/>
          <w:noProof/>
        </w:rPr>
        <w:t>3.4 Data collection and measures</w:t>
      </w:r>
      <w:r>
        <w:rPr>
          <w:noProof/>
          <w:webHidden/>
        </w:rPr>
        <w:tab/>
      </w:r>
      <w:r>
        <w:rPr>
          <w:noProof/>
          <w:webHidden/>
        </w:rPr>
        <w:fldChar w:fldCharType="begin"/>
      </w:r>
      <w:r>
        <w:rPr>
          <w:noProof/>
          <w:webHidden/>
        </w:rPr>
        <w:instrText xml:space="preserve"> PAGEREF _Toc224819489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"_Toc224819490" </w:instrText>
      </w:r>
      <w:r>
        <w:rPr/>
        <w:fldChar w:fldCharType="separate"/>
      </w:r>
      <w:r>
        <w:rPr>
          <w:rStyle w:val="style85"/>
          <w:rFonts w:cs="Arial"/>
          <w:noProof/>
        </w:rPr>
        <w:t>3.5 Data analysis</w:t>
      </w:r>
      <w:r>
        <w:rPr>
          <w:noProof/>
          <w:webHidden/>
        </w:rPr>
        <w:tab/>
      </w:r>
      <w:r>
        <w:rPr>
          <w:noProof/>
          <w:webHidden/>
        </w:rPr>
        <w:fldChar w:fldCharType="begin"/>
      </w:r>
      <w:r>
        <w:rPr>
          <w:noProof/>
          <w:webHidden/>
        </w:rPr>
        <w:instrText xml:space="preserve"> PAGEREF _Toc224819490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"_Toc224819491" </w:instrText>
      </w:r>
      <w:r>
        <w:rPr/>
        <w:fldChar w:fldCharType="separate"/>
      </w:r>
      <w:r>
        <w:rPr>
          <w:rStyle w:val="style85"/>
          <w:rFonts w:cs="Arial"/>
          <w:noProof/>
        </w:rPr>
        <w:t>3.6 Ethical considerations</w:t>
      </w:r>
      <w:r>
        <w:rPr>
          <w:noProof/>
          <w:webHidden/>
        </w:rPr>
        <w:tab/>
      </w:r>
      <w:r>
        <w:rPr>
          <w:noProof/>
          <w:webHidden/>
        </w:rPr>
        <w:fldChar w:fldCharType="begin"/>
      </w:r>
      <w:r>
        <w:rPr>
          <w:noProof/>
          <w:webHidden/>
        </w:rPr>
        <w:instrText xml:space="preserve"> PAGEREF _Toc224819491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019"/>
        </w:tabs>
        <w:rPr>
          <w:rFonts w:ascii="Aptos" w:eastAsia="宋体" w:hAnsi="Aptos"/>
          <w:noProof/>
          <w:kern w:val="2"/>
          <w:lang w:eastAsia="en-GB"/>
        </w:rPr>
      </w:pPr>
      <w:r>
        <w:rPr/>
        <w:fldChar w:fldCharType="begin"/>
      </w:r>
      <w:r>
        <w:instrText xml:space="preserve"> HYPERLINK \l "_Toc224819492" </w:instrText>
      </w:r>
      <w:r>
        <w:rPr/>
        <w:fldChar w:fldCharType="separate"/>
      </w:r>
      <w:r>
        <w:rPr>
          <w:rStyle w:val="style85"/>
          <w:rFonts w:cs="Arial"/>
          <w:noProof/>
        </w:rPr>
        <w:t>4. Expected Findings</w:t>
      </w:r>
      <w:r>
        <w:rPr>
          <w:noProof/>
          <w:webHidden/>
        </w:rPr>
        <w:tab/>
      </w:r>
      <w:r>
        <w:rPr>
          <w:noProof/>
          <w:webHidden/>
        </w:rPr>
        <w:fldChar w:fldCharType="begin"/>
      </w:r>
      <w:r>
        <w:rPr>
          <w:noProof/>
          <w:webHidden/>
        </w:rPr>
        <w:instrText xml:space="preserve"> PAGEREF _Toc224819492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019"/>
        </w:tabs>
        <w:rPr>
          <w:rFonts w:ascii="Aptos" w:eastAsia="宋体" w:hAnsi="Aptos"/>
          <w:noProof/>
          <w:kern w:val="2"/>
          <w:lang w:eastAsia="en-GB"/>
        </w:rPr>
      </w:pPr>
      <w:r>
        <w:rPr/>
        <w:fldChar w:fldCharType="begin"/>
      </w:r>
      <w:r>
        <w:instrText xml:space="preserve"> HYPERLINK \l "_Toc224819493" </w:instrText>
      </w:r>
      <w:r>
        <w:rPr/>
        <w:fldChar w:fldCharType="separate"/>
      </w:r>
      <w:r>
        <w:rPr>
          <w:rStyle w:val="style85"/>
          <w:rFonts w:cs="Arial"/>
          <w:noProof/>
        </w:rPr>
        <w:t>5. Limitations</w:t>
      </w:r>
      <w:r>
        <w:rPr>
          <w:noProof/>
          <w:webHidden/>
        </w:rPr>
        <w:tab/>
      </w:r>
      <w:r>
        <w:rPr>
          <w:noProof/>
          <w:webHidden/>
        </w:rPr>
        <w:fldChar w:fldCharType="begin"/>
      </w:r>
      <w:r>
        <w:rPr>
          <w:noProof/>
          <w:webHidden/>
        </w:rPr>
        <w:instrText xml:space="preserve"> PAGEREF _Toc224819493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019"/>
        </w:tabs>
        <w:rPr>
          <w:rFonts w:ascii="Aptos" w:eastAsia="宋体" w:hAnsi="Aptos"/>
          <w:noProof/>
          <w:kern w:val="2"/>
          <w:lang w:eastAsia="en-GB"/>
        </w:rPr>
      </w:pPr>
      <w:r>
        <w:rPr/>
        <w:fldChar w:fldCharType="begin"/>
      </w:r>
      <w:r>
        <w:instrText xml:space="preserve"> HYPERLINK \l "_Toc224819494" </w:instrText>
      </w:r>
      <w:r>
        <w:rPr/>
        <w:fldChar w:fldCharType="separate"/>
      </w:r>
      <w:r>
        <w:rPr>
          <w:rStyle w:val="style85"/>
          <w:rFonts w:cs="Arial"/>
          <w:noProof/>
        </w:rPr>
        <w:t>6. Timeframe: Gantt Chart</w:t>
      </w:r>
      <w:r>
        <w:rPr>
          <w:noProof/>
          <w:webHidden/>
        </w:rPr>
        <w:tab/>
      </w:r>
      <w:r>
        <w:rPr>
          <w:noProof/>
          <w:webHidden/>
        </w:rPr>
        <w:fldChar w:fldCharType="begin"/>
      </w:r>
      <w:r>
        <w:rPr>
          <w:noProof/>
          <w:webHidden/>
        </w:rPr>
        <w:instrText xml:space="preserve"> PAGEREF _Toc224819494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dot" w:pos="9019"/>
        </w:tabs>
        <w:rPr>
          <w:rFonts w:ascii="Aptos" w:eastAsia="宋体" w:hAnsi="Aptos"/>
          <w:noProof/>
          <w:kern w:val="2"/>
          <w:lang w:eastAsia="en-GB"/>
        </w:rPr>
      </w:pPr>
      <w:r>
        <w:rPr/>
        <w:fldChar w:fldCharType="begin"/>
      </w:r>
      <w:r>
        <w:instrText xml:space="preserve"> HYPERLINK \l "_Toc224819495" </w:instrText>
      </w:r>
      <w:r>
        <w:rPr/>
        <w:fldChar w:fldCharType="separate"/>
      </w:r>
      <w:r>
        <w:rPr>
          <w:rStyle w:val="style85"/>
          <w:rFonts w:cs="Arial"/>
          <w:noProof/>
        </w:rPr>
        <w:t>7. Conclusion</w:t>
      </w:r>
      <w:r>
        <w:rPr>
          <w:noProof/>
          <w:webHidden/>
        </w:rPr>
        <w:tab/>
      </w:r>
      <w:r>
        <w:rPr>
          <w:noProof/>
          <w:webHidden/>
        </w:rPr>
        <w:fldChar w:fldCharType="begin"/>
      </w:r>
      <w:r>
        <w:rPr>
          <w:noProof/>
          <w:webHidden/>
        </w:rPr>
        <w:instrText xml:space="preserve"> PAGEREF _Toc224819495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dot" w:pos="9019"/>
        </w:tabs>
        <w:rPr>
          <w:rFonts w:ascii="Aptos" w:eastAsia="宋体" w:hAnsi="Aptos"/>
          <w:noProof/>
          <w:kern w:val="2"/>
          <w:lang w:eastAsia="en-GB"/>
        </w:rPr>
      </w:pPr>
      <w:r>
        <w:rPr/>
        <w:fldChar w:fldCharType="begin"/>
      </w:r>
      <w:r>
        <w:instrText xml:space="preserve"> HYPERLINK \l "_Toc224819496" </w:instrText>
      </w:r>
      <w:r>
        <w:rPr/>
        <w:fldChar w:fldCharType="separate"/>
      </w:r>
      <w:r>
        <w:rPr>
          <w:rStyle w:val="style85"/>
          <w:rFonts w:cs="Arial"/>
          <w:noProof/>
        </w:rPr>
        <w:t>Reference list</w:t>
      </w:r>
      <w:r>
        <w:rPr>
          <w:noProof/>
          <w:webHidden/>
        </w:rPr>
        <w:tab/>
      </w:r>
      <w:r>
        <w:rPr>
          <w:noProof/>
          <w:webHidden/>
        </w:rPr>
        <w:fldChar w:fldCharType="begin"/>
      </w:r>
      <w:r>
        <w:rPr>
          <w:noProof/>
          <w:webHidden/>
        </w:rPr>
        <w:instrText xml:space="preserve"> PAGEREF _Toc224819496 \h </w:instrText>
      </w:r>
      <w:r>
        <w:rPr>
          <w:noProof/>
          <w:webHidden/>
        </w:rPr>
        <w:fldChar w:fldCharType="separate"/>
      </w:r>
      <w:r>
        <w:rPr>
          <w:noProof/>
          <w:webHidden/>
        </w:rPr>
        <w:t>10</w:t>
      </w:r>
      <w:r>
        <w:rPr>
          <w:noProof/>
          <w:webHidden/>
        </w:rPr>
        <w:fldChar w:fldCharType="end"/>
      </w:r>
      <w:r>
        <w:rPr/>
        <w:fldChar w:fldCharType="end"/>
      </w:r>
    </w:p>
    <w:p>
      <w:pPr>
        <w:pStyle w:val="style0"/>
        <w:rPr/>
      </w:pPr>
      <w:r>
        <w:rPr>
          <w:rFonts w:ascii="Arial" w:cs="Arial" w:hAnsi="Arial"/>
          <w:b/>
          <w:bCs/>
          <w:sz w:val="22"/>
          <w:szCs w:val="22"/>
        </w:rPr>
        <w:fldChar w:fldCharType="end"/>
      </w:r>
    </w:p>
    <w:p>
      <w:pPr>
        <w:pStyle w:val="style0"/>
        <w:rPr>
          <w:rFonts w:ascii="Arial" w:cs="Arial" w:hAnsi="Arial"/>
          <w:b/>
          <w:bCs/>
        </w:rPr>
        <w:sectPr>
          <w:pgSz w:w="11909" w:h="16834" w:orient="portrait" w:code="9"/>
          <w:pgMar w:top="1440" w:right="1440" w:bottom="1440" w:left="1440" w:header="720" w:footer="720" w:gutter="0"/>
          <w:cols w:space="720"/>
          <w:docGrid w:linePitch="360"/>
        </w:sectPr>
      </w:pPr>
      <w:r>
        <w:rPr>
          <w:rFonts w:ascii="Arial" w:cs="Arial" w:hAnsi="Arial"/>
          <w:b/>
          <w:bCs/>
        </w:rPr>
        <w:br w:type="page"/>
      </w:r>
    </w:p>
    <w:bookmarkStart w:id="0" w:name="_Toc224502842"/>
    <w:bookmarkStart w:id="1" w:name="_Toc224819473"/>
    <w:p>
      <w:pPr>
        <w:pStyle w:val="style1"/>
        <w:rPr>
          <w:rFonts w:cs="Arial"/>
        </w:rPr>
      </w:pPr>
      <w:r>
        <w:rPr>
          <w:rFonts w:cs="Arial"/>
        </w:rPr>
        <w:t>1. Introduction</w:t>
      </w:r>
      <w:bookmarkEnd w:id="0"/>
      <w:bookmarkEnd w:id="1"/>
    </w:p>
    <w:bookmarkStart w:id="2" w:name="_Toc224502843"/>
    <w:bookmarkStart w:id="3" w:name="_Toc224819474"/>
    <w:p>
      <w:pPr>
        <w:pStyle w:val="style2"/>
        <w:rPr>
          <w:rFonts w:cs="Arial"/>
        </w:rPr>
      </w:pPr>
      <w:r>
        <w:rPr>
          <w:rFonts w:cs="Arial"/>
        </w:rPr>
        <w:t>1.1 Background and Context</w:t>
      </w:r>
      <w:bookmarkEnd w:id="2"/>
      <w:bookmarkEnd w:id="3"/>
    </w:p>
    <w:p>
      <w:pPr>
        <w:pStyle w:val="style0"/>
        <w:rPr>
          <w:rFonts w:ascii="Arial" w:cs="Arial" w:hAnsi="Arial"/>
        </w:rPr>
      </w:pPr>
      <w:r>
        <w:rPr>
          <w:rFonts w:ascii="Arial" w:cs="Arial" w:hAnsi="Arial"/>
        </w:rPr>
        <w:t xml:space="preserve">United Kingdom consumers are regular users of social media and frequently encounter brands through these platforms. Data published in May 2025 show very high platform penetration among the United Kingdom online population, including YouTube at 94% with an average of 51 minutes daily use, Facebook/Messenger at 93%, Instagram at 78%, and TikTok at 56% (Ofcom, 2025b; Reuters Staff, 2025). Reach is similarly strong among United Kingdom online adult smartphone users, with WhatsApp at 92%, Facebook at 85%, and TikTok at 46% (Ofcom, 2025b; Reuters Staff, 2025). </w:t>
      </w:r>
      <w:r>
        <w:rPr>
          <w:rFonts w:ascii="Arial" w:cs="Arial" w:hAnsi="Arial"/>
        </w:rPr>
        <w:t xml:space="preserve">At </w:t>
      </w:r>
      <w:r>
        <w:rPr>
          <w:rFonts w:ascii="Arial" w:cs="Arial" w:hAnsi="Arial"/>
        </w:rPr>
        <w:t xml:space="preserve">the </w:t>
      </w:r>
      <w:r>
        <w:rPr>
          <w:rFonts w:ascii="Arial" w:cs="Arial" w:hAnsi="Arial"/>
        </w:rPr>
        <w:t>national level</w:t>
      </w:r>
      <w:r>
        <w:rPr>
          <w:rFonts w:ascii="Arial" w:cs="Arial" w:hAnsi="Arial"/>
        </w:rPr>
        <w:t xml:space="preserve">, </w:t>
      </w:r>
      <w:r>
        <w:rPr>
          <w:rFonts w:ascii="Arial" w:cs="Arial" w:hAnsi="Arial"/>
        </w:rPr>
        <w:t xml:space="preserve">around </w:t>
      </w:r>
      <w:r>
        <w:rPr>
          <w:rFonts w:ascii="Arial" w:cs="Arial" w:hAnsi="Arial"/>
        </w:rPr>
        <w:t>90% of United</w:t>
      </w:r>
      <w:r>
        <w:rPr>
          <w:rFonts w:ascii="Arial" w:cs="Arial" w:hAnsi="Arial"/>
        </w:rPr>
        <w:t xml:space="preserve"> Kingdom </w:t>
      </w:r>
      <w:r>
        <w:rPr>
          <w:rFonts w:ascii="Arial" w:cs="Arial" w:hAnsi="Arial"/>
        </w:rPr>
        <w:t>internet-using adults use social media</w:t>
      </w:r>
      <w:r>
        <w:rPr>
          <w:rFonts w:ascii="Arial" w:cs="Arial" w:hAnsi="Arial"/>
        </w:rPr>
        <w:t xml:space="preserve">, including nine in ten people aged 16-24 and three-quarters of </w:t>
      </w:r>
      <w:r>
        <w:rPr>
          <w:rFonts w:ascii="Arial" w:cs="Arial" w:hAnsi="Arial"/>
        </w:rPr>
        <w:t>people aged 65 and over</w:t>
      </w:r>
      <w:r>
        <w:rPr>
          <w:rFonts w:ascii="Arial" w:cs="Arial" w:hAnsi="Arial"/>
        </w:rPr>
        <w:t xml:space="preserve"> (Ofcom, 2025a). </w:t>
      </w:r>
      <w:r>
        <w:rPr>
          <w:rFonts w:ascii="Arial" w:cs="Arial" w:hAnsi="Arial"/>
        </w:rPr>
        <w:t>This pattern is</w:t>
      </w:r>
      <w:r>
        <w:rPr>
          <w:rFonts w:ascii="Arial" w:cs="Arial" w:hAnsi="Arial"/>
        </w:rPr>
        <w:t xml:space="preserve"> </w:t>
      </w:r>
      <w:r>
        <w:rPr>
          <w:rFonts w:ascii="Arial" w:cs="Arial" w:hAnsi="Arial"/>
        </w:rPr>
        <w:t xml:space="preserve">consistent with Ofcom’s Technology Tracker 2024 (n=4,000; </w:t>
      </w:r>
      <w:r>
        <w:rPr>
          <w:rFonts w:ascii="Arial" w:cs="Arial" w:hAnsi="Arial"/>
        </w:rPr>
        <w:t>data collected between January and April 2024</w:t>
      </w:r>
      <w:r>
        <w:rPr>
          <w:rFonts w:ascii="Arial" w:cs="Arial" w:hAnsi="Arial"/>
        </w:rPr>
        <w:t xml:space="preserve">) (Ofcom, 2024). The </w:t>
      </w:r>
      <w:r>
        <w:rPr>
          <w:rFonts w:ascii="Arial" w:cs="Arial" w:hAnsi="Arial"/>
        </w:rPr>
        <w:t>ONS</w:t>
      </w:r>
      <w:r>
        <w:rPr>
          <w:rFonts w:ascii="Arial" w:cs="Arial" w:hAnsi="Arial"/>
        </w:rPr>
        <w:t xml:space="preserve"> </w:t>
      </w:r>
      <w:r>
        <w:rPr>
          <w:rFonts w:ascii="Arial" w:cs="Arial" w:hAnsi="Arial"/>
        </w:rPr>
        <w:t xml:space="preserve">no longer publishes </w:t>
      </w:r>
      <w:r>
        <w:rPr>
          <w:rFonts w:ascii="Arial" w:cs="Arial" w:hAnsi="Arial"/>
        </w:rPr>
        <w:t xml:space="preserve">internet access </w:t>
      </w:r>
      <w:r>
        <w:rPr>
          <w:rFonts w:ascii="Arial" w:cs="Arial" w:hAnsi="Arial"/>
        </w:rPr>
        <w:t xml:space="preserve">updates </w:t>
      </w:r>
      <w:r>
        <w:rPr>
          <w:rFonts w:ascii="Arial" w:cs="Arial" w:hAnsi="Arial"/>
        </w:rPr>
        <w:t xml:space="preserve">and instead </w:t>
      </w:r>
      <w:r>
        <w:rPr>
          <w:rFonts w:ascii="Arial" w:cs="Arial" w:hAnsi="Arial"/>
        </w:rPr>
        <w:t>points users to</w:t>
      </w:r>
      <w:r>
        <w:rPr>
          <w:rFonts w:ascii="Arial" w:cs="Arial" w:hAnsi="Arial"/>
        </w:rPr>
        <w:t xml:space="preserve"> </w:t>
      </w:r>
      <w:r>
        <w:rPr>
          <w:rFonts w:ascii="Arial" w:cs="Arial" w:hAnsi="Arial"/>
        </w:rPr>
        <w:t xml:space="preserve">Ofcom’s tracker </w:t>
      </w:r>
      <w:r>
        <w:rPr>
          <w:rFonts w:ascii="Arial" w:cs="Arial" w:hAnsi="Arial"/>
        </w:rPr>
        <w:t xml:space="preserve">for similar </w:t>
      </w:r>
      <w:r>
        <w:rPr>
          <w:rFonts w:ascii="Arial" w:cs="Arial" w:hAnsi="Arial"/>
        </w:rPr>
        <w:t xml:space="preserve">measures </w:t>
      </w:r>
      <w:r>
        <w:rPr>
          <w:rFonts w:ascii="Arial" w:cs="Arial" w:hAnsi="Arial"/>
        </w:rPr>
        <w:t>(</w:t>
      </w:r>
      <w:r>
        <w:rPr>
          <w:rFonts w:ascii="Arial" w:cs="Arial" w:hAnsi="Arial"/>
        </w:rPr>
        <w:t>Office for National Statistics, 2020).</w:t>
      </w:r>
    </w:p>
    <w:bookmarkStart w:id="4" w:name="_Toc224502844"/>
    <w:bookmarkStart w:id="5" w:name="_Toc224819475"/>
    <w:p>
      <w:pPr>
        <w:pStyle w:val="style2"/>
        <w:rPr>
          <w:rFonts w:cs="Arial"/>
        </w:rPr>
      </w:pPr>
      <w:r>
        <w:rPr>
          <w:rFonts w:cs="Arial"/>
        </w:rPr>
        <w:t>1.2 Problem Statement and Research Gap</w:t>
      </w:r>
      <w:bookmarkEnd w:id="4"/>
      <w:bookmarkEnd w:id="5"/>
    </w:p>
    <w:p>
      <w:pPr>
        <w:pStyle w:val="style0"/>
        <w:rPr>
          <w:rFonts w:ascii="Arial" w:cs="Arial" w:hAnsi="Arial"/>
        </w:rPr>
      </w:pPr>
      <w:r>
        <w:rPr>
          <w:rFonts w:ascii="Arial" w:cs="Arial" w:hAnsi="Arial"/>
        </w:rPr>
        <w:t>Although</w:t>
      </w:r>
      <w:r>
        <w:rPr>
          <w:rFonts w:ascii="Arial" w:cs="Arial" w:hAnsi="Arial"/>
        </w:rPr>
        <w:t xml:space="preserve"> the </w:t>
      </w:r>
      <w:r>
        <w:rPr>
          <w:rFonts w:ascii="Arial" w:cs="Arial" w:hAnsi="Arial"/>
        </w:rPr>
        <w:t xml:space="preserve">large reach </w:t>
      </w:r>
      <w:r>
        <w:rPr>
          <w:rFonts w:ascii="Arial" w:cs="Arial" w:hAnsi="Arial"/>
        </w:rPr>
        <w:t xml:space="preserve">of </w:t>
      </w:r>
      <w:r>
        <w:rPr>
          <w:rFonts w:ascii="Arial" w:cs="Arial" w:hAnsi="Arial"/>
        </w:rPr>
        <w:t>online platforms</w:t>
      </w:r>
      <w:r>
        <w:rPr>
          <w:rFonts w:ascii="Arial" w:cs="Arial" w:hAnsi="Arial"/>
        </w:rPr>
        <w:t xml:space="preserve">, its </w:t>
      </w:r>
      <w:r>
        <w:rPr>
          <w:rFonts w:ascii="Arial" w:cs="Arial" w:hAnsi="Arial"/>
        </w:rPr>
        <w:t xml:space="preserve">success is not fully clear </w:t>
      </w:r>
      <w:r>
        <w:rPr>
          <w:rFonts w:ascii="Arial" w:cs="Arial" w:hAnsi="Arial"/>
        </w:rPr>
        <w:t xml:space="preserve">because </w:t>
      </w:r>
      <w:r>
        <w:rPr>
          <w:rFonts w:ascii="Arial" w:cs="Arial" w:hAnsi="Arial"/>
        </w:rPr>
        <w:t xml:space="preserve">simple exposure </w:t>
      </w:r>
      <w:r>
        <w:rPr>
          <w:rFonts w:ascii="Arial" w:cs="Arial" w:hAnsi="Arial"/>
        </w:rPr>
        <w:t xml:space="preserve">and </w:t>
      </w:r>
      <w:r>
        <w:rPr>
          <w:rFonts w:ascii="Arial" w:cs="Arial" w:hAnsi="Arial"/>
        </w:rPr>
        <w:t xml:space="preserve">active involvement may not impact consumers </w:t>
      </w:r>
      <w:r>
        <w:rPr>
          <w:rFonts w:ascii="Arial" w:cs="Arial" w:hAnsi="Arial"/>
        </w:rPr>
        <w:t xml:space="preserve">in the same way. Engagement can strengthen advertising effects </w:t>
      </w:r>
      <w:r>
        <w:rPr>
          <w:rFonts w:ascii="Arial" w:cs="Arial" w:hAnsi="Arial"/>
        </w:rPr>
        <w:t xml:space="preserve">more than </w:t>
      </w:r>
      <w:r>
        <w:rPr>
          <w:rFonts w:ascii="Arial" w:cs="Arial" w:hAnsi="Arial"/>
        </w:rPr>
        <w:t xml:space="preserve">mere exposure (Calder, Malthouse and Schaedel, 2009), while </w:t>
      </w:r>
      <w:r>
        <w:rPr>
          <w:rFonts w:ascii="Arial" w:cs="Arial" w:hAnsi="Arial"/>
        </w:rPr>
        <w:t xml:space="preserve">individual </w:t>
      </w:r>
      <w:r>
        <w:rPr>
          <w:rFonts w:ascii="Arial" w:cs="Arial" w:hAnsi="Arial"/>
        </w:rPr>
        <w:t xml:space="preserve">content features </w:t>
      </w:r>
      <w:r>
        <w:rPr>
          <w:rFonts w:ascii="Arial" w:cs="Arial" w:hAnsi="Arial"/>
        </w:rPr>
        <w:t xml:space="preserve">affect </w:t>
      </w:r>
      <w:r>
        <w:rPr>
          <w:rFonts w:ascii="Arial" w:cs="Arial" w:hAnsi="Arial"/>
        </w:rPr>
        <w:t xml:space="preserve">the level of attention and interaction generated by </w:t>
      </w:r>
      <w:r>
        <w:rPr>
          <w:rFonts w:ascii="Arial" w:cs="Arial" w:hAnsi="Arial"/>
        </w:rPr>
        <w:t>brand content</w:t>
      </w:r>
      <w:r>
        <w:rPr>
          <w:rFonts w:ascii="Arial" w:cs="Arial" w:hAnsi="Arial"/>
        </w:rPr>
        <w:t xml:space="preserve"> (de Vries, Gensler and Leeflang, 2012). </w:t>
      </w:r>
      <w:r>
        <w:rPr>
          <w:rFonts w:ascii="Arial" w:cs="Arial" w:hAnsi="Arial"/>
        </w:rPr>
        <w:t xml:space="preserve">Influence </w:t>
      </w:r>
      <w:r>
        <w:rPr>
          <w:rFonts w:ascii="Arial" w:cs="Arial" w:hAnsi="Arial"/>
        </w:rPr>
        <w:t xml:space="preserve">on </w:t>
      </w:r>
      <w:r>
        <w:rPr>
          <w:rFonts w:ascii="Arial" w:cs="Arial" w:hAnsi="Arial"/>
        </w:rPr>
        <w:t xml:space="preserve">online </w:t>
      </w:r>
      <w:r>
        <w:rPr>
          <w:rFonts w:ascii="Arial" w:cs="Arial" w:hAnsi="Arial"/>
        </w:rPr>
        <w:t xml:space="preserve">social </w:t>
      </w:r>
      <w:r>
        <w:rPr>
          <w:rFonts w:ascii="Arial" w:cs="Arial" w:hAnsi="Arial"/>
        </w:rPr>
        <w:t xml:space="preserve">platforms </w:t>
      </w:r>
      <w:r>
        <w:rPr>
          <w:rFonts w:ascii="Arial" w:cs="Arial" w:hAnsi="Arial"/>
        </w:rPr>
        <w:t xml:space="preserve">depends heavily on trust and credibility (Lou and Yuan, 2019), and perceived value links marketing contact to </w:t>
      </w:r>
      <w:r>
        <w:rPr>
          <w:rFonts w:ascii="Arial" w:cs="Arial" w:hAnsi="Arial"/>
        </w:rPr>
        <w:t>buying decisions (</w:t>
      </w:r>
      <w:r>
        <w:rPr>
          <w:rFonts w:ascii="Arial" w:cs="Arial" w:hAnsi="Arial"/>
        </w:rPr>
        <w:t xml:space="preserve">Zeithaml, 1988). </w:t>
      </w:r>
      <w:r>
        <w:rPr>
          <w:rFonts w:ascii="Arial" w:cs="Arial" w:hAnsi="Arial"/>
        </w:rPr>
        <w:t xml:space="preserve">However, </w:t>
      </w:r>
      <w:r>
        <w:rPr>
          <w:rFonts w:ascii="Arial" w:cs="Arial" w:hAnsi="Arial"/>
        </w:rPr>
        <w:t xml:space="preserve">intention does not always translate into behaviour, </w:t>
      </w:r>
      <w:r>
        <w:rPr>
          <w:rFonts w:ascii="Arial" w:cs="Arial" w:hAnsi="Arial"/>
        </w:rPr>
        <w:t>showing an</w:t>
      </w:r>
      <w:r>
        <w:rPr>
          <w:rFonts w:ascii="Arial" w:cs="Arial" w:hAnsi="Arial"/>
        </w:rPr>
        <w:t xml:space="preserve"> </w:t>
      </w:r>
      <w:r>
        <w:rPr>
          <w:rFonts w:ascii="Arial" w:cs="Arial" w:hAnsi="Arial"/>
        </w:rPr>
        <w:t xml:space="preserve">ongoing behaviour gap </w:t>
      </w:r>
      <w:r>
        <w:rPr>
          <w:rFonts w:ascii="Arial" w:cs="Arial" w:hAnsi="Arial"/>
        </w:rPr>
        <w:t>(Webb and Sheeran, 2006).</w:t>
      </w:r>
    </w:p>
    <w:bookmarkStart w:id="6" w:name="_Toc224502845"/>
    <w:bookmarkStart w:id="7" w:name="_Toc224819476"/>
    <w:p>
      <w:pPr>
        <w:pStyle w:val="style2"/>
        <w:rPr>
          <w:rFonts w:cs="Arial"/>
        </w:rPr>
      </w:pPr>
      <w:r>
        <w:rPr>
          <w:rFonts w:cs="Arial"/>
        </w:rPr>
        <w:t>1.3 Research aim</w:t>
      </w:r>
      <w:bookmarkEnd w:id="6"/>
      <w:bookmarkEnd w:id="7"/>
    </w:p>
    <w:p>
      <w:pPr>
        <w:pStyle w:val="style0"/>
        <w:rPr>
          <w:rFonts w:ascii="Arial" w:cs="Arial" w:hAnsi="Arial"/>
        </w:rPr>
      </w:pPr>
      <w:r>
        <w:rPr>
          <w:rFonts w:ascii="Arial" w:cs="Arial" w:hAnsi="Arial"/>
        </w:rPr>
        <w:t>To assess</w:t>
      </w:r>
      <w:r>
        <w:rPr>
          <w:rFonts w:ascii="Arial" w:cs="Arial" w:hAnsi="Arial"/>
        </w:rPr>
        <w:t xml:space="preserve"> </w:t>
      </w:r>
      <w:r>
        <w:rPr>
          <w:rFonts w:ascii="Arial" w:cs="Arial" w:hAnsi="Arial"/>
        </w:rPr>
        <w:t>the effect of</w:t>
      </w:r>
      <w:r>
        <w:rPr>
          <w:rFonts w:ascii="Arial" w:cs="Arial" w:hAnsi="Arial"/>
        </w:rPr>
        <w:t> </w:t>
      </w:r>
      <w:r>
        <w:rPr>
          <w:rFonts w:ascii="Arial" w:cs="Arial" w:hAnsi="Arial"/>
        </w:rPr>
        <w:t>marketing on social media</w:t>
      </w:r>
      <w:r>
        <w:rPr>
          <w:rFonts w:ascii="Arial" w:cs="Arial" w:hAnsi="Arial"/>
        </w:rPr>
        <w:t xml:space="preserve"> </w:t>
      </w:r>
      <w:r>
        <w:rPr>
          <w:rFonts w:ascii="Arial" w:cs="Arial" w:hAnsi="Arial"/>
        </w:rPr>
        <w:t xml:space="preserve">exposure and engagement </w:t>
      </w:r>
      <w:r>
        <w:rPr>
          <w:rFonts w:ascii="Arial" w:cs="Arial" w:hAnsi="Arial"/>
        </w:rPr>
        <w:t>regarding</w:t>
      </w:r>
      <w:r>
        <w:rPr>
          <w:rFonts w:ascii="Arial" w:cs="Arial" w:hAnsi="Arial"/>
        </w:rPr>
        <w:t xml:space="preserve"> shaping UK consumers’ </w:t>
      </w:r>
      <w:r>
        <w:rPr>
          <w:rFonts w:ascii="Arial" w:cs="Arial" w:hAnsi="Arial"/>
        </w:rPr>
        <w:t>perceptions relating to trust</w:t>
      </w:r>
      <w:r>
        <w:rPr>
          <w:rFonts w:ascii="Arial" w:cs="Arial" w:hAnsi="Arial"/>
        </w:rPr>
        <w:t xml:space="preserve">, credibility </w:t>
      </w:r>
      <w:r>
        <w:rPr>
          <w:rFonts w:ascii="Arial" w:cs="Arial" w:hAnsi="Arial"/>
        </w:rPr>
        <w:t>as well as value</w:t>
      </w:r>
      <w:r>
        <w:rPr>
          <w:rFonts w:ascii="Arial" w:cs="Arial" w:hAnsi="Arial"/>
        </w:rPr>
        <w:t>, and in influencing purchase intention and self-reported buying behaviour.</w:t>
      </w:r>
    </w:p>
    <w:p>
      <w:pPr>
        <w:pStyle w:val="style0"/>
        <w:rPr>
          <w:rFonts w:ascii="Arial" w:cs="Arial" w:hAnsi="Arial"/>
        </w:rPr>
      </w:pPr>
    </w:p>
    <w:bookmarkStart w:id="8" w:name="_Toc224502846"/>
    <w:bookmarkStart w:id="9" w:name="_Toc224819477"/>
    <w:p>
      <w:pPr>
        <w:pStyle w:val="style2"/>
        <w:rPr>
          <w:rFonts w:cs="Arial"/>
        </w:rPr>
      </w:pPr>
      <w:r>
        <w:rPr>
          <w:rFonts w:cs="Arial"/>
        </w:rPr>
        <w:t>1.4 Research objectives</w:t>
      </w:r>
      <w:bookmarkEnd w:id="8"/>
      <w:bookmarkEnd w:id="9"/>
    </w:p>
    <w:p>
      <w:pPr>
        <w:pStyle w:val="style0"/>
        <w:rPr>
          <w:rFonts w:ascii="Arial" w:cs="Arial" w:hAnsi="Arial"/>
        </w:rPr>
      </w:pPr>
      <w:r>
        <w:rPr>
          <w:rFonts w:ascii="Arial" w:cs="Arial" w:hAnsi="Arial"/>
          <w:b/>
          <w:bCs/>
        </w:rPr>
        <w:t>RO1.</w:t>
      </w:r>
      <w:r>
        <w:rPr>
          <w:rFonts w:ascii="Arial" w:cs="Arial" w:hAnsi="Arial"/>
        </w:rPr>
        <w:t xml:space="preserve"> To assess the degree to which UK consumers encounter and interact with social media marketing content.</w:t>
      </w:r>
    </w:p>
    <w:p>
      <w:pPr>
        <w:pStyle w:val="style0"/>
        <w:rPr>
          <w:rFonts w:ascii="Arial" w:cs="Arial" w:hAnsi="Arial"/>
        </w:rPr>
      </w:pPr>
      <w:r>
        <w:rPr>
          <w:rFonts w:ascii="Arial" w:cs="Arial" w:hAnsi="Arial"/>
          <w:b/>
          <w:bCs/>
        </w:rPr>
        <w:t>RO2.</w:t>
      </w:r>
      <w:r>
        <w:rPr>
          <w:rFonts w:ascii="Arial" w:cs="Arial" w:hAnsi="Arial"/>
        </w:rPr>
        <w:t xml:space="preserve"> To analyse how such exposure and interaction relate to consumers’ perceptions of credibility, trust and value.</w:t>
      </w:r>
    </w:p>
    <w:p>
      <w:pPr>
        <w:pStyle w:val="style0"/>
        <w:rPr>
          <w:rFonts w:ascii="Arial" w:cs="Arial" w:hAnsi="Arial"/>
        </w:rPr>
      </w:pPr>
      <w:r>
        <w:rPr>
          <w:rFonts w:ascii="Arial" w:cs="Arial" w:hAnsi="Arial"/>
          <w:b/>
          <w:bCs/>
        </w:rPr>
        <w:t>RO3.</w:t>
      </w:r>
      <w:r>
        <w:rPr>
          <w:rFonts w:ascii="Arial" w:cs="Arial" w:hAnsi="Arial"/>
        </w:rPr>
        <w:t xml:space="preserve"> To evaluate whether these forms of social media contact are associated with purchase intention and self-reported buying behaviour.</w:t>
      </w:r>
    </w:p>
    <w:p>
      <w:pPr>
        <w:pStyle w:val="style0"/>
        <w:rPr>
          <w:rFonts w:ascii="Arial" w:cs="Arial" w:hAnsi="Arial"/>
        </w:rPr>
      </w:pPr>
      <w:r>
        <w:rPr>
          <w:rFonts w:ascii="Arial" w:cs="Arial" w:hAnsi="Arial"/>
          <w:b/>
          <w:bCs/>
        </w:rPr>
        <w:t>RO4.</w:t>
      </w:r>
      <w:r>
        <w:rPr>
          <w:rFonts w:ascii="Arial" w:cs="Arial" w:hAnsi="Arial"/>
        </w:rPr>
        <w:t xml:space="preserve"> To determine whether credibility, trust and perceived value </w:t>
      </w:r>
      <w:r>
        <w:rPr>
          <w:rFonts w:ascii="Arial" w:cs="Arial" w:hAnsi="Arial"/>
        </w:rPr>
        <w:t>interpret</w:t>
      </w:r>
      <w:r>
        <w:rPr>
          <w:rFonts w:ascii="Arial" w:cs="Arial" w:hAnsi="Arial"/>
        </w:rPr>
        <w:t xml:space="preserve"> </w:t>
      </w:r>
      <w:r>
        <w:rPr>
          <w:rFonts w:ascii="Arial" w:cs="Arial" w:hAnsi="Arial"/>
        </w:rPr>
        <w:t xml:space="preserve">the link between </w:t>
      </w:r>
      <w:r>
        <w:rPr>
          <w:rFonts w:ascii="Arial" w:cs="Arial" w:hAnsi="Arial"/>
        </w:rPr>
        <w:t>online social</w:t>
      </w:r>
      <w:r>
        <w:rPr>
          <w:rFonts w:ascii="Arial" w:cs="Arial" w:hAnsi="Arial"/>
        </w:rPr>
        <w:t xml:space="preserve"> </w:t>
      </w:r>
      <w:r>
        <w:rPr>
          <w:rFonts w:ascii="Arial" w:cs="Arial" w:hAnsi="Arial"/>
        </w:rPr>
        <w:t>promotion</w:t>
      </w:r>
      <w:r>
        <w:rPr>
          <w:rFonts w:ascii="Arial" w:cs="Arial" w:hAnsi="Arial"/>
        </w:rPr>
        <w:t xml:space="preserve"> and consumer buying behaviour.</w:t>
      </w:r>
    </w:p>
    <w:bookmarkStart w:id="10" w:name="_Toc224502847"/>
    <w:bookmarkStart w:id="11" w:name="_Toc224819478"/>
    <w:p>
      <w:pPr>
        <w:pStyle w:val="style2"/>
        <w:rPr>
          <w:rFonts w:cs="Arial"/>
        </w:rPr>
      </w:pPr>
      <w:r>
        <w:rPr>
          <w:rFonts w:cs="Arial"/>
        </w:rPr>
        <w:t>1.5 Research questions</w:t>
      </w:r>
      <w:bookmarkEnd w:id="10"/>
      <w:bookmarkEnd w:id="11"/>
    </w:p>
    <w:p>
      <w:pPr>
        <w:pStyle w:val="style0"/>
        <w:rPr>
          <w:rFonts w:ascii="Arial" w:cs="Arial" w:hAnsi="Arial"/>
        </w:rPr>
      </w:pPr>
      <w:r>
        <w:rPr>
          <w:rFonts w:ascii="Arial" w:cs="Arial" w:hAnsi="Arial"/>
          <w:b/>
          <w:bCs/>
        </w:rPr>
        <w:t>RQ1.</w:t>
      </w:r>
      <w:r>
        <w:rPr>
          <w:rFonts w:ascii="Arial" w:cs="Arial" w:hAnsi="Arial"/>
        </w:rPr>
        <w:t xml:space="preserve"> How frequently do UK consumers encounter and interact with social media marketing content?</w:t>
      </w:r>
    </w:p>
    <w:p>
      <w:pPr>
        <w:pStyle w:val="style0"/>
        <w:rPr>
          <w:rFonts w:ascii="Arial" w:cs="Arial" w:hAnsi="Arial"/>
        </w:rPr>
      </w:pPr>
      <w:r>
        <w:rPr>
          <w:rFonts w:ascii="Arial" w:cs="Arial" w:hAnsi="Arial"/>
          <w:b/>
          <w:bCs/>
        </w:rPr>
        <w:t>RQ2.</w:t>
      </w:r>
      <w:r>
        <w:rPr>
          <w:rFonts w:ascii="Arial" w:cs="Arial" w:hAnsi="Arial"/>
        </w:rPr>
        <w:t xml:space="preserve"> In what ways are exposure to and interaction </w:t>
      </w:r>
      <w:r>
        <w:rPr>
          <w:rFonts w:ascii="Arial" w:cs="Arial" w:hAnsi="Arial"/>
        </w:rPr>
        <w:t>related</w:t>
      </w:r>
      <w:r>
        <w:rPr>
          <w:rFonts w:ascii="Arial" w:cs="Arial" w:hAnsi="Arial"/>
        </w:rPr>
        <w:t xml:space="preserve"> to consumers’ perceptions of credibility, trust and value</w:t>
      </w:r>
      <w:r>
        <w:rPr>
          <w:rFonts w:ascii="Arial" w:cs="Arial" w:hAnsi="Arial"/>
        </w:rPr>
        <w:t>?</w:t>
      </w:r>
    </w:p>
    <w:p>
      <w:pPr>
        <w:pStyle w:val="style0"/>
        <w:rPr>
          <w:rFonts w:ascii="Arial" w:cs="Arial" w:hAnsi="Arial"/>
        </w:rPr>
      </w:pPr>
      <w:r>
        <w:rPr>
          <w:rFonts w:ascii="Arial" w:cs="Arial" w:hAnsi="Arial"/>
          <w:b/>
          <w:bCs/>
        </w:rPr>
        <w:t>RQ3.</w:t>
      </w:r>
      <w:r>
        <w:rPr>
          <w:rFonts w:ascii="Arial" w:cs="Arial" w:hAnsi="Arial"/>
        </w:rPr>
        <w:t xml:space="preserve"> </w:t>
      </w:r>
      <w:r>
        <w:rPr>
          <w:rFonts w:ascii="Arial" w:cs="Arial" w:hAnsi="Arial"/>
        </w:rPr>
        <w:t xml:space="preserve">Is social media marketing associated with consumers’ purchase </w:t>
      </w:r>
      <w:r>
        <w:rPr>
          <w:rFonts w:ascii="Arial" w:cs="Arial" w:hAnsi="Arial"/>
        </w:rPr>
        <w:t>decisions</w:t>
      </w:r>
      <w:r>
        <w:rPr>
          <w:rFonts w:ascii="Arial" w:cs="Arial" w:hAnsi="Arial"/>
        </w:rPr>
        <w:t xml:space="preserve"> and self-reported buying behaviour</w:t>
      </w:r>
      <w:r>
        <w:rPr>
          <w:rFonts w:ascii="Arial" w:cs="Arial" w:hAnsi="Arial"/>
        </w:rPr>
        <w:t xml:space="preserve"> among</w:t>
      </w:r>
      <w:r>
        <w:rPr>
          <w:rFonts w:ascii="Arial" w:cs="Arial" w:hAnsi="Arial"/>
        </w:rPr>
        <w:t xml:space="preserve"> U</w:t>
      </w:r>
      <w:r>
        <w:rPr>
          <w:rFonts w:ascii="Arial" w:cs="Arial" w:hAnsi="Arial"/>
        </w:rPr>
        <w:t xml:space="preserve">nited </w:t>
      </w:r>
      <w:r>
        <w:rPr>
          <w:rFonts w:ascii="Arial" w:cs="Arial" w:hAnsi="Arial"/>
        </w:rPr>
        <w:t>K</w:t>
      </w:r>
      <w:r>
        <w:rPr>
          <w:rFonts w:ascii="Arial" w:cs="Arial" w:hAnsi="Arial"/>
        </w:rPr>
        <w:t>ingdom</w:t>
      </w:r>
      <w:r>
        <w:rPr>
          <w:rFonts w:ascii="Arial" w:cs="Arial" w:hAnsi="Arial"/>
        </w:rPr>
        <w:t xml:space="preserve"> consumers?</w:t>
      </w:r>
    </w:p>
    <w:p>
      <w:pPr>
        <w:pStyle w:val="style0"/>
        <w:rPr>
          <w:rFonts w:ascii="Arial" w:cs="Arial" w:hAnsi="Arial"/>
          <w:b/>
          <w:bCs/>
        </w:rPr>
      </w:pPr>
      <w:r>
        <w:rPr>
          <w:rFonts w:ascii="Arial" w:cs="Arial" w:hAnsi="Arial"/>
          <w:b/>
          <w:bCs/>
        </w:rPr>
        <w:t>RQ4.</w:t>
      </w:r>
      <w:r>
        <w:rPr>
          <w:rFonts w:ascii="Arial" w:cs="Arial" w:hAnsi="Arial"/>
        </w:rPr>
        <w:t xml:space="preserve"> Do perceptions of credibility, trust and value help explain how </w:t>
      </w:r>
      <w:r>
        <w:rPr>
          <w:rFonts w:ascii="Arial" w:cs="Arial" w:hAnsi="Arial"/>
        </w:rPr>
        <w:t>online social</w:t>
      </w:r>
      <w:r>
        <w:rPr>
          <w:rFonts w:ascii="Arial" w:cs="Arial" w:hAnsi="Arial"/>
        </w:rPr>
        <w:t xml:space="preserve"> marketing affects purchase </w:t>
      </w:r>
      <w:r>
        <w:rPr>
          <w:rFonts w:ascii="Arial" w:cs="Arial" w:hAnsi="Arial"/>
        </w:rPr>
        <w:t>desire</w:t>
      </w:r>
      <w:r>
        <w:rPr>
          <w:rFonts w:ascii="Arial" w:cs="Arial" w:hAnsi="Arial"/>
        </w:rPr>
        <w:t xml:space="preserve"> and self-reported buying behaviour?</w:t>
      </w:r>
      <w:r>
        <w:rPr>
          <w:rFonts w:ascii="Arial" w:cs="Arial" w:hAnsi="Arial"/>
          <w:b/>
          <w:bCs/>
        </w:rPr>
        <w:br w:type="page"/>
      </w:r>
    </w:p>
    <w:bookmarkStart w:id="12" w:name="_Toc224819479"/>
    <w:p>
      <w:pPr>
        <w:pStyle w:val="style1"/>
        <w:rPr>
          <w:rFonts w:cs="Arial"/>
        </w:rPr>
      </w:pPr>
      <w:r>
        <w:rPr>
          <w:rFonts w:cs="Arial"/>
        </w:rPr>
        <w:t>2. Literature Review</w:t>
      </w:r>
      <w:bookmarkEnd w:id="12"/>
    </w:p>
    <w:p>
      <w:pPr>
        <w:pStyle w:val="style0"/>
        <w:rPr>
          <w:rFonts w:ascii="Arial" w:cs="Arial" w:hAnsi="Arial"/>
        </w:rPr>
      </w:pPr>
      <w:r>
        <w:rPr>
          <w:rFonts w:ascii="Arial" w:cs="Arial" w:hAnsi="Arial"/>
        </w:rPr>
        <w:t>This study uses</w:t>
      </w:r>
      <w:r>
        <w:rPr>
          <w:rFonts w:ascii="Arial" w:cs="Arial" w:hAnsi="Arial"/>
        </w:rPr>
        <w:t xml:space="preserve"> </w:t>
      </w:r>
      <w:r>
        <w:rPr>
          <w:rFonts w:ascii="Arial" w:cs="Arial" w:hAnsi="Arial"/>
        </w:rPr>
        <w:t>the established</w:t>
      </w:r>
      <w:r>
        <w:rPr>
          <w:rFonts w:ascii="Arial" w:cs="Arial" w:hAnsi="Arial"/>
        </w:rPr>
        <w:t xml:space="preserve"> </w:t>
      </w:r>
      <w:r>
        <w:rPr>
          <w:rFonts w:ascii="Arial" w:cs="Arial" w:hAnsi="Arial"/>
        </w:rPr>
        <w:t>Stimulus</w:t>
      </w:r>
      <w:r>
        <w:rPr>
          <w:rFonts w:ascii="Arial" w:cs="Arial" w:hAnsi="Arial"/>
        </w:rPr>
        <w:t xml:space="preserve"> </w:t>
      </w:r>
      <w:r>
        <w:rPr>
          <w:rFonts w:ascii="Arial" w:cs="Arial" w:hAnsi="Arial"/>
        </w:rPr>
        <w:t>Organism</w:t>
      </w:r>
      <w:r>
        <w:rPr>
          <w:rFonts w:ascii="Arial" w:cs="Arial" w:hAnsi="Arial"/>
        </w:rPr>
        <w:t xml:space="preserve"> </w:t>
      </w:r>
      <w:r>
        <w:rPr>
          <w:rFonts w:ascii="Arial" w:cs="Arial" w:hAnsi="Arial"/>
        </w:rPr>
        <w:t xml:space="preserve">Response framework, which </w:t>
      </w:r>
      <w:r>
        <w:rPr>
          <w:rFonts w:ascii="Arial" w:cs="Arial" w:hAnsi="Arial"/>
        </w:rPr>
        <w:t>shows how outside environmental factors </w:t>
      </w:r>
      <w:r>
        <w:rPr>
          <w:rFonts w:ascii="Arial" w:cs="Arial" w:hAnsi="Arial"/>
        </w:rPr>
        <w:t>affect</w:t>
      </w:r>
      <w:r>
        <w:rPr>
          <w:rFonts w:ascii="Arial" w:cs="Arial" w:hAnsi="Arial"/>
        </w:rPr>
        <w:t xml:space="preserve"> internal </w:t>
      </w:r>
      <w:r>
        <w:rPr>
          <w:rFonts w:ascii="Arial" w:cs="Arial" w:hAnsi="Arial"/>
        </w:rPr>
        <w:t>decisions</w:t>
      </w:r>
      <w:r>
        <w:rPr>
          <w:rFonts w:ascii="Arial" w:cs="Arial" w:hAnsi="Arial"/>
        </w:rPr>
        <w:t xml:space="preserve"> </w:t>
      </w:r>
      <w:r>
        <w:rPr>
          <w:rFonts w:ascii="Arial" w:cs="Arial" w:hAnsi="Arial"/>
        </w:rPr>
        <w:t xml:space="preserve">that </w:t>
      </w:r>
      <w:r>
        <w:rPr>
          <w:rFonts w:ascii="Arial" w:cs="Arial" w:hAnsi="Arial"/>
        </w:rPr>
        <w:t>then influence behaviour</w:t>
      </w:r>
      <w:r>
        <w:rPr>
          <w:rFonts w:ascii="Arial" w:cs="Arial" w:hAnsi="Arial"/>
        </w:rPr>
        <w:t xml:space="preserve"> (Mehrabian and Russell, 1974). In retail and service research, S-O-R has </w:t>
      </w:r>
      <w:r>
        <w:rPr>
          <w:rFonts w:ascii="Arial" w:cs="Arial" w:hAnsi="Arial"/>
        </w:rPr>
        <w:t xml:space="preserve">often been used </w:t>
      </w:r>
      <w:r>
        <w:rPr>
          <w:rFonts w:ascii="Arial" w:cs="Arial" w:hAnsi="Arial"/>
        </w:rPr>
        <w:t xml:space="preserve">to explain how </w:t>
      </w:r>
      <w:r>
        <w:rPr>
          <w:rFonts w:ascii="Arial" w:cs="Arial" w:hAnsi="Arial"/>
        </w:rPr>
        <w:t>marketing factors</w:t>
      </w:r>
      <w:r>
        <w:rPr>
          <w:rFonts w:ascii="Arial" w:cs="Arial" w:hAnsi="Arial"/>
        </w:rPr>
        <w:t xml:space="preserve"> affect </w:t>
      </w:r>
      <w:r>
        <w:rPr>
          <w:rFonts w:ascii="Arial" w:cs="Arial" w:hAnsi="Arial"/>
        </w:rPr>
        <w:t xml:space="preserve">thoughts and feelings </w:t>
      </w:r>
      <w:r>
        <w:rPr>
          <w:rFonts w:ascii="Arial" w:cs="Arial" w:hAnsi="Arial"/>
        </w:rPr>
        <w:t xml:space="preserve">before </w:t>
      </w:r>
      <w:r>
        <w:rPr>
          <w:rFonts w:ascii="Arial" w:cs="Arial" w:hAnsi="Arial"/>
        </w:rPr>
        <w:t>leading to behaviour</w:t>
      </w:r>
      <w:r>
        <w:rPr>
          <w:rFonts w:ascii="Arial" w:cs="Arial" w:hAnsi="Arial"/>
        </w:rPr>
        <w:t xml:space="preserve">. </w:t>
      </w:r>
      <w:r>
        <w:rPr>
          <w:rFonts w:ascii="Arial" w:cs="Arial" w:hAnsi="Arial"/>
        </w:rPr>
        <w:t xml:space="preserve">In a meta-analytic review, Vieira (2013) demonstrates that the framework is solid in a retail context, and Eroglu, Machleit and Davis (2001) take this reasoning a step further and show that online atmospherics can affect internal states and approach responses. Simultaneously, the Theory of Planned Behaviour points </w:t>
      </w:r>
      <w:r>
        <w:rPr>
          <w:rFonts w:ascii="Arial" w:cs="Arial" w:hAnsi="Arial"/>
        </w:rPr>
        <w:t>for</w:t>
      </w:r>
      <w:r>
        <w:rPr>
          <w:rFonts w:ascii="Arial" w:cs="Arial" w:hAnsi="Arial"/>
        </w:rPr>
        <w:t xml:space="preserve"> </w:t>
      </w:r>
      <w:r>
        <w:rPr>
          <w:rFonts w:ascii="Arial" w:cs="Arial" w:hAnsi="Arial"/>
        </w:rPr>
        <w:t>desire</w:t>
      </w:r>
      <w:r>
        <w:rPr>
          <w:rFonts w:ascii="Arial" w:cs="Arial" w:hAnsi="Arial"/>
        </w:rPr>
        <w:t xml:space="preserve"> as the nearest precursor of </w:t>
      </w:r>
      <w:r>
        <w:rPr>
          <w:rFonts w:ascii="Arial" w:cs="Arial" w:hAnsi="Arial"/>
        </w:rPr>
        <w:t>action</w:t>
      </w:r>
      <w:r>
        <w:rPr>
          <w:rFonts w:ascii="Arial" w:cs="Arial" w:hAnsi="Arial"/>
        </w:rPr>
        <w:t xml:space="preserve"> </w:t>
      </w:r>
      <w:r>
        <w:rPr>
          <w:rFonts w:ascii="Arial" w:cs="Arial" w:hAnsi="Arial"/>
        </w:rPr>
        <w:t xml:space="preserve">(Ajzen, 1991), and its predictive power is </w:t>
      </w:r>
      <w:r>
        <w:rPr>
          <w:rFonts w:ascii="Arial" w:cs="Arial" w:hAnsi="Arial"/>
        </w:rPr>
        <w:t>meta-</w:t>
      </w:r>
      <w:r>
        <w:rPr>
          <w:rFonts w:ascii="Arial" w:cs="Arial" w:hAnsi="Arial"/>
        </w:rPr>
        <w:t xml:space="preserve">analytically confirmed (Armitage and Conner, 2001). These attitudes combine to provide a model that social media marketing acts as the stimulus, trust/credibility and perceived value are internal appraisals, and purchase </w:t>
      </w:r>
      <w:r>
        <w:rPr>
          <w:rFonts w:ascii="Arial" w:cs="Arial" w:hAnsi="Arial"/>
        </w:rPr>
        <w:t>decisions</w:t>
      </w:r>
      <w:r>
        <w:rPr>
          <w:rFonts w:ascii="Arial" w:cs="Arial" w:hAnsi="Arial"/>
        </w:rPr>
        <w:t xml:space="preserve"> and self-reported buying behaviour are the response.</w:t>
      </w:r>
    </w:p>
    <w:bookmarkStart w:id="13" w:name="_Toc224819480"/>
    <w:p>
      <w:pPr>
        <w:pStyle w:val="style2"/>
        <w:rPr>
          <w:rFonts w:cs="Arial"/>
        </w:rPr>
      </w:pPr>
      <w:r>
        <w:rPr>
          <w:rFonts w:cs="Arial"/>
        </w:rPr>
        <w:t>2.1 Theme 1: Operationalising exposure and engagement</w:t>
      </w:r>
      <w:bookmarkEnd w:id="13"/>
    </w:p>
    <w:p>
      <w:pPr>
        <w:pStyle w:val="style0"/>
        <w:rPr>
          <w:rFonts w:ascii="Arial" w:cs="Arial" w:hAnsi="Arial"/>
        </w:rPr>
      </w:pPr>
      <w:r>
        <w:rPr>
          <w:rFonts w:ascii="Arial" w:cs="Arial" w:hAnsi="Arial"/>
        </w:rPr>
        <w:t xml:space="preserve">Some </w:t>
      </w:r>
      <w:r>
        <w:rPr>
          <w:rFonts w:ascii="Arial" w:cs="Arial" w:hAnsi="Arial"/>
        </w:rPr>
        <w:t xml:space="preserve">of the problems of social </w:t>
      </w:r>
      <w:r>
        <w:rPr>
          <w:rFonts w:ascii="Arial" w:cs="Arial" w:hAnsi="Arial"/>
        </w:rPr>
        <w:t xml:space="preserve">platform </w:t>
      </w:r>
      <w:r>
        <w:rPr>
          <w:rFonts w:ascii="Arial" w:cs="Arial" w:hAnsi="Arial"/>
        </w:rPr>
        <w:t xml:space="preserve">marketing research </w:t>
      </w:r>
      <w:r>
        <w:rPr>
          <w:rFonts w:ascii="Arial" w:cs="Arial" w:hAnsi="Arial"/>
        </w:rPr>
        <w:t>are</w:t>
      </w:r>
      <w:r>
        <w:rPr>
          <w:rFonts w:ascii="Arial" w:cs="Arial" w:hAnsi="Arial"/>
        </w:rPr>
        <w:t xml:space="preserve"> the difference between exposure and engagement. Exposure entails contact with branded content, such as paid promotions, sponsored content, influencer content, and retargeting, by consumers. In its turn, engagement represents more active response types, including liking, sharing, commenting, clicking, following, or time spent on interaction with branded content. This difference is theoretically significant since passive contact </w:t>
      </w:r>
      <w:r>
        <w:rPr>
          <w:rFonts w:ascii="Arial" w:cs="Arial" w:hAnsi="Arial"/>
        </w:rPr>
        <w:t>has</w:t>
      </w:r>
      <w:r>
        <w:rPr>
          <w:rFonts w:ascii="Arial" w:cs="Arial" w:hAnsi="Arial"/>
        </w:rPr>
        <w:t xml:space="preserve"> little chance of influencing consumers in the same manner that active interaction does. According to Calder, Malthouse and Schaedel (2009), engaging online yields more effective advertising than being exposed because of the high level of involvement and process.</w:t>
      </w:r>
    </w:p>
    <w:p>
      <w:pPr>
        <w:pStyle w:val="style0"/>
        <w:rPr>
          <w:rFonts w:ascii="Arial" w:cs="Arial" w:hAnsi="Arial"/>
        </w:rPr>
      </w:pPr>
      <w:r>
        <w:rPr>
          <w:rFonts w:ascii="Arial" w:cs="Arial" w:hAnsi="Arial"/>
        </w:rPr>
        <w:t>The nature of the content also determines the development of exposure towards interaction. De Vries, Gensler</w:t>
      </w:r>
      <w:r>
        <w:rPr>
          <w:rFonts w:ascii="Arial" w:cs="Arial" w:hAnsi="Arial"/>
        </w:rPr>
        <w:t>,</w:t>
      </w:r>
      <w:r>
        <w:rPr>
          <w:rFonts w:ascii="Arial" w:cs="Arial" w:hAnsi="Arial"/>
        </w:rPr>
        <w:t xml:space="preserve"> and Leeflang (2012) demonstrate that certain characteristics of branding posts influence the popularity of the latter on social media brand pages, which means that not every message is equally worthy of attention or response. </w:t>
      </w:r>
      <w:r>
        <w:rPr>
          <w:rFonts w:ascii="Arial" w:cs="Arial" w:hAnsi="Arial"/>
        </w:rPr>
        <w:t>Hollebeek</w:t>
      </w:r>
      <w:r>
        <w:rPr>
          <w:rFonts w:ascii="Arial" w:cs="Arial" w:hAnsi="Arial"/>
        </w:rPr>
        <w:t>, Glynn and Brodie (2014) strengthen this by defining consumer brand engagement as a multidimensional construct and proving it as an observable state of psychology and behaviour. Consumer outcomes</w:t>
      </w:r>
      <w:r>
        <w:rPr>
          <w:rFonts w:ascii="Arial" w:cs="Arial" w:hAnsi="Arial"/>
        </w:rPr>
        <w:t>,</w:t>
      </w:r>
      <w:r>
        <w:rPr>
          <w:rFonts w:ascii="Arial" w:cs="Arial" w:hAnsi="Arial"/>
        </w:rPr>
        <w:t xml:space="preserve"> including satisfaction and </w:t>
      </w:r>
      <w:r>
        <w:rPr>
          <w:rFonts w:ascii="Arial" w:cs="Arial" w:hAnsi="Arial"/>
        </w:rPr>
        <w:t>purchase intention</w:t>
      </w:r>
      <w:r>
        <w:rPr>
          <w:rFonts w:ascii="Arial" w:cs="Arial" w:hAnsi="Arial"/>
        </w:rPr>
        <w:t>,</w:t>
      </w:r>
      <w:r>
        <w:rPr>
          <w:rFonts w:ascii="Arial" w:cs="Arial" w:hAnsi="Arial"/>
        </w:rPr>
        <w:t xml:space="preserve"> have also been linked with broader social media marketing activities as recent evidence indicates (Ngo et al., 2025). These variables should, however, be measured using self-report measurement, with care, as common method bias can overstate relationships that are observed (Podsakoff et al., 2003).</w:t>
      </w:r>
    </w:p>
    <w:bookmarkStart w:id="14" w:name="_Toc224819481"/>
    <w:p>
      <w:pPr>
        <w:pStyle w:val="style2"/>
        <w:rPr>
          <w:rFonts w:cs="Arial"/>
        </w:rPr>
      </w:pPr>
      <w:r>
        <w:rPr>
          <w:rFonts w:cs="Arial"/>
        </w:rPr>
        <w:t>2.2 Theme 2: Trust and credibility</w:t>
      </w:r>
      <w:bookmarkEnd w:id="14"/>
    </w:p>
    <w:p>
      <w:pPr>
        <w:pStyle w:val="style0"/>
        <w:rPr>
          <w:rFonts w:ascii="Arial" w:cs="Arial" w:hAnsi="Arial"/>
        </w:rPr>
      </w:pPr>
      <w:r>
        <w:rPr>
          <w:rFonts w:ascii="Arial" w:cs="Arial" w:hAnsi="Arial"/>
        </w:rPr>
        <w:t>The key to how persuasion works on social media is trust and credibility, where commercial messages are frequently part of apparently personal or interactive communications. Ohanian (1990) offers a background description of source credibility by establishing expertise, trustworthiness, and attractiveness as fundamental areas of endorsement efficacy. This framework is widely applicable to influencers, brand representatives, and sponsored creators of social media networks</w:t>
      </w:r>
      <w:r>
        <w:rPr>
          <w:rFonts w:ascii="Arial" w:cs="Arial" w:hAnsi="Arial"/>
        </w:rPr>
        <w:t>,</w:t>
      </w:r>
      <w:r>
        <w:rPr>
          <w:rFonts w:ascii="Arial" w:cs="Arial" w:hAnsi="Arial"/>
        </w:rPr>
        <w:t xml:space="preserve"> even though it was formulated within the context of celebrity endorsement. It implies that consumers do not react alone to exposure of messages but also look at the credibility and reliability of the source they believe the message to be.</w:t>
      </w:r>
    </w:p>
    <w:p>
      <w:pPr>
        <w:pStyle w:val="style0"/>
        <w:rPr>
          <w:rFonts w:ascii="Arial" w:cs="Arial" w:hAnsi="Arial"/>
        </w:rPr>
      </w:pPr>
      <w:r>
        <w:rPr>
          <w:rFonts w:ascii="Arial" w:cs="Arial" w:hAnsi="Arial"/>
        </w:rPr>
        <w:t xml:space="preserve">Lou and Yuan (2019) justify this by demonstrating that consumer trust in branded social media content is influenced by message value and source credibility. It seems, according to their findings, that persuasion does not rest on mere visibility, but rather on whether branded communication is perceived as believable. Friestad and Wright (1994) enhance this argument by the model of persuasion knowledge that clarifies that the more consumers become aware of the persuasive intention, the </w:t>
      </w:r>
      <w:r>
        <w:rPr>
          <w:rFonts w:ascii="Arial" w:cs="Arial" w:hAnsi="Arial"/>
        </w:rPr>
        <w:t xml:space="preserve">more </w:t>
      </w:r>
      <w:r>
        <w:rPr>
          <w:rFonts w:ascii="Arial" w:cs="Arial" w:hAnsi="Arial"/>
        </w:rPr>
        <w:t xml:space="preserve">sceptical they become. This is where disclosure is of significance. Boerman, Willemsen and Van Der Aa (2022) demonstrate that sponsorship disclosures affect persuasion knowledge and consumer behaviours, and Pan et al. (2024) make it clear that persuader effort works through trust. Another way in which privacy affects trust is through the social media e-retail services </w:t>
      </w:r>
      <w:r>
        <w:rPr>
          <w:rFonts w:ascii="Arial" w:cs="Arial" w:hAnsi="Arial"/>
        </w:rPr>
        <w:t>(</w:t>
      </w:r>
      <w:r>
        <w:rPr>
          <w:rFonts w:ascii="Arial" w:cs="Arial" w:hAnsi="Arial"/>
        </w:rPr>
        <w:t>Alzaidi</w:t>
      </w:r>
      <w:r>
        <w:rPr>
          <w:rFonts w:ascii="Arial" w:cs="Arial" w:hAnsi="Arial"/>
        </w:rPr>
        <w:t xml:space="preserve"> and Agag</w:t>
      </w:r>
      <w:r>
        <w:rPr>
          <w:rFonts w:ascii="Arial" w:cs="Arial" w:hAnsi="Arial"/>
        </w:rPr>
        <w:t xml:space="preserve">, </w:t>
      </w:r>
      <w:r>
        <w:rPr>
          <w:rFonts w:ascii="Arial" w:cs="Arial" w:hAnsi="Arial"/>
        </w:rPr>
        <w:t>2022).</w:t>
      </w:r>
    </w:p>
    <w:bookmarkStart w:id="15" w:name="_Toc224819482"/>
    <w:p>
      <w:pPr>
        <w:pStyle w:val="style2"/>
        <w:rPr>
          <w:rFonts w:cs="Arial"/>
        </w:rPr>
      </w:pPr>
      <w:r>
        <w:rPr>
          <w:rFonts w:cs="Arial"/>
        </w:rPr>
        <w:t xml:space="preserve">2.3 Theme 3: </w:t>
      </w:r>
      <w:r>
        <w:rPr>
          <w:rFonts w:cs="Arial"/>
        </w:rPr>
        <w:t>Perceived value as a consumer assessment</w:t>
      </w:r>
      <w:bookmarkEnd w:id="15"/>
    </w:p>
    <w:p>
      <w:pPr>
        <w:pStyle w:val="style0"/>
        <w:rPr>
          <w:rFonts w:ascii="Arial" w:cs="Arial" w:hAnsi="Arial"/>
        </w:rPr>
      </w:pPr>
      <w:r>
        <w:rPr>
          <w:rFonts w:ascii="Arial" w:cs="Arial" w:hAnsi="Arial"/>
        </w:rPr>
        <w:t>S</w:t>
      </w:r>
      <w:r>
        <w:rPr>
          <w:rFonts w:ascii="Arial" w:cs="Arial" w:hAnsi="Arial"/>
        </w:rPr>
        <w:t xml:space="preserve">ense of </w:t>
      </w:r>
      <w:r>
        <w:rPr>
          <w:rFonts w:ascii="Arial" w:cs="Arial" w:hAnsi="Arial"/>
        </w:rPr>
        <w:t>benefits</w:t>
      </w:r>
      <w:r>
        <w:rPr>
          <w:rFonts w:ascii="Arial" w:cs="Arial" w:hAnsi="Arial"/>
        </w:rPr>
        <w:t xml:space="preserve"> </w:t>
      </w:r>
      <w:r>
        <w:rPr>
          <w:rFonts w:ascii="Arial" w:cs="Arial" w:hAnsi="Arial"/>
        </w:rPr>
        <w:t xml:space="preserve">is a second key evaluative </w:t>
      </w:r>
      <w:r>
        <w:rPr>
          <w:rFonts w:ascii="Arial" w:cs="Arial" w:hAnsi="Arial"/>
        </w:rPr>
        <w:t xml:space="preserve">way </w:t>
      </w:r>
      <w:r>
        <w:rPr>
          <w:rFonts w:ascii="Arial" w:cs="Arial" w:hAnsi="Arial"/>
        </w:rPr>
        <w:t xml:space="preserve">that social media marketing could influence consumer decisions. </w:t>
      </w:r>
      <w:r>
        <w:rPr>
          <w:rFonts w:ascii="Arial" w:cs="Arial" w:hAnsi="Arial"/>
        </w:rPr>
        <w:t>In the view of</w:t>
      </w:r>
      <w:r>
        <w:rPr>
          <w:rFonts w:ascii="Arial" w:cs="Arial" w:hAnsi="Arial"/>
        </w:rPr>
        <w:t xml:space="preserve"> Zeithaml (1988), </w:t>
      </w:r>
      <w:r>
        <w:rPr>
          <w:rFonts w:ascii="Arial" w:cs="Arial" w:hAnsi="Arial"/>
        </w:rPr>
        <w:t>usefulness</w:t>
      </w:r>
      <w:r>
        <w:rPr>
          <w:rFonts w:ascii="Arial" w:cs="Arial" w:hAnsi="Arial"/>
        </w:rPr>
        <w:t xml:space="preserve"> </w:t>
      </w:r>
      <w:r>
        <w:rPr>
          <w:rFonts w:ascii="Arial" w:cs="Arial" w:hAnsi="Arial"/>
        </w:rPr>
        <w:t xml:space="preserve">is the total </w:t>
      </w:r>
      <w:r>
        <w:rPr>
          <w:rFonts w:ascii="Arial" w:cs="Arial" w:hAnsi="Arial"/>
        </w:rPr>
        <w:t>view</w:t>
      </w:r>
      <w:r>
        <w:rPr>
          <w:rFonts w:ascii="Arial" w:cs="Arial" w:hAnsi="Arial"/>
        </w:rPr>
        <w:t xml:space="preserve"> </w:t>
      </w:r>
      <w:r>
        <w:rPr>
          <w:rFonts w:ascii="Arial" w:cs="Arial" w:hAnsi="Arial"/>
        </w:rPr>
        <w:t xml:space="preserve">of </w:t>
      </w:r>
      <w:r>
        <w:rPr>
          <w:rFonts w:ascii="Arial" w:cs="Arial" w:hAnsi="Arial"/>
        </w:rPr>
        <w:t xml:space="preserve">the </w:t>
      </w:r>
      <w:r>
        <w:rPr>
          <w:rFonts w:ascii="Arial" w:cs="Arial" w:hAnsi="Arial"/>
        </w:rPr>
        <w:t xml:space="preserve">utility of the consumer considering what is received and given. </w:t>
      </w:r>
      <w:r>
        <w:rPr>
          <w:rFonts w:ascii="Arial" w:cs="Arial" w:hAnsi="Arial"/>
        </w:rPr>
        <w:t>These benefits</w:t>
      </w:r>
      <w:r>
        <w:rPr>
          <w:rFonts w:ascii="Arial" w:cs="Arial" w:hAnsi="Arial"/>
        </w:rPr>
        <w:t xml:space="preserve"> sacrifice logic </w:t>
      </w:r>
      <w:r>
        <w:rPr>
          <w:rFonts w:ascii="Arial" w:cs="Arial" w:hAnsi="Arial"/>
        </w:rPr>
        <w:t>have</w:t>
      </w:r>
      <w:r>
        <w:rPr>
          <w:rFonts w:ascii="Arial" w:cs="Arial" w:hAnsi="Arial"/>
        </w:rPr>
        <w:t xml:space="preserve"> been quite resolute as it captures evaluative judgement between marketing contact and behavioural results. This idea is furthered by Sweeney </w:t>
      </w:r>
      <w:r>
        <w:rPr>
          <w:rFonts w:ascii="Arial" w:cs="Arial" w:hAnsi="Arial"/>
        </w:rPr>
        <w:t xml:space="preserve">and Soutar (2001) when they form a multidimensional perceived value scale providing a more operational referent </w:t>
      </w:r>
      <w:r>
        <w:rPr>
          <w:rFonts w:ascii="Arial" w:cs="Arial" w:hAnsi="Arial"/>
        </w:rPr>
        <w:t>for</w:t>
      </w:r>
      <w:r>
        <w:rPr>
          <w:rFonts w:ascii="Arial" w:cs="Arial" w:hAnsi="Arial"/>
        </w:rPr>
        <w:t xml:space="preserve"> empirical studies.</w:t>
      </w:r>
    </w:p>
    <w:p>
      <w:pPr>
        <w:pStyle w:val="style0"/>
        <w:rPr>
          <w:rFonts w:ascii="Arial" w:cs="Arial" w:hAnsi="Arial"/>
        </w:rPr>
      </w:pPr>
      <w:r>
        <w:rPr>
          <w:rFonts w:ascii="Arial" w:cs="Arial" w:hAnsi="Arial"/>
        </w:rPr>
        <w:t>In</w:t>
      </w:r>
      <w:r>
        <w:rPr>
          <w:rFonts w:ascii="Arial" w:cs="Arial" w:hAnsi="Arial"/>
        </w:rPr>
        <w:t xml:space="preserve"> </w:t>
      </w:r>
      <w:r>
        <w:rPr>
          <w:rFonts w:ascii="Arial" w:cs="Arial" w:hAnsi="Arial"/>
        </w:rPr>
        <w:t>social platforms</w:t>
      </w:r>
      <w:r>
        <w:rPr>
          <w:rFonts w:ascii="Arial" w:cs="Arial" w:hAnsi="Arial"/>
        </w:rPr>
        <w:t xml:space="preserve">, perceived </w:t>
      </w:r>
      <w:r>
        <w:rPr>
          <w:rFonts w:ascii="Arial" w:cs="Arial" w:hAnsi="Arial"/>
        </w:rPr>
        <w:t>usefulness</w:t>
      </w:r>
      <w:r>
        <w:rPr>
          <w:rFonts w:ascii="Arial" w:cs="Arial" w:hAnsi="Arial"/>
        </w:rPr>
        <w:t xml:space="preserve"> </w:t>
      </w:r>
      <w:r>
        <w:rPr>
          <w:rFonts w:ascii="Arial" w:cs="Arial" w:hAnsi="Arial"/>
        </w:rPr>
        <w:t>is</w:t>
      </w:r>
      <w:r>
        <w:rPr>
          <w:rFonts w:ascii="Arial" w:cs="Arial" w:hAnsi="Arial"/>
        </w:rPr>
        <w:t xml:space="preserve"> </w:t>
      </w:r>
      <w:r>
        <w:rPr>
          <w:rFonts w:ascii="Arial" w:cs="Arial" w:hAnsi="Arial"/>
        </w:rPr>
        <w:t>connected to</w:t>
      </w:r>
      <w:r>
        <w:rPr>
          <w:rFonts w:ascii="Arial" w:cs="Arial" w:hAnsi="Arial"/>
        </w:rPr>
        <w:t xml:space="preserve"> </w:t>
      </w:r>
      <w:r>
        <w:rPr>
          <w:rFonts w:ascii="Arial" w:cs="Arial" w:hAnsi="Arial"/>
        </w:rPr>
        <w:t xml:space="preserve">the </w:t>
      </w:r>
      <w:r>
        <w:rPr>
          <w:rFonts w:ascii="Arial" w:cs="Arial" w:hAnsi="Arial"/>
        </w:rPr>
        <w:t xml:space="preserve">effect </w:t>
      </w:r>
      <w:r>
        <w:rPr>
          <w:rFonts w:ascii="Arial" w:cs="Arial" w:hAnsi="Arial"/>
        </w:rPr>
        <w:t>of the marketing action on how consumers react. Chen and Lin (2019) conclude that there are mechanisms in social media marketing efforts which affect consumer outcomes, such as perceived value, and thereby, value is a construct</w:t>
      </w:r>
      <w:r>
        <w:rPr>
          <w:rFonts w:ascii="Arial" w:cs="Arial" w:hAnsi="Arial"/>
        </w:rPr>
        <w:t>,</w:t>
      </w:r>
      <w:r>
        <w:rPr>
          <w:rFonts w:ascii="Arial" w:cs="Arial" w:hAnsi="Arial"/>
        </w:rPr>
        <w:t xml:space="preserve"> not an outcome only. The same result of Godey et al. (2016) </w:t>
      </w:r>
      <w:r>
        <w:rPr>
          <w:rFonts w:ascii="Arial" w:cs="Arial" w:hAnsi="Arial"/>
        </w:rPr>
        <w:t>finds that</w:t>
      </w:r>
      <w:r>
        <w:rPr>
          <w:rFonts w:ascii="Arial" w:cs="Arial" w:hAnsi="Arial"/>
        </w:rPr>
        <w:t xml:space="preserve"> </w:t>
      </w:r>
      <w:r>
        <w:rPr>
          <w:rFonts w:ascii="Arial" w:cs="Arial" w:hAnsi="Arial"/>
        </w:rPr>
        <w:t xml:space="preserve">marketing in </w:t>
      </w:r>
      <w:r>
        <w:rPr>
          <w:rFonts w:ascii="Arial" w:cs="Arial" w:hAnsi="Arial"/>
        </w:rPr>
        <w:t>social platforms</w:t>
      </w:r>
      <w:r>
        <w:rPr>
          <w:rFonts w:ascii="Arial" w:cs="Arial" w:hAnsi="Arial"/>
        </w:rPr>
        <w:t xml:space="preserve"> </w:t>
      </w:r>
      <w:r>
        <w:rPr>
          <w:rFonts w:ascii="Arial" w:cs="Arial" w:hAnsi="Arial"/>
        </w:rPr>
        <w:t>affects</w:t>
      </w:r>
      <w:r>
        <w:rPr>
          <w:rFonts w:ascii="Arial" w:cs="Arial" w:hAnsi="Arial"/>
        </w:rPr>
        <w:t xml:space="preserve"> brand equity and consumer behaviour, which </w:t>
      </w:r>
      <w:r>
        <w:rPr>
          <w:rFonts w:ascii="Arial" w:cs="Arial" w:hAnsi="Arial"/>
        </w:rPr>
        <w:t>assumes</w:t>
      </w:r>
      <w:r>
        <w:rPr>
          <w:rFonts w:ascii="Arial" w:cs="Arial" w:hAnsi="Arial"/>
        </w:rPr>
        <w:t xml:space="preserve"> that repetitive online experiences can influence how consumers compare brand offerings. The combination of these studies supports the importance of perceived value as an organismic core variable in this dissertation.</w:t>
      </w:r>
    </w:p>
    <w:bookmarkStart w:id="16" w:name="_Toc224819483"/>
    <w:p>
      <w:pPr>
        <w:pStyle w:val="style2"/>
        <w:rPr>
          <w:rFonts w:cs="Arial"/>
        </w:rPr>
      </w:pPr>
      <w:r>
        <w:rPr>
          <w:rFonts w:cs="Arial"/>
        </w:rPr>
        <w:t xml:space="preserve">2.4 Theme 4: </w:t>
      </w:r>
      <w:r>
        <w:rPr>
          <w:rFonts w:cs="Arial"/>
        </w:rPr>
        <w:t>From consumer evaluation to purchase outcomes</w:t>
      </w:r>
      <w:bookmarkEnd w:id="16"/>
    </w:p>
    <w:p>
      <w:pPr>
        <w:pStyle w:val="style0"/>
        <w:rPr>
          <w:rFonts w:ascii="Arial" w:cs="Arial" w:hAnsi="Arial"/>
        </w:rPr>
      </w:pPr>
      <w:r>
        <w:rPr>
          <w:rFonts w:ascii="Arial" w:cs="Arial" w:hAnsi="Arial"/>
        </w:rPr>
        <w:t>Whereas internal perceptions are presumed to affect the purchasing outcomes, the line is not entirely linear. This process can reorganise internal judgments</w:t>
      </w:r>
      <w:r>
        <w:rPr>
          <w:rFonts w:ascii="Arial" w:cs="Arial" w:hAnsi="Arial"/>
        </w:rPr>
        <w:t>,</w:t>
      </w:r>
      <w:r>
        <w:rPr>
          <w:rFonts w:ascii="Arial" w:cs="Arial" w:hAnsi="Arial"/>
        </w:rPr>
        <w:t xml:space="preserve"> and </w:t>
      </w:r>
      <w:r>
        <w:rPr>
          <w:rFonts w:ascii="Arial" w:cs="Arial" w:hAnsi="Arial"/>
        </w:rPr>
        <w:t>Schivinski</w:t>
      </w:r>
      <w:r>
        <w:rPr>
          <w:rFonts w:ascii="Arial" w:cs="Arial" w:hAnsi="Arial"/>
        </w:rPr>
        <w:t xml:space="preserve"> and Dabrowski (2016) demonstrate that social media interaction influences consumer views towards brands. The shift between perception and action, however, is more complicated. Ajzen (1991) maintains that intention most directly causes behaviour</w:t>
      </w:r>
      <w:r>
        <w:rPr>
          <w:rFonts w:ascii="Arial" w:cs="Arial" w:hAnsi="Arial"/>
        </w:rPr>
        <w:t>,</w:t>
      </w:r>
      <w:r>
        <w:rPr>
          <w:rFonts w:ascii="Arial" w:cs="Arial" w:hAnsi="Arial"/>
        </w:rPr>
        <w:t xml:space="preserve"> and that intention is a significant predictor. However</w:t>
      </w:r>
      <w:r>
        <w:rPr>
          <w:rFonts w:ascii="Arial" w:cs="Arial" w:hAnsi="Arial"/>
        </w:rPr>
        <w:t>,</w:t>
      </w:r>
      <w:r>
        <w:rPr>
          <w:rFonts w:ascii="Arial" w:cs="Arial" w:hAnsi="Arial"/>
        </w:rPr>
        <w:t xml:space="preserve"> this prognostic correlation is not perfect. In their </w:t>
      </w:r>
      <w:r>
        <w:rPr>
          <w:rFonts w:ascii="Arial" w:cs="Arial" w:hAnsi="Arial"/>
        </w:rPr>
        <w:t>combined study analysis</w:t>
      </w:r>
      <w:r>
        <w:rPr>
          <w:rFonts w:ascii="Arial" w:cs="Arial" w:hAnsi="Arial"/>
        </w:rPr>
        <w:t xml:space="preserve">, Webb and Sheeran (2006) demonstrate that </w:t>
      </w:r>
      <w:r>
        <w:rPr>
          <w:rFonts w:ascii="Arial" w:cs="Arial" w:hAnsi="Arial"/>
        </w:rPr>
        <w:t xml:space="preserve">a </w:t>
      </w:r>
      <w:r>
        <w:rPr>
          <w:rFonts w:ascii="Arial" w:cs="Arial" w:hAnsi="Arial"/>
        </w:rPr>
        <w:t xml:space="preserve">behavioural </w:t>
      </w:r>
      <w:r>
        <w:rPr>
          <w:rFonts w:ascii="Arial" w:cs="Arial" w:hAnsi="Arial"/>
        </w:rPr>
        <w:t>shift in intention</w:t>
      </w:r>
      <w:r>
        <w:rPr>
          <w:rFonts w:ascii="Arial" w:cs="Arial" w:hAnsi="Arial"/>
        </w:rPr>
        <w:t> </w:t>
      </w:r>
      <w:r>
        <w:rPr>
          <w:rFonts w:ascii="Arial" w:cs="Arial" w:hAnsi="Arial"/>
        </w:rPr>
        <w:t>may not result in</w:t>
      </w:r>
      <w:r>
        <w:rPr>
          <w:rFonts w:ascii="Arial" w:cs="Arial" w:hAnsi="Arial"/>
        </w:rPr>
        <w:t xml:space="preserve"> </w:t>
      </w:r>
      <w:r>
        <w:rPr>
          <w:rFonts w:ascii="Arial" w:cs="Arial" w:hAnsi="Arial"/>
        </w:rPr>
        <w:t xml:space="preserve">behaviour change. This </w:t>
      </w:r>
      <w:r>
        <w:rPr>
          <w:rFonts w:ascii="Arial" w:cs="Arial" w:hAnsi="Arial"/>
        </w:rPr>
        <w:t>gap between intention and behaviour</w:t>
      </w:r>
      <w:r>
        <w:rPr>
          <w:rFonts w:ascii="Arial" w:cs="Arial" w:hAnsi="Arial"/>
        </w:rPr>
        <w:t xml:space="preserve"> </w:t>
      </w:r>
      <w:r>
        <w:rPr>
          <w:rFonts w:ascii="Arial" w:cs="Arial" w:hAnsi="Arial"/>
        </w:rPr>
        <w:t>applies strongly to social media marketing because customers can convey positive attitudes or intentions without making a real purchase.</w:t>
      </w:r>
    </w:p>
    <w:p>
      <w:pPr>
        <w:pStyle w:val="style0"/>
        <w:rPr>
          <w:rFonts w:ascii="Arial" w:cs="Arial" w:hAnsi="Arial"/>
        </w:rPr>
      </w:pPr>
      <w:r>
        <w:rPr>
          <w:rFonts w:ascii="Arial" w:cs="Arial" w:hAnsi="Arial"/>
        </w:rPr>
        <w:t xml:space="preserve">The use of electronic word-of-mouth complicates the matter. The decision-making and credibility </w:t>
      </w:r>
      <w:r>
        <w:rPr>
          <w:rFonts w:ascii="Arial" w:cs="Arial" w:hAnsi="Arial"/>
        </w:rPr>
        <w:t>judgments</w:t>
      </w:r>
      <w:r>
        <w:rPr>
          <w:rFonts w:ascii="Arial" w:cs="Arial" w:hAnsi="Arial"/>
        </w:rPr>
        <w:t xml:space="preserve"> in online consumer-to-consumer communication demonstrated by Cheung and Thadani (2012) may make or break the </w:t>
      </w:r>
      <w:r>
        <w:rPr>
          <w:rFonts w:ascii="Arial" w:cs="Arial" w:hAnsi="Arial"/>
        </w:rPr>
        <w:t>gap between intention and behaviour</w:t>
      </w:r>
      <w:r>
        <w:rPr>
          <w:rFonts w:ascii="Arial" w:cs="Arial" w:hAnsi="Arial"/>
        </w:rPr>
        <w:t xml:space="preserve">. Because of that reason, purchase intention and </w:t>
      </w:r>
      <w:r>
        <w:rPr>
          <w:rFonts w:ascii="Arial" w:cs="Arial" w:hAnsi="Arial"/>
        </w:rPr>
        <w:t>self-report</w:t>
      </w:r>
      <w:r>
        <w:rPr>
          <w:rFonts w:ascii="Arial" w:cs="Arial" w:hAnsi="Arial"/>
        </w:rPr>
        <w:t xml:space="preserve"> purchase behaviour must be considered as similar yet different outcomes.</w:t>
      </w:r>
    </w:p>
    <w:bookmarkStart w:id="17" w:name="_Toc224819484"/>
    <w:p>
      <w:pPr>
        <w:pStyle w:val="style2"/>
        <w:rPr>
          <w:rFonts w:cs="Arial"/>
        </w:rPr>
      </w:pPr>
      <w:r>
        <w:rPr>
          <w:rFonts w:cs="Arial"/>
        </w:rPr>
        <w:t>2.5 Theme 5: UK-context evidence and synthesis</w:t>
      </w:r>
      <w:bookmarkEnd w:id="17"/>
    </w:p>
    <w:p>
      <w:pPr>
        <w:pStyle w:val="style0"/>
        <w:rPr>
          <w:rFonts w:ascii="Arial" w:cs="Arial" w:hAnsi="Arial"/>
        </w:rPr>
      </w:pPr>
      <w:r>
        <w:rPr>
          <w:rFonts w:ascii="Arial" w:cs="Arial" w:hAnsi="Arial"/>
        </w:rPr>
        <w:t xml:space="preserve">The practical relevance of this model is assisted by UK-relevant research. In retail outlets, Dolega, Rowe and Branagan (2021) demonstrate that social media marketing correlates with </w:t>
      </w:r>
      <w:r>
        <w:rPr>
          <w:rFonts w:ascii="Arial" w:cs="Arial" w:hAnsi="Arial"/>
        </w:rPr>
        <w:t>website visits, orders and sales</w:t>
      </w:r>
      <w:r>
        <w:rPr>
          <w:rFonts w:ascii="Arial" w:cs="Arial" w:hAnsi="Arial"/>
        </w:rPr>
        <w:t xml:space="preserve">, which is reflected in behavioural </w:t>
      </w:r>
      <w:r>
        <w:rPr>
          <w:rFonts w:ascii="Arial" w:cs="Arial" w:hAnsi="Arial"/>
        </w:rPr>
        <w:t xml:space="preserve">relevance. According to Ramanathan, Subramanian and Parrott (2017), social media also helps in adding to customer satisfaction and efficiency in operation when it comes to retail marketing situations. As previously mentioned, Adaba, Frimpong and </w:t>
      </w:r>
      <w:r>
        <w:rPr>
          <w:rFonts w:ascii="Arial" w:cs="Arial" w:hAnsi="Arial"/>
        </w:rPr>
        <w:t>Mwainyekule</w:t>
      </w:r>
      <w:r>
        <w:rPr>
          <w:rFonts w:ascii="Arial" w:cs="Arial" w:hAnsi="Arial"/>
        </w:rPr>
        <w:t xml:space="preserve"> (2025) add to the behavioural relevance of influencer exposure by demonstrating the impact on purchase intention and behaviour.</w:t>
      </w:r>
    </w:p>
    <w:p>
      <w:pPr>
        <w:pStyle w:val="style0"/>
        <w:rPr>
          <w:rFonts w:ascii="Arial" w:cs="Arial" w:hAnsi="Arial"/>
        </w:rPr>
      </w:pPr>
      <w:r>
        <w:rPr>
          <w:rFonts w:ascii="Arial" w:cs="Arial" w:hAnsi="Arial"/>
        </w:rPr>
        <w:t xml:space="preserve">The literature, in general, contributes to a logical model whereby social media marketing exposure and engagements are the stimuli or independent variable, trust/credibility and perceived value are the evaluative factors and purchase </w:t>
      </w:r>
      <w:r>
        <w:rPr>
          <w:rFonts w:ascii="Arial" w:cs="Arial" w:hAnsi="Arial"/>
        </w:rPr>
        <w:t>intention,</w:t>
      </w:r>
      <w:r>
        <w:rPr>
          <w:rFonts w:ascii="Arial" w:cs="Arial" w:hAnsi="Arial"/>
        </w:rPr>
        <w:t xml:space="preserve"> and self-reported behaviour </w:t>
      </w:r>
      <w:r>
        <w:rPr>
          <w:rFonts w:ascii="Arial" w:cs="Arial" w:hAnsi="Arial"/>
        </w:rPr>
        <w:t>are</w:t>
      </w:r>
      <w:r>
        <w:rPr>
          <w:rFonts w:ascii="Arial" w:cs="Arial" w:hAnsi="Arial"/>
        </w:rPr>
        <w:t xml:space="preserve"> the end outcome. Combining S-O-R with </w:t>
      </w:r>
      <w:r>
        <w:rPr>
          <w:rFonts w:ascii="Arial" w:cs="Arial" w:hAnsi="Arial"/>
        </w:rPr>
        <w:t>the planned behaviour theory</w:t>
      </w:r>
      <w:r>
        <w:rPr>
          <w:rFonts w:ascii="Arial" w:cs="Arial" w:hAnsi="Arial"/>
        </w:rPr>
        <w:t xml:space="preserve"> </w:t>
      </w:r>
      <w:r>
        <w:rPr>
          <w:rFonts w:ascii="Arial" w:cs="Arial" w:hAnsi="Arial"/>
        </w:rPr>
        <w:t>provides a useful basis</w:t>
      </w:r>
      <w:r>
        <w:rPr>
          <w:rFonts w:ascii="Arial" w:cs="Arial" w:hAnsi="Arial"/>
        </w:rPr>
        <w:t xml:space="preserve"> </w:t>
      </w:r>
      <w:r>
        <w:rPr>
          <w:rFonts w:ascii="Arial" w:cs="Arial" w:hAnsi="Arial"/>
        </w:rPr>
        <w:t>to study</w:t>
      </w:r>
      <w:r>
        <w:rPr>
          <w:rFonts w:ascii="Arial" w:cs="Arial" w:hAnsi="Arial"/>
        </w:rPr>
        <w:t xml:space="preserve"> </w:t>
      </w:r>
      <w:r>
        <w:rPr>
          <w:rFonts w:ascii="Arial" w:cs="Arial" w:hAnsi="Arial"/>
        </w:rPr>
        <w:t xml:space="preserve">direct and mediated </w:t>
      </w:r>
      <w:r>
        <w:rPr>
          <w:rFonts w:ascii="Arial" w:cs="Arial" w:hAnsi="Arial"/>
        </w:rPr>
        <w:t>effects and</w:t>
      </w:r>
      <w:r>
        <w:rPr>
          <w:rFonts w:ascii="Arial" w:cs="Arial" w:hAnsi="Arial"/>
        </w:rPr>
        <w:t xml:space="preserve"> identify that behavioural responses can be less strong than intentions due to </w:t>
      </w:r>
      <w:r>
        <w:rPr>
          <w:rFonts w:ascii="Arial" w:cs="Arial" w:hAnsi="Arial"/>
        </w:rPr>
        <w:t xml:space="preserve">the </w:t>
      </w:r>
      <w:r>
        <w:rPr>
          <w:rFonts w:ascii="Arial" w:cs="Arial" w:hAnsi="Arial"/>
        </w:rPr>
        <w:t xml:space="preserve">well-established </w:t>
      </w:r>
      <w:r>
        <w:rPr>
          <w:rFonts w:ascii="Arial" w:cs="Arial" w:hAnsi="Arial"/>
        </w:rPr>
        <w:t>gap between intention and behaviour</w:t>
      </w:r>
      <w:r>
        <w:rPr>
          <w:rFonts w:ascii="Arial" w:cs="Arial" w:hAnsi="Arial"/>
        </w:rPr>
        <w:t xml:space="preserve"> </w:t>
      </w:r>
      <w:r>
        <w:rPr>
          <w:rFonts w:ascii="Arial" w:cs="Arial" w:hAnsi="Arial"/>
        </w:rPr>
        <w:t>(Ajzen, 1991; Webb and Sheeran, 2006).</w:t>
      </w:r>
    </w:p>
    <w:bookmarkStart w:id="18" w:name="_Toc224819485"/>
    <w:p>
      <w:pPr>
        <w:pStyle w:val="style1"/>
        <w:rPr>
          <w:rFonts w:cs="Arial"/>
        </w:rPr>
      </w:pPr>
      <w:r>
        <w:rPr>
          <w:rFonts w:cs="Arial"/>
        </w:rPr>
        <w:t>3. Methodology</w:t>
      </w:r>
      <w:bookmarkEnd w:id="18"/>
    </w:p>
    <w:bookmarkStart w:id="19" w:name="_Toc224819486"/>
    <w:p>
      <w:pPr>
        <w:pStyle w:val="style2"/>
        <w:rPr>
          <w:rFonts w:cs="Arial"/>
        </w:rPr>
      </w:pPr>
      <w:r>
        <w:rPr>
          <w:rFonts w:cs="Arial"/>
        </w:rPr>
        <w:t>3.1 Research philosophy and approach</w:t>
      </w:r>
      <w:bookmarkEnd w:id="19"/>
    </w:p>
    <w:p>
      <w:pPr>
        <w:pStyle w:val="style0"/>
        <w:rPr>
          <w:rFonts w:ascii="Arial" w:cs="Arial" w:hAnsi="Arial"/>
        </w:rPr>
      </w:pPr>
      <w:r>
        <w:rPr>
          <w:rFonts w:ascii="Arial" w:cs="Arial" w:hAnsi="Arial"/>
        </w:rPr>
        <w:t xml:space="preserve">A positivist </w:t>
      </w:r>
      <w:r>
        <w:rPr>
          <w:rFonts w:ascii="Arial" w:cs="Arial" w:hAnsi="Arial"/>
        </w:rPr>
        <w:t>approach</w:t>
      </w:r>
      <w:r>
        <w:rPr>
          <w:rFonts w:ascii="Arial" w:cs="Arial" w:hAnsi="Arial"/>
        </w:rPr>
        <w:t xml:space="preserve"> </w:t>
      </w:r>
      <w:r>
        <w:rPr>
          <w:rFonts w:ascii="Arial" w:cs="Arial" w:hAnsi="Arial"/>
        </w:rPr>
        <w:t xml:space="preserve">applies to this study because the researchers aim to explore relationships between well-defined variables by structured measurement and statistical analysis. Positivism fits in a situation where the aim is to test hypotheses made by theories and to find regularities that can be quantified. Exposure and engagement with social media marketing, their correlation with trust/credibility and perceptions of value, and their impact on purchase intention and self-reported purchase behaviour are the topics of interest in this dissertation. The approach that should be adopted is hence a deductive one, where the study commences with the concepts and propositions based on the available literature and is tested </w:t>
      </w:r>
      <w:r>
        <w:rPr>
          <w:rFonts w:ascii="Arial" w:cs="Arial" w:hAnsi="Arial"/>
        </w:rPr>
        <w:t>based on</w:t>
      </w:r>
      <w:r>
        <w:rPr>
          <w:rFonts w:ascii="Arial" w:cs="Arial" w:hAnsi="Arial"/>
        </w:rPr>
        <w:t xml:space="preserve"> empirical evidence. This method is aligned with business and management research that seeks to explain causal tendencies with quantifiable constructs (Saunders, Lewis and Thornhill, 2019).</w:t>
      </w:r>
    </w:p>
    <w:bookmarkStart w:id="20" w:name="_Toc224819487"/>
    <w:p>
      <w:pPr>
        <w:pStyle w:val="style2"/>
        <w:rPr>
          <w:rFonts w:cs="Arial"/>
        </w:rPr>
      </w:pPr>
      <w:r>
        <w:rPr>
          <w:rFonts w:cs="Arial"/>
        </w:rPr>
        <w:t>3.2 Research strategy and time horizon</w:t>
      </w:r>
      <w:bookmarkEnd w:id="20"/>
    </w:p>
    <w:p>
      <w:pPr>
        <w:pStyle w:val="style0"/>
        <w:rPr>
          <w:rFonts w:ascii="Arial" w:cs="Arial" w:hAnsi="Arial"/>
        </w:rPr>
      </w:pPr>
      <w:r>
        <w:rPr>
          <w:rFonts w:ascii="Arial" w:cs="Arial" w:hAnsi="Arial"/>
        </w:rPr>
        <w:t xml:space="preserve">The reasons behind employing a quantitative survey strategy are that it enables the collection of data in a standardised form on a fairly large number of respondents. This helps make comparisons among participants and allows testing of relationships </w:t>
      </w:r>
      <w:r>
        <w:rPr>
          <w:rFonts w:ascii="Arial" w:cs="Arial" w:hAnsi="Arial"/>
        </w:rPr>
        <w:t>between variables statistically. The survey method is also suitable in this study since the research questions demand quantifiable evidence on consumer perceptions, intentions and self-reported behaviour. The research has a cross-sectional time horizon, or data have been recorded once at a particular point in time, as opposed to having an extended time. The design fits dissertation research that is short in duration and resource but commonly appears in the literature reviewing consumer attitudes and behavioural tendencies (Saunders, Lewis and Thornhill, 2019).</w:t>
      </w:r>
    </w:p>
    <w:bookmarkStart w:id="21" w:name="_Toc224819488"/>
    <w:p>
      <w:pPr>
        <w:pStyle w:val="style2"/>
        <w:rPr>
          <w:rFonts w:cs="Arial"/>
        </w:rPr>
      </w:pPr>
      <w:r>
        <w:rPr>
          <w:rFonts w:cs="Arial"/>
        </w:rPr>
        <w:t>3.3 Population and sampling</w:t>
      </w:r>
      <w:bookmarkEnd w:id="21"/>
    </w:p>
    <w:p>
      <w:pPr>
        <w:pStyle w:val="style0"/>
        <w:rPr>
          <w:rFonts w:ascii="Arial" w:cs="Arial" w:hAnsi="Arial"/>
        </w:rPr>
      </w:pPr>
      <w:r>
        <w:rPr>
          <w:rFonts w:ascii="Arial" w:cs="Arial" w:hAnsi="Arial"/>
        </w:rPr>
        <w:t xml:space="preserve">The </w:t>
      </w:r>
      <w:r>
        <w:rPr>
          <w:rFonts w:ascii="Arial" w:cs="Arial" w:hAnsi="Arial"/>
        </w:rPr>
        <w:t xml:space="preserve">initial </w:t>
      </w:r>
      <w:r>
        <w:rPr>
          <w:rFonts w:ascii="Arial" w:cs="Arial" w:hAnsi="Arial"/>
        </w:rPr>
        <w:t>audience is the U</w:t>
      </w:r>
      <w:r>
        <w:rPr>
          <w:rFonts w:ascii="Arial" w:cs="Arial" w:hAnsi="Arial"/>
        </w:rPr>
        <w:t>nited Kingdom</w:t>
      </w:r>
      <w:r>
        <w:rPr>
          <w:rFonts w:ascii="Arial" w:cs="Arial" w:hAnsi="Arial"/>
        </w:rPr>
        <w:t xml:space="preserve"> social media users aged 18</w:t>
      </w:r>
      <w:r>
        <w:rPr>
          <w:rFonts w:ascii="Arial" w:cs="Arial" w:hAnsi="Arial"/>
        </w:rPr>
        <w:t>+</w:t>
      </w:r>
      <w:r>
        <w:rPr>
          <w:rFonts w:ascii="Arial" w:cs="Arial" w:hAnsi="Arial"/>
        </w:rPr>
        <w:t xml:space="preserve"> years and older who were exposed to branded content on social media. Since the study investigates how social media marketing influences perceptions and buying results, the participants need to have a direct experience of such an environment. It is felt that 100 to 120 respondents will be adequate to produce adequate quantitative data in the context of a dissertation. The convenience sampling is embraced due to its practicality, low cost, and applicability in circumstances where the respondents are unavailable, but lowering the generalisability of the results (</w:t>
      </w:r>
      <w:r>
        <w:rPr>
          <w:rFonts w:ascii="Arial" w:cs="Arial" w:hAnsi="Arial"/>
        </w:rPr>
        <w:t>Etikan</w:t>
      </w:r>
      <w:r>
        <w:rPr>
          <w:rFonts w:ascii="Arial" w:cs="Arial" w:hAnsi="Arial"/>
        </w:rPr>
        <w:t>, Musa and Alkassim, 2016).</w:t>
      </w:r>
    </w:p>
    <w:bookmarkStart w:id="22" w:name="_Toc224819489"/>
    <w:p>
      <w:pPr>
        <w:pStyle w:val="style2"/>
        <w:rPr>
          <w:rFonts w:cs="Arial"/>
        </w:rPr>
      </w:pPr>
      <w:r>
        <w:rPr>
          <w:rFonts w:cs="Arial"/>
        </w:rPr>
        <w:t>3.4 Data collection and measures</w:t>
      </w:r>
      <w:bookmarkEnd w:id="22"/>
    </w:p>
    <w:p>
      <w:pPr>
        <w:pStyle w:val="style0"/>
        <w:rPr>
          <w:rFonts w:ascii="Arial" w:cs="Arial" w:hAnsi="Arial"/>
        </w:rPr>
      </w:pPr>
      <w:r>
        <w:rPr>
          <w:rFonts w:ascii="Arial" w:cs="Arial" w:hAnsi="Arial"/>
        </w:rPr>
        <w:t xml:space="preserve">An online questionnaire is used to </w:t>
      </w:r>
      <w:r>
        <w:rPr>
          <w:rFonts w:ascii="Arial" w:cs="Arial" w:hAnsi="Arial"/>
        </w:rPr>
        <w:t>collect</w:t>
      </w:r>
      <w:r>
        <w:rPr>
          <w:rFonts w:ascii="Arial" w:cs="Arial" w:hAnsi="Arial"/>
        </w:rPr>
        <w:t xml:space="preserve"> primary data. To achieve consistency and quantitative analysis, closed-ended questions are employed. </w:t>
      </w:r>
      <w:r>
        <w:rPr>
          <w:rFonts w:ascii="Arial" w:cs="Arial" w:hAnsi="Arial"/>
        </w:rPr>
        <w:t>Many</w:t>
      </w:r>
      <w:r>
        <w:rPr>
          <w:rFonts w:ascii="Arial" w:cs="Arial" w:hAnsi="Arial"/>
        </w:rPr>
        <w:t xml:space="preserve"> attitudinal items rely on a Likert scale, which is applicable to measure the extent of assent or assessment on social research (Likert, 1932). The questionnaire will consist of questions that will touch </w:t>
      </w:r>
      <w:r>
        <w:rPr>
          <w:rFonts w:ascii="Arial" w:cs="Arial" w:hAnsi="Arial"/>
        </w:rPr>
        <w:t>about</w:t>
      </w:r>
      <w:r>
        <w:rPr>
          <w:rFonts w:ascii="Arial" w:cs="Arial" w:hAnsi="Arial"/>
        </w:rPr>
        <w:t xml:space="preserve"> exposure to </w:t>
      </w:r>
      <w:r>
        <w:rPr>
          <w:rFonts w:ascii="Arial" w:cs="Arial" w:hAnsi="Arial"/>
        </w:rPr>
        <w:t>social platforms</w:t>
      </w:r>
      <w:r>
        <w:rPr>
          <w:rFonts w:ascii="Arial" w:cs="Arial" w:hAnsi="Arial"/>
        </w:rPr>
        <w:t xml:space="preserve"> marketing</w:t>
      </w:r>
      <w:r>
        <w:rPr>
          <w:rFonts w:ascii="Arial" w:cs="Arial" w:hAnsi="Arial"/>
        </w:rPr>
        <w:t xml:space="preserve">, engagement, </w:t>
      </w:r>
      <w:r>
        <w:rPr>
          <w:rFonts w:ascii="Arial" w:cs="Arial" w:hAnsi="Arial"/>
        </w:rPr>
        <w:t>trust and credibility</w:t>
      </w:r>
      <w:r>
        <w:rPr>
          <w:rFonts w:ascii="Arial" w:cs="Arial" w:hAnsi="Arial"/>
        </w:rPr>
        <w:t xml:space="preserve">, </w:t>
      </w:r>
      <w:r>
        <w:rPr>
          <w:rFonts w:ascii="Arial" w:cs="Arial" w:hAnsi="Arial"/>
        </w:rPr>
        <w:t>perceived benefits</w:t>
      </w:r>
      <w:r>
        <w:rPr>
          <w:rFonts w:ascii="Arial" w:cs="Arial" w:hAnsi="Arial"/>
        </w:rPr>
        <w:t xml:space="preserve">, </w:t>
      </w:r>
      <w:r>
        <w:rPr>
          <w:rFonts w:ascii="Arial" w:cs="Arial" w:hAnsi="Arial"/>
        </w:rPr>
        <w:t>intention to buy</w:t>
      </w:r>
      <w:r>
        <w:rPr>
          <w:rFonts w:ascii="Arial" w:cs="Arial" w:hAnsi="Arial"/>
        </w:rPr>
        <w:t xml:space="preserve">, and </w:t>
      </w:r>
      <w:r>
        <w:rPr>
          <w:rFonts w:ascii="Arial" w:cs="Arial" w:hAnsi="Arial"/>
        </w:rPr>
        <w:t>self-reported buying behaviour</w:t>
      </w:r>
      <w:r>
        <w:rPr>
          <w:rFonts w:ascii="Arial" w:cs="Arial" w:hAnsi="Arial"/>
        </w:rPr>
        <w:t xml:space="preserve">. </w:t>
      </w:r>
      <w:r>
        <w:rPr>
          <w:rFonts w:ascii="Arial" w:cs="Arial" w:hAnsi="Arial"/>
        </w:rPr>
        <w:t>Saunders, Lewis and Thornhill (2019) argue that a</w:t>
      </w:r>
      <w:r>
        <w:rPr>
          <w:rFonts w:ascii="Arial" w:cs="Arial" w:hAnsi="Arial"/>
        </w:rPr>
        <w:t xml:space="preserve"> structured tool ensures reliability, comparability, and effective data processing</w:t>
      </w:r>
      <w:r>
        <w:rPr>
          <w:rFonts w:ascii="Arial" w:cs="Arial" w:hAnsi="Arial"/>
        </w:rPr>
        <w:t>.</w:t>
      </w:r>
    </w:p>
    <w:bookmarkStart w:id="23" w:name="_Toc224819490"/>
    <w:p>
      <w:pPr>
        <w:pStyle w:val="style2"/>
        <w:rPr>
          <w:rFonts w:cs="Arial"/>
        </w:rPr>
      </w:pPr>
      <w:r>
        <w:rPr>
          <w:rFonts w:cs="Arial"/>
        </w:rPr>
        <w:t>3.5 Data analysis</w:t>
      </w:r>
      <w:bookmarkEnd w:id="23"/>
    </w:p>
    <w:p>
      <w:pPr>
        <w:pStyle w:val="style0"/>
        <w:rPr>
          <w:rFonts w:ascii="Arial" w:cs="Arial" w:hAnsi="Arial"/>
        </w:rPr>
      </w:pPr>
      <w:r>
        <w:rPr>
          <w:rFonts w:ascii="Arial" w:cs="Arial" w:hAnsi="Arial"/>
        </w:rPr>
        <w:t xml:space="preserve">The </w:t>
      </w:r>
      <w:r>
        <w:rPr>
          <w:rFonts w:ascii="Arial" w:cs="Arial" w:hAnsi="Arial"/>
        </w:rPr>
        <w:t>collected</w:t>
      </w:r>
      <w:r>
        <w:rPr>
          <w:rFonts w:ascii="Arial" w:cs="Arial" w:hAnsi="Arial"/>
        </w:rPr>
        <w:t xml:space="preserve"> </w:t>
      </w:r>
      <w:r>
        <w:rPr>
          <w:rFonts w:ascii="Arial" w:cs="Arial" w:hAnsi="Arial"/>
        </w:rPr>
        <w:t xml:space="preserve">data are analysed </w:t>
      </w:r>
      <w:r>
        <w:rPr>
          <w:rFonts w:ascii="Arial" w:cs="Arial" w:hAnsi="Arial"/>
        </w:rPr>
        <w:t>using</w:t>
      </w:r>
      <w:r>
        <w:rPr>
          <w:rFonts w:ascii="Arial" w:cs="Arial" w:hAnsi="Arial"/>
        </w:rPr>
        <w:t xml:space="preserve"> SPSS or Excel. Descriptive statistics are concerned with summarising respondent qualities and an overall response trend, whereas inferential statistics are concerned with testing relationships among variables. Cronbach's alpha is used to determine the </w:t>
      </w:r>
      <w:r>
        <w:rPr>
          <w:rFonts w:ascii="Arial" w:cs="Arial" w:hAnsi="Arial"/>
        </w:rPr>
        <w:t>overall reliability</w:t>
      </w:r>
      <w:r>
        <w:rPr>
          <w:rFonts w:ascii="Arial" w:cs="Arial" w:hAnsi="Arial"/>
        </w:rPr>
        <w:t xml:space="preserve"> </w:t>
      </w:r>
      <w:r>
        <w:rPr>
          <w:rFonts w:ascii="Arial" w:cs="Arial" w:hAnsi="Arial"/>
        </w:rPr>
        <w:t xml:space="preserve">of a </w:t>
      </w:r>
      <w:r>
        <w:rPr>
          <w:rFonts w:ascii="Arial" w:cs="Arial" w:hAnsi="Arial"/>
        </w:rPr>
        <w:t>scale's</w:t>
      </w:r>
      <w:r>
        <w:rPr>
          <w:rFonts w:ascii="Arial" w:cs="Arial" w:hAnsi="Arial"/>
        </w:rPr>
        <w:t xml:space="preserve"> </w:t>
      </w:r>
      <w:r>
        <w:rPr>
          <w:rFonts w:ascii="Arial" w:cs="Arial" w:hAnsi="Arial"/>
        </w:rPr>
        <w:t>items</w:t>
      </w:r>
      <w:r>
        <w:rPr>
          <w:rFonts w:ascii="Arial" w:cs="Arial" w:hAnsi="Arial"/>
        </w:rPr>
        <w:t xml:space="preserve"> (Cronbach, 1951). Predictive relationships are investigated in correlation and </w:t>
      </w:r>
      <w:r>
        <w:rPr>
          <w:rFonts w:ascii="Arial" w:cs="Arial" w:hAnsi="Arial"/>
        </w:rPr>
        <w:t>regression, whereas mediation is evaluated in the approach that follows the rationale of Baron and Kenny (1986) with the statistical advice of Field (2024).</w:t>
      </w:r>
    </w:p>
    <w:bookmarkStart w:id="24" w:name="_Toc224819491"/>
    <w:p>
      <w:pPr>
        <w:pStyle w:val="style2"/>
        <w:rPr>
          <w:rFonts w:cs="Arial"/>
        </w:rPr>
      </w:pPr>
      <w:r>
        <w:rPr>
          <w:rFonts w:cs="Arial"/>
        </w:rPr>
        <w:t>3.6 Ethical considerations</w:t>
      </w:r>
      <w:bookmarkEnd w:id="24"/>
    </w:p>
    <w:p>
      <w:pPr>
        <w:pStyle w:val="style0"/>
        <w:rPr>
          <w:rFonts w:ascii="Arial" w:cs="Arial" w:hAnsi="Arial"/>
        </w:rPr>
      </w:pPr>
      <w:r>
        <w:rPr>
          <w:rFonts w:ascii="Arial" w:cs="Arial" w:hAnsi="Arial"/>
        </w:rPr>
        <w:t xml:space="preserve">The research is conducted </w:t>
      </w:r>
      <w:r>
        <w:rPr>
          <w:rFonts w:ascii="Arial" w:cs="Arial" w:hAnsi="Arial"/>
        </w:rPr>
        <w:t>about</w:t>
      </w:r>
      <w:r>
        <w:rPr>
          <w:rFonts w:ascii="Arial" w:cs="Arial" w:hAnsi="Arial"/>
        </w:rPr>
        <w:t xml:space="preserve"> the practised ethical standards in human participant research. The involvement is voluntary, informed consent is provided</w:t>
      </w:r>
      <w:r>
        <w:rPr>
          <w:rFonts w:ascii="Arial" w:cs="Arial" w:hAnsi="Arial"/>
        </w:rPr>
        <w:t>,</w:t>
      </w:r>
      <w:r>
        <w:rPr>
          <w:rFonts w:ascii="Arial" w:cs="Arial" w:hAnsi="Arial"/>
        </w:rPr>
        <w:t xml:space="preserve"> and respondents are allowed to withdraw. No identifiable information is disclosed during the research, and personal information is managed by ethical considerations and regulations (Oates, 2021; UKRI, 2023; GOV.UK, 2018).</w:t>
      </w:r>
    </w:p>
    <w:bookmarkStart w:id="25" w:name="_Toc224819492"/>
    <w:p>
      <w:pPr>
        <w:pStyle w:val="style1"/>
        <w:rPr>
          <w:rFonts w:cs="Arial"/>
        </w:rPr>
      </w:pPr>
      <w:r>
        <w:rPr>
          <w:rFonts w:cs="Arial"/>
        </w:rPr>
        <w:t>4. Expected Findings</w:t>
      </w:r>
      <w:bookmarkEnd w:id="25"/>
    </w:p>
    <w:p>
      <w:pPr>
        <w:pStyle w:val="style0"/>
        <w:rPr>
          <w:rFonts w:ascii="Arial" w:cs="Arial" w:hAnsi="Arial"/>
        </w:rPr>
      </w:pPr>
      <w:r>
        <w:rPr>
          <w:rFonts w:ascii="Arial" w:cs="Arial" w:hAnsi="Arial"/>
        </w:rPr>
        <w:t xml:space="preserve">It is anticipated that the study will demonstrate a positive </w:t>
      </w:r>
      <w:r>
        <w:rPr>
          <w:rFonts w:ascii="Arial" w:cs="Arial" w:hAnsi="Arial"/>
        </w:rPr>
        <w:t>impact</w:t>
      </w:r>
      <w:r>
        <w:rPr>
          <w:rFonts w:ascii="Arial" w:cs="Arial" w:hAnsi="Arial"/>
        </w:rPr>
        <w:t xml:space="preserve"> </w:t>
      </w:r>
      <w:r>
        <w:rPr>
          <w:rFonts w:ascii="Arial" w:cs="Arial" w:hAnsi="Arial"/>
        </w:rPr>
        <w:t xml:space="preserve">of </w:t>
      </w:r>
      <w:r>
        <w:rPr>
          <w:rFonts w:ascii="Arial" w:cs="Arial" w:hAnsi="Arial"/>
        </w:rPr>
        <w:t>online social marketing</w:t>
      </w:r>
      <w:r>
        <w:rPr>
          <w:rFonts w:ascii="Arial" w:cs="Arial" w:hAnsi="Arial"/>
        </w:rPr>
        <w:t xml:space="preserve"> </w:t>
      </w:r>
      <w:r>
        <w:rPr>
          <w:rFonts w:ascii="Arial" w:cs="Arial" w:hAnsi="Arial"/>
        </w:rPr>
        <w:t xml:space="preserve">exposure, </w:t>
      </w:r>
      <w:r>
        <w:rPr>
          <w:rFonts w:ascii="Arial" w:cs="Arial" w:hAnsi="Arial"/>
        </w:rPr>
        <w:t xml:space="preserve">with </w:t>
      </w:r>
      <w:r>
        <w:rPr>
          <w:rFonts w:ascii="Arial" w:cs="Arial" w:hAnsi="Arial"/>
        </w:rPr>
        <w:t xml:space="preserve">more so, engagement </w:t>
      </w:r>
      <w:r>
        <w:rPr>
          <w:rFonts w:ascii="Arial" w:cs="Arial" w:hAnsi="Arial"/>
        </w:rPr>
        <w:t>upon</w:t>
      </w:r>
      <w:r>
        <w:rPr>
          <w:rFonts w:ascii="Arial" w:cs="Arial" w:hAnsi="Arial"/>
        </w:rPr>
        <w:t xml:space="preserve"> </w:t>
      </w:r>
      <w:r>
        <w:rPr>
          <w:rFonts w:ascii="Arial" w:cs="Arial" w:hAnsi="Arial"/>
        </w:rPr>
        <w:t xml:space="preserve">consumer perceptions and purchasing results. It will be more effective when involving people than when passively exposed, since active experience has a way of enhancing advertising success (Calder, Malthouse and Schaedel, 2009). The effect of trust and credibility is also likely to influence the way consumers perceive branded content (Lou and Yuan, 2019), and perceived value might become a determining appraisal system </w:t>
      </w:r>
      <w:r>
        <w:rPr>
          <w:rFonts w:ascii="Arial" w:cs="Arial" w:hAnsi="Arial"/>
        </w:rPr>
        <w:t>connecting</w:t>
      </w:r>
      <w:r>
        <w:rPr>
          <w:rFonts w:ascii="Arial" w:cs="Arial" w:hAnsi="Arial"/>
        </w:rPr>
        <w:t xml:space="preserve"> </w:t>
      </w:r>
      <w:r>
        <w:rPr>
          <w:rFonts w:ascii="Arial" w:cs="Arial" w:hAnsi="Arial"/>
        </w:rPr>
        <w:t xml:space="preserve">promotional </w:t>
      </w:r>
      <w:r>
        <w:rPr>
          <w:rFonts w:ascii="Arial" w:cs="Arial" w:hAnsi="Arial"/>
        </w:rPr>
        <w:t>content</w:t>
      </w:r>
      <w:r>
        <w:rPr>
          <w:rFonts w:ascii="Arial" w:cs="Arial" w:hAnsi="Arial"/>
        </w:rPr>
        <w:t xml:space="preserve"> and </w:t>
      </w:r>
      <w:r>
        <w:rPr>
          <w:rFonts w:ascii="Arial" w:cs="Arial" w:hAnsi="Arial"/>
        </w:rPr>
        <w:t>purchase plan</w:t>
      </w:r>
      <w:r>
        <w:rPr>
          <w:rFonts w:ascii="Arial" w:cs="Arial" w:hAnsi="Arial"/>
        </w:rPr>
        <w:t xml:space="preserve"> </w:t>
      </w:r>
      <w:r>
        <w:rPr>
          <w:rFonts w:ascii="Arial" w:cs="Arial" w:hAnsi="Arial"/>
        </w:rPr>
        <w:t>(Zeithaml, 1988; Chen and Lin, 2019). Nevertheless, the intention does not necessarily translate into behaviour wholesale (Ajzen, 1991; Webb and Sheeran, 2006).</w:t>
      </w:r>
    </w:p>
    <w:bookmarkStart w:id="26" w:name="_Toc224819493"/>
    <w:p>
      <w:pPr>
        <w:pStyle w:val="style1"/>
        <w:rPr>
          <w:rFonts w:cs="Arial"/>
        </w:rPr>
      </w:pPr>
      <w:r>
        <w:rPr>
          <w:rFonts w:cs="Arial"/>
        </w:rPr>
        <w:t>5. Limitations</w:t>
      </w:r>
      <w:bookmarkEnd w:id="26"/>
    </w:p>
    <w:p>
      <w:pPr>
        <w:pStyle w:val="style0"/>
        <w:rPr>
          <w:rFonts w:ascii="Arial" w:cs="Arial" w:hAnsi="Arial"/>
        </w:rPr>
      </w:pPr>
      <w:r>
        <w:rPr>
          <w:rFonts w:ascii="Arial" w:cs="Arial" w:hAnsi="Arial"/>
        </w:rPr>
        <w:t xml:space="preserve">Such </w:t>
      </w:r>
      <w:r>
        <w:rPr>
          <w:rFonts w:ascii="Arial" w:cs="Arial" w:hAnsi="Arial"/>
        </w:rPr>
        <w:t xml:space="preserve">research </w:t>
      </w:r>
      <w:r>
        <w:rPr>
          <w:rFonts w:ascii="Arial" w:cs="Arial" w:hAnsi="Arial"/>
        </w:rPr>
        <w:t>includes some limitations</w:t>
      </w:r>
      <w:r>
        <w:rPr>
          <w:rFonts w:ascii="Arial" w:cs="Arial" w:hAnsi="Arial"/>
        </w:rPr>
        <w:t xml:space="preserve">. </w:t>
      </w:r>
      <w:r>
        <w:rPr>
          <w:rFonts w:ascii="Arial" w:cs="Arial" w:hAnsi="Arial"/>
        </w:rPr>
        <w:t>Non-probability</w:t>
      </w:r>
      <w:r>
        <w:rPr>
          <w:rFonts w:ascii="Arial" w:cs="Arial" w:hAnsi="Arial"/>
        </w:rPr>
        <w:t xml:space="preserve"> convenience sampling</w:t>
      </w:r>
      <w:r>
        <w:rPr>
          <w:rFonts w:ascii="Arial" w:cs="Arial" w:hAnsi="Arial"/>
        </w:rPr>
        <w:t xml:space="preserve">, </w:t>
      </w:r>
      <w:r>
        <w:rPr>
          <w:rFonts w:ascii="Arial" w:cs="Arial" w:hAnsi="Arial"/>
        </w:rPr>
        <w:t>along with</w:t>
      </w:r>
      <w:r>
        <w:rPr>
          <w:rFonts w:ascii="Arial" w:cs="Arial" w:hAnsi="Arial"/>
        </w:rPr>
        <w:t xml:space="preserve"> </w:t>
      </w:r>
      <w:r>
        <w:rPr>
          <w:rFonts w:ascii="Arial" w:cs="Arial" w:hAnsi="Arial"/>
        </w:rPr>
        <w:t xml:space="preserve">a </w:t>
      </w:r>
      <w:r>
        <w:rPr>
          <w:rFonts w:ascii="Arial" w:cs="Arial" w:hAnsi="Arial"/>
        </w:rPr>
        <w:t xml:space="preserve">respondent </w:t>
      </w:r>
      <w:r>
        <w:rPr>
          <w:rFonts w:ascii="Arial" w:cs="Arial" w:hAnsi="Arial"/>
        </w:rPr>
        <w:t>size</w:t>
      </w:r>
      <w:r>
        <w:rPr>
          <w:rFonts w:ascii="Arial" w:cs="Arial" w:hAnsi="Arial"/>
        </w:rPr>
        <w:t xml:space="preserve"> of 100-120 UK </w:t>
      </w:r>
      <w:r>
        <w:rPr>
          <w:rFonts w:ascii="Arial" w:cs="Arial" w:hAnsi="Arial"/>
        </w:rPr>
        <w:t>social platform users</w:t>
      </w:r>
      <w:r>
        <w:rPr>
          <w:rFonts w:ascii="Arial" w:cs="Arial" w:hAnsi="Arial"/>
        </w:rPr>
        <w:t xml:space="preserve"> </w:t>
      </w:r>
      <w:r>
        <w:rPr>
          <w:rFonts w:ascii="Arial" w:cs="Arial" w:hAnsi="Arial"/>
        </w:rPr>
        <w:t xml:space="preserve">aged 18 </w:t>
      </w:r>
      <w:r>
        <w:rPr>
          <w:rFonts w:ascii="Arial" w:cs="Arial" w:hAnsi="Arial"/>
        </w:rPr>
        <w:t>or over</w:t>
      </w:r>
      <w:r>
        <w:rPr>
          <w:rFonts w:ascii="Arial" w:cs="Arial" w:hAnsi="Arial"/>
        </w:rPr>
        <w:t>,</w:t>
      </w:r>
      <w:r>
        <w:rPr>
          <w:rFonts w:ascii="Arial" w:cs="Arial" w:hAnsi="Arial"/>
        </w:rPr>
        <w:t xml:space="preserve"> </w:t>
      </w:r>
      <w:r>
        <w:rPr>
          <w:rFonts w:ascii="Arial" w:cs="Arial" w:hAnsi="Arial"/>
        </w:rPr>
        <w:t>can weaken</w:t>
      </w:r>
      <w:r>
        <w:rPr>
          <w:rFonts w:ascii="Arial" w:cs="Arial" w:hAnsi="Arial"/>
        </w:rPr>
        <w:t> </w:t>
      </w:r>
      <w:r>
        <w:rPr>
          <w:rFonts w:ascii="Arial" w:cs="Arial" w:hAnsi="Arial"/>
        </w:rPr>
        <w:t>the general application of the results</w:t>
      </w:r>
      <w:r>
        <w:rPr>
          <w:rFonts w:ascii="Arial" w:cs="Arial" w:hAnsi="Arial"/>
        </w:rPr>
        <w:t xml:space="preserve">. A cross-sectional design only describes the reaction at a single point in </w:t>
      </w:r>
      <w:r>
        <w:rPr>
          <w:rFonts w:ascii="Arial" w:cs="Arial" w:hAnsi="Arial"/>
        </w:rPr>
        <w:t>one stage</w:t>
      </w:r>
      <w:r>
        <w:rPr>
          <w:rFonts w:ascii="Arial" w:cs="Arial" w:hAnsi="Arial"/>
        </w:rPr>
        <w:t xml:space="preserve"> and</w:t>
      </w:r>
      <w:r>
        <w:rPr>
          <w:rFonts w:ascii="Arial" w:cs="Arial" w:hAnsi="Arial"/>
        </w:rPr>
        <w:t xml:space="preserve"> cannot thus formulate strong </w:t>
      </w:r>
      <w:r>
        <w:rPr>
          <w:rFonts w:ascii="Arial" w:cs="Arial" w:hAnsi="Arial"/>
        </w:rPr>
        <w:t>causal-type</w:t>
      </w:r>
      <w:r>
        <w:rPr>
          <w:rFonts w:ascii="Arial" w:cs="Arial" w:hAnsi="Arial"/>
        </w:rPr>
        <w:t xml:space="preserve"> </w:t>
      </w:r>
      <w:r>
        <w:rPr>
          <w:rFonts w:ascii="Arial" w:cs="Arial" w:hAnsi="Arial"/>
        </w:rPr>
        <w:t xml:space="preserve">arguments. There might also be </w:t>
      </w:r>
      <w:r>
        <w:rPr>
          <w:rFonts w:ascii="Arial" w:cs="Arial" w:hAnsi="Arial"/>
        </w:rPr>
        <w:t>in</w:t>
      </w:r>
      <w:r>
        <w:rPr>
          <w:rFonts w:ascii="Arial" w:cs="Arial" w:hAnsi="Arial"/>
        </w:rPr>
        <w:t xml:space="preserve"> the data of the self-reported questionnaire the </w:t>
      </w:r>
      <w:r>
        <w:rPr>
          <w:rFonts w:ascii="Arial" w:cs="Arial" w:hAnsi="Arial"/>
        </w:rPr>
        <w:t>elements</w:t>
      </w:r>
      <w:r>
        <w:rPr>
          <w:rFonts w:ascii="Arial" w:cs="Arial" w:hAnsi="Arial"/>
        </w:rPr>
        <w:t xml:space="preserve"> of response bias and common method bias. Also, the study uses only certain perceptions and not all the factors that might affect purchase behaviour may be captured.</w:t>
      </w:r>
    </w:p>
    <w:p>
      <w:pPr>
        <w:pStyle w:val="style0"/>
        <w:rPr>
          <w:rFonts w:ascii="Arial" w:cs="Arial" w:hAnsi="Arial"/>
        </w:rPr>
      </w:pPr>
    </w:p>
    <w:bookmarkStart w:id="27" w:name="_Toc224502863"/>
    <w:bookmarkStart w:id="28" w:name="_Toc224819494"/>
    <w:p>
      <w:pPr>
        <w:pStyle w:val="style1"/>
        <w:rPr>
          <w:rFonts w:cs="Arial"/>
        </w:rPr>
      </w:pPr>
      <w:r>
        <w:rPr>
          <w:rFonts w:cs="Arial"/>
        </w:rPr>
        <w:t>6. Timeframe: Gantt Chart</w:t>
      </w:r>
      <w:bookmarkEnd w:id="27"/>
      <w:bookmarkEnd w:id="28"/>
    </w:p>
    <w:bookmarkStart w:id="29" w:name="RANGE!A1:U10"/>
    <w:tbl>
      <w:tblPr>
        <w:tblW w:w="0" w:type="auto"/>
        <w:tblLook w:val="04A0" w:firstRow="1" w:lastRow="0" w:firstColumn="1" w:lastColumn="0" w:noHBand="0" w:noVBand="1"/>
      </w:tblPr>
      <w:tblGrid>
        <w:gridCol w:w="1440"/>
        <w:gridCol w:w="358"/>
        <w:gridCol w:w="358"/>
        <w:gridCol w:w="358"/>
        <w:gridCol w:w="358"/>
        <w:gridCol w:w="358"/>
        <w:gridCol w:w="358"/>
        <w:gridCol w:w="358"/>
        <w:gridCol w:w="358"/>
        <w:gridCol w:w="358"/>
        <w:gridCol w:w="396"/>
        <w:gridCol w:w="396"/>
        <w:gridCol w:w="396"/>
        <w:gridCol w:w="396"/>
        <w:gridCol w:w="396"/>
        <w:gridCol w:w="396"/>
        <w:gridCol w:w="396"/>
        <w:gridCol w:w="396"/>
        <w:gridCol w:w="396"/>
        <w:gridCol w:w="396"/>
        <w:gridCol w:w="396"/>
      </w:tblGrid>
      <w:tr>
        <w:trPr>
          <w:trHeight w:val="324" w:hRule="atLeast"/>
        </w:trPr>
        <w:tc>
          <w:tcPr>
            <w:tcW w:w="0" w:type="auto"/>
            <w:vMerge w:val="restart"/>
            <w:tcBorders>
              <w:top w:val="single" w:sz="8" w:space="0" w:color="7f7f7f"/>
              <w:left w:val="single" w:sz="8" w:space="0" w:color="7f7f7f"/>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20"/>
                <w:szCs w:val="20"/>
                <w:lang w:eastAsia="en-GB"/>
                <w14:ligatures xmlns:w14="http://schemas.microsoft.com/office/word/2010/wordml" w14:val="none"/>
              </w:rPr>
            </w:pPr>
            <w:r>
              <w:rPr>
                <w:rFonts w:ascii="Arial" w:cs="Arial" w:eastAsia="Times New Roman" w:hAnsi="Arial"/>
                <w:b/>
                <w:bCs/>
                <w:color w:val="000000"/>
                <w:sz w:val="20"/>
                <w:szCs w:val="20"/>
                <w:lang w:eastAsia="en-GB"/>
                <w14:ligatures xmlns:w14="http://schemas.microsoft.com/office/word/2010/wordml" w14:val="none"/>
              </w:rPr>
              <w:t>Phase</w:t>
            </w:r>
            <w:bookmarkEnd w:id="29"/>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r>
      <w:tr>
        <w:tblPrEx/>
        <w:trPr>
          <w:trHeight w:val="340" w:hRule="atLeast"/>
        </w:trPr>
        <w:tc>
          <w:tcPr>
            <w:tcW w:w="0" w:type="auto"/>
            <w:vMerge w:val="continue"/>
            <w:tcBorders>
              <w:top w:val="single" w:sz="8" w:space="0" w:color="7f7f7f"/>
              <w:left w:val="single" w:sz="8" w:space="0" w:color="7f7f7f"/>
              <w:bottom w:val="single" w:sz="8" w:space="0" w:color="7f7f7f"/>
              <w:right w:val="single" w:sz="8" w:space="0" w:color="7f7f7f"/>
            </w:tcBorders>
            <w:vAlign w:val="center"/>
            <w:hideMark/>
          </w:tcPr>
          <w:p>
            <w:pPr>
              <w:pStyle w:val="style0"/>
              <w:spacing w:after="0" w:lineRule="auto" w:line="240"/>
              <w:jc w:val="left"/>
              <w:rPr>
                <w:rFonts w:ascii="Arial" w:cs="Arial" w:eastAsia="Times New Roman" w:hAnsi="Arial"/>
                <w:b/>
                <w:bCs/>
                <w:color w:val="000000"/>
                <w:sz w:val="20"/>
                <w:szCs w:val="20"/>
                <w:lang w:eastAsia="en-GB"/>
                <w14:ligatures xmlns:w14="http://schemas.microsoft.com/office/word/2010/wordml" w14:val="none"/>
              </w:rPr>
            </w:pP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2</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3</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4</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5</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6</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7</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8</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9</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10</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11</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12</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13</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14</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15</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16</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17</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18</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19</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20</w:t>
            </w:r>
          </w:p>
        </w:tc>
      </w:tr>
      <w:tr>
        <w:tblPrEx/>
        <w:trPr>
          <w:trHeight w:val="664" w:hRule="atLeast"/>
        </w:trPr>
        <w:tc>
          <w:tcPr>
            <w:tcW w:w="0" w:type="auto"/>
            <w:tcBorders>
              <w:top w:val="nil"/>
              <w:left w:val="single" w:sz="8" w:space="0" w:color="7f7f7f"/>
              <w:bottom w:val="single" w:sz="8" w:space="0" w:color="7f7f7f"/>
              <w:right w:val="single" w:sz="8" w:space="0" w:color="7f7f7f"/>
            </w:tcBorders>
            <w:vAlign w:val="center"/>
            <w:hideMark/>
          </w:tcPr>
          <w:p>
            <w:pPr>
              <w:pStyle w:val="style0"/>
              <w:spacing w:after="0" w:lineRule="auto" w:line="240"/>
              <w:jc w:val="left"/>
              <w:rPr>
                <w:rFonts w:ascii="Arial" w:cs="Arial" w:eastAsia="Times New Roman" w:hAnsi="Arial"/>
                <w:color w:val="000000"/>
                <w:sz w:val="20"/>
                <w:szCs w:val="20"/>
                <w:lang w:eastAsia="en-GB"/>
                <w14:ligatures xmlns:w14="http://schemas.microsoft.com/office/word/2010/wordml" w14:val="none"/>
              </w:rPr>
            </w:pPr>
            <w:r>
              <w:rPr>
                <w:rFonts w:ascii="Arial" w:cs="Arial" w:eastAsia="Times New Roman" w:hAnsi="Arial"/>
                <w:color w:val="000000"/>
                <w:sz w:val="20"/>
                <w:szCs w:val="20"/>
                <w:lang w:eastAsia="en-GB"/>
                <w14:ligatures xmlns:w14="http://schemas.microsoft.com/office/word/2010/wordml" w14:val="none"/>
              </w:rPr>
              <w:t>Proposal Approval</w:t>
            </w:r>
          </w:p>
        </w:tc>
        <w:tc>
          <w:tcPr>
            <w:tcW w:w="0" w:type="auto"/>
            <w:tcBorders>
              <w:top w:val="nil"/>
              <w:left w:val="nil"/>
              <w:bottom w:val="single" w:sz="8" w:space="0" w:color="7f7f7f"/>
              <w:right w:val="single" w:sz="8" w:space="0" w:color="7f7f7f"/>
            </w:tcBorders>
            <w:shd w:val="clear" w:color="000000" w:fill="4f81bd"/>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4f81bd"/>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r>
      <w:tr>
        <w:tblPrEx/>
        <w:trPr>
          <w:trHeight w:val="610" w:hRule="atLeast"/>
        </w:trPr>
        <w:tc>
          <w:tcPr>
            <w:tcW w:w="0" w:type="auto"/>
            <w:tcBorders>
              <w:top w:val="nil"/>
              <w:left w:val="single" w:sz="8" w:space="0" w:color="7f7f7f"/>
              <w:bottom w:val="single" w:sz="8" w:space="0" w:color="7f7f7f"/>
              <w:right w:val="single" w:sz="8" w:space="0" w:color="7f7f7f"/>
            </w:tcBorders>
            <w:vAlign w:val="center"/>
            <w:hideMark/>
          </w:tcPr>
          <w:p>
            <w:pPr>
              <w:pStyle w:val="style0"/>
              <w:spacing w:after="0" w:lineRule="auto" w:line="240"/>
              <w:jc w:val="left"/>
              <w:rPr>
                <w:rFonts w:ascii="Arial" w:cs="Arial" w:eastAsia="Times New Roman" w:hAnsi="Arial"/>
                <w:color w:val="000000"/>
                <w:sz w:val="20"/>
                <w:szCs w:val="20"/>
                <w:lang w:eastAsia="en-GB"/>
                <w14:ligatures xmlns:w14="http://schemas.microsoft.com/office/word/2010/wordml" w14:val="none"/>
              </w:rPr>
            </w:pPr>
            <w:r>
              <w:rPr>
                <w:rFonts w:ascii="Arial" w:cs="Arial" w:eastAsia="Times New Roman" w:hAnsi="Arial"/>
                <w:color w:val="000000"/>
                <w:sz w:val="20"/>
                <w:szCs w:val="20"/>
                <w:lang w:eastAsia="en-GB"/>
                <w14:ligatures xmlns:w14="http://schemas.microsoft.com/office/word/2010/wordml" w14:val="none"/>
              </w:rPr>
              <w:t>Literature Review</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9bbb59"/>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9bbb59"/>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9bbb59"/>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9bbb59"/>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r>
      <w:tr>
        <w:tblPrEx/>
        <w:trPr>
          <w:trHeight w:val="989" w:hRule="atLeast"/>
        </w:trPr>
        <w:tc>
          <w:tcPr>
            <w:tcW w:w="0" w:type="auto"/>
            <w:tcBorders>
              <w:top w:val="nil"/>
              <w:left w:val="single" w:sz="8" w:space="0" w:color="7f7f7f"/>
              <w:bottom w:val="single" w:sz="8" w:space="0" w:color="7f7f7f"/>
              <w:right w:val="single" w:sz="8" w:space="0" w:color="7f7f7f"/>
            </w:tcBorders>
            <w:vAlign w:val="center"/>
            <w:hideMark/>
          </w:tcPr>
          <w:p>
            <w:pPr>
              <w:pStyle w:val="style0"/>
              <w:spacing w:after="0" w:lineRule="auto" w:line="240"/>
              <w:jc w:val="left"/>
              <w:rPr>
                <w:rFonts w:ascii="Arial" w:cs="Arial" w:eastAsia="Times New Roman" w:hAnsi="Arial"/>
                <w:color w:val="000000"/>
                <w:sz w:val="20"/>
                <w:szCs w:val="20"/>
                <w:lang w:eastAsia="en-GB"/>
                <w14:ligatures xmlns:w14="http://schemas.microsoft.com/office/word/2010/wordml" w14:val="none"/>
              </w:rPr>
            </w:pPr>
            <w:r>
              <w:rPr>
                <w:rFonts w:ascii="Arial" w:cs="Arial" w:eastAsia="Times New Roman" w:hAnsi="Arial"/>
                <w:color w:val="000000"/>
                <w:sz w:val="20"/>
                <w:szCs w:val="20"/>
                <w:lang w:eastAsia="en-GB"/>
                <w14:ligatures xmlns:w14="http://schemas.microsoft.com/office/word/2010/wordml" w14:val="none"/>
              </w:rPr>
              <w:t>Questionnaire Design</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c0504d"/>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r>
      <w:tr>
        <w:tblPrEx/>
        <w:trPr>
          <w:trHeight w:val="664" w:hRule="atLeast"/>
        </w:trPr>
        <w:tc>
          <w:tcPr>
            <w:tcW w:w="0" w:type="auto"/>
            <w:tcBorders>
              <w:top w:val="nil"/>
              <w:left w:val="single" w:sz="8" w:space="0" w:color="7f7f7f"/>
              <w:bottom w:val="single" w:sz="8" w:space="0" w:color="7f7f7f"/>
              <w:right w:val="single" w:sz="8" w:space="0" w:color="7f7f7f"/>
            </w:tcBorders>
            <w:vAlign w:val="center"/>
            <w:hideMark/>
          </w:tcPr>
          <w:p>
            <w:pPr>
              <w:pStyle w:val="style0"/>
              <w:spacing w:after="0" w:lineRule="auto" w:line="240"/>
              <w:jc w:val="left"/>
              <w:rPr>
                <w:rFonts w:ascii="Arial" w:cs="Arial" w:eastAsia="Times New Roman" w:hAnsi="Arial"/>
                <w:color w:val="000000"/>
                <w:sz w:val="20"/>
                <w:szCs w:val="20"/>
                <w:lang w:eastAsia="en-GB"/>
                <w14:ligatures xmlns:w14="http://schemas.microsoft.com/office/word/2010/wordml" w14:val="none"/>
              </w:rPr>
            </w:pPr>
            <w:r>
              <w:rPr>
                <w:rFonts w:ascii="Arial" w:cs="Arial" w:eastAsia="Times New Roman" w:hAnsi="Arial"/>
                <w:color w:val="000000"/>
                <w:sz w:val="20"/>
                <w:szCs w:val="20"/>
                <w:lang w:eastAsia="en-GB"/>
                <w14:ligatures xmlns:w14="http://schemas.microsoft.com/office/word/2010/wordml" w14:val="none"/>
              </w:rPr>
              <w:t>Pilot Testing</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8064a2"/>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r>
      <w:tr>
        <w:tblPrEx/>
        <w:trPr>
          <w:trHeight w:val="700" w:hRule="atLeast"/>
        </w:trPr>
        <w:tc>
          <w:tcPr>
            <w:tcW w:w="0" w:type="auto"/>
            <w:tcBorders>
              <w:top w:val="nil"/>
              <w:left w:val="single" w:sz="8" w:space="0" w:color="7f7f7f"/>
              <w:bottom w:val="single" w:sz="8" w:space="0" w:color="7f7f7f"/>
              <w:right w:val="single" w:sz="8" w:space="0" w:color="7f7f7f"/>
            </w:tcBorders>
            <w:vAlign w:val="center"/>
            <w:hideMark/>
          </w:tcPr>
          <w:p>
            <w:pPr>
              <w:pStyle w:val="style0"/>
              <w:spacing w:after="0" w:lineRule="auto" w:line="240"/>
              <w:jc w:val="left"/>
              <w:rPr>
                <w:rFonts w:ascii="Arial" w:cs="Arial" w:eastAsia="Times New Roman" w:hAnsi="Arial"/>
                <w:color w:val="000000"/>
                <w:sz w:val="20"/>
                <w:szCs w:val="20"/>
                <w:lang w:eastAsia="en-GB"/>
                <w14:ligatures xmlns:w14="http://schemas.microsoft.com/office/word/2010/wordml" w14:val="none"/>
              </w:rPr>
            </w:pPr>
            <w:r>
              <w:rPr>
                <w:rFonts w:ascii="Arial" w:cs="Arial" w:eastAsia="Times New Roman" w:hAnsi="Arial"/>
                <w:color w:val="000000"/>
                <w:sz w:val="20"/>
                <w:szCs w:val="20"/>
                <w:lang w:eastAsia="en-GB"/>
                <w14:ligatures xmlns:w14="http://schemas.microsoft.com/office/word/2010/wordml" w14:val="none"/>
              </w:rPr>
              <w:t>Data Collection</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f79646"/>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f79646"/>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f79646"/>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r>
      <w:tr>
        <w:tblPrEx/>
        <w:trPr>
          <w:trHeight w:val="664" w:hRule="atLeast"/>
        </w:trPr>
        <w:tc>
          <w:tcPr>
            <w:tcW w:w="0" w:type="auto"/>
            <w:tcBorders>
              <w:top w:val="nil"/>
              <w:left w:val="single" w:sz="8" w:space="0" w:color="7f7f7f"/>
              <w:bottom w:val="single" w:sz="8" w:space="0" w:color="7f7f7f"/>
              <w:right w:val="single" w:sz="8" w:space="0" w:color="7f7f7f"/>
            </w:tcBorders>
            <w:vAlign w:val="center"/>
            <w:hideMark/>
          </w:tcPr>
          <w:p>
            <w:pPr>
              <w:pStyle w:val="style0"/>
              <w:spacing w:after="0" w:lineRule="auto" w:line="240"/>
              <w:jc w:val="left"/>
              <w:rPr>
                <w:rFonts w:ascii="Arial" w:cs="Arial" w:eastAsia="Times New Roman" w:hAnsi="Arial"/>
                <w:color w:val="000000"/>
                <w:sz w:val="20"/>
                <w:szCs w:val="20"/>
                <w:lang w:eastAsia="en-GB"/>
                <w14:ligatures xmlns:w14="http://schemas.microsoft.com/office/word/2010/wordml" w14:val="none"/>
              </w:rPr>
            </w:pPr>
            <w:r>
              <w:rPr>
                <w:rFonts w:ascii="Arial" w:cs="Arial" w:eastAsia="Times New Roman" w:hAnsi="Arial"/>
                <w:color w:val="000000"/>
                <w:sz w:val="20"/>
                <w:szCs w:val="20"/>
                <w:lang w:eastAsia="en-GB"/>
                <w14:ligatures xmlns:w14="http://schemas.microsoft.com/office/word/2010/wordml" w14:val="none"/>
              </w:rPr>
              <w:t>Data Analysis</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4bacc6"/>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4bacc6"/>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4bacc6"/>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r>
      <w:tr>
        <w:tblPrEx/>
        <w:trPr>
          <w:trHeight w:val="520" w:hRule="atLeast"/>
        </w:trPr>
        <w:tc>
          <w:tcPr>
            <w:tcW w:w="0" w:type="auto"/>
            <w:tcBorders>
              <w:top w:val="nil"/>
              <w:left w:val="single" w:sz="8" w:space="0" w:color="7f7f7f"/>
              <w:bottom w:val="single" w:sz="8" w:space="0" w:color="7f7f7f"/>
              <w:right w:val="single" w:sz="8" w:space="0" w:color="7f7f7f"/>
            </w:tcBorders>
            <w:vAlign w:val="center"/>
            <w:hideMark/>
          </w:tcPr>
          <w:p>
            <w:pPr>
              <w:pStyle w:val="style0"/>
              <w:spacing w:after="0" w:lineRule="auto" w:line="240"/>
              <w:jc w:val="left"/>
              <w:rPr>
                <w:rFonts w:ascii="Arial" w:cs="Arial" w:eastAsia="Times New Roman" w:hAnsi="Arial"/>
                <w:color w:val="000000"/>
                <w:sz w:val="20"/>
                <w:szCs w:val="20"/>
                <w:lang w:eastAsia="en-GB"/>
                <w14:ligatures xmlns:w14="http://schemas.microsoft.com/office/word/2010/wordml" w14:val="none"/>
              </w:rPr>
            </w:pPr>
            <w:r>
              <w:rPr>
                <w:rFonts w:ascii="Arial" w:cs="Arial" w:eastAsia="Times New Roman" w:hAnsi="Arial"/>
                <w:color w:val="000000"/>
                <w:sz w:val="20"/>
                <w:szCs w:val="20"/>
                <w:lang w:eastAsia="en-GB"/>
                <w14:ligatures xmlns:w14="http://schemas.microsoft.com/office/word/2010/wordml" w14:val="none"/>
              </w:rPr>
              <w:t>Writing &amp; Interpretation</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d99694"/>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d99694"/>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d99694"/>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d99694"/>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r>
      <w:tr>
        <w:tblPrEx/>
        <w:trPr>
          <w:trHeight w:val="664" w:hRule="atLeast"/>
        </w:trPr>
        <w:tc>
          <w:tcPr>
            <w:tcW w:w="0" w:type="auto"/>
            <w:tcBorders>
              <w:top w:val="nil"/>
              <w:left w:val="single" w:sz="8" w:space="0" w:color="7f7f7f"/>
              <w:bottom w:val="single" w:sz="8" w:space="0" w:color="7f7f7f"/>
              <w:right w:val="single" w:sz="8" w:space="0" w:color="7f7f7f"/>
            </w:tcBorders>
            <w:vAlign w:val="center"/>
            <w:hideMark/>
          </w:tcPr>
          <w:p>
            <w:pPr>
              <w:pStyle w:val="style0"/>
              <w:spacing w:after="0" w:lineRule="auto" w:line="240"/>
              <w:jc w:val="left"/>
              <w:rPr>
                <w:rFonts w:ascii="Arial" w:cs="Arial" w:eastAsia="Times New Roman" w:hAnsi="Arial"/>
                <w:color w:val="000000"/>
                <w:sz w:val="20"/>
                <w:szCs w:val="20"/>
                <w:lang w:eastAsia="en-GB"/>
                <w14:ligatures xmlns:w14="http://schemas.microsoft.com/office/word/2010/wordml" w14:val="none"/>
              </w:rPr>
            </w:pPr>
            <w:r>
              <w:rPr>
                <w:rFonts w:ascii="Arial" w:cs="Arial" w:eastAsia="Times New Roman" w:hAnsi="Arial"/>
                <w:color w:val="000000"/>
                <w:sz w:val="20"/>
                <w:szCs w:val="20"/>
                <w:lang w:eastAsia="en-GB"/>
                <w14:ligatures xmlns:w14="http://schemas.microsoft.com/office/word/2010/wordml" w14:val="none"/>
              </w:rPr>
              <w:t>Final Editing</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92a9cf"/>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92a9cf"/>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r>
    </w:tbl>
    <w:p>
      <w:pPr>
        <w:pStyle w:val="style0"/>
        <w:rPr>
          <w:rFonts w:ascii="Arial" w:cs="Arial" w:hAnsi="Arial"/>
        </w:rPr>
      </w:pPr>
    </w:p>
    <w:bookmarkStart w:id="30" w:name="_Toc224819495"/>
    <w:p>
      <w:pPr>
        <w:pStyle w:val="style1"/>
        <w:rPr>
          <w:rFonts w:cs="Arial"/>
        </w:rPr>
      </w:pPr>
      <w:r>
        <w:rPr>
          <w:rFonts w:cs="Arial"/>
        </w:rPr>
        <w:t>7. Conclusion</w:t>
      </w:r>
      <w:bookmarkEnd w:id="30"/>
    </w:p>
    <w:p>
      <w:pPr>
        <w:pStyle w:val="style0"/>
        <w:rPr>
          <w:rFonts w:ascii="Arial" w:cs="Arial" w:hAnsi="Arial"/>
        </w:rPr>
      </w:pPr>
      <w:r>
        <w:rPr>
          <w:rFonts w:ascii="Arial" w:cs="Arial" w:hAnsi="Arial"/>
        </w:rPr>
        <w:t>Th</w:t>
      </w:r>
      <w:r>
        <w:rPr>
          <w:rFonts w:ascii="Arial" w:cs="Arial" w:hAnsi="Arial"/>
        </w:rPr>
        <w:t>e</w:t>
      </w:r>
      <w:r>
        <w:rPr>
          <w:rFonts w:ascii="Arial" w:cs="Arial" w:hAnsi="Arial"/>
        </w:rPr>
        <w:t xml:space="preserve"> </w:t>
      </w:r>
      <w:r>
        <w:rPr>
          <w:rFonts w:ascii="Arial" w:cs="Arial" w:hAnsi="Arial"/>
        </w:rPr>
        <w:t>dissertation</w:t>
      </w:r>
      <w:r>
        <w:rPr>
          <w:rFonts w:ascii="Arial" w:cs="Arial" w:hAnsi="Arial"/>
        </w:rPr>
        <w:t xml:space="preserve"> </w:t>
      </w:r>
      <w:r>
        <w:rPr>
          <w:rFonts w:ascii="Arial" w:cs="Arial" w:hAnsi="Arial"/>
        </w:rPr>
        <w:t>presents</w:t>
      </w:r>
      <w:r>
        <w:rPr>
          <w:rFonts w:ascii="Arial" w:cs="Arial" w:hAnsi="Arial"/>
        </w:rPr>
        <w:t xml:space="preserve"> </w:t>
      </w:r>
      <w:r>
        <w:rPr>
          <w:rFonts w:ascii="Arial" w:cs="Arial" w:hAnsi="Arial"/>
        </w:rPr>
        <w:t>the argument that</w:t>
      </w:r>
      <w:r>
        <w:rPr>
          <w:rFonts w:ascii="Arial" w:cs="Arial" w:hAnsi="Arial"/>
        </w:rPr>
        <w:t xml:space="preserve"> </w:t>
      </w:r>
      <w:r>
        <w:rPr>
          <w:rFonts w:ascii="Arial" w:cs="Arial" w:hAnsi="Arial"/>
        </w:rPr>
        <w:t>social media promotion can affect how</w:t>
      </w:r>
      <w:r>
        <w:rPr>
          <w:rFonts w:ascii="Arial" w:cs="Arial" w:hAnsi="Arial"/>
        </w:rPr>
        <w:t xml:space="preserve"> </w:t>
      </w:r>
      <w:r>
        <w:rPr>
          <w:rFonts w:ascii="Arial" w:cs="Arial" w:hAnsi="Arial"/>
        </w:rPr>
        <w:t xml:space="preserve">the process through which consumers in the United Kingdom judge and react to branded content. </w:t>
      </w:r>
      <w:r>
        <w:rPr>
          <w:rFonts w:ascii="Arial" w:cs="Arial" w:hAnsi="Arial"/>
        </w:rPr>
        <w:t>Building on</w:t>
      </w:r>
      <w:r>
        <w:rPr>
          <w:rFonts w:ascii="Arial" w:cs="Arial" w:hAnsi="Arial"/>
        </w:rPr>
        <w:t xml:space="preserve"> </w:t>
      </w:r>
      <w:r>
        <w:rPr>
          <w:rFonts w:ascii="Arial" w:cs="Arial" w:hAnsi="Arial"/>
        </w:rPr>
        <w:t xml:space="preserve">the </w:t>
      </w:r>
      <w:r>
        <w:t>Stimulus</w:t>
      </w:r>
      <w:r>
        <w:t xml:space="preserve"> </w:t>
      </w:r>
      <w:r>
        <w:t>Organism</w:t>
      </w:r>
      <w:r>
        <w:t xml:space="preserve"> </w:t>
      </w:r>
      <w:r>
        <w:t>Response</w:t>
      </w:r>
      <w:r>
        <w:t xml:space="preserve"> </w:t>
      </w:r>
      <w:r>
        <w:rPr>
          <w:rFonts w:ascii="Arial" w:cs="Arial" w:hAnsi="Arial"/>
        </w:rPr>
        <w:t xml:space="preserve">framework </w:t>
      </w:r>
      <w:r>
        <w:rPr>
          <w:rFonts w:ascii="Arial" w:cs="Arial" w:hAnsi="Arial"/>
        </w:rPr>
        <w:t>together with</w:t>
      </w:r>
      <w:r>
        <w:rPr>
          <w:rFonts w:ascii="Arial" w:cs="Arial" w:hAnsi="Arial"/>
        </w:rPr>
        <w:t xml:space="preserve"> </w:t>
      </w:r>
      <w:r>
        <w:rPr>
          <w:rFonts w:ascii="Arial" w:cs="Arial" w:hAnsi="Arial"/>
        </w:rPr>
        <w:t xml:space="preserve">the Theory of Planned Behaviour, the research justified exposure and engagement as the primary marketing stimulus, trust/credibility and perceived value as the fundamental evaluative perceptions, and purchase intention and self-reported purchase behaviour as prime outcomes. The research aims at testing these relationships empirically using a quantitative cross-sectional survey of </w:t>
      </w:r>
      <w:r>
        <w:rPr>
          <w:rFonts w:ascii="Arial" w:cs="Arial" w:hAnsi="Arial"/>
        </w:rPr>
        <w:t xml:space="preserve">adult social </w:t>
      </w:r>
      <w:r>
        <w:rPr>
          <w:rFonts w:ascii="Arial" w:cs="Arial" w:hAnsi="Arial"/>
        </w:rPr>
        <w:t>platform</w:t>
      </w:r>
      <w:r>
        <w:rPr>
          <w:rFonts w:ascii="Arial" w:cs="Arial" w:hAnsi="Arial"/>
        </w:rPr>
        <w:t xml:space="preserve"> users in the UK</w:t>
      </w:r>
      <w:r>
        <w:rPr>
          <w:rFonts w:ascii="Arial" w:cs="Arial" w:hAnsi="Arial"/>
        </w:rPr>
        <w:t xml:space="preserve">. This research will help to add context-specific information on the impact of </w:t>
      </w:r>
      <w:r>
        <w:rPr>
          <w:rFonts w:ascii="Arial" w:cs="Arial" w:hAnsi="Arial"/>
        </w:rPr>
        <w:t xml:space="preserve">social media promotion on </w:t>
      </w:r>
      <w:r>
        <w:rPr>
          <w:rFonts w:ascii="Arial" w:cs="Arial" w:hAnsi="Arial"/>
        </w:rPr>
        <w:t>how consumers perceive</w:t>
      </w:r>
      <w:r>
        <w:rPr>
          <w:rFonts w:ascii="Arial" w:cs="Arial" w:hAnsi="Arial"/>
        </w:rPr>
        <w:t xml:space="preserve"> </w:t>
      </w:r>
      <w:r>
        <w:rPr>
          <w:rFonts w:ascii="Arial" w:cs="Arial" w:hAnsi="Arial"/>
        </w:rPr>
        <w:t xml:space="preserve">and purchasing </w:t>
      </w:r>
      <w:r>
        <w:rPr>
          <w:rFonts w:ascii="Arial" w:cs="Arial" w:hAnsi="Arial"/>
        </w:rPr>
        <w:t>reactions within the U</w:t>
      </w:r>
      <w:r>
        <w:rPr>
          <w:rFonts w:ascii="Arial" w:cs="Arial" w:hAnsi="Arial"/>
        </w:rPr>
        <w:t xml:space="preserve">nited </w:t>
      </w:r>
      <w:r>
        <w:rPr>
          <w:rFonts w:ascii="Arial" w:cs="Arial" w:hAnsi="Arial"/>
        </w:rPr>
        <w:t>K</w:t>
      </w:r>
      <w:r>
        <w:rPr>
          <w:rFonts w:ascii="Arial" w:cs="Arial" w:hAnsi="Arial"/>
        </w:rPr>
        <w:t>ingdom</w:t>
      </w:r>
      <w:r>
        <w:rPr>
          <w:rFonts w:ascii="Arial" w:cs="Arial" w:hAnsi="Arial"/>
        </w:rPr>
        <w:t>.</w:t>
      </w:r>
    </w:p>
    <w:p>
      <w:pPr>
        <w:pStyle w:val="style0"/>
        <w:rPr>
          <w:rFonts w:ascii="Arial" w:cs="Arial" w:hAnsi="Arial"/>
        </w:rPr>
      </w:pPr>
      <w:r>
        <w:rPr>
          <w:rFonts w:ascii="Arial" w:cs="Arial" w:hAnsi="Arial"/>
        </w:rPr>
        <w:br w:type="page"/>
      </w:r>
    </w:p>
    <w:bookmarkStart w:id="31" w:name="_Toc224502865"/>
    <w:bookmarkStart w:id="32" w:name="_Toc224819496"/>
    <w:p>
      <w:pPr>
        <w:pStyle w:val="style1"/>
        <w:rPr>
          <w:rFonts w:cs="Arial"/>
        </w:rPr>
      </w:pPr>
      <w:r>
        <w:rPr>
          <w:rFonts w:cs="Arial"/>
        </w:rPr>
        <w:t>Reference list</w:t>
      </w:r>
      <w:bookmarkEnd w:id="31"/>
      <w:bookmarkEnd w:id="32"/>
    </w:p>
    <w:p>
      <w:pPr>
        <w:pStyle w:val="style0"/>
        <w:rPr>
          <w:rFonts w:ascii="Arial" w:cs="Arial" w:hAnsi="Arial"/>
        </w:rPr>
      </w:pPr>
      <w:r>
        <w:rPr>
          <w:rFonts w:ascii="Arial" w:cs="Arial" w:hAnsi="Arial"/>
        </w:rPr>
        <w:t xml:space="preserve">Adaba, G.B., Frimpong, F. and </w:t>
      </w:r>
      <w:r>
        <w:rPr>
          <w:rFonts w:ascii="Arial" w:cs="Arial" w:hAnsi="Arial"/>
        </w:rPr>
        <w:t>Mwainyekule</w:t>
      </w:r>
      <w:r>
        <w:rPr>
          <w:rFonts w:ascii="Arial" w:cs="Arial" w:hAnsi="Arial"/>
        </w:rPr>
        <w:t xml:space="preserve">, L. (2025) ‘Empirical Analysis of Social Media Influencers’ Effect on Consumer Purchase Intentions and </w:t>
      </w:r>
      <w:r>
        <w:rPr>
          <w:rFonts w:ascii="Arial" w:cs="Arial" w:hAnsi="Arial"/>
        </w:rPr>
        <w:t>Behavior</w:t>
      </w:r>
      <w:r>
        <w:rPr>
          <w:rFonts w:ascii="Arial" w:cs="Arial" w:hAnsi="Arial"/>
        </w:rPr>
        <w:t xml:space="preserve">’, </w:t>
      </w:r>
      <w:r>
        <w:rPr>
          <w:rFonts w:ascii="Arial" w:cs="Arial" w:hAnsi="Arial"/>
          <w:i/>
          <w:iCs/>
        </w:rPr>
        <w:t>Platforms</w:t>
      </w:r>
      <w:r>
        <w:rPr>
          <w:rFonts w:ascii="Arial" w:cs="Arial" w:hAnsi="Arial"/>
        </w:rPr>
        <w:t>, 3(3), p. 11. Available at: https://doi.org/10.3390/platforms3030011.</w:t>
      </w:r>
    </w:p>
    <w:p>
      <w:pPr>
        <w:pStyle w:val="style0"/>
        <w:rPr>
          <w:rFonts w:ascii="Arial" w:cs="Arial" w:hAnsi="Arial"/>
        </w:rPr>
      </w:pPr>
      <w:r>
        <w:rPr>
          <w:rFonts w:ascii="Arial" w:cs="Arial" w:hAnsi="Arial"/>
        </w:rPr>
        <w:t xml:space="preserve">Ajzen, I. (1991) ‘The theory of planned </w:t>
      </w:r>
      <w:r>
        <w:rPr>
          <w:rFonts w:ascii="Arial" w:cs="Arial" w:hAnsi="Arial"/>
        </w:rPr>
        <w:t>behavior</w:t>
      </w:r>
      <w:r>
        <w:rPr>
          <w:rFonts w:ascii="Arial" w:cs="Arial" w:hAnsi="Arial"/>
        </w:rPr>
        <w:t xml:space="preserve">’, </w:t>
      </w:r>
      <w:r>
        <w:rPr>
          <w:rFonts w:ascii="Arial" w:cs="Arial" w:hAnsi="Arial"/>
          <w:i/>
          <w:iCs/>
        </w:rPr>
        <w:t xml:space="preserve">Organizational </w:t>
      </w:r>
      <w:r>
        <w:rPr>
          <w:rFonts w:ascii="Arial" w:cs="Arial" w:hAnsi="Arial"/>
          <w:i/>
          <w:iCs/>
        </w:rPr>
        <w:t>Behavior</w:t>
      </w:r>
      <w:r>
        <w:rPr>
          <w:rFonts w:ascii="Arial" w:cs="Arial" w:hAnsi="Arial"/>
          <w:i/>
          <w:iCs/>
        </w:rPr>
        <w:t xml:space="preserve"> and Human Decision Processes</w:t>
      </w:r>
      <w:r>
        <w:rPr>
          <w:rFonts w:ascii="Arial" w:cs="Arial" w:hAnsi="Arial"/>
        </w:rPr>
        <w:t>, 50(2), pp. 179–211. Available at: https://doi.org/10.1016/0749-5978(91)90020-T.</w:t>
      </w:r>
    </w:p>
    <w:p>
      <w:pPr>
        <w:pStyle w:val="style0"/>
        <w:rPr>
          <w:rFonts w:ascii="Arial" w:cs="Arial" w:hAnsi="Arial"/>
        </w:rPr>
      </w:pPr>
      <w:r>
        <w:rPr>
          <w:rFonts w:ascii="Arial" w:cs="Arial" w:hAnsi="Arial"/>
        </w:rPr>
        <w:t>Alzaidi</w:t>
      </w:r>
      <w:r>
        <w:rPr>
          <w:rFonts w:ascii="Arial" w:cs="Arial" w:hAnsi="Arial"/>
        </w:rPr>
        <w:t xml:space="preserve">, M.S. and Agag, G. (2022) ‘The role of trust and privacy concerns in using social media for e-retail services: The moderating role of COVID-19’, </w:t>
      </w:r>
      <w:r>
        <w:rPr>
          <w:rFonts w:ascii="Arial" w:cs="Arial" w:hAnsi="Arial"/>
          <w:i/>
          <w:iCs/>
        </w:rPr>
        <w:t>Journal of Retailing and Consumer Services</w:t>
      </w:r>
      <w:r>
        <w:rPr>
          <w:rFonts w:ascii="Arial" w:cs="Arial" w:hAnsi="Arial"/>
        </w:rPr>
        <w:t>, 68(1), p. 103042. Available at: https://www.sciencedirect.com/science/article/pii/S0969698922001357.</w:t>
      </w:r>
    </w:p>
    <w:p>
      <w:pPr>
        <w:pStyle w:val="style0"/>
        <w:rPr>
          <w:rFonts w:ascii="Arial" w:cs="Arial" w:hAnsi="Arial"/>
        </w:rPr>
      </w:pPr>
      <w:r>
        <w:rPr>
          <w:rFonts w:ascii="Arial" w:cs="Arial" w:hAnsi="Arial"/>
        </w:rPr>
        <w:t xml:space="preserve">Armitage, C.J. and Conner, M. (2001) ‘Efficacy of the Theory of Planned Behaviour: a meta-analytic Review’, </w:t>
      </w:r>
      <w:r>
        <w:rPr>
          <w:rFonts w:ascii="Arial" w:cs="Arial" w:hAnsi="Arial"/>
          <w:i/>
          <w:iCs/>
        </w:rPr>
        <w:t>British Journal of Social Psychology</w:t>
      </w:r>
      <w:r>
        <w:rPr>
          <w:rFonts w:ascii="Arial" w:cs="Arial" w:hAnsi="Arial"/>
        </w:rPr>
        <w:t>, 40(4), pp. 471–499. Available at: https://doi.org/10.1348/014466601164939.</w:t>
      </w:r>
    </w:p>
    <w:p>
      <w:pPr>
        <w:pStyle w:val="style0"/>
        <w:rPr>
          <w:rFonts w:ascii="Arial" w:cs="Arial" w:hAnsi="Arial"/>
        </w:rPr>
      </w:pPr>
      <w:r>
        <w:rPr>
          <w:rFonts w:ascii="Arial" w:cs="Arial" w:hAnsi="Arial"/>
        </w:rPr>
        <w:t xml:space="preserve">Baron, R.M. and Kenny, D.A. (1986) ‘The moderator-mediator variable distinction in social psychological research: Conceptual, strategic, and statistical considerations.’, </w:t>
      </w:r>
      <w:r>
        <w:rPr>
          <w:rFonts w:ascii="Arial" w:cs="Arial" w:hAnsi="Arial"/>
          <w:i/>
          <w:iCs/>
        </w:rPr>
        <w:t>Journal of Personality and Social Psychology</w:t>
      </w:r>
      <w:r>
        <w:rPr>
          <w:rFonts w:ascii="Arial" w:cs="Arial" w:hAnsi="Arial"/>
        </w:rPr>
        <w:t>, 51(6), pp. 1173–1182.</w:t>
      </w:r>
    </w:p>
    <w:p>
      <w:pPr>
        <w:pStyle w:val="style0"/>
        <w:rPr>
          <w:rFonts w:ascii="Arial" w:cs="Arial" w:hAnsi="Arial"/>
        </w:rPr>
      </w:pPr>
      <w:r>
        <w:rPr>
          <w:rFonts w:ascii="Arial" w:cs="Arial" w:hAnsi="Arial"/>
        </w:rPr>
        <w:t xml:space="preserve">Boerman, S.C., Willemsen, L.M. and Van Der Aa, E.P. (2022) ‘“This Post Is Sponsored” Effects of Sponsorship Disclosure on Persuasion Knowledge and Electronic Word of Mouth in the Context of Facebook’, </w:t>
      </w:r>
      <w:r>
        <w:rPr>
          <w:rFonts w:ascii="Arial" w:cs="Arial" w:hAnsi="Arial"/>
          <w:i/>
          <w:iCs/>
        </w:rPr>
        <w:t>Journal of Interactive Marketing</w:t>
      </w:r>
      <w:r>
        <w:rPr>
          <w:rFonts w:ascii="Arial" w:cs="Arial" w:hAnsi="Arial"/>
        </w:rPr>
        <w:t>, 38(1), pp. 82–92. Available at: https://doi.org/10.1016/j.intmar.2016.12.002.</w:t>
      </w:r>
    </w:p>
    <w:p>
      <w:pPr>
        <w:pStyle w:val="style0"/>
        <w:rPr>
          <w:rFonts w:ascii="Arial" w:cs="Arial" w:hAnsi="Arial"/>
        </w:rPr>
      </w:pPr>
      <w:r>
        <w:rPr>
          <w:rFonts w:ascii="Arial" w:cs="Arial" w:hAnsi="Arial"/>
        </w:rPr>
        <w:t xml:space="preserve">Calder, B.J., Malthouse, E.C. and Schaedel, U. (2009) ‘An Experimental Study of the Relationship between Online Engagement and Advertising Effectiveness’, </w:t>
      </w:r>
      <w:r>
        <w:rPr>
          <w:rFonts w:ascii="Arial" w:cs="Arial" w:hAnsi="Arial"/>
          <w:i/>
          <w:iCs/>
        </w:rPr>
        <w:t>Journal of Interactive Marketing</w:t>
      </w:r>
      <w:r>
        <w:rPr>
          <w:rFonts w:ascii="Arial" w:cs="Arial" w:hAnsi="Arial"/>
        </w:rPr>
        <w:t>, 23(4), pp. 321–331. Available at: https://doi.org/10.1016/j.intmar.2009.07.002.</w:t>
      </w:r>
    </w:p>
    <w:p>
      <w:pPr>
        <w:pStyle w:val="style0"/>
        <w:rPr>
          <w:rFonts w:ascii="Arial" w:cs="Arial" w:hAnsi="Arial"/>
        </w:rPr>
      </w:pPr>
      <w:r>
        <w:rPr>
          <w:rFonts w:ascii="Arial" w:cs="Arial" w:hAnsi="Arial"/>
        </w:rPr>
        <w:t xml:space="preserve">Chen, S.-C. and Lin, C.-P. (2019) ‘Understanding the Effect of Social Media Marketing activities: the Mediation of Social identification, Perceived value, and Satisfaction’, </w:t>
      </w:r>
      <w:r>
        <w:rPr>
          <w:rFonts w:ascii="Arial" w:cs="Arial" w:hAnsi="Arial"/>
          <w:i/>
          <w:iCs/>
        </w:rPr>
        <w:t>Technological Forecasting and Social Change</w:t>
      </w:r>
      <w:r>
        <w:rPr>
          <w:rFonts w:ascii="Arial" w:cs="Arial" w:hAnsi="Arial"/>
        </w:rPr>
        <w:t>, 140(1), pp. 22–32. Available at: https://doi.org/10.1016/j.techfore.2018.11.025.</w:t>
      </w:r>
    </w:p>
    <w:p>
      <w:pPr>
        <w:pStyle w:val="style0"/>
        <w:rPr>
          <w:rFonts w:ascii="Arial" w:cs="Arial" w:hAnsi="Arial"/>
        </w:rPr>
      </w:pPr>
      <w:r>
        <w:rPr>
          <w:rFonts w:ascii="Arial" w:cs="Arial" w:hAnsi="Arial"/>
        </w:rPr>
        <w:t xml:space="preserve">Cheung, C.M.K. and Thadani, D.R. (2012) ‘The Impact of Electronic word-of-mouth communication: a Literature Analysis and Integrative Model’, </w:t>
      </w:r>
      <w:r>
        <w:rPr>
          <w:rFonts w:ascii="Arial" w:cs="Arial" w:hAnsi="Arial"/>
          <w:i/>
          <w:iCs/>
        </w:rPr>
        <w:t>Decision Support Systems</w:t>
      </w:r>
      <w:r>
        <w:rPr>
          <w:rFonts w:ascii="Arial" w:cs="Arial" w:hAnsi="Arial"/>
        </w:rPr>
        <w:t>, 54(1), pp. 461–470. Available at: https://doi.org/10.1016/j.dss.2012.06.008.</w:t>
      </w:r>
    </w:p>
    <w:p>
      <w:pPr>
        <w:pStyle w:val="style0"/>
        <w:rPr>
          <w:rFonts w:ascii="Arial" w:cs="Arial" w:hAnsi="Arial"/>
        </w:rPr>
      </w:pPr>
      <w:r>
        <w:rPr>
          <w:rFonts w:ascii="Arial" w:cs="Arial" w:hAnsi="Arial"/>
        </w:rPr>
        <w:t xml:space="preserve">Cronbach, L.J. (1951) ‘Coefficient alpha and the internal structure of tests’, </w:t>
      </w:r>
      <w:r>
        <w:rPr>
          <w:rFonts w:ascii="Arial" w:cs="Arial" w:hAnsi="Arial"/>
          <w:i/>
          <w:iCs/>
        </w:rPr>
        <w:t>Psychometrika</w:t>
      </w:r>
      <w:r>
        <w:rPr>
          <w:rFonts w:ascii="Arial" w:cs="Arial" w:hAnsi="Arial"/>
        </w:rPr>
        <w:t>, 16(3), pp. 297–334. Available at: https://doi.org/10.1007/bf02310555.</w:t>
      </w:r>
    </w:p>
    <w:p>
      <w:pPr>
        <w:pStyle w:val="style0"/>
        <w:rPr>
          <w:rFonts w:ascii="Arial" w:cs="Arial" w:hAnsi="Arial"/>
        </w:rPr>
      </w:pPr>
      <w:r>
        <w:rPr>
          <w:rFonts w:ascii="Arial" w:cs="Arial" w:hAnsi="Arial"/>
        </w:rPr>
        <w:t xml:space="preserve">de Vries, L., Gensler, S. and Leeflang, P.S.H. (2012) ‘Popularity of Brand Posts on Brand Fan Pages: </w:t>
      </w:r>
      <w:r>
        <w:rPr>
          <w:rFonts w:ascii="Arial" w:cs="Arial" w:hAnsi="Arial"/>
        </w:rPr>
        <w:t>an</w:t>
      </w:r>
      <w:r>
        <w:rPr>
          <w:rFonts w:ascii="Arial" w:cs="Arial" w:hAnsi="Arial"/>
        </w:rPr>
        <w:t xml:space="preserve"> Investigation of the Effects of Social Media Marketing’, </w:t>
      </w:r>
      <w:r>
        <w:rPr>
          <w:rFonts w:ascii="Arial" w:cs="Arial" w:hAnsi="Arial"/>
          <w:i/>
          <w:iCs/>
        </w:rPr>
        <w:t>Journal of Interactive Marketing</w:t>
      </w:r>
      <w:r>
        <w:rPr>
          <w:rFonts w:ascii="Arial" w:cs="Arial" w:hAnsi="Arial"/>
        </w:rPr>
        <w:t>, 26(2), pp. 83–91. Available at: https://doi.org/10.1016/j.intmar.2012.01.003.</w:t>
      </w:r>
    </w:p>
    <w:p>
      <w:pPr>
        <w:pStyle w:val="style0"/>
        <w:rPr>
          <w:rFonts w:ascii="Arial" w:cs="Arial" w:hAnsi="Arial"/>
        </w:rPr>
      </w:pPr>
      <w:r>
        <w:rPr>
          <w:rFonts w:ascii="Arial" w:cs="Arial" w:hAnsi="Arial"/>
        </w:rPr>
        <w:t xml:space="preserve">Dolega, L., Rowe, F. and Branagan, E. (2021) ‘Going digital? The impact of social media marketing on retail website traffic, orders and sales’, </w:t>
      </w:r>
      <w:r>
        <w:rPr>
          <w:rFonts w:ascii="Arial" w:cs="Arial" w:hAnsi="Arial"/>
          <w:i/>
          <w:iCs/>
        </w:rPr>
        <w:t>Journal of Retailing and Consumer Services</w:t>
      </w:r>
      <w:r>
        <w:rPr>
          <w:rFonts w:ascii="Arial" w:cs="Arial" w:hAnsi="Arial"/>
        </w:rPr>
        <w:t>, 60(102501), p. 102501. Available at: https://doi.org/10.1016/j.jretconser.2021.102501.</w:t>
      </w:r>
    </w:p>
    <w:p>
      <w:pPr>
        <w:pStyle w:val="style0"/>
        <w:rPr>
          <w:rFonts w:ascii="Arial" w:cs="Arial" w:hAnsi="Arial"/>
        </w:rPr>
      </w:pPr>
      <w:r>
        <w:rPr>
          <w:rFonts w:ascii="Arial" w:cs="Arial" w:hAnsi="Arial"/>
        </w:rPr>
        <w:t xml:space="preserve">Eroglu, S.A., Machleit, K.A. and Davis, L.M. (2001) ‘Atmospheric qualities of online retailing’, </w:t>
      </w:r>
      <w:r>
        <w:rPr>
          <w:rFonts w:ascii="Arial" w:cs="Arial" w:hAnsi="Arial"/>
          <w:i/>
          <w:iCs/>
        </w:rPr>
        <w:t>Journal of Business Research</w:t>
      </w:r>
      <w:r>
        <w:rPr>
          <w:rFonts w:ascii="Arial" w:cs="Arial" w:hAnsi="Arial"/>
        </w:rPr>
        <w:t>, 54(2), pp. 177–184. Available at: https://doi.org/10.1016/S0148-2963(99)00087-9.</w:t>
      </w:r>
    </w:p>
    <w:p>
      <w:pPr>
        <w:pStyle w:val="style0"/>
        <w:rPr>
          <w:rFonts w:ascii="Arial" w:cs="Arial" w:hAnsi="Arial"/>
        </w:rPr>
      </w:pPr>
      <w:r>
        <w:rPr>
          <w:rFonts w:ascii="Arial" w:cs="Arial" w:hAnsi="Arial"/>
        </w:rPr>
        <w:t>Etikan</w:t>
      </w:r>
      <w:r>
        <w:rPr>
          <w:rFonts w:ascii="Arial" w:cs="Arial" w:hAnsi="Arial"/>
        </w:rPr>
        <w:t xml:space="preserve">, I., Musa, S.A. and Alkassim, R.S. (2016) ‘Comparison of convenience sampling and purposive sampling’, </w:t>
      </w:r>
      <w:r>
        <w:rPr>
          <w:rFonts w:ascii="Arial" w:cs="Arial" w:hAnsi="Arial"/>
          <w:i/>
          <w:iCs/>
        </w:rPr>
        <w:t>American Journal of Theoretical and Applied Statistics</w:t>
      </w:r>
      <w:r>
        <w:rPr>
          <w:rFonts w:ascii="Arial" w:cs="Arial" w:hAnsi="Arial"/>
        </w:rPr>
        <w:t>, 5(1), pp. 1–4. Available at: https://doi.org/10.11648/j.ajtas.20160501.11.</w:t>
      </w:r>
    </w:p>
    <w:p>
      <w:pPr>
        <w:pStyle w:val="style0"/>
        <w:rPr>
          <w:rFonts w:ascii="Arial" w:cs="Arial" w:hAnsi="Arial"/>
        </w:rPr>
      </w:pPr>
      <w:r>
        <w:rPr>
          <w:rFonts w:ascii="Arial" w:cs="Arial" w:hAnsi="Arial"/>
        </w:rPr>
        <w:t xml:space="preserve">Field, A. (2024) </w:t>
      </w:r>
      <w:r>
        <w:rPr>
          <w:rFonts w:ascii="Arial" w:cs="Arial" w:hAnsi="Arial"/>
          <w:i/>
          <w:iCs/>
        </w:rPr>
        <w:t>Discovering Statistics Using IBM SPSS Statistics</w:t>
      </w:r>
      <w:r>
        <w:rPr>
          <w:rFonts w:ascii="Arial" w:cs="Arial" w:hAnsi="Arial"/>
        </w:rPr>
        <w:t xml:space="preserve">, </w:t>
      </w:r>
      <w:r>
        <w:rPr>
          <w:rFonts w:ascii="Arial" w:cs="Arial" w:hAnsi="Arial"/>
          <w:i/>
          <w:iCs/>
        </w:rPr>
        <w:t>SAGE Publications Inc</w:t>
      </w:r>
      <w:r>
        <w:rPr>
          <w:rFonts w:ascii="Arial" w:cs="Arial" w:hAnsi="Arial"/>
        </w:rPr>
        <w:t>. Available at: https://us.sagepub.com/en-us/nam/discovering-statistics-using-ibm-spss-statistics/book285130.</w:t>
      </w:r>
    </w:p>
    <w:p>
      <w:pPr>
        <w:pStyle w:val="style0"/>
        <w:rPr>
          <w:rFonts w:ascii="Arial" w:cs="Arial" w:hAnsi="Arial"/>
        </w:rPr>
      </w:pPr>
      <w:r>
        <w:rPr>
          <w:rFonts w:ascii="Arial" w:cs="Arial" w:hAnsi="Arial"/>
        </w:rPr>
        <w:t xml:space="preserve">Friestad, M. and Wright, P. (1994) ‘The persuasion knowledge model: How people cope with persuasion attempts’, </w:t>
      </w:r>
      <w:r>
        <w:rPr>
          <w:rFonts w:ascii="Arial" w:cs="Arial" w:hAnsi="Arial"/>
          <w:i/>
          <w:iCs/>
        </w:rPr>
        <w:t>Journal of Consumer Research</w:t>
      </w:r>
      <w:r>
        <w:rPr>
          <w:rFonts w:ascii="Arial" w:cs="Arial" w:hAnsi="Arial"/>
        </w:rPr>
        <w:t>, 21(1), pp. 1–31. Available at: https://doi.org/10.1086/209380.</w:t>
      </w:r>
    </w:p>
    <w:p>
      <w:pPr>
        <w:pStyle w:val="style0"/>
        <w:rPr>
          <w:rFonts w:ascii="Arial" w:cs="Arial" w:hAnsi="Arial"/>
        </w:rPr>
      </w:pPr>
      <w:r>
        <w:rPr>
          <w:rFonts w:ascii="Arial" w:cs="Arial" w:hAnsi="Arial"/>
        </w:rPr>
        <w:t xml:space="preserve">Godey, B. </w:t>
      </w:r>
      <w:r>
        <w:rPr>
          <w:rFonts w:ascii="Arial" w:cs="Arial" w:hAnsi="Arial"/>
          <w:i/>
          <w:iCs/>
        </w:rPr>
        <w:t>et al.</w:t>
      </w:r>
      <w:r>
        <w:rPr>
          <w:rFonts w:ascii="Arial" w:cs="Arial" w:hAnsi="Arial"/>
        </w:rPr>
        <w:t xml:space="preserve"> (2016) ‘Social Media Marketing Efforts of Luxury brands: Influence on Brand Equity and Consumer </w:t>
      </w:r>
      <w:r>
        <w:rPr>
          <w:rFonts w:ascii="Arial" w:cs="Arial" w:hAnsi="Arial"/>
        </w:rPr>
        <w:t>Behavior</w:t>
      </w:r>
      <w:r>
        <w:rPr>
          <w:rFonts w:ascii="Arial" w:cs="Arial" w:hAnsi="Arial"/>
        </w:rPr>
        <w:t xml:space="preserve">’, </w:t>
      </w:r>
      <w:r>
        <w:rPr>
          <w:rFonts w:ascii="Arial" w:cs="Arial" w:hAnsi="Arial"/>
          <w:i/>
          <w:iCs/>
        </w:rPr>
        <w:t>Journal of Business Research</w:t>
      </w:r>
      <w:r>
        <w:rPr>
          <w:rFonts w:ascii="Arial" w:cs="Arial" w:hAnsi="Arial"/>
        </w:rPr>
        <w:t>, 69(12), pp. 5833–5841. Available at: https://doi.org/10.1016/j.jbusres.2016.04.181.</w:t>
      </w:r>
    </w:p>
    <w:p>
      <w:pPr>
        <w:pStyle w:val="style0"/>
        <w:rPr>
          <w:rFonts w:ascii="Arial" w:cs="Arial" w:hAnsi="Arial"/>
        </w:rPr>
      </w:pPr>
      <w:r>
        <w:rPr>
          <w:rFonts w:ascii="Arial" w:cs="Arial" w:hAnsi="Arial"/>
        </w:rPr>
        <w:t xml:space="preserve">GOV.UK (2018) </w:t>
      </w:r>
      <w:r>
        <w:rPr>
          <w:rFonts w:ascii="Arial" w:cs="Arial" w:hAnsi="Arial"/>
          <w:i/>
          <w:iCs/>
        </w:rPr>
        <w:t>Data Protection Act 2018</w:t>
      </w:r>
      <w:r>
        <w:rPr>
          <w:rFonts w:ascii="Arial" w:cs="Arial" w:hAnsi="Arial"/>
        </w:rPr>
        <w:t xml:space="preserve">, </w:t>
      </w:r>
      <w:r>
        <w:rPr>
          <w:rFonts w:ascii="Arial" w:cs="Arial" w:hAnsi="Arial"/>
          <w:i/>
          <w:iCs/>
        </w:rPr>
        <w:t>legislation.gov.uk</w:t>
      </w:r>
      <w:r>
        <w:rPr>
          <w:rFonts w:ascii="Arial" w:cs="Arial" w:hAnsi="Arial"/>
        </w:rPr>
        <w:t>. Available at: https://www.legislation.gov.uk/ukpga/2018/12/contents.</w:t>
      </w:r>
    </w:p>
    <w:p>
      <w:pPr>
        <w:pStyle w:val="style0"/>
        <w:rPr>
          <w:rFonts w:ascii="Arial" w:cs="Arial" w:hAnsi="Arial"/>
        </w:rPr>
      </w:pPr>
      <w:r>
        <w:rPr>
          <w:rFonts w:ascii="Arial" w:cs="Arial" w:hAnsi="Arial"/>
        </w:rPr>
        <w:t>Hollebeek</w:t>
      </w:r>
      <w:r>
        <w:rPr>
          <w:rFonts w:ascii="Arial" w:cs="Arial" w:hAnsi="Arial"/>
        </w:rPr>
        <w:t xml:space="preserve">, L.D., Glynn, M.S. and Brodie, R.J. (2014) ‘Consumer Brand Engagement in Social Media: Conceptualization, Scale Development and Validation’, </w:t>
      </w:r>
      <w:r>
        <w:rPr>
          <w:rFonts w:ascii="Arial" w:cs="Arial" w:hAnsi="Arial"/>
          <w:i/>
          <w:iCs/>
        </w:rPr>
        <w:t>Journal of Interactive Marketing</w:t>
      </w:r>
      <w:r>
        <w:rPr>
          <w:rFonts w:ascii="Arial" w:cs="Arial" w:hAnsi="Arial"/>
        </w:rPr>
        <w:t>, 28(2), pp. 149–165.</w:t>
      </w:r>
    </w:p>
    <w:p>
      <w:pPr>
        <w:pStyle w:val="style0"/>
        <w:rPr>
          <w:rFonts w:ascii="Arial" w:cs="Arial" w:hAnsi="Arial"/>
        </w:rPr>
      </w:pPr>
      <w:r>
        <w:rPr>
          <w:rFonts w:ascii="Arial" w:cs="Arial" w:hAnsi="Arial"/>
        </w:rPr>
        <w:t xml:space="preserve">Likert, R. (1932) </w:t>
      </w:r>
      <w:r>
        <w:rPr>
          <w:rFonts w:ascii="Arial" w:cs="Arial" w:hAnsi="Arial"/>
          <w:i/>
          <w:iCs/>
        </w:rPr>
        <w:t>A technique for the measurement of attitudes.</w:t>
      </w:r>
      <w:r>
        <w:rPr>
          <w:rFonts w:ascii="Arial" w:cs="Arial" w:hAnsi="Arial"/>
        </w:rPr>
        <w:t xml:space="preserve">, </w:t>
      </w:r>
      <w:r>
        <w:rPr>
          <w:rFonts w:ascii="Arial" w:cs="Arial" w:hAnsi="Arial"/>
          <w:i/>
          <w:iCs/>
        </w:rPr>
        <w:t>Archives of Psychology</w:t>
      </w:r>
      <w:r>
        <w:rPr>
          <w:rFonts w:ascii="Arial" w:cs="Arial" w:hAnsi="Arial"/>
        </w:rPr>
        <w:t>. Available at: https://psycnet.apa.org/record/1933-01885-001.</w:t>
      </w:r>
    </w:p>
    <w:p>
      <w:pPr>
        <w:pStyle w:val="style0"/>
        <w:rPr>
          <w:rFonts w:ascii="Arial" w:cs="Arial" w:hAnsi="Arial"/>
        </w:rPr>
      </w:pPr>
      <w:r>
        <w:rPr>
          <w:rFonts w:ascii="Arial" w:cs="Arial" w:hAnsi="Arial"/>
        </w:rPr>
        <w:t xml:space="preserve">Liu, X. and Zhao, H. (2024) ‘A meta-analysis of the effects of sponsorship disclosure in influencer marketing’, </w:t>
      </w:r>
      <w:r>
        <w:rPr>
          <w:rFonts w:ascii="Arial" w:cs="Arial" w:hAnsi="Arial"/>
          <w:i/>
          <w:iCs/>
        </w:rPr>
        <w:t>Marketing Letters</w:t>
      </w:r>
      <w:r>
        <w:rPr>
          <w:rFonts w:ascii="Arial" w:cs="Arial" w:hAnsi="Arial"/>
        </w:rPr>
        <w:t xml:space="preserve"> [Preprint]. Available at: https://doi.org/10.1007/s11002-024-09757-z.</w:t>
      </w:r>
    </w:p>
    <w:p>
      <w:pPr>
        <w:pStyle w:val="style0"/>
        <w:rPr>
          <w:rFonts w:ascii="Arial" w:cs="Arial" w:hAnsi="Arial"/>
        </w:rPr>
      </w:pPr>
      <w:r>
        <w:rPr>
          <w:rFonts w:ascii="Arial" w:cs="Arial" w:hAnsi="Arial"/>
        </w:rPr>
        <w:t xml:space="preserve">Lou, C. and Yuan, S. (2019) ‘Influencer Marketing: How Message Value and Credibility Affect Consumer Trust of Branded Content on Social Media’, </w:t>
      </w:r>
      <w:r>
        <w:rPr>
          <w:rFonts w:ascii="Arial" w:cs="Arial" w:hAnsi="Arial"/>
          <w:i/>
          <w:iCs/>
        </w:rPr>
        <w:t>Journal of Interactive Advertising</w:t>
      </w:r>
      <w:r>
        <w:rPr>
          <w:rFonts w:ascii="Arial" w:cs="Arial" w:hAnsi="Arial"/>
        </w:rPr>
        <w:t>, 19(1), pp. 58–73. Available at: https://doi.org/10.1080/15252019.2018.1533501.</w:t>
      </w:r>
    </w:p>
    <w:p>
      <w:pPr>
        <w:pStyle w:val="style0"/>
        <w:rPr>
          <w:rFonts w:ascii="Arial" w:cs="Arial" w:hAnsi="Arial"/>
        </w:rPr>
      </w:pPr>
      <w:r>
        <w:rPr>
          <w:rFonts w:ascii="Arial" w:cs="Arial" w:hAnsi="Arial"/>
        </w:rPr>
        <w:t xml:space="preserve">Mehrabian, A. and Russell, J.A. (1974) </w:t>
      </w:r>
      <w:r>
        <w:rPr>
          <w:rFonts w:ascii="Arial" w:cs="Arial" w:hAnsi="Arial"/>
          <w:i/>
          <w:iCs/>
        </w:rPr>
        <w:t>An approach to environmental psychology</w:t>
      </w:r>
      <w:r>
        <w:rPr>
          <w:rFonts w:ascii="Arial" w:cs="Arial" w:hAnsi="Arial"/>
        </w:rPr>
        <w:t>. M.I.T. Press.</w:t>
      </w:r>
    </w:p>
    <w:p>
      <w:pPr>
        <w:pStyle w:val="style0"/>
        <w:rPr>
          <w:rFonts w:ascii="Arial" w:cs="Arial" w:hAnsi="Arial"/>
        </w:rPr>
      </w:pPr>
      <w:r>
        <w:rPr>
          <w:rFonts w:ascii="Arial" w:cs="Arial" w:hAnsi="Arial"/>
        </w:rPr>
        <w:t xml:space="preserve">Ngo, T.T.A. </w:t>
      </w:r>
      <w:r>
        <w:rPr>
          <w:rFonts w:ascii="Arial" w:cs="Arial" w:hAnsi="Arial"/>
          <w:i/>
          <w:iCs/>
        </w:rPr>
        <w:t>et al.</w:t>
      </w:r>
      <w:r>
        <w:rPr>
          <w:rFonts w:ascii="Arial" w:cs="Arial" w:hAnsi="Arial"/>
        </w:rPr>
        <w:t xml:space="preserve"> (2025) ‘Leveraging social media marketing activities (SMMAs) to enhance consumer satisfaction and purchase intention for </w:t>
      </w:r>
      <w:r>
        <w:rPr>
          <w:rFonts w:ascii="Arial" w:cs="Arial" w:hAnsi="Arial"/>
        </w:rPr>
        <w:t>bio-cosmetics</w:t>
      </w:r>
      <w:r>
        <w:rPr>
          <w:rFonts w:ascii="Arial" w:cs="Arial" w:hAnsi="Arial"/>
        </w:rPr>
        <w:t xml:space="preserve">’, </w:t>
      </w:r>
      <w:r>
        <w:rPr>
          <w:rFonts w:ascii="Arial" w:cs="Arial" w:hAnsi="Arial"/>
          <w:i/>
          <w:iCs/>
        </w:rPr>
        <w:t xml:space="preserve">Acta </w:t>
      </w:r>
      <w:r>
        <w:rPr>
          <w:rFonts w:ascii="Arial" w:cs="Arial" w:hAnsi="Arial"/>
          <w:i/>
          <w:iCs/>
        </w:rPr>
        <w:t>Psychologica</w:t>
      </w:r>
      <w:r>
        <w:rPr>
          <w:rFonts w:ascii="Arial" w:cs="Arial" w:hAnsi="Arial"/>
        </w:rPr>
        <w:t>, 261, p. 105768. Available at: https://doi.org/10.1016/j.actpsy.2025.105768.</w:t>
      </w:r>
    </w:p>
    <w:p>
      <w:pPr>
        <w:pStyle w:val="style0"/>
        <w:rPr>
          <w:rFonts w:ascii="Arial" w:cs="Arial" w:hAnsi="Arial"/>
        </w:rPr>
      </w:pPr>
      <w:r>
        <w:rPr>
          <w:rFonts w:ascii="Arial" w:cs="Arial" w:hAnsi="Arial"/>
        </w:rPr>
        <w:t xml:space="preserve">Oates, J. (2021) </w:t>
      </w:r>
      <w:r>
        <w:rPr>
          <w:rFonts w:ascii="Arial" w:cs="Arial" w:hAnsi="Arial"/>
          <w:i/>
          <w:iCs/>
        </w:rPr>
        <w:t>BPS Code of Human Research Ethics</w:t>
      </w:r>
      <w:r>
        <w:rPr>
          <w:rFonts w:ascii="Arial" w:cs="Arial" w:hAnsi="Arial"/>
        </w:rPr>
        <w:t>. The British Psychological Society. Available at: https://cms.bps.org.uk/sites/default/files/2022-06/BPS%20Code%20of%20Human%20Research%20Ethics%20%281%29.pdf.</w:t>
      </w:r>
    </w:p>
    <w:p>
      <w:pPr>
        <w:pStyle w:val="style0"/>
        <w:rPr>
          <w:rFonts w:ascii="Arial" w:cs="Arial" w:hAnsi="Arial"/>
        </w:rPr>
      </w:pPr>
      <w:r>
        <w:rPr>
          <w:rFonts w:ascii="Arial" w:cs="Arial" w:hAnsi="Arial"/>
        </w:rPr>
        <w:t xml:space="preserve">Ofcom (2024) </w:t>
      </w:r>
      <w:r>
        <w:rPr>
          <w:rFonts w:ascii="Arial" w:cs="Arial" w:hAnsi="Arial"/>
          <w:i/>
          <w:iCs/>
        </w:rPr>
        <w:t>Technology Tracker 2024: Technical Report.</w:t>
      </w:r>
      <w:r>
        <w:rPr>
          <w:rFonts w:ascii="Arial" w:cs="Arial" w:hAnsi="Arial"/>
        </w:rPr>
        <w:t xml:space="preserve">, </w:t>
      </w:r>
      <w:r>
        <w:rPr>
          <w:rFonts w:ascii="Arial" w:cs="Arial" w:hAnsi="Arial"/>
          <w:i/>
          <w:iCs/>
        </w:rPr>
        <w:t>www.ofcom.org.uk</w:t>
      </w:r>
      <w:r>
        <w:rPr>
          <w:rFonts w:ascii="Arial" w:cs="Arial" w:hAnsi="Arial"/>
        </w:rPr>
        <w:t>. Available at: https://www.ofcom.org.uk/siteassets/resources/documents/research-and-data/data/statistics/2024/technology-tracker/technology-tracker-2024-technical-report.pdf?v=370268.</w:t>
      </w:r>
    </w:p>
    <w:p>
      <w:pPr>
        <w:pStyle w:val="style0"/>
        <w:rPr>
          <w:rFonts w:ascii="Arial" w:cs="Arial" w:hAnsi="Arial"/>
        </w:rPr>
      </w:pPr>
      <w:r>
        <w:rPr>
          <w:rFonts w:ascii="Arial" w:cs="Arial" w:hAnsi="Arial"/>
        </w:rPr>
        <w:t xml:space="preserve">Ofcom (2025a) </w:t>
      </w:r>
      <w:r>
        <w:rPr>
          <w:rFonts w:ascii="Arial" w:cs="Arial" w:hAnsi="Arial"/>
          <w:i/>
          <w:iCs/>
        </w:rPr>
        <w:t>Adults’ Media Use and Attitudes Report</w:t>
      </w:r>
      <w:r>
        <w:rPr>
          <w:rFonts w:ascii="Arial" w:cs="Arial" w:hAnsi="Arial"/>
        </w:rPr>
        <w:t>. Available at: https://www.ofcom.org.uk/siteassets/resources/documents/research-and-data/media-literacy-research/adults/adults-media-use-and-attitudes-2025/adults-media-use-and-attitudes-report-2025.pdf?v=396240.</w:t>
      </w:r>
    </w:p>
    <w:p>
      <w:pPr>
        <w:pStyle w:val="style0"/>
        <w:rPr>
          <w:rFonts w:ascii="Arial" w:cs="Arial" w:hAnsi="Arial"/>
        </w:rPr>
      </w:pPr>
      <w:r>
        <w:rPr>
          <w:rFonts w:ascii="Arial" w:cs="Arial" w:hAnsi="Arial"/>
        </w:rPr>
        <w:t xml:space="preserve">Ofcom (2025b) </w:t>
      </w:r>
      <w:r>
        <w:rPr>
          <w:rFonts w:ascii="Arial" w:cs="Arial" w:hAnsi="Arial"/>
          <w:i/>
          <w:iCs/>
        </w:rPr>
        <w:t>Online Nation: Report 2025.</w:t>
      </w:r>
      <w:r>
        <w:rPr>
          <w:rFonts w:ascii="Arial" w:cs="Arial" w:hAnsi="Arial"/>
        </w:rPr>
        <w:t xml:space="preserve">, </w:t>
      </w:r>
      <w:r>
        <w:rPr>
          <w:rFonts w:ascii="Arial" w:cs="Arial" w:hAnsi="Arial"/>
          <w:i/>
          <w:iCs/>
        </w:rPr>
        <w:t>https://www.ofcom.org.uk</w:t>
      </w:r>
      <w:r>
        <w:rPr>
          <w:rFonts w:ascii="Arial" w:cs="Arial" w:hAnsi="Arial"/>
        </w:rPr>
        <w:t>. Available at: https://www.ofcom.org.uk/siteassets/resources/documents/research-and-data/online-research/online-nation/2025/online-nations-report-2025.pdf?v=409837.</w:t>
      </w:r>
    </w:p>
    <w:p>
      <w:pPr>
        <w:pStyle w:val="style0"/>
        <w:rPr>
          <w:rFonts w:ascii="Arial" w:cs="Arial" w:hAnsi="Arial"/>
        </w:rPr>
      </w:pPr>
      <w:r>
        <w:rPr>
          <w:rFonts w:ascii="Arial" w:cs="Arial" w:hAnsi="Arial"/>
        </w:rPr>
        <w:t xml:space="preserve">Office for National Statistics (2020) </w:t>
      </w:r>
      <w:r>
        <w:rPr>
          <w:rFonts w:ascii="Arial" w:cs="Arial" w:hAnsi="Arial"/>
          <w:i/>
          <w:iCs/>
        </w:rPr>
        <w:t>Internet access – households and individuals, Great Britain: 2020</w:t>
      </w:r>
      <w:r>
        <w:rPr>
          <w:rFonts w:ascii="Arial" w:cs="Arial" w:hAnsi="Arial"/>
        </w:rPr>
        <w:t xml:space="preserve">, </w:t>
      </w:r>
      <w:r>
        <w:rPr>
          <w:rFonts w:ascii="Arial" w:cs="Arial" w:hAnsi="Arial"/>
          <w:i/>
          <w:iCs/>
        </w:rPr>
        <w:t>www.ons.gov.uk</w:t>
      </w:r>
      <w:r>
        <w:rPr>
          <w:rFonts w:ascii="Arial" w:cs="Arial" w:hAnsi="Arial"/>
        </w:rPr>
        <w:t>. Available at: https://www.ons.gov.uk/peoplepopulationandcommunity/householdcharacteristics/homeinternetandsocialmediausage/bulletins/internetaccesshouseholdsandindividuals/2020.</w:t>
      </w:r>
    </w:p>
    <w:p>
      <w:pPr>
        <w:pStyle w:val="style0"/>
        <w:rPr>
          <w:rFonts w:ascii="Arial" w:cs="Arial" w:hAnsi="Arial"/>
        </w:rPr>
      </w:pPr>
      <w:r>
        <w:rPr>
          <w:rFonts w:ascii="Arial" w:cs="Arial" w:hAnsi="Arial"/>
        </w:rPr>
        <w:t xml:space="preserve">Ohanian, R. (1990) ‘Construction and Validation of a Scale to Measure Celebrity Endorsers’ Perceived Expertise, Trustworthiness, and Attractiveness’, </w:t>
      </w:r>
      <w:r>
        <w:rPr>
          <w:rFonts w:ascii="Arial" w:cs="Arial" w:hAnsi="Arial"/>
          <w:i/>
          <w:iCs/>
        </w:rPr>
        <w:t>Journal of Advertising</w:t>
      </w:r>
      <w:r>
        <w:rPr>
          <w:rFonts w:ascii="Arial" w:cs="Arial" w:hAnsi="Arial"/>
        </w:rPr>
        <w:t>, 19(3), pp. 39–52. Available at: https://doi.org/10.1080/00913367.1990.10673191.</w:t>
      </w:r>
    </w:p>
    <w:p>
      <w:pPr>
        <w:pStyle w:val="style0"/>
        <w:rPr>
          <w:rFonts w:ascii="Arial" w:cs="Arial" w:hAnsi="Arial"/>
        </w:rPr>
      </w:pPr>
      <w:r>
        <w:rPr>
          <w:rFonts w:ascii="Arial" w:cs="Arial" w:hAnsi="Arial"/>
        </w:rPr>
        <w:t xml:space="preserve">Pan, M. </w:t>
      </w:r>
      <w:r>
        <w:rPr>
          <w:rFonts w:ascii="Arial" w:cs="Arial" w:hAnsi="Arial"/>
          <w:i/>
          <w:iCs/>
        </w:rPr>
        <w:t>et al.</w:t>
      </w:r>
      <w:r>
        <w:rPr>
          <w:rFonts w:ascii="Arial" w:cs="Arial" w:hAnsi="Arial"/>
        </w:rPr>
        <w:t xml:space="preserve"> (2024) ‘Influencer Marketing effectiveness: a meta-analytic Review’, </w:t>
      </w:r>
      <w:r>
        <w:rPr>
          <w:rFonts w:ascii="Arial" w:cs="Arial" w:hAnsi="Arial"/>
          <w:i/>
          <w:iCs/>
        </w:rPr>
        <w:t>Journal of the Academy of Marketing Science</w:t>
      </w:r>
      <w:r>
        <w:rPr>
          <w:rFonts w:ascii="Arial" w:cs="Arial" w:hAnsi="Arial"/>
        </w:rPr>
        <w:t>, 53(1), pp. 52–78. Available at: https://doi.org/10.1007/s11747-024-01052-7.</w:t>
      </w:r>
    </w:p>
    <w:p>
      <w:pPr>
        <w:pStyle w:val="style0"/>
        <w:rPr>
          <w:rFonts w:ascii="Arial" w:cs="Arial" w:hAnsi="Arial"/>
        </w:rPr>
      </w:pPr>
      <w:r>
        <w:rPr>
          <w:rFonts w:ascii="Arial" w:cs="Arial" w:hAnsi="Arial"/>
        </w:rPr>
        <w:t xml:space="preserve">Podsakoff, P.M. </w:t>
      </w:r>
      <w:r>
        <w:rPr>
          <w:rFonts w:ascii="Arial" w:cs="Arial" w:hAnsi="Arial"/>
          <w:i/>
          <w:iCs/>
        </w:rPr>
        <w:t>et al.</w:t>
      </w:r>
      <w:r>
        <w:rPr>
          <w:rFonts w:ascii="Arial" w:cs="Arial" w:hAnsi="Arial"/>
        </w:rPr>
        <w:t xml:space="preserve"> (2003) ‘Common method biases in </w:t>
      </w:r>
      <w:r>
        <w:rPr>
          <w:rFonts w:ascii="Arial" w:cs="Arial" w:hAnsi="Arial"/>
        </w:rPr>
        <w:t>behavioral</w:t>
      </w:r>
      <w:r>
        <w:rPr>
          <w:rFonts w:ascii="Arial" w:cs="Arial" w:hAnsi="Arial"/>
        </w:rPr>
        <w:t xml:space="preserve"> research: A critical review of the literature and recommended remedies.’, </w:t>
      </w:r>
      <w:r>
        <w:rPr>
          <w:rFonts w:ascii="Arial" w:cs="Arial" w:hAnsi="Arial"/>
          <w:i/>
          <w:iCs/>
        </w:rPr>
        <w:t>Journal of Applied Psychology</w:t>
      </w:r>
      <w:r>
        <w:rPr>
          <w:rFonts w:ascii="Arial" w:cs="Arial" w:hAnsi="Arial"/>
        </w:rPr>
        <w:t>, 88(5), pp. 879–903.</w:t>
      </w:r>
    </w:p>
    <w:p>
      <w:pPr>
        <w:pStyle w:val="style0"/>
        <w:rPr>
          <w:rFonts w:ascii="Arial" w:cs="Arial" w:hAnsi="Arial"/>
        </w:rPr>
      </w:pPr>
      <w:r>
        <w:rPr>
          <w:rFonts w:ascii="Arial" w:cs="Arial" w:hAnsi="Arial"/>
        </w:rPr>
        <w:t xml:space="preserve">Ramanathan, U., Subramanian, N. and Parrott, G. (2017) ‘Role of social media in retail network operations and marketing to enhance customer satisfaction’, </w:t>
      </w:r>
      <w:r>
        <w:rPr>
          <w:rFonts w:ascii="Arial" w:cs="Arial" w:hAnsi="Arial"/>
          <w:i/>
          <w:iCs/>
        </w:rPr>
        <w:t>International Journal of Operations &amp; Production Management</w:t>
      </w:r>
      <w:r>
        <w:rPr>
          <w:rFonts w:ascii="Arial" w:cs="Arial" w:hAnsi="Arial"/>
        </w:rPr>
        <w:t>, 37(1), pp. 105–123. Available at: https://doi.org/10.1108/ijopm-03-2015-0153.</w:t>
      </w:r>
    </w:p>
    <w:p>
      <w:pPr>
        <w:pStyle w:val="style0"/>
        <w:rPr>
          <w:rFonts w:ascii="Arial" w:cs="Arial" w:hAnsi="Arial"/>
        </w:rPr>
      </w:pPr>
      <w:r>
        <w:rPr>
          <w:rFonts w:ascii="Arial" w:cs="Arial" w:hAnsi="Arial"/>
        </w:rPr>
        <w:t xml:space="preserve">Reuters Staff (2025) ‘Britons watch YouTube for 51 minutes a day, regulator Ofcom says’, </w:t>
      </w:r>
      <w:r>
        <w:rPr>
          <w:rFonts w:ascii="Arial" w:cs="Arial" w:hAnsi="Arial"/>
          <w:i/>
          <w:iCs/>
        </w:rPr>
        <w:t>Reuters</w:t>
      </w:r>
      <w:r>
        <w:rPr>
          <w:rFonts w:ascii="Arial" w:cs="Arial" w:hAnsi="Arial"/>
        </w:rPr>
        <w:t>, 10 December. Available at: https://www.reuters.com/business/media-telecom/britons-watch-youtube-51-minutes-day-regulator-ofcom-says-2025-12-10/.</w:t>
      </w:r>
    </w:p>
    <w:p>
      <w:pPr>
        <w:pStyle w:val="style0"/>
        <w:rPr>
          <w:rFonts w:ascii="Arial" w:cs="Arial" w:hAnsi="Arial"/>
        </w:rPr>
      </w:pPr>
      <w:r>
        <w:rPr>
          <w:rFonts w:ascii="Arial" w:cs="Arial" w:hAnsi="Arial"/>
        </w:rPr>
        <w:t xml:space="preserve">Saunders, M., Lewis, P. and Thornhill, A. (2019) </w:t>
      </w:r>
      <w:r>
        <w:rPr>
          <w:rFonts w:ascii="Arial" w:cs="Arial" w:hAnsi="Arial"/>
          <w:i/>
          <w:iCs/>
        </w:rPr>
        <w:t>Research Methods for Business Students</w:t>
      </w:r>
      <w:r>
        <w:rPr>
          <w:rFonts w:ascii="Arial" w:cs="Arial" w:hAnsi="Arial"/>
        </w:rPr>
        <w:t xml:space="preserve">. 8th </w:t>
      </w:r>
      <w:r>
        <w:rPr>
          <w:rFonts w:ascii="Arial" w:cs="Arial" w:hAnsi="Arial"/>
        </w:rPr>
        <w:t>edn</w:t>
      </w:r>
      <w:r>
        <w:rPr>
          <w:rFonts w:ascii="Arial" w:cs="Arial" w:hAnsi="Arial"/>
        </w:rPr>
        <w:t>. Pearson.</w:t>
      </w:r>
    </w:p>
    <w:p>
      <w:pPr>
        <w:pStyle w:val="style0"/>
        <w:rPr>
          <w:rFonts w:ascii="Arial" w:cs="Arial" w:hAnsi="Arial"/>
        </w:rPr>
      </w:pPr>
      <w:r>
        <w:rPr>
          <w:rFonts w:ascii="Arial" w:cs="Arial" w:hAnsi="Arial"/>
        </w:rPr>
        <w:t xml:space="preserve">Schivinski, B. and Dabrowski, D. (2016) ‘The Effect of Social Media Communication on Consumer Perceptions of Brands’, </w:t>
      </w:r>
      <w:r>
        <w:rPr>
          <w:rFonts w:ascii="Arial" w:cs="Arial" w:hAnsi="Arial"/>
          <w:i/>
          <w:iCs/>
        </w:rPr>
        <w:t>Journal of Marketing Communications</w:t>
      </w:r>
      <w:r>
        <w:rPr>
          <w:rFonts w:ascii="Arial" w:cs="Arial" w:hAnsi="Arial"/>
        </w:rPr>
        <w:t>, 22(2), pp. 189–214. Available at: https://doi.org/10.1080/13527266.2013.871323.</w:t>
      </w:r>
    </w:p>
    <w:p>
      <w:pPr>
        <w:pStyle w:val="style0"/>
        <w:rPr>
          <w:rFonts w:ascii="Arial" w:cs="Arial" w:hAnsi="Arial"/>
        </w:rPr>
      </w:pPr>
      <w:r>
        <w:rPr>
          <w:rFonts w:ascii="Arial" w:cs="Arial" w:hAnsi="Arial"/>
        </w:rPr>
        <w:t xml:space="preserve">Sweeney, J.C. and Soutar, G.N. (2001) ‘Consumer Perceived value: the Development of a Multiple Item Scale’, </w:t>
      </w:r>
      <w:r>
        <w:rPr>
          <w:rFonts w:ascii="Arial" w:cs="Arial" w:hAnsi="Arial"/>
          <w:i/>
          <w:iCs/>
        </w:rPr>
        <w:t>Journal of Retailing</w:t>
      </w:r>
      <w:r>
        <w:rPr>
          <w:rFonts w:ascii="Arial" w:cs="Arial" w:hAnsi="Arial"/>
        </w:rPr>
        <w:t>, 77(2), pp. 203–220. Available at: https://doi.org/10.1016/S0022-4359(01)00041-0.</w:t>
      </w:r>
    </w:p>
    <w:p>
      <w:pPr>
        <w:pStyle w:val="style0"/>
        <w:rPr>
          <w:rFonts w:ascii="Arial" w:cs="Arial" w:hAnsi="Arial"/>
        </w:rPr>
      </w:pPr>
      <w:r>
        <w:rPr>
          <w:rFonts w:ascii="Arial" w:cs="Arial" w:hAnsi="Arial"/>
        </w:rPr>
        <w:t xml:space="preserve">UKRI (2023) </w:t>
      </w:r>
      <w:r>
        <w:rPr>
          <w:rFonts w:ascii="Arial" w:cs="Arial" w:hAnsi="Arial"/>
          <w:i/>
          <w:iCs/>
        </w:rPr>
        <w:t>Research Ethics Guidance – ESRC</w:t>
      </w:r>
      <w:r>
        <w:rPr>
          <w:rFonts w:ascii="Arial" w:cs="Arial" w:hAnsi="Arial"/>
        </w:rPr>
        <w:t xml:space="preserve">, </w:t>
      </w:r>
      <w:r>
        <w:rPr>
          <w:rFonts w:ascii="Arial" w:cs="Arial" w:hAnsi="Arial"/>
          <w:i/>
          <w:iCs/>
        </w:rPr>
        <w:t>www.ukri.org</w:t>
      </w:r>
      <w:r>
        <w:rPr>
          <w:rFonts w:ascii="Arial" w:cs="Arial" w:hAnsi="Arial"/>
        </w:rPr>
        <w:t>. Available at: https://www.ukri.org/councils/esrc/guidance-for-applicants/research-ethics-guidance/.</w:t>
      </w:r>
    </w:p>
    <w:p>
      <w:pPr>
        <w:pStyle w:val="style0"/>
        <w:rPr>
          <w:rFonts w:ascii="Arial" w:cs="Arial" w:hAnsi="Arial"/>
        </w:rPr>
      </w:pPr>
      <w:r>
        <w:rPr>
          <w:rFonts w:ascii="Arial" w:cs="Arial" w:hAnsi="Arial"/>
        </w:rPr>
        <w:t xml:space="preserve">Vieira, V.A. (2013) ‘Stimuli–organism-response framework: a meta-analytic Review in the Store Environment’, </w:t>
      </w:r>
      <w:r>
        <w:rPr>
          <w:rFonts w:ascii="Arial" w:cs="Arial" w:hAnsi="Arial"/>
          <w:i/>
          <w:iCs/>
        </w:rPr>
        <w:t>Journal of Business Research</w:t>
      </w:r>
      <w:r>
        <w:rPr>
          <w:rFonts w:ascii="Arial" w:cs="Arial" w:hAnsi="Arial"/>
        </w:rPr>
        <w:t>, 66(9), pp. 1420–1426. Available at: https://doi.org/10.1016/j.jbusres.2012.05.009.</w:t>
      </w:r>
    </w:p>
    <w:p>
      <w:pPr>
        <w:pStyle w:val="style0"/>
        <w:rPr>
          <w:rFonts w:ascii="Arial" w:cs="Arial" w:hAnsi="Arial"/>
        </w:rPr>
      </w:pPr>
      <w:r>
        <w:rPr>
          <w:rFonts w:ascii="Arial" w:cs="Arial" w:hAnsi="Arial"/>
        </w:rPr>
        <w:t xml:space="preserve">Webb, T.L. and Sheeran, P. (2006) ‘Does Changing </w:t>
      </w:r>
      <w:r>
        <w:rPr>
          <w:rFonts w:ascii="Arial" w:cs="Arial" w:hAnsi="Arial"/>
        </w:rPr>
        <w:t>Behavioral</w:t>
      </w:r>
      <w:r>
        <w:rPr>
          <w:rFonts w:ascii="Arial" w:cs="Arial" w:hAnsi="Arial"/>
        </w:rPr>
        <w:t xml:space="preserve"> Intentions Engender </w:t>
      </w:r>
      <w:r>
        <w:rPr>
          <w:rFonts w:ascii="Arial" w:cs="Arial" w:hAnsi="Arial"/>
        </w:rPr>
        <w:t>Behavior</w:t>
      </w:r>
      <w:r>
        <w:rPr>
          <w:rFonts w:ascii="Arial" w:cs="Arial" w:hAnsi="Arial"/>
        </w:rPr>
        <w:t xml:space="preserve"> change? a meta-analysis of the Experimental evidence.’, </w:t>
      </w:r>
      <w:r>
        <w:rPr>
          <w:rFonts w:ascii="Arial" w:cs="Arial" w:hAnsi="Arial"/>
          <w:i/>
          <w:iCs/>
        </w:rPr>
        <w:t>Psychological Bulletin</w:t>
      </w:r>
      <w:r>
        <w:rPr>
          <w:rFonts w:ascii="Arial" w:cs="Arial" w:hAnsi="Arial"/>
        </w:rPr>
        <w:t>, 132(2), pp. 249–268. Available at: https://doi.org/10.1037/0033-2909.132.2.249.</w:t>
      </w:r>
    </w:p>
    <w:p>
      <w:pPr>
        <w:pStyle w:val="style0"/>
        <w:rPr>
          <w:rFonts w:ascii="Arial" w:cs="Arial" w:hAnsi="Arial"/>
        </w:rPr>
      </w:pPr>
      <w:r>
        <w:rPr>
          <w:rFonts w:ascii="Arial" w:cs="Arial" w:hAnsi="Arial"/>
        </w:rPr>
        <w:t xml:space="preserve">Zeithaml, V.A. (1988) ‘Consumer Perceptions of Price, Quality, and Value: A Means-End Model and Synthesis of Evidence’, </w:t>
      </w:r>
      <w:r>
        <w:rPr>
          <w:rFonts w:ascii="Arial" w:cs="Arial" w:hAnsi="Arial"/>
          <w:i/>
          <w:iCs/>
        </w:rPr>
        <w:t>Journal of Marketing</w:t>
      </w:r>
      <w:r>
        <w:rPr>
          <w:rFonts w:ascii="Arial" w:cs="Arial" w:hAnsi="Arial"/>
        </w:rPr>
        <w:t>, 52(3), pp. 2–22. Available at: https://doi.org/10.1177/002224298805200302.</w:t>
      </w:r>
    </w:p>
    <w:p>
      <w:pPr>
        <w:pStyle w:val="style0"/>
        <w:rPr>
          <w:rFonts w:ascii="Arial" w:cs="Arial" w:hAnsi="Arial"/>
        </w:rPr>
      </w:pPr>
    </w:p>
    <w:sectPr>
      <w:footerReference w:type="default" r:id="rId3"/>
      <w:pgSz w:w="11909" w:h="16834" w:orient="portrait" w:code="9"/>
      <w:pgMar w:top="1440" w:right="144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ptos">
    <w:altName w:val="Aptos"/>
    <w:panose1 w:val="00000000000000000000"/>
    <w:charset w:val="00"/>
    <w:family w:val="swiss"/>
    <w:pitch w:val="variable"/>
    <w:sig w:usb0="20000287" w:usb1="00000003" w:usb2="00000000" w:usb3="00000000" w:csb0="0000019F"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PAGE   \* MERGEFORMAT</w:instrText>
    </w:r>
    <w:r>
      <w:rPr/>
      <w:fldChar w:fldCharType="separate"/>
    </w:r>
    <w:r>
      <w:t>2</w:t>
    </w:r>
    <w:r>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D79E4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cs="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cs="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cs="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0000001"/>
    <w:multiLevelType w:val="hybridMultilevel"/>
    <w:tmpl w:val="E9D2D5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cs="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cs="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cs="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3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Arial" w:eastAsia="Aptos" w:hAnsi="Times New Roman"/>
        <w:sz w:val="24"/>
        <w:szCs w:val="24"/>
        <w:lang w:val="en-GB" w:bidi="ar-SA" w:eastAsia="en-US"/>
        <w14:ligatures xmlns:w14="http://schemas.microsoft.com/office/word/2010/wordml" w14:val="standardContextual"/>
      </w:rPr>
    </w:rPrDefault>
    <w:pPrDefault>
      <w:pPr>
        <w:spacing w:after="160" w:lineRule="auto" w:line="360"/>
        <w:jc w:val="both"/>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360" w:after="80"/>
      <w:outlineLvl w:val="0"/>
    </w:pPr>
    <w:rPr>
      <w:rFonts w:ascii="Arial" w:cs="Times New Roman" w:eastAsia="宋体" w:hAnsi="Arial"/>
      <w:b/>
      <w:color w:val="0f4761"/>
      <w:sz w:val="28"/>
      <w:szCs w:val="40"/>
    </w:rPr>
  </w:style>
  <w:style w:type="paragraph" w:styleId="style2">
    <w:name w:val="heading 2"/>
    <w:basedOn w:val="style0"/>
    <w:next w:val="style0"/>
    <w:link w:val="style4098"/>
    <w:qFormat/>
    <w:uiPriority w:val="9"/>
    <w:pPr>
      <w:keepNext/>
      <w:keepLines/>
      <w:spacing w:before="160" w:after="80"/>
      <w:outlineLvl w:val="1"/>
    </w:pPr>
    <w:rPr>
      <w:rFonts w:ascii="Arial" w:cs="Times New Roman" w:eastAsia="宋体" w:hAnsi="Arial"/>
      <w:b/>
      <w:color w:val="0f4761"/>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0f4761"/>
      <w:szCs w:val="28"/>
    </w:rPr>
  </w:style>
  <w:style w:type="paragraph" w:styleId="style4">
    <w:name w:val="heading 4"/>
    <w:basedOn w:val="style0"/>
    <w:next w:val="style0"/>
    <w:link w:val="style4100"/>
    <w:qFormat/>
    <w:uiPriority w:val="9"/>
    <w:pPr>
      <w:keepNext/>
      <w:keepLines/>
      <w:spacing w:before="80" w:after="40"/>
      <w:outlineLvl w:val="3"/>
    </w:pPr>
    <w:rPr>
      <w:rFonts w:ascii="Aptos" w:cs="Times New Roman" w:eastAsia="宋体" w:hAnsi="Aptos"/>
      <w:i/>
      <w:iCs/>
      <w:color w:val="0f4761"/>
    </w:rPr>
  </w:style>
  <w:style w:type="paragraph" w:styleId="style5">
    <w:name w:val="heading 5"/>
    <w:basedOn w:val="style0"/>
    <w:next w:val="style0"/>
    <w:link w:val="style4101"/>
    <w:qFormat/>
    <w:uiPriority w:val="9"/>
    <w:pPr>
      <w:keepNext/>
      <w:keepLines/>
      <w:spacing w:before="80" w:after="40"/>
      <w:outlineLvl w:val="4"/>
    </w:pPr>
    <w:rPr>
      <w:rFonts w:ascii="Aptos" w:cs="Times New Roman" w:eastAsia="宋体" w:hAnsi="Aptos"/>
      <w:color w:val="0f4761"/>
    </w:rPr>
  </w:style>
  <w:style w:type="paragraph" w:styleId="style6">
    <w:name w:val="heading 6"/>
    <w:basedOn w:val="style0"/>
    <w:next w:val="style0"/>
    <w:link w:val="style4102"/>
    <w:qFormat/>
    <w:uiPriority w:val="9"/>
    <w:pPr>
      <w:keepNext/>
      <w:keepLines/>
      <w:spacing w:before="40" w:after="0"/>
      <w:outlineLvl w:val="5"/>
    </w:pPr>
    <w:rPr>
      <w:rFonts w:ascii="Aptos" w:cs="Times New Roman" w:eastAsia="宋体" w:hAnsi="Aptos"/>
      <w:i/>
      <w:iCs/>
      <w:color w:val="595959"/>
    </w:rPr>
  </w:style>
  <w:style w:type="paragraph" w:styleId="style7">
    <w:name w:val="heading 7"/>
    <w:basedOn w:val="style0"/>
    <w:next w:val="style0"/>
    <w:link w:val="style4103"/>
    <w:qFormat/>
    <w:uiPriority w:val="9"/>
    <w:pPr>
      <w:keepNext/>
      <w:keepLines/>
      <w:spacing w:before="40" w:after="0"/>
      <w:outlineLvl w:val="6"/>
    </w:pPr>
    <w:rPr>
      <w:rFonts w:ascii="Aptos" w:cs="Times New Roman" w:eastAsia="宋体" w:hAnsi="Aptos"/>
      <w:color w:val="595959"/>
    </w:rPr>
  </w:style>
  <w:style w:type="paragraph" w:styleId="style8">
    <w:name w:val="heading 8"/>
    <w:basedOn w:val="style0"/>
    <w:next w:val="style0"/>
    <w:link w:val="style4104"/>
    <w:qFormat/>
    <w:uiPriority w:val="9"/>
    <w:pPr>
      <w:keepNext/>
      <w:keepLines/>
      <w:spacing w:after="0"/>
      <w:outlineLvl w:val="7"/>
    </w:pPr>
    <w:rPr>
      <w:rFonts w:ascii="Aptos" w:cs="Times New Roman" w:eastAsia="宋体" w:hAnsi="Aptos"/>
      <w:i/>
      <w:iCs/>
      <w:color w:val="272727"/>
    </w:rPr>
  </w:style>
  <w:style w:type="paragraph" w:styleId="style9">
    <w:name w:val="heading 9"/>
    <w:basedOn w:val="style0"/>
    <w:next w:val="style0"/>
    <w:link w:val="style4105"/>
    <w:qFormat/>
    <w:uiPriority w:val="9"/>
    <w:pPr>
      <w:keepNext/>
      <w:keepLines/>
      <w:spacing w:after="0"/>
      <w:outlineLvl w:val="8"/>
    </w:pPr>
    <w:rPr>
      <w:rFonts w:ascii="Aptos" w:cs="Times New Roman" w:eastAsia="宋体" w:hAnsi="Aptos"/>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b22065c5-6229-4781-9428-7b225f848f7b"/>
    <w:basedOn w:val="style65"/>
    <w:next w:val="style4097"/>
    <w:link w:val="style1"/>
    <w:uiPriority w:val="9"/>
    <w:rPr>
      <w:rFonts w:ascii="Arial" w:cs="Times New Roman" w:eastAsia="宋体" w:hAnsi="Arial"/>
      <w:b/>
      <w:color w:val="0f4761"/>
      <w:sz w:val="28"/>
      <w:szCs w:val="40"/>
    </w:rPr>
  </w:style>
  <w:style w:type="character" w:customStyle="1" w:styleId="style4098">
    <w:name w:val="Heading 2 Char_ac894e2e-0351-4f9a-b4a6-a753772cfca4"/>
    <w:basedOn w:val="style65"/>
    <w:next w:val="style4098"/>
    <w:link w:val="style2"/>
    <w:uiPriority w:val="9"/>
    <w:rPr>
      <w:rFonts w:ascii="Arial" w:cs="Times New Roman" w:eastAsia="宋体" w:hAnsi="Arial"/>
      <w:b/>
      <w:color w:val="0f4761"/>
      <w:szCs w:val="32"/>
    </w:rPr>
  </w:style>
  <w:style w:type="character" w:customStyle="1" w:styleId="style4099">
    <w:name w:val="Heading 3 Char_2a4abf4f-bb8e-4cf1-8041-648034a5ad6a"/>
    <w:basedOn w:val="style65"/>
    <w:next w:val="style4099"/>
    <w:link w:val="style3"/>
    <w:uiPriority w:val="9"/>
    <w:rPr>
      <w:rFonts w:cs="Times New Roman" w:eastAsia="宋体"/>
      <w:color w:val="0f4761"/>
      <w:szCs w:val="28"/>
    </w:rPr>
  </w:style>
  <w:style w:type="character" w:customStyle="1" w:styleId="style4100">
    <w:name w:val="Heading 4 Char_54ddf63c-f469-45bb-a617-f13d22fa7223"/>
    <w:basedOn w:val="style65"/>
    <w:next w:val="style4100"/>
    <w:link w:val="style4"/>
    <w:uiPriority w:val="9"/>
    <w:rPr>
      <w:rFonts w:ascii="Aptos" w:cs="Times New Roman" w:eastAsia="宋体" w:hAnsi="Aptos"/>
      <w:i/>
      <w:iCs/>
      <w:color w:val="0f4761"/>
    </w:rPr>
  </w:style>
  <w:style w:type="character" w:customStyle="1" w:styleId="style4101">
    <w:name w:val="Heading 5 Char_9cc38a32-2084-44cf-b48f-bc8c9b8ffd82"/>
    <w:basedOn w:val="style65"/>
    <w:next w:val="style4101"/>
    <w:link w:val="style5"/>
    <w:uiPriority w:val="9"/>
    <w:rPr>
      <w:rFonts w:ascii="Aptos" w:cs="Times New Roman" w:eastAsia="宋体" w:hAnsi="Aptos"/>
      <w:color w:val="0f4761"/>
    </w:rPr>
  </w:style>
  <w:style w:type="character" w:customStyle="1" w:styleId="style4102">
    <w:name w:val="Heading 6 Char_369872b9-fe35-4db3-9b0b-96069d1c9189"/>
    <w:basedOn w:val="style65"/>
    <w:next w:val="style4102"/>
    <w:link w:val="style6"/>
    <w:uiPriority w:val="9"/>
    <w:rPr>
      <w:rFonts w:ascii="Aptos" w:cs="Times New Roman" w:eastAsia="宋体" w:hAnsi="Aptos"/>
      <w:i/>
      <w:iCs/>
      <w:color w:val="595959"/>
    </w:rPr>
  </w:style>
  <w:style w:type="character" w:customStyle="1" w:styleId="style4103">
    <w:name w:val="Heading 7 Char_9969f4e5-1f53-4595-a428-76ec6588a770"/>
    <w:basedOn w:val="style65"/>
    <w:next w:val="style4103"/>
    <w:link w:val="style7"/>
    <w:uiPriority w:val="9"/>
    <w:rPr>
      <w:rFonts w:ascii="Aptos" w:cs="Times New Roman" w:eastAsia="宋体" w:hAnsi="Aptos"/>
      <w:color w:val="595959"/>
    </w:rPr>
  </w:style>
  <w:style w:type="character" w:customStyle="1" w:styleId="style4104">
    <w:name w:val="Heading 8 Char_16ea8606-c25b-4b62-9094-cb29f44d31a4"/>
    <w:basedOn w:val="style65"/>
    <w:next w:val="style4104"/>
    <w:link w:val="style8"/>
    <w:uiPriority w:val="9"/>
    <w:rPr>
      <w:rFonts w:ascii="Aptos" w:cs="Times New Roman" w:eastAsia="宋体" w:hAnsi="Aptos"/>
      <w:i/>
      <w:iCs/>
      <w:color w:val="272727"/>
    </w:rPr>
  </w:style>
  <w:style w:type="character" w:customStyle="1" w:styleId="style4105">
    <w:name w:val="Heading 9 Char_8bda5b7d-2a5f-4437-95a9-21a694aff7cb"/>
    <w:basedOn w:val="style65"/>
    <w:next w:val="style4105"/>
    <w:link w:val="style9"/>
    <w:uiPriority w:val="9"/>
    <w:rPr>
      <w:rFonts w:ascii="Aptos" w:cs="Times New Roman" w:eastAsia="宋体" w:hAnsi="Aptos"/>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7e12a011-53b8-4c14-ac97-8c56fe2a925f"/>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ascii="Aptos" w:cs="Times New Roman" w:eastAsia="宋体" w:hAnsi="Aptos"/>
      <w:color w:val="595959"/>
      <w:spacing w:val="15"/>
      <w:sz w:val="28"/>
      <w:szCs w:val="28"/>
    </w:rPr>
  </w:style>
  <w:style w:type="character" w:customStyle="1" w:styleId="style4107">
    <w:name w:val="Subtitle Char"/>
    <w:basedOn w:val="style65"/>
    <w:next w:val="style4107"/>
    <w:link w:val="style74"/>
    <w:uiPriority w:val="11"/>
    <w:rPr>
      <w:rFonts w:ascii="Aptos" w:cs="Times New Roman" w:eastAsia="宋体" w:hAnsi="Aptos"/>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7c78ac03-fd16-4ea9-a43d-5ab18e6a8b8a"/>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20579679-3342-4ccf-ad4d-b2c1573dd788"/>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266">
    <w:name w:val="TOC Heading"/>
    <w:basedOn w:val="style1"/>
    <w:next w:val="style0"/>
    <w:qFormat/>
    <w:uiPriority w:val="39"/>
    <w:pPr>
      <w:spacing w:before="240" w:after="0" w:lineRule="auto" w:line="259"/>
      <w:jc w:val="left"/>
      <w:outlineLvl w:val="9"/>
    </w:pPr>
    <w:rPr>
      <w:rFonts w:ascii="Aptos Display" w:hAnsi="Aptos Display"/>
      <w:b w:val="false"/>
      <w:sz w:val="32"/>
      <w:szCs w:val="32"/>
      <w:lang w:eastAsia="en-GB"/>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467886"/>
      <w:u w:val="single"/>
    </w:rPr>
  </w:style>
  <w:style w:type="paragraph" w:styleId="style31">
    <w:name w:val="header"/>
    <w:basedOn w:val="style0"/>
    <w:next w:val="style31"/>
    <w:link w:val="style4110"/>
    <w:uiPriority w:val="99"/>
    <w:pPr>
      <w:tabs>
        <w:tab w:val="center" w:leader="none" w:pos="4513"/>
        <w:tab w:val="right" w:leader="none" w:pos="9026"/>
      </w:tabs>
      <w:spacing w:after="0" w:lineRule="auto" w:line="240"/>
    </w:pPr>
    <w:rPr/>
  </w:style>
  <w:style w:type="character" w:customStyle="1" w:styleId="style4110">
    <w:name w:val="Header Char_4d6b871a-9a80-48ca-add4-05a6847a54b5"/>
    <w:basedOn w:val="style65"/>
    <w:next w:val="style4110"/>
    <w:link w:val="style31"/>
    <w:uiPriority w:val="99"/>
  </w:style>
  <w:style w:type="paragraph" w:styleId="style32">
    <w:name w:val="footer"/>
    <w:basedOn w:val="style0"/>
    <w:next w:val="style32"/>
    <w:link w:val="style4111"/>
    <w:uiPriority w:val="99"/>
    <w:pPr>
      <w:tabs>
        <w:tab w:val="center" w:leader="none" w:pos="4513"/>
        <w:tab w:val="right" w:leader="none" w:pos="9026"/>
      </w:tabs>
      <w:spacing w:after="0" w:lineRule="auto" w:line="240"/>
    </w:pPr>
    <w:rPr/>
  </w:style>
  <w:style w:type="character" w:customStyle="1" w:styleId="style4111">
    <w:name w:val="Footer Char_3acfc3df-4c4c-412a-a7d3-8732b16aa223"/>
    <w:basedOn w:val="style65"/>
    <w:next w:val="style4111"/>
    <w:link w:val="style32"/>
    <w:uiPriority w:val="99"/>
  </w:style>
  <w:style w:type="paragraph" w:styleId="style94">
    <w:name w:val="Normal (Web)"/>
    <w:basedOn w:val="style0"/>
    <w:next w:val="style94"/>
    <w:uiPriority w:val="99"/>
    <w:pPr/>
    <w:rPr>
      <w:rFonts w:cs="Times New Roman"/>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351F1-495D-44F7-83EA-47E989948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Words>3815</Words>
  <Pages>16</Pages>
  <Characters>24679</Characters>
  <Application>WPS Office</Application>
  <DocSecurity>0</DocSecurity>
  <Paragraphs>362</Paragraphs>
  <ScaleCrop>false</ScaleCrop>
  <LinksUpToDate>false</LinksUpToDate>
  <CharactersWithSpaces>28452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2026-03-19T04:54:00Z</dcterms:created>
  <dc:creator>social workers</dc:creator>
  <lastModifiedBy>CPH2487</lastModifiedBy>
  <dcterms:modified xsi:type="dcterms:W3CDTF">2026-03-19T14:12:11Z</dcterms:modified>
  <revision>22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6735c663-d1dd-42dc-ad1a-74c85fc620d3</vt:lpwstr>
  </property>
  <property fmtid="{D5CDD505-2E9C-101B-9397-08002B2CF9AE}" pid="3" name="ICV">
    <vt:lpwstr>ce6f403f135f46cf984d78c3cec789c9</vt:lpwstr>
  </property>
</Properties>
</file>