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F8758" w14:textId="282F2A4A" w:rsidR="00373C40" w:rsidRDefault="006C3EE1" w:rsidP="00373C40">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44"/>
          <w:szCs w:val="44"/>
        </w:rPr>
        <w:t>A C</w:t>
      </w:r>
      <w:r w:rsidR="0038066F" w:rsidRPr="0038066F">
        <w:rPr>
          <w:rFonts w:asciiTheme="majorHAnsi" w:hAnsiTheme="majorHAnsi" w:cstheme="majorHAnsi"/>
          <w:color w:val="2F5496" w:themeColor="accent1" w:themeShade="BF"/>
          <w:sz w:val="44"/>
          <w:szCs w:val="44"/>
        </w:rPr>
        <w:t>ritical analys</w:t>
      </w:r>
      <w:r>
        <w:rPr>
          <w:rFonts w:asciiTheme="majorHAnsi" w:hAnsiTheme="majorHAnsi" w:cstheme="majorHAnsi"/>
          <w:color w:val="2F5496" w:themeColor="accent1" w:themeShade="BF"/>
          <w:sz w:val="44"/>
          <w:szCs w:val="44"/>
        </w:rPr>
        <w:t xml:space="preserve">is </w:t>
      </w:r>
      <w:proofErr w:type="gramStart"/>
      <w:r>
        <w:rPr>
          <w:rFonts w:asciiTheme="majorHAnsi" w:hAnsiTheme="majorHAnsi" w:cstheme="majorHAnsi"/>
          <w:color w:val="2F5496" w:themeColor="accent1" w:themeShade="BF"/>
          <w:sz w:val="44"/>
          <w:szCs w:val="44"/>
        </w:rPr>
        <w:t xml:space="preserve">of </w:t>
      </w:r>
      <w:r w:rsidR="0038066F" w:rsidRPr="0038066F">
        <w:rPr>
          <w:rFonts w:asciiTheme="majorHAnsi" w:hAnsiTheme="majorHAnsi" w:cstheme="majorHAnsi"/>
          <w:color w:val="2F5496" w:themeColor="accent1" w:themeShade="BF"/>
          <w:sz w:val="44"/>
          <w:szCs w:val="44"/>
        </w:rPr>
        <w:t xml:space="preserve"> </w:t>
      </w:r>
      <w:r w:rsidR="008D03E4">
        <w:rPr>
          <w:rFonts w:asciiTheme="majorHAnsi" w:hAnsiTheme="majorHAnsi" w:cstheme="majorHAnsi"/>
          <w:color w:val="2F5496" w:themeColor="accent1" w:themeShade="BF"/>
          <w:sz w:val="44"/>
          <w:szCs w:val="44"/>
        </w:rPr>
        <w:t>SPK</w:t>
      </w:r>
      <w:proofErr w:type="gramEnd"/>
      <w:r w:rsidR="008D03E4">
        <w:rPr>
          <w:rFonts w:asciiTheme="majorHAnsi" w:hAnsiTheme="majorHAnsi" w:cstheme="majorHAnsi"/>
          <w:color w:val="2F5496" w:themeColor="accent1" w:themeShade="BF"/>
          <w:sz w:val="44"/>
          <w:szCs w:val="44"/>
        </w:rPr>
        <w:t xml:space="preserve"> </w:t>
      </w:r>
      <w:r w:rsidR="00323535">
        <w:rPr>
          <w:rFonts w:asciiTheme="majorHAnsi" w:hAnsiTheme="majorHAnsi" w:cstheme="majorHAnsi"/>
          <w:color w:val="2F5496" w:themeColor="accent1" w:themeShade="BF"/>
          <w:sz w:val="44"/>
          <w:szCs w:val="44"/>
        </w:rPr>
        <w:t xml:space="preserve">Property Maintenance </w:t>
      </w:r>
      <w:r w:rsidR="0038066F" w:rsidRPr="0038066F">
        <w:rPr>
          <w:rFonts w:asciiTheme="majorHAnsi" w:hAnsiTheme="majorHAnsi" w:cstheme="majorHAnsi"/>
          <w:color w:val="2F5496" w:themeColor="accent1" w:themeShade="BF"/>
          <w:sz w:val="44"/>
          <w:szCs w:val="44"/>
        </w:rPr>
        <w:t>Organisational culture and Organisational climate.</w:t>
      </w:r>
      <w:r w:rsidR="00316FCE">
        <w:rPr>
          <w:rFonts w:asciiTheme="majorHAnsi" w:hAnsiTheme="majorHAnsi" w:cstheme="majorHAnsi"/>
          <w:color w:val="2F5496" w:themeColor="accent1" w:themeShade="BF"/>
          <w:sz w:val="44"/>
          <w:szCs w:val="44"/>
        </w:rPr>
        <w:t xml:space="preserve"> </w:t>
      </w:r>
      <w:r w:rsidR="002E1998" w:rsidRPr="002E1998">
        <w:rPr>
          <w:rFonts w:asciiTheme="majorHAnsi" w:hAnsiTheme="majorHAnsi" w:cstheme="majorHAnsi"/>
          <w:color w:val="2F5496" w:themeColor="accent1" w:themeShade="BF"/>
          <w:sz w:val="44"/>
          <w:szCs w:val="44"/>
        </w:rPr>
        <w:t xml:space="preserve"> </w:t>
      </w:r>
    </w:p>
    <w:p w14:paraId="26E6C7FE"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6C6A303F"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0A268951" w14:textId="23A0CC13" w:rsidR="00BE211A" w:rsidRPr="00BE211A" w:rsidRDefault="00BE211A" w:rsidP="00BE211A">
      <w:pPr>
        <w:spacing w:before="0" w:beforeAutospacing="0" w:after="160" w:line="259" w:lineRule="auto"/>
        <w:jc w:val="center"/>
        <w:rPr>
          <w:rFonts w:asciiTheme="majorHAnsi" w:hAnsiTheme="majorHAnsi" w:cstheme="majorHAnsi"/>
          <w:color w:val="2F5496" w:themeColor="accent1" w:themeShade="BF"/>
          <w:sz w:val="28"/>
          <w:szCs w:val="28"/>
        </w:rPr>
      </w:pPr>
      <w:r w:rsidRPr="00BE211A">
        <w:rPr>
          <w:rFonts w:asciiTheme="majorHAnsi" w:hAnsiTheme="majorHAnsi" w:cstheme="majorHAnsi"/>
          <w:noProof/>
          <w:color w:val="2F5496" w:themeColor="accent1" w:themeShade="BF"/>
          <w:sz w:val="28"/>
          <w:szCs w:val="28"/>
        </w:rPr>
        <w:drawing>
          <wp:inline distT="0" distB="0" distL="0" distR="0" wp14:anchorId="06948106" wp14:editId="2FC03ED9">
            <wp:extent cx="2695575" cy="2606398"/>
            <wp:effectExtent l="0" t="0" r="0" b="3810"/>
            <wp:docPr id="14312706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4880" cy="2615395"/>
                    </a:xfrm>
                    <a:prstGeom prst="rect">
                      <a:avLst/>
                    </a:prstGeom>
                    <a:noFill/>
                    <a:ln>
                      <a:noFill/>
                    </a:ln>
                  </pic:spPr>
                </pic:pic>
              </a:graphicData>
            </a:graphic>
          </wp:inline>
        </w:drawing>
      </w:r>
    </w:p>
    <w:p w14:paraId="1BC7415D"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539B6289"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64048CDA"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166B239B"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1B3931C1"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53C1D70C"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29EE3202" w14:textId="754176C5" w:rsidR="002E1998" w:rsidRDefault="002E1998" w:rsidP="00373C40">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 xml:space="preserve">By </w:t>
      </w:r>
      <w:r w:rsidR="00E63916">
        <w:rPr>
          <w:rFonts w:asciiTheme="majorHAnsi" w:hAnsiTheme="majorHAnsi" w:cstheme="majorHAnsi"/>
          <w:color w:val="2F5496" w:themeColor="accent1" w:themeShade="BF"/>
          <w:sz w:val="28"/>
          <w:szCs w:val="28"/>
        </w:rPr>
        <w:t>Michelle Holland</w:t>
      </w:r>
      <w:r>
        <w:rPr>
          <w:rFonts w:asciiTheme="majorHAnsi" w:hAnsiTheme="majorHAnsi" w:cstheme="majorHAnsi"/>
          <w:color w:val="2F5496" w:themeColor="accent1" w:themeShade="BF"/>
          <w:sz w:val="28"/>
          <w:szCs w:val="28"/>
        </w:rPr>
        <w:t>, Assoc CIPD</w:t>
      </w:r>
    </w:p>
    <w:p w14:paraId="2C9EBC8D" w14:textId="1395EC76" w:rsidR="00373C40" w:rsidRDefault="00373C40" w:rsidP="002E1998">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 xml:space="preserve">Student number: </w:t>
      </w:r>
      <w:r w:rsidR="007311E0">
        <w:rPr>
          <w:rFonts w:asciiTheme="majorHAnsi" w:hAnsiTheme="majorHAnsi" w:cstheme="majorHAnsi"/>
          <w:color w:val="2F5496" w:themeColor="accent1" w:themeShade="BF"/>
          <w:sz w:val="28"/>
          <w:szCs w:val="28"/>
        </w:rPr>
        <w:t>0150986</w:t>
      </w:r>
    </w:p>
    <w:p w14:paraId="240FA15A" w14:textId="5076CA2C" w:rsidR="00373C40" w:rsidRPr="002E1998" w:rsidRDefault="00373C40" w:rsidP="002E1998">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 xml:space="preserve">Word Count: </w:t>
      </w:r>
      <w:r w:rsidR="00FC0674">
        <w:rPr>
          <w:rFonts w:asciiTheme="majorHAnsi" w:hAnsiTheme="majorHAnsi" w:cstheme="majorHAnsi"/>
          <w:color w:val="2F5496" w:themeColor="accent1" w:themeShade="BF"/>
          <w:sz w:val="28"/>
          <w:szCs w:val="28"/>
        </w:rPr>
        <w:t>32</w:t>
      </w:r>
      <w:r w:rsidR="00EB03F7">
        <w:rPr>
          <w:rFonts w:asciiTheme="majorHAnsi" w:hAnsiTheme="majorHAnsi" w:cstheme="majorHAnsi"/>
          <w:color w:val="2F5496" w:themeColor="accent1" w:themeShade="BF"/>
          <w:sz w:val="28"/>
          <w:szCs w:val="28"/>
        </w:rPr>
        <w:t>9</w:t>
      </w:r>
      <w:r w:rsidR="00FC0674">
        <w:rPr>
          <w:rFonts w:asciiTheme="majorHAnsi" w:hAnsiTheme="majorHAnsi" w:cstheme="majorHAnsi"/>
          <w:color w:val="2F5496" w:themeColor="accent1" w:themeShade="BF"/>
          <w:sz w:val="28"/>
          <w:szCs w:val="28"/>
        </w:rPr>
        <w:t>2</w:t>
      </w:r>
    </w:p>
    <w:p w14:paraId="442F9ECC" w14:textId="77777777" w:rsidR="00DD2A6D" w:rsidRDefault="00DD2A6D">
      <w:pPr>
        <w:spacing w:before="0" w:beforeAutospacing="0" w:after="160" w:line="259" w:lineRule="auto"/>
        <w:jc w:val="left"/>
      </w:pPr>
      <w:r>
        <w:br w:type="page"/>
      </w:r>
    </w:p>
    <w:sdt>
      <w:sdtPr>
        <w:rPr>
          <w:rFonts w:asciiTheme="minorHAnsi" w:eastAsia="Times New Roman" w:hAnsiTheme="minorHAnsi" w:cs="Times New Roman"/>
          <w:color w:val="000000" w:themeColor="text1"/>
          <w:sz w:val="24"/>
          <w:szCs w:val="20"/>
          <w:lang w:val="en-GB" w:eastAsia="en-GB"/>
        </w:rPr>
        <w:id w:val="-1383559978"/>
        <w:docPartObj>
          <w:docPartGallery w:val="Table of Contents"/>
          <w:docPartUnique/>
        </w:docPartObj>
      </w:sdtPr>
      <w:sdtEndPr>
        <w:rPr>
          <w:b/>
          <w:bCs/>
          <w:noProof/>
        </w:rPr>
      </w:sdtEndPr>
      <w:sdtContent>
        <w:p w14:paraId="2BECCB95" w14:textId="3CA1D0E4" w:rsidR="00561875" w:rsidRDefault="00561875">
          <w:pPr>
            <w:pStyle w:val="TOCHeading"/>
          </w:pPr>
          <w:r>
            <w:t>Contents</w:t>
          </w:r>
        </w:p>
        <w:p w14:paraId="21C9B8C4" w14:textId="38513B47" w:rsidR="00CA39CE" w:rsidRDefault="00561875">
          <w:pPr>
            <w:pStyle w:val="TOC1"/>
            <w:tabs>
              <w:tab w:val="right" w:leader="dot" w:pos="9016"/>
            </w:tabs>
            <w:rPr>
              <w:rFonts w:eastAsiaTheme="minorEastAsia" w:cstheme="minorBidi"/>
              <w:noProof/>
              <w:color w:val="auto"/>
              <w:kern w:val="2"/>
              <w:szCs w:val="24"/>
              <w14:ligatures w14:val="standardContextual"/>
            </w:rPr>
          </w:pPr>
          <w:r>
            <w:fldChar w:fldCharType="begin"/>
          </w:r>
          <w:r>
            <w:instrText xml:space="preserve"> TOC \o "1-3" \h \z \u </w:instrText>
          </w:r>
          <w:r>
            <w:fldChar w:fldCharType="separate"/>
          </w:r>
          <w:hyperlink w:anchor="_Toc184415769" w:history="1">
            <w:r w:rsidR="00CA39CE" w:rsidRPr="006A381B">
              <w:rPr>
                <w:rStyle w:val="Hyperlink"/>
                <w:noProof/>
              </w:rPr>
              <w:t>1.0 Executive Summary</w:t>
            </w:r>
            <w:r w:rsidR="00CA39CE">
              <w:rPr>
                <w:noProof/>
                <w:webHidden/>
              </w:rPr>
              <w:tab/>
            </w:r>
            <w:r w:rsidR="00CA39CE">
              <w:rPr>
                <w:noProof/>
                <w:webHidden/>
              </w:rPr>
              <w:fldChar w:fldCharType="begin"/>
            </w:r>
            <w:r w:rsidR="00CA39CE">
              <w:rPr>
                <w:noProof/>
                <w:webHidden/>
              </w:rPr>
              <w:instrText xml:space="preserve"> PAGEREF _Toc184415769 \h </w:instrText>
            </w:r>
            <w:r w:rsidR="00CA39CE">
              <w:rPr>
                <w:noProof/>
                <w:webHidden/>
              </w:rPr>
            </w:r>
            <w:r w:rsidR="00CA39CE">
              <w:rPr>
                <w:noProof/>
                <w:webHidden/>
              </w:rPr>
              <w:fldChar w:fldCharType="separate"/>
            </w:r>
            <w:r w:rsidR="00CA39CE">
              <w:rPr>
                <w:noProof/>
                <w:webHidden/>
              </w:rPr>
              <w:t>3</w:t>
            </w:r>
            <w:r w:rsidR="00CA39CE">
              <w:rPr>
                <w:noProof/>
                <w:webHidden/>
              </w:rPr>
              <w:fldChar w:fldCharType="end"/>
            </w:r>
          </w:hyperlink>
        </w:p>
        <w:p w14:paraId="52C20880" w14:textId="23C1E42F" w:rsidR="00CA39CE" w:rsidRDefault="00CA39CE">
          <w:pPr>
            <w:pStyle w:val="TOC1"/>
            <w:tabs>
              <w:tab w:val="right" w:leader="dot" w:pos="9016"/>
            </w:tabs>
            <w:rPr>
              <w:rFonts w:eastAsiaTheme="minorEastAsia" w:cstheme="minorBidi"/>
              <w:noProof/>
              <w:color w:val="auto"/>
              <w:kern w:val="2"/>
              <w:szCs w:val="24"/>
              <w14:ligatures w14:val="standardContextual"/>
            </w:rPr>
          </w:pPr>
          <w:hyperlink w:anchor="_Toc184415770" w:history="1">
            <w:r w:rsidRPr="006A381B">
              <w:rPr>
                <w:rStyle w:val="Hyperlink"/>
                <w:noProof/>
              </w:rPr>
              <w:t>2.0 An introduction to Organisational Culture and Climate</w:t>
            </w:r>
            <w:r>
              <w:rPr>
                <w:noProof/>
                <w:webHidden/>
              </w:rPr>
              <w:tab/>
            </w:r>
            <w:r>
              <w:rPr>
                <w:noProof/>
                <w:webHidden/>
              </w:rPr>
              <w:fldChar w:fldCharType="begin"/>
            </w:r>
            <w:r>
              <w:rPr>
                <w:noProof/>
                <w:webHidden/>
              </w:rPr>
              <w:instrText xml:space="preserve"> PAGEREF _Toc184415770 \h </w:instrText>
            </w:r>
            <w:r>
              <w:rPr>
                <w:noProof/>
                <w:webHidden/>
              </w:rPr>
            </w:r>
            <w:r>
              <w:rPr>
                <w:noProof/>
                <w:webHidden/>
              </w:rPr>
              <w:fldChar w:fldCharType="separate"/>
            </w:r>
            <w:r>
              <w:rPr>
                <w:noProof/>
                <w:webHidden/>
              </w:rPr>
              <w:t>5</w:t>
            </w:r>
            <w:r>
              <w:rPr>
                <w:noProof/>
                <w:webHidden/>
              </w:rPr>
              <w:fldChar w:fldCharType="end"/>
            </w:r>
          </w:hyperlink>
        </w:p>
        <w:p w14:paraId="78CCF368" w14:textId="22B7742C" w:rsidR="00CA39CE" w:rsidRDefault="00CA39CE">
          <w:pPr>
            <w:pStyle w:val="TOC1"/>
            <w:tabs>
              <w:tab w:val="right" w:leader="dot" w:pos="9016"/>
            </w:tabs>
            <w:rPr>
              <w:rFonts w:eastAsiaTheme="minorEastAsia" w:cstheme="minorBidi"/>
              <w:noProof/>
              <w:color w:val="auto"/>
              <w:kern w:val="2"/>
              <w:szCs w:val="24"/>
              <w14:ligatures w14:val="standardContextual"/>
            </w:rPr>
          </w:pPr>
          <w:hyperlink w:anchor="_Toc184415771" w:history="1">
            <w:r w:rsidRPr="006A381B">
              <w:rPr>
                <w:rStyle w:val="Hyperlink"/>
                <w:noProof/>
              </w:rPr>
              <w:t>3.0 Organisational Culture V Organisational Climate</w:t>
            </w:r>
            <w:r>
              <w:rPr>
                <w:noProof/>
                <w:webHidden/>
              </w:rPr>
              <w:tab/>
            </w:r>
            <w:r>
              <w:rPr>
                <w:noProof/>
                <w:webHidden/>
              </w:rPr>
              <w:fldChar w:fldCharType="begin"/>
            </w:r>
            <w:r>
              <w:rPr>
                <w:noProof/>
                <w:webHidden/>
              </w:rPr>
              <w:instrText xml:space="preserve"> PAGEREF _Toc184415771 \h </w:instrText>
            </w:r>
            <w:r>
              <w:rPr>
                <w:noProof/>
                <w:webHidden/>
              </w:rPr>
            </w:r>
            <w:r>
              <w:rPr>
                <w:noProof/>
                <w:webHidden/>
              </w:rPr>
              <w:fldChar w:fldCharType="separate"/>
            </w:r>
            <w:r>
              <w:rPr>
                <w:noProof/>
                <w:webHidden/>
              </w:rPr>
              <w:t>6</w:t>
            </w:r>
            <w:r>
              <w:rPr>
                <w:noProof/>
                <w:webHidden/>
              </w:rPr>
              <w:fldChar w:fldCharType="end"/>
            </w:r>
          </w:hyperlink>
        </w:p>
        <w:p w14:paraId="69A2E5F9" w14:textId="679D3562" w:rsidR="00CA39CE" w:rsidRDefault="00CA39CE">
          <w:pPr>
            <w:pStyle w:val="TOC1"/>
            <w:tabs>
              <w:tab w:val="right" w:leader="dot" w:pos="9016"/>
            </w:tabs>
            <w:rPr>
              <w:rFonts w:eastAsiaTheme="minorEastAsia" w:cstheme="minorBidi"/>
              <w:noProof/>
              <w:color w:val="auto"/>
              <w:kern w:val="2"/>
              <w:szCs w:val="24"/>
              <w14:ligatures w14:val="standardContextual"/>
            </w:rPr>
          </w:pPr>
          <w:hyperlink w:anchor="_Toc184415772" w:history="1">
            <w:r w:rsidRPr="006A381B">
              <w:rPr>
                <w:rStyle w:val="Hyperlink"/>
                <w:noProof/>
                <w:lang w:val="en-US" w:eastAsia="en-US"/>
              </w:rPr>
              <w:t>4.0 Conclusion</w:t>
            </w:r>
            <w:r>
              <w:rPr>
                <w:noProof/>
                <w:webHidden/>
              </w:rPr>
              <w:tab/>
            </w:r>
            <w:r>
              <w:rPr>
                <w:noProof/>
                <w:webHidden/>
              </w:rPr>
              <w:fldChar w:fldCharType="begin"/>
            </w:r>
            <w:r>
              <w:rPr>
                <w:noProof/>
                <w:webHidden/>
              </w:rPr>
              <w:instrText xml:space="preserve"> PAGEREF _Toc184415772 \h </w:instrText>
            </w:r>
            <w:r>
              <w:rPr>
                <w:noProof/>
                <w:webHidden/>
              </w:rPr>
            </w:r>
            <w:r>
              <w:rPr>
                <w:noProof/>
                <w:webHidden/>
              </w:rPr>
              <w:fldChar w:fldCharType="separate"/>
            </w:r>
            <w:r>
              <w:rPr>
                <w:noProof/>
                <w:webHidden/>
              </w:rPr>
              <w:t>11</w:t>
            </w:r>
            <w:r>
              <w:rPr>
                <w:noProof/>
                <w:webHidden/>
              </w:rPr>
              <w:fldChar w:fldCharType="end"/>
            </w:r>
          </w:hyperlink>
        </w:p>
        <w:p w14:paraId="295D71C7" w14:textId="0224D1C8" w:rsidR="00CA39CE" w:rsidRDefault="00CA39CE">
          <w:pPr>
            <w:pStyle w:val="TOC1"/>
            <w:tabs>
              <w:tab w:val="right" w:leader="dot" w:pos="9016"/>
            </w:tabs>
            <w:rPr>
              <w:rFonts w:eastAsiaTheme="minorEastAsia" w:cstheme="minorBidi"/>
              <w:noProof/>
              <w:color w:val="auto"/>
              <w:kern w:val="2"/>
              <w:szCs w:val="24"/>
              <w14:ligatures w14:val="standardContextual"/>
            </w:rPr>
          </w:pPr>
          <w:hyperlink w:anchor="_Toc184415773" w:history="1">
            <w:r w:rsidRPr="006A381B">
              <w:rPr>
                <w:rStyle w:val="Hyperlink"/>
                <w:noProof/>
                <w:lang w:val="en-US" w:eastAsia="en-US"/>
              </w:rPr>
              <w:t>5.0 Recommendations</w:t>
            </w:r>
            <w:r>
              <w:rPr>
                <w:noProof/>
                <w:webHidden/>
              </w:rPr>
              <w:tab/>
            </w:r>
            <w:r>
              <w:rPr>
                <w:noProof/>
                <w:webHidden/>
              </w:rPr>
              <w:fldChar w:fldCharType="begin"/>
            </w:r>
            <w:r>
              <w:rPr>
                <w:noProof/>
                <w:webHidden/>
              </w:rPr>
              <w:instrText xml:space="preserve"> PAGEREF _Toc184415773 \h </w:instrText>
            </w:r>
            <w:r>
              <w:rPr>
                <w:noProof/>
                <w:webHidden/>
              </w:rPr>
            </w:r>
            <w:r>
              <w:rPr>
                <w:noProof/>
                <w:webHidden/>
              </w:rPr>
              <w:fldChar w:fldCharType="separate"/>
            </w:r>
            <w:r>
              <w:rPr>
                <w:noProof/>
                <w:webHidden/>
              </w:rPr>
              <w:t>11</w:t>
            </w:r>
            <w:r>
              <w:rPr>
                <w:noProof/>
                <w:webHidden/>
              </w:rPr>
              <w:fldChar w:fldCharType="end"/>
            </w:r>
          </w:hyperlink>
        </w:p>
        <w:p w14:paraId="00E29D7D" w14:textId="6320F9AB" w:rsidR="00CA39CE" w:rsidRDefault="00CA39CE">
          <w:pPr>
            <w:pStyle w:val="TOC1"/>
            <w:tabs>
              <w:tab w:val="right" w:leader="dot" w:pos="9016"/>
            </w:tabs>
            <w:rPr>
              <w:rFonts w:eastAsiaTheme="minorEastAsia" w:cstheme="minorBidi"/>
              <w:noProof/>
              <w:color w:val="auto"/>
              <w:kern w:val="2"/>
              <w:szCs w:val="24"/>
              <w14:ligatures w14:val="standardContextual"/>
            </w:rPr>
          </w:pPr>
          <w:hyperlink w:anchor="_Toc184415774" w:history="1">
            <w:r w:rsidRPr="006A381B">
              <w:rPr>
                <w:rStyle w:val="Hyperlink"/>
                <w:rFonts w:cstheme="majorHAnsi"/>
                <w:noProof/>
              </w:rPr>
              <w:t>6.0</w:t>
            </w:r>
            <w:r w:rsidRPr="006A381B">
              <w:rPr>
                <w:rStyle w:val="Hyperlink"/>
                <w:noProof/>
              </w:rPr>
              <w:t xml:space="preserve"> References</w:t>
            </w:r>
            <w:r>
              <w:rPr>
                <w:noProof/>
                <w:webHidden/>
              </w:rPr>
              <w:tab/>
            </w:r>
            <w:r>
              <w:rPr>
                <w:noProof/>
                <w:webHidden/>
              </w:rPr>
              <w:fldChar w:fldCharType="begin"/>
            </w:r>
            <w:r>
              <w:rPr>
                <w:noProof/>
                <w:webHidden/>
              </w:rPr>
              <w:instrText xml:space="preserve"> PAGEREF _Toc184415774 \h </w:instrText>
            </w:r>
            <w:r>
              <w:rPr>
                <w:noProof/>
                <w:webHidden/>
              </w:rPr>
            </w:r>
            <w:r>
              <w:rPr>
                <w:noProof/>
                <w:webHidden/>
              </w:rPr>
              <w:fldChar w:fldCharType="separate"/>
            </w:r>
            <w:r>
              <w:rPr>
                <w:noProof/>
                <w:webHidden/>
              </w:rPr>
              <w:t>15</w:t>
            </w:r>
            <w:r>
              <w:rPr>
                <w:noProof/>
                <w:webHidden/>
              </w:rPr>
              <w:fldChar w:fldCharType="end"/>
            </w:r>
          </w:hyperlink>
        </w:p>
        <w:p w14:paraId="364ACE9F" w14:textId="10C06EBF" w:rsidR="00561875" w:rsidRDefault="00561875">
          <w:r>
            <w:rPr>
              <w:b/>
              <w:bCs/>
              <w:noProof/>
            </w:rPr>
            <w:fldChar w:fldCharType="end"/>
          </w:r>
        </w:p>
      </w:sdtContent>
    </w:sdt>
    <w:p w14:paraId="20E12F75" w14:textId="1D69E41B" w:rsidR="00872E53" w:rsidRPr="00872E53" w:rsidRDefault="00872E53" w:rsidP="00872E53">
      <w:pPr>
        <w:pStyle w:val="TableofFigures"/>
        <w:tabs>
          <w:tab w:val="right" w:leader="dot" w:pos="9016"/>
        </w:tabs>
        <w:jc w:val="left"/>
        <w:rPr>
          <w:rFonts w:cstheme="minorHAnsi"/>
          <w:i/>
          <w:iCs/>
          <w:noProof/>
          <w:color w:val="auto"/>
          <w:sz w:val="22"/>
          <w:szCs w:val="22"/>
        </w:rPr>
      </w:pPr>
      <w:r w:rsidRPr="00872E53">
        <w:rPr>
          <w:rFonts w:cstheme="minorHAnsi"/>
          <w:i/>
          <w:iCs/>
          <w:color w:val="auto"/>
          <w:sz w:val="22"/>
          <w:szCs w:val="22"/>
        </w:rPr>
        <w:fldChar w:fldCharType="begin"/>
      </w:r>
      <w:r w:rsidRPr="00872E53">
        <w:rPr>
          <w:rFonts w:cstheme="minorHAnsi"/>
          <w:i/>
          <w:iCs/>
          <w:color w:val="auto"/>
          <w:sz w:val="22"/>
          <w:szCs w:val="22"/>
        </w:rPr>
        <w:instrText xml:space="preserve"> TOC \h \z \c "Figure" </w:instrText>
      </w:r>
      <w:r w:rsidRPr="00872E53">
        <w:rPr>
          <w:rFonts w:cstheme="minorHAnsi"/>
          <w:i/>
          <w:iCs/>
          <w:color w:val="auto"/>
          <w:sz w:val="22"/>
          <w:szCs w:val="22"/>
        </w:rPr>
        <w:fldChar w:fldCharType="separate"/>
      </w:r>
    </w:p>
    <w:p w14:paraId="744AC651" w14:textId="47EC7F5D" w:rsidR="00872E53" w:rsidRPr="00872E53" w:rsidRDefault="00872E53" w:rsidP="00872E53">
      <w:pPr>
        <w:pStyle w:val="Caption"/>
        <w:jc w:val="left"/>
        <w:rPr>
          <w:rFonts w:cstheme="minorHAnsi"/>
          <w:color w:val="auto"/>
          <w:sz w:val="22"/>
          <w:szCs w:val="22"/>
        </w:rPr>
      </w:pPr>
      <w:r w:rsidRPr="00872E53">
        <w:rPr>
          <w:rFonts w:cstheme="minorHAnsi"/>
          <w:color w:val="auto"/>
          <w:sz w:val="22"/>
          <w:szCs w:val="22"/>
        </w:rPr>
        <w:fldChar w:fldCharType="end"/>
      </w:r>
      <w:r w:rsidRPr="00872E53">
        <w:rPr>
          <w:rFonts w:cstheme="minorHAnsi"/>
          <w:color w:val="auto"/>
          <w:sz w:val="22"/>
          <w:szCs w:val="22"/>
        </w:rPr>
        <w:fldChar w:fldCharType="begin"/>
      </w:r>
      <w:r w:rsidRPr="00872E53">
        <w:rPr>
          <w:rFonts w:cstheme="minorHAnsi"/>
          <w:color w:val="auto"/>
          <w:sz w:val="22"/>
          <w:szCs w:val="22"/>
        </w:rPr>
        <w:instrText xml:space="preserve"> TOC \h \z \c "Figure" </w:instrText>
      </w:r>
      <w:r w:rsidRPr="00872E53">
        <w:rPr>
          <w:rFonts w:cstheme="minorHAnsi"/>
          <w:color w:val="auto"/>
          <w:sz w:val="22"/>
          <w:szCs w:val="22"/>
        </w:rPr>
        <w:fldChar w:fldCharType="separate"/>
      </w:r>
    </w:p>
    <w:p w14:paraId="38D275E2" w14:textId="73A70AA8" w:rsidR="00872E53" w:rsidRPr="00872E53" w:rsidRDefault="00872E53" w:rsidP="00872E53">
      <w:pPr>
        <w:pStyle w:val="TableofFigures"/>
        <w:tabs>
          <w:tab w:val="right" w:leader="dot" w:pos="9016"/>
        </w:tabs>
        <w:jc w:val="left"/>
        <w:rPr>
          <w:rFonts w:cstheme="minorHAnsi"/>
          <w:i/>
          <w:iCs/>
          <w:noProof/>
          <w:color w:val="auto"/>
          <w:sz w:val="22"/>
          <w:szCs w:val="22"/>
        </w:rPr>
      </w:pPr>
    </w:p>
    <w:p w14:paraId="0F8312D4" w14:textId="7D011FFC" w:rsidR="00015E2A" w:rsidRDefault="00872E53" w:rsidP="00872E53">
      <w:pPr>
        <w:pStyle w:val="Heading1"/>
        <w:jc w:val="left"/>
      </w:pPr>
      <w:r w:rsidRPr="00872E53">
        <w:rPr>
          <w:rFonts w:asciiTheme="minorHAnsi" w:hAnsiTheme="minorHAnsi" w:cstheme="minorHAnsi"/>
          <w:i/>
          <w:iCs/>
          <w:color w:val="auto"/>
          <w:sz w:val="22"/>
          <w:szCs w:val="22"/>
        </w:rPr>
        <w:fldChar w:fldCharType="end"/>
      </w:r>
      <w:r w:rsidR="00015E2A">
        <w:br w:type="page"/>
      </w:r>
      <w:bookmarkStart w:id="0" w:name="_Toc184415769"/>
      <w:r w:rsidR="002A1E9B">
        <w:lastRenderedPageBreak/>
        <w:t xml:space="preserve">1.0 </w:t>
      </w:r>
      <w:r w:rsidR="00742ADC">
        <w:t>Executive Summary</w:t>
      </w:r>
      <w:bookmarkEnd w:id="0"/>
    </w:p>
    <w:p w14:paraId="6CB7DDF5" w14:textId="45E8E83C" w:rsidR="0034607E" w:rsidRPr="007F46DE" w:rsidRDefault="0034607E" w:rsidP="00470010">
      <w:pPr>
        <w:pStyle w:val="NoSpacing"/>
        <w:jc w:val="left"/>
        <w:rPr>
          <w:rFonts w:ascii="Arial" w:eastAsiaTheme="majorEastAsia" w:hAnsi="Arial" w:cs="Arial"/>
        </w:rPr>
      </w:pPr>
      <w:r w:rsidRPr="007F46DE">
        <w:rPr>
          <w:rFonts w:ascii="Arial" w:eastAsiaTheme="majorEastAsia" w:hAnsi="Arial" w:cs="Arial"/>
        </w:rPr>
        <w:t>This report evaluates the organisational culture and climate of SPK Property Solutions</w:t>
      </w:r>
      <w:r w:rsidR="00762B7E">
        <w:rPr>
          <w:rFonts w:ascii="Arial" w:eastAsiaTheme="majorEastAsia" w:hAnsi="Arial" w:cs="Arial"/>
        </w:rPr>
        <w:t xml:space="preserve"> (SPK)</w:t>
      </w:r>
      <w:r w:rsidRPr="007F46DE">
        <w:rPr>
          <w:rFonts w:ascii="Arial" w:eastAsiaTheme="majorEastAsia" w:hAnsi="Arial" w:cs="Arial"/>
        </w:rPr>
        <w:t>, a locally based property maintenance company, in alignment with the CIPD Good Work Index (2024) and the CIPD maturity model (2017). It provides an analysis of how these concepts influence employee engagement, motivation, and overall performance, offering actionable recommendations to address current gaps and drive organisational development.</w:t>
      </w:r>
    </w:p>
    <w:p w14:paraId="64CAECA6" w14:textId="77777777" w:rsidR="0034607E" w:rsidRPr="007F46DE" w:rsidRDefault="0034607E" w:rsidP="00470010">
      <w:pPr>
        <w:pStyle w:val="NoSpacing"/>
        <w:jc w:val="left"/>
        <w:rPr>
          <w:rFonts w:ascii="Arial" w:eastAsiaTheme="majorEastAsia" w:hAnsi="Arial" w:cs="Arial"/>
        </w:rPr>
      </w:pPr>
      <w:r w:rsidRPr="007F46DE">
        <w:rPr>
          <w:rFonts w:ascii="Arial" w:eastAsiaTheme="majorEastAsia" w:hAnsi="Arial" w:cs="Arial"/>
        </w:rPr>
        <w:t>The report begins by critically analysing the distinction between organisational culture and climate. While culture encompasses the deeply embedded values and beliefs shaping long-term behaviours, climate reflects employees’ perceptions of workplace policies and practices, offering a more tangible and immediate metric for change. Focusing on climate enables the organisation to address specific issues that influence day-to-day engagement and productivity.</w:t>
      </w:r>
    </w:p>
    <w:p w14:paraId="142FD37A" w14:textId="267F4A79" w:rsidR="00265BAD" w:rsidRPr="0029168D" w:rsidRDefault="00265BAD" w:rsidP="00265BAD">
      <w:pPr>
        <w:spacing w:before="0" w:beforeAutospacing="0" w:after="160" w:line="278" w:lineRule="auto"/>
        <w:rPr>
          <w:b/>
          <w:bCs/>
          <w:color w:val="538135" w:themeColor="accent6" w:themeShade="BF"/>
        </w:rPr>
      </w:pPr>
    </w:p>
    <w:p w14:paraId="0DBBB37F" w14:textId="65E875FD" w:rsidR="0034607E" w:rsidRPr="0034607E" w:rsidRDefault="0034607E" w:rsidP="0034607E">
      <w:pPr>
        <w:rPr>
          <w:rFonts w:eastAsiaTheme="majorEastAsia"/>
        </w:rPr>
      </w:pPr>
    </w:p>
    <w:p w14:paraId="59004DC8" w14:textId="2B5028BE" w:rsidR="00075B52" w:rsidRPr="00A7590B" w:rsidRDefault="00075B52" w:rsidP="00A7590B">
      <w:pPr>
        <w:rPr>
          <w:rFonts w:eastAsiaTheme="majorEastAsia"/>
        </w:rPr>
      </w:pPr>
    </w:p>
    <w:p w14:paraId="0D9C8000" w14:textId="77777777" w:rsidR="00B349A1" w:rsidRDefault="00B349A1">
      <w:pPr>
        <w:spacing w:before="0" w:beforeAutospacing="0" w:after="160" w:line="259" w:lineRule="auto"/>
        <w:jc w:val="left"/>
        <w:rPr>
          <w:rFonts w:asciiTheme="majorHAnsi" w:eastAsiaTheme="majorEastAsia" w:hAnsiTheme="majorHAnsi" w:cstheme="majorBidi"/>
          <w:color w:val="2F5496" w:themeColor="accent1" w:themeShade="BF"/>
          <w:sz w:val="32"/>
          <w:szCs w:val="32"/>
        </w:rPr>
      </w:pPr>
      <w:r>
        <w:br w:type="page"/>
      </w:r>
    </w:p>
    <w:p w14:paraId="49E4C78D" w14:textId="437E7C4C" w:rsidR="00577565" w:rsidRPr="009370BF" w:rsidRDefault="002A1E9B" w:rsidP="00015E2A">
      <w:pPr>
        <w:pStyle w:val="Heading1"/>
      </w:pPr>
      <w:bookmarkStart w:id="1" w:name="_Toc184415770"/>
      <w:r>
        <w:lastRenderedPageBreak/>
        <w:t xml:space="preserve">2.0 </w:t>
      </w:r>
      <w:r w:rsidR="00577565" w:rsidRPr="009370BF">
        <w:t xml:space="preserve">An introduction </w:t>
      </w:r>
      <w:r w:rsidR="00807240">
        <w:t>to</w:t>
      </w:r>
      <w:r w:rsidR="00577565" w:rsidRPr="009370BF">
        <w:t xml:space="preserve"> </w:t>
      </w:r>
      <w:r w:rsidR="00385228">
        <w:t>Organisational Culture and Climate</w:t>
      </w:r>
      <w:bookmarkEnd w:id="1"/>
    </w:p>
    <w:p w14:paraId="1E210082" w14:textId="063494FF" w:rsidR="00D65B18" w:rsidRPr="00E31023" w:rsidRDefault="00D65B18" w:rsidP="00E31023">
      <w:pPr>
        <w:pStyle w:val="NoSpacing"/>
        <w:jc w:val="left"/>
        <w:rPr>
          <w:rFonts w:ascii="Arial" w:hAnsi="Arial" w:cs="Arial"/>
        </w:rPr>
      </w:pPr>
      <w:r w:rsidRPr="00E31023">
        <w:rPr>
          <w:rFonts w:ascii="Arial" w:hAnsi="Arial" w:cs="Arial"/>
        </w:rPr>
        <w:t xml:space="preserve">Organisational culture and climate are crucial factors influencing employee engagement, productivity, and innovation. Understanding and improving these elements is particularly significant for </w:t>
      </w:r>
      <w:r w:rsidR="004D04BE">
        <w:rPr>
          <w:rFonts w:ascii="Arial" w:hAnsi="Arial" w:cs="Arial"/>
        </w:rPr>
        <w:t>SPK</w:t>
      </w:r>
      <w:r w:rsidRPr="00E31023">
        <w:rPr>
          <w:rFonts w:ascii="Arial" w:hAnsi="Arial" w:cs="Arial"/>
        </w:rPr>
        <w:t xml:space="preserve">, a </w:t>
      </w:r>
      <w:r w:rsidR="004D04BE">
        <w:rPr>
          <w:rFonts w:ascii="Arial" w:hAnsi="Arial" w:cs="Arial"/>
        </w:rPr>
        <w:t>locally</w:t>
      </w:r>
      <w:r w:rsidR="00340706">
        <w:rPr>
          <w:rFonts w:ascii="Arial" w:hAnsi="Arial" w:cs="Arial"/>
        </w:rPr>
        <w:t xml:space="preserve"> </w:t>
      </w:r>
      <w:r w:rsidRPr="00E31023">
        <w:rPr>
          <w:rFonts w:ascii="Arial" w:hAnsi="Arial" w:cs="Arial"/>
        </w:rPr>
        <w:t>based property maintenance company operating in a competitive and dynamic market. This report aims to evaluate the organisation's culture and climate, assess its current position using established models, and provide actionable recommendations for management development and organisational change.</w:t>
      </w:r>
    </w:p>
    <w:p w14:paraId="731D36CB" w14:textId="77777777" w:rsidR="00D65B18" w:rsidRPr="00E31023" w:rsidRDefault="00D65B18" w:rsidP="00E31023">
      <w:pPr>
        <w:pStyle w:val="NoSpacing"/>
        <w:jc w:val="left"/>
        <w:rPr>
          <w:rFonts w:ascii="Arial" w:hAnsi="Arial" w:cs="Arial"/>
        </w:rPr>
      </w:pPr>
      <w:r w:rsidRPr="00E31023">
        <w:rPr>
          <w:rFonts w:ascii="Arial" w:hAnsi="Arial" w:cs="Arial"/>
        </w:rPr>
        <w:t>Organisational culture refers to the shared values, beliefs, and assumptions that shape behaviours within a company, often determining how employees interact and perform (Schein, 2010). On the other hand, organisational climate represents employees' perceptions of workplace practices and policies, offering a more measurable and immediate insight into their experiences (Patterson et al., 2005). While culture provides a long-term foundation, focusing on climate offers practical avenues for short- and medium-term improvements (Schneider et al., 2013).</w:t>
      </w:r>
    </w:p>
    <w:p w14:paraId="42CBF318" w14:textId="77777777" w:rsidR="00D65B18" w:rsidRPr="00E31023" w:rsidRDefault="00D65B18" w:rsidP="00E31023">
      <w:pPr>
        <w:pStyle w:val="NoSpacing"/>
        <w:jc w:val="left"/>
        <w:rPr>
          <w:rFonts w:ascii="Arial" w:hAnsi="Arial" w:cs="Arial"/>
        </w:rPr>
      </w:pPr>
      <w:r w:rsidRPr="00E31023">
        <w:rPr>
          <w:rFonts w:ascii="Arial" w:hAnsi="Arial" w:cs="Arial"/>
        </w:rPr>
        <w:t xml:space="preserve">To guide this evaluation, the </w:t>
      </w:r>
      <w:r w:rsidRPr="00E31023">
        <w:rPr>
          <w:rFonts w:ascii="Arial" w:hAnsi="Arial" w:cs="Arial"/>
          <w:b/>
          <w:bCs/>
        </w:rPr>
        <w:t>CIPD maturity model</w:t>
      </w:r>
      <w:r w:rsidRPr="00E31023">
        <w:rPr>
          <w:rFonts w:ascii="Arial" w:hAnsi="Arial" w:cs="Arial"/>
        </w:rPr>
        <w:t xml:space="preserve"> (2017) will be applied, which identifies four levels of organisational development, from initial to leading practices. Two key climate dimensions—</w:t>
      </w:r>
      <w:r w:rsidRPr="00E31023">
        <w:rPr>
          <w:rFonts w:ascii="Arial" w:hAnsi="Arial" w:cs="Arial"/>
          <w:b/>
          <w:bCs/>
        </w:rPr>
        <w:t>inclusion climate</w:t>
      </w:r>
      <w:r w:rsidRPr="00E31023">
        <w:rPr>
          <w:rFonts w:ascii="Arial" w:hAnsi="Arial" w:cs="Arial"/>
        </w:rPr>
        <w:t xml:space="preserve"> and </w:t>
      </w:r>
      <w:r w:rsidRPr="00E31023">
        <w:rPr>
          <w:rFonts w:ascii="Arial" w:hAnsi="Arial" w:cs="Arial"/>
          <w:b/>
          <w:bCs/>
        </w:rPr>
        <w:t>innovation climate</w:t>
      </w:r>
      <w:r w:rsidRPr="00E31023">
        <w:rPr>
          <w:rFonts w:ascii="Arial" w:hAnsi="Arial" w:cs="Arial"/>
        </w:rPr>
        <w:t>—are analysed to pinpoint strengths and areas for improvement. These dimensions are particularly relevant in fostering diversity and creativity, which are essential for maintaining competitive advantage in today’s market (Nishii, 2013; Amabile, 1996).</w:t>
      </w:r>
    </w:p>
    <w:p w14:paraId="2539C88C" w14:textId="2E350D0E" w:rsidR="00D65B18" w:rsidRPr="00E31023" w:rsidRDefault="00D65B18" w:rsidP="00E31023">
      <w:pPr>
        <w:pStyle w:val="NoSpacing"/>
        <w:jc w:val="left"/>
        <w:rPr>
          <w:rFonts w:ascii="Arial" w:hAnsi="Arial" w:cs="Arial"/>
        </w:rPr>
      </w:pPr>
      <w:r w:rsidRPr="00E31023">
        <w:rPr>
          <w:rFonts w:ascii="Arial" w:hAnsi="Arial" w:cs="Arial"/>
        </w:rPr>
        <w:t xml:space="preserve">Additionally, Cameron and Quinn’s </w:t>
      </w:r>
      <w:r w:rsidRPr="00E31023">
        <w:rPr>
          <w:rFonts w:ascii="Arial" w:hAnsi="Arial" w:cs="Arial"/>
          <w:b/>
          <w:bCs/>
        </w:rPr>
        <w:t>Competing Values Framework (CVF)</w:t>
      </w:r>
      <w:r w:rsidRPr="00E31023">
        <w:rPr>
          <w:rFonts w:ascii="Arial" w:hAnsi="Arial" w:cs="Arial"/>
        </w:rPr>
        <w:t xml:space="preserve"> (2006) is employed to analyse </w:t>
      </w:r>
      <w:r w:rsidR="004152DD">
        <w:rPr>
          <w:rFonts w:ascii="Arial" w:hAnsi="Arial" w:cs="Arial"/>
        </w:rPr>
        <w:t>SPK</w:t>
      </w:r>
      <w:r w:rsidRPr="00E31023">
        <w:rPr>
          <w:rFonts w:ascii="Arial" w:hAnsi="Arial" w:cs="Arial"/>
        </w:rPr>
        <w:t>'s current culture, highlighting its hierarchical tendencies and opportunities to transition toward a more collaborative approach.</w:t>
      </w:r>
    </w:p>
    <w:p w14:paraId="34CF5AC2" w14:textId="09FD6BAB" w:rsidR="00D65B18" w:rsidRPr="00E31023" w:rsidRDefault="00D65B18" w:rsidP="00E31023">
      <w:pPr>
        <w:pStyle w:val="NoSpacing"/>
        <w:jc w:val="left"/>
        <w:rPr>
          <w:rFonts w:ascii="Arial" w:hAnsi="Arial" w:cs="Arial"/>
        </w:rPr>
      </w:pPr>
      <w:r w:rsidRPr="00E31023">
        <w:rPr>
          <w:rFonts w:ascii="Arial" w:hAnsi="Arial" w:cs="Arial"/>
        </w:rPr>
        <w:t xml:space="preserve">This report ultimately provides evidence-based recommendations aimed at enhancing </w:t>
      </w:r>
      <w:r w:rsidR="001F6454">
        <w:rPr>
          <w:rFonts w:ascii="Arial" w:hAnsi="Arial" w:cs="Arial"/>
        </w:rPr>
        <w:t>SPK’s overall</w:t>
      </w:r>
      <w:r w:rsidRPr="00E31023">
        <w:rPr>
          <w:rFonts w:ascii="Arial" w:hAnsi="Arial" w:cs="Arial"/>
        </w:rPr>
        <w:t xml:space="preserve"> performance through better alignment of culture and climate with strategic goals, as underscored by the </w:t>
      </w:r>
      <w:r w:rsidRPr="00E31023">
        <w:rPr>
          <w:rFonts w:ascii="Arial" w:hAnsi="Arial" w:cs="Arial"/>
          <w:b/>
          <w:bCs/>
        </w:rPr>
        <w:t>CIPD Good Work Index (2024)</w:t>
      </w:r>
      <w:r w:rsidRPr="00E31023">
        <w:rPr>
          <w:rFonts w:ascii="Arial" w:hAnsi="Arial" w:cs="Arial"/>
        </w:rPr>
        <w:t>.</w:t>
      </w:r>
    </w:p>
    <w:p w14:paraId="686E3BCA" w14:textId="77777777" w:rsidR="00F37FE8" w:rsidRPr="009370BF" w:rsidRDefault="00F37FE8" w:rsidP="009370BF">
      <w:pPr>
        <w:rPr>
          <w:color w:val="auto"/>
        </w:rPr>
      </w:pPr>
    </w:p>
    <w:p w14:paraId="48FB89C5" w14:textId="77777777" w:rsidR="00F37FE8" w:rsidRPr="009370BF" w:rsidRDefault="00F37FE8" w:rsidP="009370BF">
      <w:pPr>
        <w:rPr>
          <w:color w:val="auto"/>
        </w:rPr>
      </w:pPr>
    </w:p>
    <w:p w14:paraId="55223F3E" w14:textId="77777777" w:rsidR="004964FE" w:rsidRPr="009370BF" w:rsidRDefault="004964FE" w:rsidP="009370BF">
      <w:pPr>
        <w:rPr>
          <w:color w:val="auto"/>
        </w:rPr>
      </w:pPr>
    </w:p>
    <w:p w14:paraId="47D97E24" w14:textId="77777777" w:rsidR="004262EB" w:rsidRPr="009370BF" w:rsidRDefault="004262EB" w:rsidP="009370BF">
      <w:pPr>
        <w:rPr>
          <w:color w:val="auto"/>
        </w:rPr>
      </w:pPr>
    </w:p>
    <w:p w14:paraId="31D059E4" w14:textId="56DFE55F" w:rsidR="004262EB" w:rsidRPr="009370BF" w:rsidRDefault="004262EB" w:rsidP="009370BF">
      <w:pPr>
        <w:rPr>
          <w:color w:val="auto"/>
        </w:rPr>
      </w:pPr>
      <w:r w:rsidRPr="009370BF">
        <w:rPr>
          <w:color w:val="auto"/>
        </w:rPr>
        <w:br w:type="page"/>
      </w:r>
    </w:p>
    <w:p w14:paraId="68C83ABF" w14:textId="343EBEA9" w:rsidR="00577565" w:rsidRPr="009370BF" w:rsidRDefault="002A1E9B" w:rsidP="009452C7">
      <w:pPr>
        <w:pStyle w:val="Heading1"/>
      </w:pPr>
      <w:bookmarkStart w:id="2" w:name="_Toc184415771"/>
      <w:r>
        <w:lastRenderedPageBreak/>
        <w:t xml:space="preserve">3.0 </w:t>
      </w:r>
      <w:r w:rsidR="003678DD">
        <w:t>Organisational Culture V Organisational Climate</w:t>
      </w:r>
      <w:bookmarkEnd w:id="2"/>
    </w:p>
    <w:p w14:paraId="498C7EAA" w14:textId="3D0B5A6F" w:rsidR="003F351D" w:rsidRPr="00E8753D" w:rsidRDefault="002A1E9B" w:rsidP="00E8753D">
      <w:pPr>
        <w:pStyle w:val="NoSpacing"/>
        <w:jc w:val="left"/>
        <w:rPr>
          <w:rFonts w:ascii="Arial" w:hAnsi="Arial" w:cs="Arial"/>
        </w:rPr>
      </w:pPr>
      <w:r w:rsidRPr="00E8753D">
        <w:rPr>
          <w:rFonts w:ascii="Arial" w:hAnsi="Arial" w:cs="Arial"/>
        </w:rPr>
        <w:t xml:space="preserve">3.1 </w:t>
      </w:r>
      <w:r w:rsidR="003F351D" w:rsidRPr="00E8753D">
        <w:rPr>
          <w:rFonts w:ascii="Arial" w:hAnsi="Arial" w:cs="Arial"/>
        </w:rPr>
        <w:t>Comparative Analysis of Organisational Culture and Climate</w:t>
      </w:r>
      <w:r w:rsidR="00F66458" w:rsidRPr="00E8753D">
        <w:rPr>
          <w:rFonts w:ascii="Arial" w:hAnsi="Arial" w:cs="Arial"/>
        </w:rPr>
        <w:t xml:space="preserve"> </w:t>
      </w:r>
    </w:p>
    <w:p w14:paraId="42825268" w14:textId="1061D782" w:rsidR="0011634D" w:rsidRPr="00E8753D" w:rsidRDefault="0011634D" w:rsidP="00E8753D">
      <w:pPr>
        <w:pStyle w:val="NoSpacing"/>
        <w:jc w:val="left"/>
        <w:rPr>
          <w:rFonts w:ascii="Arial" w:hAnsi="Arial" w:cs="Arial"/>
          <w:szCs w:val="24"/>
        </w:rPr>
      </w:pPr>
      <w:r w:rsidRPr="00E8753D">
        <w:rPr>
          <w:rFonts w:ascii="Arial" w:hAnsi="Arial" w:cs="Arial"/>
          <w:szCs w:val="24"/>
        </w:rPr>
        <w:t>Organisational culture and climate are distinct yet interconnected concepts that shape the employee experience and influence organisational outcomes. In the context of a property maintenance company</w:t>
      </w:r>
      <w:r w:rsidR="00D87488">
        <w:rPr>
          <w:rFonts w:ascii="Arial" w:hAnsi="Arial" w:cs="Arial"/>
          <w:szCs w:val="24"/>
        </w:rPr>
        <w:t xml:space="preserve"> such as SPK</w:t>
      </w:r>
      <w:r w:rsidRPr="00E8753D">
        <w:rPr>
          <w:rFonts w:ascii="Arial" w:hAnsi="Arial" w:cs="Arial"/>
          <w:szCs w:val="24"/>
        </w:rPr>
        <w:t>, understanding and managing these elements is crucial, particularly given the dynamic challenges of the industry, including client expectations, safety concerns,</w:t>
      </w:r>
      <w:r w:rsidR="00D87488">
        <w:rPr>
          <w:rFonts w:ascii="Arial" w:hAnsi="Arial" w:cs="Arial"/>
          <w:szCs w:val="24"/>
        </w:rPr>
        <w:t xml:space="preserve"> dramatic resource costs</w:t>
      </w:r>
      <w:r w:rsidRPr="00E8753D">
        <w:rPr>
          <w:rFonts w:ascii="Arial" w:hAnsi="Arial" w:cs="Arial"/>
          <w:szCs w:val="24"/>
        </w:rPr>
        <w:t xml:space="preserve"> and workforce diversity. While culture provides the foundation for shared values and behaviours, climate reflects employees’ day-to-day perceptions of the work environment. </w:t>
      </w:r>
      <w:r w:rsidRPr="00E8753D">
        <w:rPr>
          <w:rFonts w:ascii="Arial" w:eastAsiaTheme="majorEastAsia" w:hAnsi="Arial" w:cs="Arial"/>
          <w:color w:val="auto"/>
          <w:szCs w:val="24"/>
        </w:rPr>
        <w:t>Understanding these distinctions and their relationship is crucial for implementing targeted interventions, particularly in organisations seeking to enhance engagement, innovation, and overall effectiveness.</w:t>
      </w:r>
    </w:p>
    <w:p w14:paraId="32E8142B" w14:textId="34EEFB53" w:rsidR="00A66B6C" w:rsidRPr="00E8753D" w:rsidRDefault="0011634D" w:rsidP="00E8753D">
      <w:pPr>
        <w:pStyle w:val="NoSpacing"/>
        <w:jc w:val="left"/>
        <w:rPr>
          <w:rFonts w:ascii="Arial" w:hAnsi="Arial" w:cs="Arial"/>
          <w:szCs w:val="24"/>
        </w:rPr>
      </w:pPr>
      <w:r w:rsidRPr="002E2525">
        <w:rPr>
          <w:rFonts w:ascii="Arial" w:hAnsi="Arial" w:cs="Arial"/>
          <w:color w:val="auto"/>
          <w:szCs w:val="24"/>
        </w:rPr>
        <w:t>Focusing on climate offers immediate, practical insights for addressing operational challenges and</w:t>
      </w:r>
      <w:r w:rsidR="002E2525" w:rsidRPr="002E2525">
        <w:rPr>
          <w:rFonts w:ascii="Arial" w:hAnsi="Arial" w:cs="Arial"/>
          <w:color w:val="auto"/>
          <w:szCs w:val="24"/>
        </w:rPr>
        <w:t xml:space="preserve"> in turn can</w:t>
      </w:r>
      <w:r w:rsidRPr="002E2525">
        <w:rPr>
          <w:rFonts w:ascii="Arial" w:hAnsi="Arial" w:cs="Arial"/>
          <w:color w:val="auto"/>
          <w:szCs w:val="24"/>
        </w:rPr>
        <w:t xml:space="preserve"> enhanc</w:t>
      </w:r>
      <w:r w:rsidR="002E2525" w:rsidRPr="002E2525">
        <w:rPr>
          <w:rFonts w:ascii="Arial" w:hAnsi="Arial" w:cs="Arial"/>
          <w:color w:val="auto"/>
          <w:szCs w:val="24"/>
        </w:rPr>
        <w:t>e</w:t>
      </w:r>
      <w:r w:rsidRPr="002E2525">
        <w:rPr>
          <w:rFonts w:ascii="Arial" w:hAnsi="Arial" w:cs="Arial"/>
          <w:color w:val="auto"/>
          <w:szCs w:val="24"/>
        </w:rPr>
        <w:t xml:space="preserve"> employee engagement.</w:t>
      </w:r>
    </w:p>
    <w:p w14:paraId="74EB8F85" w14:textId="77777777" w:rsidR="00A66B6C" w:rsidRDefault="00A66B6C" w:rsidP="004D65C6">
      <w:pPr>
        <w:rPr>
          <w:b/>
          <w:bCs/>
        </w:rPr>
      </w:pPr>
    </w:p>
    <w:p w14:paraId="7576C13F" w14:textId="4DCE71F9" w:rsidR="004D65C6" w:rsidRPr="00E8753D" w:rsidRDefault="00DA6DD4" w:rsidP="004D65C6">
      <w:pPr>
        <w:rPr>
          <w:rFonts w:ascii="Arial" w:hAnsi="Arial" w:cs="Arial"/>
        </w:rPr>
      </w:pPr>
      <w:r w:rsidRPr="00E8753D">
        <w:rPr>
          <w:rFonts w:ascii="Arial" w:hAnsi="Arial" w:cs="Arial"/>
        </w:rPr>
        <w:t xml:space="preserve">3.2 </w:t>
      </w:r>
      <w:r w:rsidR="00F66458" w:rsidRPr="00E8753D">
        <w:rPr>
          <w:rFonts w:ascii="Arial" w:hAnsi="Arial" w:cs="Arial"/>
        </w:rPr>
        <w:t>I</w:t>
      </w:r>
      <w:r w:rsidR="00A66B6C" w:rsidRPr="00E8753D">
        <w:rPr>
          <w:rFonts w:ascii="Arial" w:hAnsi="Arial" w:cs="Arial"/>
        </w:rPr>
        <w:t>nterconnectedness</w:t>
      </w:r>
      <w:r w:rsidR="004D65C6" w:rsidRPr="00E8753D">
        <w:rPr>
          <w:rFonts w:ascii="Arial" w:hAnsi="Arial" w:cs="Arial"/>
        </w:rPr>
        <w:t xml:space="preserve"> of Culture and Climate</w:t>
      </w:r>
    </w:p>
    <w:p w14:paraId="67E08698" w14:textId="32A98C5B" w:rsidR="004D65C6" w:rsidRPr="00BC76D9" w:rsidRDefault="004D65C6" w:rsidP="00681969">
      <w:pPr>
        <w:pStyle w:val="NoSpacing"/>
        <w:jc w:val="left"/>
        <w:rPr>
          <w:rFonts w:ascii="Arial" w:hAnsi="Arial" w:cs="Arial"/>
        </w:rPr>
      </w:pPr>
      <w:r w:rsidRPr="00BC76D9">
        <w:rPr>
          <w:rFonts w:ascii="Arial" w:hAnsi="Arial" w:cs="Arial"/>
        </w:rPr>
        <w:t>Organisational culture represents the deeply embedded values, beliefs, and norms that evolve over time, creating a collective identity for the organisation (Schein, 2010). It operates at a macro level</w:t>
      </w:r>
      <w:r w:rsidR="00FA6B43">
        <w:rPr>
          <w:rFonts w:ascii="Arial" w:hAnsi="Arial" w:cs="Arial"/>
        </w:rPr>
        <w:t xml:space="preserve"> by</w:t>
      </w:r>
      <w:r w:rsidRPr="00BC76D9">
        <w:rPr>
          <w:rFonts w:ascii="Arial" w:hAnsi="Arial" w:cs="Arial"/>
        </w:rPr>
        <w:t xml:space="preserve"> influencing long-term strategy and the organisation's fundamental</w:t>
      </w:r>
      <w:r w:rsidR="00681969">
        <w:rPr>
          <w:rFonts w:ascii="Arial" w:hAnsi="Arial" w:cs="Arial"/>
        </w:rPr>
        <w:t xml:space="preserve"> </w:t>
      </w:r>
      <w:r w:rsidRPr="00BC76D9">
        <w:rPr>
          <w:rFonts w:ascii="Arial" w:hAnsi="Arial" w:cs="Arial"/>
        </w:rPr>
        <w:t>character. In contrast, organisational climate reflects employees' perceptions of workplace policies, practices, and procedures, offering a snapshot of their day-to-day experiences (Schneider et al., 2013).</w:t>
      </w:r>
    </w:p>
    <w:p w14:paraId="2B986709" w14:textId="744ECBBD" w:rsidR="004D65C6" w:rsidRPr="00BC76D9" w:rsidRDefault="004D65C6" w:rsidP="00681969">
      <w:pPr>
        <w:pStyle w:val="NoSpacing"/>
        <w:jc w:val="left"/>
        <w:rPr>
          <w:rFonts w:ascii="Arial" w:hAnsi="Arial" w:cs="Arial"/>
        </w:rPr>
      </w:pPr>
      <w:r w:rsidRPr="00BC76D9">
        <w:rPr>
          <w:rFonts w:ascii="Arial" w:hAnsi="Arial" w:cs="Arial"/>
        </w:rPr>
        <w:t xml:space="preserve">Despite these differences, culture and climate are interconnected. Culture provides the foundation, or “roots,” from which climate emerges as a visible expression of those deeper values (Schneider, Ehrhart, &amp; Macey, 2013). For example, an organisation with a collaborative culture may manifest a supportive climate where employees feel valued and engaged. </w:t>
      </w:r>
    </w:p>
    <w:p w14:paraId="10B59ABD" w14:textId="723F5696" w:rsidR="004D65C6" w:rsidRPr="00BC76D9" w:rsidRDefault="004D65C6" w:rsidP="00681969">
      <w:pPr>
        <w:pStyle w:val="NoSpacing"/>
        <w:jc w:val="left"/>
        <w:rPr>
          <w:rFonts w:ascii="Arial" w:hAnsi="Arial" w:cs="Arial"/>
        </w:rPr>
      </w:pPr>
      <w:r w:rsidRPr="00BC76D9">
        <w:rPr>
          <w:rFonts w:ascii="Arial" w:hAnsi="Arial" w:cs="Arial"/>
        </w:rPr>
        <w:t>However, the relationship is not always linear. While culture may influence climate, employee perceptions (</w:t>
      </w:r>
      <w:r w:rsidR="005C2902" w:rsidRPr="00BC76D9">
        <w:rPr>
          <w:rFonts w:ascii="Arial" w:hAnsi="Arial" w:cs="Arial"/>
        </w:rPr>
        <w:t xml:space="preserve">the </w:t>
      </w:r>
      <w:r w:rsidRPr="00BC76D9">
        <w:rPr>
          <w:rFonts w:ascii="Arial" w:hAnsi="Arial" w:cs="Arial"/>
        </w:rPr>
        <w:t xml:space="preserve">climate) can also shape the way culture is </w:t>
      </w:r>
      <w:r w:rsidR="005C2902" w:rsidRPr="00BC76D9">
        <w:rPr>
          <w:rFonts w:ascii="Arial" w:hAnsi="Arial" w:cs="Arial"/>
        </w:rPr>
        <w:t>presented</w:t>
      </w:r>
      <w:r w:rsidRPr="00BC76D9">
        <w:rPr>
          <w:rFonts w:ascii="Arial" w:hAnsi="Arial" w:cs="Arial"/>
        </w:rPr>
        <w:t xml:space="preserve">. For </w:t>
      </w:r>
      <w:r w:rsidR="005C2902" w:rsidRPr="00BC76D9">
        <w:rPr>
          <w:rFonts w:ascii="Arial" w:hAnsi="Arial" w:cs="Arial"/>
        </w:rPr>
        <w:t>example</w:t>
      </w:r>
      <w:r w:rsidRPr="00BC76D9">
        <w:rPr>
          <w:rFonts w:ascii="Arial" w:hAnsi="Arial" w:cs="Arial"/>
        </w:rPr>
        <w:t>, if employees perceive organisational policies as unfair, it may undermine the intended cultural values of fairness and inclusion (Patterson et al., 2005). This interplay highlights the importance of managing both elements to achieve alignment and consistency.</w:t>
      </w:r>
    </w:p>
    <w:p w14:paraId="2D8CFAFA" w14:textId="2C1F05F5" w:rsidR="0027273F" w:rsidRPr="00BC76D9" w:rsidRDefault="0027273F" w:rsidP="00681969">
      <w:pPr>
        <w:pStyle w:val="NoSpacing"/>
        <w:jc w:val="left"/>
        <w:rPr>
          <w:rFonts w:ascii="Arial" w:hAnsi="Arial" w:cs="Arial"/>
        </w:rPr>
      </w:pPr>
      <w:r w:rsidRPr="00BC76D9">
        <w:rPr>
          <w:rFonts w:ascii="Arial" w:hAnsi="Arial" w:cs="Arial"/>
        </w:rPr>
        <w:t>In the property maintenance industry, culture encompasses the long-term values and norms guiding organisational practices, such as commitment to customer satisfaction, safety, and reliability (Schein, 2010). These cultural elements underpin the organisation’s identity, influencing strategic decisions and shaping employee behaviour.</w:t>
      </w:r>
    </w:p>
    <w:p w14:paraId="14851480" w14:textId="4D3A1278" w:rsidR="0027273F" w:rsidRPr="00BC76D9" w:rsidRDefault="0027273F" w:rsidP="009F2CDA">
      <w:pPr>
        <w:pStyle w:val="NoSpacing"/>
        <w:jc w:val="left"/>
        <w:rPr>
          <w:rFonts w:ascii="Arial" w:hAnsi="Arial" w:cs="Arial"/>
        </w:rPr>
      </w:pPr>
      <w:r w:rsidRPr="00BC76D9">
        <w:rPr>
          <w:rFonts w:ascii="Arial" w:hAnsi="Arial" w:cs="Arial"/>
        </w:rPr>
        <w:lastRenderedPageBreak/>
        <w:t>Climate, on the other hand, reflects how employees perceive these cultural values in practice, such as their experience of safety protocols, fairness in task allocation, or the inclusivity of leadership practices (Schneider et al., 2013). For instance, if the company values safety as part of its culture but employees perceive inconsistencies in the enforcement of safety policies, it creates a disconnect that can undermine trust and performance</w:t>
      </w:r>
      <w:r w:rsidR="002E6594" w:rsidRPr="00BC76D9">
        <w:rPr>
          <w:rFonts w:ascii="Arial" w:hAnsi="Arial" w:cs="Arial"/>
        </w:rPr>
        <w:t xml:space="preserve"> and can in turn </w:t>
      </w:r>
      <w:proofErr w:type="gramStart"/>
      <w:r w:rsidR="002E6594" w:rsidRPr="00BC76D9">
        <w:rPr>
          <w:rFonts w:ascii="Arial" w:hAnsi="Arial" w:cs="Arial"/>
        </w:rPr>
        <w:t>have an effect on</w:t>
      </w:r>
      <w:proofErr w:type="gramEnd"/>
      <w:r w:rsidR="002E6594" w:rsidRPr="00BC76D9">
        <w:rPr>
          <w:rFonts w:ascii="Arial" w:hAnsi="Arial" w:cs="Arial"/>
        </w:rPr>
        <w:t xml:space="preserve"> awarded tenders.</w:t>
      </w:r>
    </w:p>
    <w:p w14:paraId="50703782" w14:textId="0EFF4855" w:rsidR="0027273F" w:rsidRPr="00BC76D9" w:rsidRDefault="0027273F" w:rsidP="009F2CDA">
      <w:pPr>
        <w:pStyle w:val="NoSpacing"/>
        <w:jc w:val="left"/>
        <w:rPr>
          <w:rFonts w:ascii="Arial" w:hAnsi="Arial" w:cs="Arial"/>
        </w:rPr>
      </w:pPr>
      <w:r w:rsidRPr="00BC76D9">
        <w:rPr>
          <w:rFonts w:ascii="Arial" w:hAnsi="Arial" w:cs="Arial"/>
        </w:rPr>
        <w:t xml:space="preserve">The </w:t>
      </w:r>
      <w:r w:rsidR="002E6594" w:rsidRPr="00BC76D9">
        <w:rPr>
          <w:rFonts w:ascii="Arial" w:hAnsi="Arial" w:cs="Arial"/>
        </w:rPr>
        <w:t xml:space="preserve">correlation </w:t>
      </w:r>
      <w:r w:rsidRPr="00BC76D9">
        <w:rPr>
          <w:rFonts w:ascii="Arial" w:hAnsi="Arial" w:cs="Arial"/>
        </w:rPr>
        <w:t xml:space="preserve">of culture and climate is evident in how climate operationalises cultural values. In the property maintenance company, a strong safety culture would manifest in a positive safety climate where employees feel supported to follow procedures and raise concerns without fear of retribution. However, a negative climate can erode the intended benefits of culture, leading to disengagement or non-compliance (Patterson </w:t>
      </w:r>
      <w:r w:rsidRPr="009F2CDA">
        <w:rPr>
          <w:rFonts w:ascii="Arial" w:hAnsi="Arial" w:cs="Arial"/>
        </w:rPr>
        <w:t>et al., 2005).</w:t>
      </w:r>
    </w:p>
    <w:p w14:paraId="3AD19E4E" w14:textId="77777777" w:rsidR="0027273F" w:rsidRPr="004D65C6" w:rsidRDefault="0027273F" w:rsidP="004D65C6">
      <w:pPr>
        <w:rPr>
          <w:rFonts w:ascii="Arial" w:hAnsi="Arial" w:cs="Arial"/>
        </w:rPr>
      </w:pPr>
    </w:p>
    <w:p w14:paraId="29036AC9" w14:textId="55E08C2D" w:rsidR="00BF3600" w:rsidRPr="00DC0804" w:rsidRDefault="00E300A3" w:rsidP="00BF3600">
      <w:pPr>
        <w:rPr>
          <w:rFonts w:ascii="Arial" w:hAnsi="Arial" w:cs="Arial"/>
        </w:rPr>
      </w:pPr>
      <w:r>
        <w:rPr>
          <w:rFonts w:ascii="Arial" w:hAnsi="Arial" w:cs="Arial"/>
        </w:rPr>
        <w:t xml:space="preserve">3.3 </w:t>
      </w:r>
      <w:r w:rsidR="00BF3600" w:rsidRPr="00DC0804">
        <w:rPr>
          <w:rFonts w:ascii="Arial" w:hAnsi="Arial" w:cs="Arial"/>
        </w:rPr>
        <w:t>Distinct Characteristics of Culture and Climate</w:t>
      </w:r>
    </w:p>
    <w:p w14:paraId="0324771E" w14:textId="6BBB4296" w:rsidR="00BF3600" w:rsidRPr="00DC0804" w:rsidRDefault="00BF3600" w:rsidP="00BF3600">
      <w:pPr>
        <w:rPr>
          <w:rFonts w:ascii="Arial" w:hAnsi="Arial" w:cs="Arial"/>
          <w:color w:val="auto"/>
        </w:rPr>
      </w:pPr>
      <w:r w:rsidRPr="00DC0804">
        <w:rPr>
          <w:rFonts w:ascii="Arial" w:hAnsi="Arial" w:cs="Arial"/>
          <w:color w:val="auto"/>
        </w:rPr>
        <w:t xml:space="preserve">Focus and </w:t>
      </w:r>
      <w:r w:rsidR="00D56D68" w:rsidRPr="00DC0804">
        <w:rPr>
          <w:rFonts w:ascii="Arial" w:hAnsi="Arial" w:cs="Arial"/>
          <w:color w:val="auto"/>
        </w:rPr>
        <w:t>Application</w:t>
      </w:r>
    </w:p>
    <w:p w14:paraId="28FA6210" w14:textId="7658CB54" w:rsidR="00BF3600" w:rsidRDefault="00BF3600" w:rsidP="00DC0804">
      <w:pPr>
        <w:pStyle w:val="NoSpacing"/>
        <w:rPr>
          <w:rFonts w:ascii="Arial" w:hAnsi="Arial" w:cs="Arial"/>
        </w:rPr>
      </w:pPr>
      <w:r w:rsidRPr="00DC0804">
        <w:rPr>
          <w:rFonts w:ascii="Arial" w:hAnsi="Arial" w:cs="Arial"/>
        </w:rPr>
        <w:t>Culture is broad and abstract, encompassing shared assumptions and long-term organisational identity (Schein, 2010).</w:t>
      </w:r>
      <w:r w:rsidR="00AD64EC" w:rsidRPr="00DC0804">
        <w:rPr>
          <w:rFonts w:ascii="Arial" w:hAnsi="Arial" w:cs="Arial"/>
        </w:rPr>
        <w:t xml:space="preserve"> Culture in the company reflects its broader, enduring identity, such as its reputation for professionalism and reliability. Climate, however, provides real-time insights into specific dimensions of employee experience, such as their perception of workload management or opportunities for growth.</w:t>
      </w:r>
    </w:p>
    <w:p w14:paraId="00F74E28" w14:textId="77777777" w:rsidR="000163A5" w:rsidRPr="00DC0804" w:rsidRDefault="000163A5" w:rsidP="00DC0804">
      <w:pPr>
        <w:pStyle w:val="NoSpacing"/>
        <w:rPr>
          <w:rFonts w:ascii="Arial" w:hAnsi="Arial" w:cs="Arial"/>
        </w:rPr>
      </w:pPr>
    </w:p>
    <w:p w14:paraId="69360014" w14:textId="77777777" w:rsidR="00667925" w:rsidRPr="000163A5" w:rsidRDefault="00667925" w:rsidP="00667925">
      <w:pPr>
        <w:pStyle w:val="NormalWeb"/>
        <w:rPr>
          <w:rFonts w:ascii="Arial" w:hAnsi="Arial" w:cs="Arial"/>
        </w:rPr>
      </w:pPr>
      <w:r w:rsidRPr="000163A5">
        <w:rPr>
          <w:rFonts w:ascii="Arial" w:hAnsi="Arial" w:cs="Arial"/>
        </w:rPr>
        <w:t>Measurement and Adjustability</w:t>
      </w:r>
    </w:p>
    <w:p w14:paraId="62B66CF7" w14:textId="43BDF392" w:rsidR="004F20CC" w:rsidRPr="004F20CC" w:rsidRDefault="004F20CC" w:rsidP="00667925">
      <w:pPr>
        <w:pStyle w:val="NormalWeb"/>
        <w:rPr>
          <w:rFonts w:ascii="Arial" w:hAnsi="Arial" w:cs="Arial"/>
        </w:rPr>
      </w:pPr>
      <w:r w:rsidRPr="004F20CC">
        <w:rPr>
          <w:rFonts w:ascii="Arial" w:hAnsi="Arial" w:cs="Arial"/>
        </w:rPr>
        <w:t>Culture is intangible and measured through qualitative means, such as interviews or observations of leadership behaviours (Cameron &amp; Quinn, 2006). Climate, being more immediate and tangible, can be assessed through employee surveys or feedback mechanisms, offering actionable data on areas like safety compliance or job satisfaction (Schneider et al., 2013).</w:t>
      </w:r>
    </w:p>
    <w:p w14:paraId="7F34EE9E" w14:textId="77777777" w:rsidR="004F20CC" w:rsidRPr="004F20CC" w:rsidRDefault="004F20CC" w:rsidP="004F20CC">
      <w:pPr>
        <w:pStyle w:val="NormalWeb"/>
        <w:ind w:left="720"/>
        <w:rPr>
          <w:rFonts w:ascii="Arial" w:hAnsi="Arial" w:cs="Arial"/>
        </w:rPr>
      </w:pPr>
    </w:p>
    <w:p w14:paraId="0B7F1C92" w14:textId="56701115" w:rsidR="004F20CC" w:rsidRPr="000163A5" w:rsidRDefault="000163A5" w:rsidP="005D5309">
      <w:pPr>
        <w:pStyle w:val="Heading5"/>
        <w:rPr>
          <w:rFonts w:ascii="Arial" w:hAnsi="Arial" w:cs="Arial"/>
          <w:b/>
          <w:bCs/>
          <w:color w:val="auto"/>
        </w:rPr>
      </w:pPr>
      <w:r w:rsidRPr="000163A5">
        <w:rPr>
          <w:rStyle w:val="Strong"/>
          <w:rFonts w:ascii="Arial" w:hAnsi="Arial" w:cs="Arial"/>
          <w:b w:val="0"/>
          <w:bCs w:val="0"/>
          <w:color w:val="auto"/>
        </w:rPr>
        <w:t xml:space="preserve">3.4 </w:t>
      </w:r>
      <w:r w:rsidR="00390562" w:rsidRPr="000163A5">
        <w:rPr>
          <w:rStyle w:val="Strong"/>
          <w:rFonts w:ascii="Arial" w:hAnsi="Arial" w:cs="Arial"/>
          <w:b w:val="0"/>
          <w:bCs w:val="0"/>
          <w:color w:val="auto"/>
        </w:rPr>
        <w:t>Overall</w:t>
      </w:r>
      <w:r w:rsidR="004F20CC" w:rsidRPr="000163A5">
        <w:rPr>
          <w:rStyle w:val="Strong"/>
          <w:rFonts w:ascii="Arial" w:hAnsi="Arial" w:cs="Arial"/>
          <w:b w:val="0"/>
          <w:bCs w:val="0"/>
          <w:color w:val="auto"/>
        </w:rPr>
        <w:t xml:space="preserve"> Perspective</w:t>
      </w:r>
    </w:p>
    <w:p w14:paraId="2677C28A" w14:textId="2CB317FD" w:rsidR="004F20CC" w:rsidRPr="004F20CC" w:rsidRDefault="004F20CC" w:rsidP="005D5309">
      <w:pPr>
        <w:pStyle w:val="NormalWeb"/>
        <w:rPr>
          <w:rFonts w:ascii="Arial" w:hAnsi="Arial" w:cs="Arial"/>
        </w:rPr>
      </w:pPr>
      <w:r w:rsidRPr="004F20CC">
        <w:rPr>
          <w:rFonts w:ascii="Arial" w:hAnsi="Arial" w:cs="Arial"/>
        </w:rPr>
        <w:t>While culture evolves over time and influences long-term strategy, climate reflects the current environment and can shift rapidly in response to policy changes or leadership actions. For example, a change in safety procedures in the property maintenance company may quickly alter the safety climate but may take years to influence the broader culture of safety.</w:t>
      </w:r>
    </w:p>
    <w:p w14:paraId="753DE8C8" w14:textId="77777777" w:rsidR="004F20CC" w:rsidRDefault="004F20CC" w:rsidP="004F20CC"/>
    <w:p w14:paraId="3562FF53" w14:textId="77777777" w:rsidR="004F20CC" w:rsidRDefault="004F20CC" w:rsidP="004F20CC"/>
    <w:p w14:paraId="2B2AAC3F" w14:textId="6BC5D374" w:rsidR="00EC4F08" w:rsidRPr="000163A5" w:rsidRDefault="000163A5" w:rsidP="00EC4F08">
      <w:pPr>
        <w:rPr>
          <w:rFonts w:ascii="Arial" w:hAnsi="Arial" w:cs="Arial"/>
          <w:szCs w:val="24"/>
        </w:rPr>
      </w:pPr>
      <w:r w:rsidRPr="000163A5">
        <w:rPr>
          <w:rFonts w:ascii="Arial" w:hAnsi="Arial" w:cs="Arial"/>
          <w:szCs w:val="24"/>
        </w:rPr>
        <w:t xml:space="preserve">3.5 </w:t>
      </w:r>
      <w:r w:rsidR="00EC4F08" w:rsidRPr="000163A5">
        <w:rPr>
          <w:rFonts w:ascii="Arial" w:hAnsi="Arial" w:cs="Arial"/>
          <w:szCs w:val="24"/>
        </w:rPr>
        <w:t>Focusing on Climate for Practical Insights</w:t>
      </w:r>
    </w:p>
    <w:p w14:paraId="1F1EBA11" w14:textId="7327BAE4" w:rsidR="00EC4F08" w:rsidRPr="000163A5" w:rsidRDefault="00EC4F08" w:rsidP="00EC4F08">
      <w:pPr>
        <w:rPr>
          <w:rFonts w:ascii="Arial" w:hAnsi="Arial" w:cs="Arial"/>
          <w:szCs w:val="24"/>
        </w:rPr>
      </w:pPr>
      <w:r w:rsidRPr="000163A5">
        <w:rPr>
          <w:rFonts w:ascii="Arial" w:hAnsi="Arial" w:cs="Arial"/>
          <w:szCs w:val="24"/>
        </w:rPr>
        <w:t>Immediate Diagnostics and Interventions</w:t>
      </w:r>
    </w:p>
    <w:p w14:paraId="78D4D518" w14:textId="77777777" w:rsidR="00EC4F08" w:rsidRPr="00D1065E" w:rsidRDefault="00EC4F08" w:rsidP="00D1065E">
      <w:pPr>
        <w:pStyle w:val="NoSpacing"/>
        <w:jc w:val="left"/>
        <w:rPr>
          <w:rFonts w:ascii="Arial" w:hAnsi="Arial" w:cs="Arial"/>
        </w:rPr>
      </w:pPr>
      <w:r w:rsidRPr="00D1065E">
        <w:rPr>
          <w:rFonts w:ascii="Arial" w:hAnsi="Arial" w:cs="Arial"/>
        </w:rPr>
        <w:t>Focusing on climate allows the organisation to pinpoint specific issues affecting employee perceptions and address them promptly. For example, a climate survey in the company may reveal dissatisfaction with communication around task assignments. Addressing this through clearer communication channels or regular team briefings could yield immediate improvements in employee morale and productivity (Young, 2023).</w:t>
      </w:r>
    </w:p>
    <w:p w14:paraId="2E7139E3" w14:textId="2809734C" w:rsidR="00A76ACB" w:rsidRPr="000163A5" w:rsidRDefault="00A76ACB" w:rsidP="00A76ACB">
      <w:pPr>
        <w:rPr>
          <w:rFonts w:ascii="Arial" w:hAnsi="Arial" w:cs="Arial"/>
          <w:szCs w:val="24"/>
        </w:rPr>
      </w:pPr>
      <w:r w:rsidRPr="000163A5">
        <w:rPr>
          <w:rFonts w:ascii="Arial" w:hAnsi="Arial" w:cs="Arial"/>
          <w:szCs w:val="24"/>
        </w:rPr>
        <w:t>Enhancing Safety and Compliance</w:t>
      </w:r>
    </w:p>
    <w:p w14:paraId="48C67256" w14:textId="77777777" w:rsidR="00A76ACB" w:rsidRPr="00D1065E" w:rsidRDefault="00A76ACB" w:rsidP="00D1065E">
      <w:pPr>
        <w:pStyle w:val="NoSpacing"/>
        <w:rPr>
          <w:rFonts w:ascii="Arial" w:hAnsi="Arial" w:cs="Arial"/>
        </w:rPr>
      </w:pPr>
      <w:r w:rsidRPr="00D1065E">
        <w:rPr>
          <w:rFonts w:ascii="Arial" w:hAnsi="Arial" w:cs="Arial"/>
        </w:rPr>
        <w:t>Given the industry’s reliance on adherence to safety standards, a positive safety climate is essential. Employees must perceive that safety procedures are consistently enforced and that their concerns are valued. Climate assessments can identify gaps in safety perceptions, enabling targeted interventions such as enhanced training or leadership reinforcement of safety protocols (Patterson et al., 2005).</w:t>
      </w:r>
    </w:p>
    <w:p w14:paraId="001D21EA" w14:textId="3F73ED8A" w:rsidR="00A76ACB" w:rsidRPr="000163A5" w:rsidRDefault="00A76ACB" w:rsidP="00D1065E">
      <w:pPr>
        <w:pStyle w:val="NoSpacing"/>
        <w:rPr>
          <w:rFonts w:ascii="Arial" w:hAnsi="Arial" w:cs="Arial"/>
        </w:rPr>
      </w:pPr>
      <w:r w:rsidRPr="000163A5">
        <w:rPr>
          <w:rFonts w:ascii="Arial" w:hAnsi="Arial" w:cs="Arial"/>
        </w:rPr>
        <w:t>Supporting Employee Engagement and Retention</w:t>
      </w:r>
    </w:p>
    <w:p w14:paraId="78AACB39" w14:textId="4C03F3FB" w:rsidR="00A76ACB" w:rsidRPr="00D1065E" w:rsidRDefault="00A76ACB" w:rsidP="00D1065E">
      <w:pPr>
        <w:pStyle w:val="NoSpacing"/>
        <w:rPr>
          <w:rFonts w:ascii="Arial" w:hAnsi="Arial" w:cs="Arial"/>
        </w:rPr>
      </w:pPr>
      <w:r w:rsidRPr="00D1065E">
        <w:rPr>
          <w:rFonts w:ascii="Arial" w:hAnsi="Arial" w:cs="Arial"/>
        </w:rPr>
        <w:t>Climate directly influences engagement and retention by shaping employees’ day-to-day experiences. For instance, if the organisation aims to foster an inclusive culture, focusing on the inclusion climate—how employees perceive diversity initiatives or equal opportunities—can highlight actionable gaps (Nishii, 2013). Addressing these gaps through initiatives such as mentoring program</w:t>
      </w:r>
      <w:r w:rsidR="007B6C59" w:rsidRPr="00D1065E">
        <w:rPr>
          <w:rFonts w:ascii="Arial" w:hAnsi="Arial" w:cs="Arial"/>
        </w:rPr>
        <w:t>me</w:t>
      </w:r>
      <w:r w:rsidRPr="00D1065E">
        <w:rPr>
          <w:rFonts w:ascii="Arial" w:hAnsi="Arial" w:cs="Arial"/>
        </w:rPr>
        <w:t>s or recognition of diverse contributions can quickly improve inclusivity perceptions, aligning employee experience with cultural values.</w:t>
      </w:r>
    </w:p>
    <w:p w14:paraId="4B4332E8" w14:textId="22E85934" w:rsidR="00A76ACB" w:rsidRPr="000163A5" w:rsidRDefault="00A76ACB" w:rsidP="00D1065E">
      <w:pPr>
        <w:pStyle w:val="NoSpacing"/>
        <w:rPr>
          <w:rFonts w:ascii="Arial" w:hAnsi="Arial" w:cs="Arial"/>
        </w:rPr>
      </w:pPr>
      <w:r w:rsidRPr="000163A5">
        <w:rPr>
          <w:rFonts w:ascii="Arial" w:hAnsi="Arial" w:cs="Arial"/>
        </w:rPr>
        <w:t>Bridging Culture and Operational Realities</w:t>
      </w:r>
    </w:p>
    <w:p w14:paraId="6C04D767" w14:textId="77777777" w:rsidR="00A76ACB" w:rsidRPr="00D1065E" w:rsidRDefault="00A76ACB" w:rsidP="00D1065E">
      <w:pPr>
        <w:pStyle w:val="NoSpacing"/>
        <w:rPr>
          <w:rFonts w:ascii="Arial" w:hAnsi="Arial" w:cs="Arial"/>
        </w:rPr>
      </w:pPr>
      <w:r w:rsidRPr="00D1065E">
        <w:rPr>
          <w:rFonts w:ascii="Arial" w:hAnsi="Arial" w:cs="Arial"/>
        </w:rPr>
        <w:t>Focusing on climate allows leadership to translate abstract cultural values into tangible behaviours and practices. For example, promoting a culture of “excellence” in the company can be supported by fostering a climate that emphasises quality assurance and accountability. This alignment ensures that employees not only understand the organisation’s values but also see them reflected in everyday practices.</w:t>
      </w:r>
    </w:p>
    <w:p w14:paraId="73C5DA02" w14:textId="77777777" w:rsidR="004F20CC" w:rsidRPr="00D1065E" w:rsidRDefault="004F20CC" w:rsidP="00D1065E">
      <w:pPr>
        <w:pStyle w:val="NoSpacing"/>
        <w:rPr>
          <w:rFonts w:ascii="Arial" w:hAnsi="Arial" w:cs="Arial"/>
        </w:rPr>
      </w:pPr>
    </w:p>
    <w:p w14:paraId="2890C114" w14:textId="77777777" w:rsidR="00BF3600" w:rsidRPr="00D1065E" w:rsidRDefault="00BF3600" w:rsidP="00D1065E">
      <w:pPr>
        <w:pStyle w:val="NoSpacing"/>
        <w:jc w:val="left"/>
        <w:rPr>
          <w:rFonts w:ascii="Arial" w:hAnsi="Arial" w:cs="Arial"/>
        </w:rPr>
      </w:pPr>
      <w:r w:rsidRPr="000163A5">
        <w:rPr>
          <w:rFonts w:ascii="Arial" w:hAnsi="Arial" w:cs="Arial"/>
        </w:rPr>
        <w:t xml:space="preserve">Climate </w:t>
      </w:r>
      <w:r w:rsidRPr="00D1065E">
        <w:rPr>
          <w:rFonts w:ascii="Arial" w:hAnsi="Arial" w:cs="Arial"/>
        </w:rPr>
        <w:t>is more specific, focusing on how employees experience organisational practices in real-time (Schneider et al., 2013).</w:t>
      </w:r>
    </w:p>
    <w:p w14:paraId="544BEEC3" w14:textId="77777777" w:rsidR="00BF3600" w:rsidRPr="00D1065E" w:rsidRDefault="00BF3600" w:rsidP="00D1065E">
      <w:pPr>
        <w:pStyle w:val="NoSpacing"/>
        <w:jc w:val="left"/>
        <w:rPr>
          <w:rFonts w:ascii="Arial" w:hAnsi="Arial" w:cs="Arial"/>
        </w:rPr>
      </w:pPr>
      <w:r w:rsidRPr="00D1065E">
        <w:rPr>
          <w:rFonts w:ascii="Arial" w:hAnsi="Arial" w:cs="Arial"/>
        </w:rPr>
        <w:t>For example, an organisation may espouse a culture of innovation, but its climate may reflect risk aversion if employees perceive that mistakes are punished.</w:t>
      </w:r>
    </w:p>
    <w:p w14:paraId="00138829" w14:textId="2A453DC7" w:rsidR="00BF3600" w:rsidRPr="00D1065E" w:rsidRDefault="00BF3600" w:rsidP="00D1065E">
      <w:pPr>
        <w:pStyle w:val="NoSpacing"/>
        <w:jc w:val="left"/>
        <w:rPr>
          <w:rFonts w:ascii="Arial" w:hAnsi="Arial" w:cs="Arial"/>
          <w:b/>
          <w:bCs/>
        </w:rPr>
      </w:pPr>
      <w:r w:rsidRPr="000163A5">
        <w:rPr>
          <w:rFonts w:ascii="Arial" w:hAnsi="Arial" w:cs="Arial"/>
        </w:rPr>
        <w:t>Measurement and Tangibility</w:t>
      </w:r>
    </w:p>
    <w:p w14:paraId="085B2DCB" w14:textId="77777777" w:rsidR="00BF3600" w:rsidRPr="00D1065E" w:rsidRDefault="00BF3600" w:rsidP="00D1065E">
      <w:pPr>
        <w:pStyle w:val="NoSpacing"/>
        <w:jc w:val="left"/>
        <w:rPr>
          <w:rFonts w:ascii="Arial" w:hAnsi="Arial" w:cs="Arial"/>
        </w:rPr>
      </w:pPr>
      <w:r w:rsidRPr="000163A5">
        <w:rPr>
          <w:rFonts w:ascii="Arial" w:hAnsi="Arial" w:cs="Arial"/>
        </w:rPr>
        <w:lastRenderedPageBreak/>
        <w:t>Culture</w:t>
      </w:r>
      <w:r w:rsidRPr="00D1065E">
        <w:rPr>
          <w:rFonts w:ascii="Arial" w:hAnsi="Arial" w:cs="Arial"/>
        </w:rPr>
        <w:t xml:space="preserve"> is difficult to measure directly, often relying on qualitative assessments such as interviews or ethnographic studies (Cameron &amp; Quinn, 2006).</w:t>
      </w:r>
    </w:p>
    <w:p w14:paraId="2CF86E42" w14:textId="77777777" w:rsidR="00BF3600" w:rsidRPr="00D1065E" w:rsidRDefault="00BF3600" w:rsidP="00D1065E">
      <w:pPr>
        <w:pStyle w:val="NoSpacing"/>
        <w:jc w:val="left"/>
        <w:rPr>
          <w:rFonts w:ascii="Arial" w:hAnsi="Arial" w:cs="Arial"/>
        </w:rPr>
      </w:pPr>
      <w:r w:rsidRPr="000163A5">
        <w:rPr>
          <w:rFonts w:ascii="Arial" w:hAnsi="Arial" w:cs="Arial"/>
        </w:rPr>
        <w:t>Climate</w:t>
      </w:r>
      <w:r w:rsidRPr="00D1065E">
        <w:rPr>
          <w:rFonts w:ascii="Arial" w:hAnsi="Arial" w:cs="Arial"/>
        </w:rPr>
        <w:t>, on the other hand, is more tangible and measurable through surveys that capture employee perceptions of fairness, safety, or inclusion (Patterson et al., 2005).</w:t>
      </w:r>
    </w:p>
    <w:p w14:paraId="51AAB33C" w14:textId="77777777" w:rsidR="00BF3600" w:rsidRPr="00D1065E" w:rsidRDefault="00BF3600" w:rsidP="00D1065E">
      <w:pPr>
        <w:pStyle w:val="NoSpacing"/>
        <w:jc w:val="left"/>
        <w:rPr>
          <w:rFonts w:ascii="Arial" w:hAnsi="Arial" w:cs="Arial"/>
        </w:rPr>
      </w:pPr>
      <w:r w:rsidRPr="00D1065E">
        <w:rPr>
          <w:rFonts w:ascii="Arial" w:hAnsi="Arial" w:cs="Arial"/>
        </w:rPr>
        <w:t>This distinction makes climate a more practical focus for organisations aiming to implement measurable and immediate changes.</w:t>
      </w:r>
    </w:p>
    <w:p w14:paraId="1CAAE395" w14:textId="7198C7F9" w:rsidR="00BF3600" w:rsidRPr="000163A5" w:rsidRDefault="00BF3600" w:rsidP="00D1065E">
      <w:pPr>
        <w:pStyle w:val="NoSpacing"/>
        <w:jc w:val="left"/>
        <w:rPr>
          <w:rFonts w:ascii="Arial" w:hAnsi="Arial" w:cs="Arial"/>
        </w:rPr>
      </w:pPr>
      <w:r w:rsidRPr="000163A5">
        <w:rPr>
          <w:rFonts w:ascii="Arial" w:hAnsi="Arial" w:cs="Arial"/>
        </w:rPr>
        <w:t>Timescale of Impact</w:t>
      </w:r>
    </w:p>
    <w:p w14:paraId="340B11B9" w14:textId="3D27D6CB" w:rsidR="007C49ED" w:rsidRDefault="007C49ED" w:rsidP="00D1065E">
      <w:pPr>
        <w:pStyle w:val="NoSpacing"/>
        <w:jc w:val="left"/>
        <w:rPr>
          <w:rFonts w:ascii="Arial" w:hAnsi="Arial" w:cs="Arial"/>
        </w:rPr>
      </w:pPr>
      <w:r w:rsidRPr="007C49ED">
        <w:rPr>
          <w:rFonts w:ascii="Arial" w:hAnsi="Arial" w:cs="Arial"/>
          <w:noProof/>
        </w:rPr>
        <w:drawing>
          <wp:anchor distT="0" distB="0" distL="114300" distR="114300" simplePos="0" relativeHeight="251658240" behindDoc="0" locked="0" layoutInCell="1" allowOverlap="1" wp14:anchorId="1390F9EA" wp14:editId="1420C146">
            <wp:simplePos x="0" y="0"/>
            <wp:positionH relativeFrom="column">
              <wp:posOffset>1363980</wp:posOffset>
            </wp:positionH>
            <wp:positionV relativeFrom="paragraph">
              <wp:posOffset>403860</wp:posOffset>
            </wp:positionV>
            <wp:extent cx="2898814" cy="1630680"/>
            <wp:effectExtent l="0" t="0" r="0" b="7620"/>
            <wp:wrapNone/>
            <wp:docPr id="1026" name="Picture 2" descr="See the source image">
              <a:extLst xmlns:a="http://schemas.openxmlformats.org/drawingml/2006/main">
                <a:ext uri="{FF2B5EF4-FFF2-40B4-BE49-F238E27FC236}">
                  <a16:creationId xmlns:a16="http://schemas.microsoft.com/office/drawing/2014/main" id="{A94AA451-2AA5-48F8-0181-96F2054253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A94AA451-2AA5-48F8-0181-96F2054253B2}"/>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898814" cy="1630680"/>
                    </a:xfrm>
                    <a:prstGeom prst="rect">
                      <a:avLst/>
                    </a:prstGeom>
                    <a:solidFill>
                      <a:srgbClr val="FFFFFF"/>
                    </a:solidFill>
                  </pic:spPr>
                </pic:pic>
              </a:graphicData>
            </a:graphic>
            <wp14:sizeRelH relativeFrom="margin">
              <wp14:pctWidth>0</wp14:pctWidth>
            </wp14:sizeRelH>
            <wp14:sizeRelV relativeFrom="margin">
              <wp14:pctHeight>0</wp14:pctHeight>
            </wp14:sizeRelV>
          </wp:anchor>
        </w:drawing>
      </w:r>
      <w:r w:rsidR="00BF3600" w:rsidRPr="000163A5">
        <w:rPr>
          <w:rFonts w:ascii="Arial" w:hAnsi="Arial" w:cs="Arial"/>
        </w:rPr>
        <w:t xml:space="preserve">Culture </w:t>
      </w:r>
      <w:r w:rsidR="00BF3600" w:rsidRPr="00D1065E">
        <w:rPr>
          <w:rFonts w:ascii="Arial" w:hAnsi="Arial" w:cs="Arial"/>
        </w:rPr>
        <w:t xml:space="preserve">evolves gradually and influences long-term behaviour and </w:t>
      </w:r>
      <w:proofErr w:type="gramStart"/>
      <w:r w:rsidR="00BF3600" w:rsidRPr="00D1065E">
        <w:rPr>
          <w:rFonts w:ascii="Arial" w:hAnsi="Arial" w:cs="Arial"/>
        </w:rPr>
        <w:t>strategy(</w:t>
      </w:r>
      <w:proofErr w:type="gramEnd"/>
      <w:r w:rsidR="00BF3600" w:rsidRPr="00D1065E">
        <w:rPr>
          <w:rFonts w:ascii="Arial" w:hAnsi="Arial" w:cs="Arial"/>
        </w:rPr>
        <w:t>Hofstede, 1991).</w:t>
      </w:r>
    </w:p>
    <w:p w14:paraId="34405087" w14:textId="0A676F5C" w:rsidR="007C49ED" w:rsidRDefault="007C49ED" w:rsidP="00D1065E">
      <w:pPr>
        <w:pStyle w:val="NoSpacing"/>
        <w:jc w:val="left"/>
        <w:rPr>
          <w:rFonts w:ascii="Arial" w:hAnsi="Arial" w:cs="Arial"/>
        </w:rPr>
      </w:pPr>
    </w:p>
    <w:p w14:paraId="0CFC8ED8" w14:textId="77777777" w:rsidR="007C49ED" w:rsidRDefault="007C49ED" w:rsidP="00D1065E">
      <w:pPr>
        <w:pStyle w:val="NoSpacing"/>
        <w:jc w:val="left"/>
        <w:rPr>
          <w:rFonts w:ascii="Arial" w:hAnsi="Arial" w:cs="Arial"/>
        </w:rPr>
      </w:pPr>
    </w:p>
    <w:p w14:paraId="42D6307E" w14:textId="77777777" w:rsidR="007C49ED" w:rsidRDefault="007C49ED" w:rsidP="00D1065E">
      <w:pPr>
        <w:pStyle w:val="NoSpacing"/>
        <w:jc w:val="left"/>
        <w:rPr>
          <w:rFonts w:ascii="Arial" w:hAnsi="Arial" w:cs="Arial"/>
        </w:rPr>
      </w:pPr>
    </w:p>
    <w:p w14:paraId="62E99C59" w14:textId="14321B39" w:rsidR="00BF3600" w:rsidRPr="00D1065E" w:rsidRDefault="007C49ED" w:rsidP="00D1065E">
      <w:pPr>
        <w:pStyle w:val="NoSpacing"/>
        <w:jc w:val="left"/>
        <w:rPr>
          <w:rFonts w:ascii="Arial" w:hAnsi="Arial" w:cs="Arial"/>
        </w:rPr>
      </w:pPr>
      <w:r w:rsidRPr="007C49ED">
        <w:rPr>
          <w:noProof/>
        </w:rPr>
        <w:t xml:space="preserve"> </w:t>
      </w:r>
    </w:p>
    <w:p w14:paraId="371FFEA4" w14:textId="77777777" w:rsidR="00BF3600" w:rsidRPr="00D1065E" w:rsidRDefault="00BF3600" w:rsidP="00D1065E">
      <w:pPr>
        <w:pStyle w:val="NoSpacing"/>
        <w:jc w:val="left"/>
        <w:rPr>
          <w:rFonts w:ascii="Arial" w:hAnsi="Arial" w:cs="Arial"/>
        </w:rPr>
      </w:pPr>
      <w:r w:rsidRPr="000163A5">
        <w:rPr>
          <w:rFonts w:ascii="Arial" w:hAnsi="Arial" w:cs="Arial"/>
        </w:rPr>
        <w:t>Climate can</w:t>
      </w:r>
      <w:r w:rsidRPr="00D1065E">
        <w:rPr>
          <w:rFonts w:ascii="Arial" w:hAnsi="Arial" w:cs="Arial"/>
        </w:rPr>
        <w:t xml:space="preserve"> fluctuate based on recent events, leadership changes, or policy shifts, offering a more dynamic and short-term perspective (Young, 2023).</w:t>
      </w:r>
    </w:p>
    <w:p w14:paraId="61789A2A" w14:textId="77777777" w:rsidR="00BF3600" w:rsidRPr="00D1065E" w:rsidRDefault="00BF3600" w:rsidP="00D1065E">
      <w:pPr>
        <w:pStyle w:val="NoSpacing"/>
        <w:jc w:val="left"/>
        <w:rPr>
          <w:rFonts w:ascii="Arial" w:hAnsi="Arial" w:cs="Arial"/>
        </w:rPr>
      </w:pPr>
      <w:r w:rsidRPr="00D1065E">
        <w:rPr>
          <w:rFonts w:ascii="Arial" w:hAnsi="Arial" w:cs="Arial"/>
        </w:rPr>
        <w:t>For instance, while cultural transformation may take years, climate interventions—such as improved communication or policy adjustments—can yield noticeable results within weeks or months.</w:t>
      </w:r>
    </w:p>
    <w:p w14:paraId="6C5C7858" w14:textId="691CE523" w:rsidR="00436F12" w:rsidRPr="000163A5" w:rsidRDefault="000163A5" w:rsidP="00D1065E">
      <w:pPr>
        <w:pStyle w:val="NoSpacing"/>
        <w:jc w:val="left"/>
        <w:rPr>
          <w:rFonts w:ascii="Arial" w:hAnsi="Arial" w:cs="Arial"/>
        </w:rPr>
      </w:pPr>
      <w:r w:rsidRPr="000163A5">
        <w:rPr>
          <w:rFonts w:ascii="Arial" w:hAnsi="Arial" w:cs="Arial"/>
        </w:rPr>
        <w:t xml:space="preserve">3.6 </w:t>
      </w:r>
      <w:r w:rsidR="00436F12" w:rsidRPr="000163A5">
        <w:rPr>
          <w:rFonts w:ascii="Arial" w:hAnsi="Arial" w:cs="Arial"/>
        </w:rPr>
        <w:t>Why Focusing on Climate Offers Practical Insights</w:t>
      </w:r>
    </w:p>
    <w:p w14:paraId="3281BDD5" w14:textId="4CF5C072" w:rsidR="00436F12" w:rsidRPr="000163A5" w:rsidRDefault="00436F12" w:rsidP="00D1065E">
      <w:pPr>
        <w:pStyle w:val="NoSpacing"/>
        <w:jc w:val="left"/>
        <w:rPr>
          <w:rFonts w:ascii="Arial" w:hAnsi="Arial" w:cs="Arial"/>
        </w:rPr>
      </w:pPr>
      <w:r w:rsidRPr="000163A5">
        <w:rPr>
          <w:rFonts w:ascii="Arial" w:hAnsi="Arial" w:cs="Arial"/>
        </w:rPr>
        <w:t>Immediate and Actionable Feedback</w:t>
      </w:r>
    </w:p>
    <w:p w14:paraId="365C6394" w14:textId="77777777" w:rsidR="00436F12" w:rsidRPr="00D1065E" w:rsidRDefault="00436F12" w:rsidP="00D1065E">
      <w:pPr>
        <w:pStyle w:val="NoSpacing"/>
        <w:jc w:val="left"/>
        <w:rPr>
          <w:rFonts w:ascii="Arial" w:hAnsi="Arial" w:cs="Arial"/>
        </w:rPr>
      </w:pPr>
      <w:r w:rsidRPr="00D1065E">
        <w:rPr>
          <w:rFonts w:ascii="Arial" w:hAnsi="Arial" w:cs="Arial"/>
        </w:rPr>
        <w:t>Climate provides a real-time lens into employee experiences, making it easier to identify and address specific issues. For instance, surveys assessing inclusion climate can highlight gaps in psychological safety or equity, guiding immediate interventions such as unconscious bias training or adjustments to recruitment practices (Nishii, 2013).</w:t>
      </w:r>
    </w:p>
    <w:p w14:paraId="1164FE62" w14:textId="77777777" w:rsidR="00436F12" w:rsidRPr="00D1065E" w:rsidRDefault="00436F12" w:rsidP="00D1065E">
      <w:pPr>
        <w:pStyle w:val="NoSpacing"/>
        <w:jc w:val="left"/>
        <w:rPr>
          <w:rFonts w:ascii="Arial" w:hAnsi="Arial" w:cs="Arial"/>
        </w:rPr>
      </w:pPr>
      <w:r w:rsidRPr="00D1065E">
        <w:rPr>
          <w:rFonts w:ascii="Arial" w:hAnsi="Arial" w:cs="Arial"/>
        </w:rPr>
        <w:t>This practicality contrasts with culture, which may require extensive time and resources to shift. While cultural change is essential for sustained success, addressing climate offers a quicker path to visible improvements that can build momentum for broader transformation (Schneider et al., 2013).</w:t>
      </w:r>
    </w:p>
    <w:p w14:paraId="6A7FB25E" w14:textId="66851841" w:rsidR="00436F12" w:rsidRPr="00D1065E" w:rsidRDefault="00436F12" w:rsidP="00D1065E">
      <w:pPr>
        <w:pStyle w:val="NoSpacing"/>
        <w:jc w:val="left"/>
        <w:rPr>
          <w:rFonts w:ascii="Arial" w:hAnsi="Arial" w:cs="Arial"/>
        </w:rPr>
      </w:pPr>
      <w:r w:rsidRPr="00D1065E">
        <w:rPr>
          <w:rFonts w:ascii="Arial" w:hAnsi="Arial" w:cs="Arial"/>
        </w:rPr>
        <w:t>Influence on Engagement and Performance</w:t>
      </w:r>
    </w:p>
    <w:p w14:paraId="3FEAA5E7" w14:textId="77777777" w:rsidR="00436F12" w:rsidRPr="00D1065E" w:rsidRDefault="00436F12" w:rsidP="00D1065E">
      <w:pPr>
        <w:pStyle w:val="NoSpacing"/>
        <w:jc w:val="left"/>
        <w:rPr>
          <w:rFonts w:ascii="Arial" w:hAnsi="Arial" w:cs="Arial"/>
          <w:szCs w:val="24"/>
        </w:rPr>
      </w:pPr>
      <w:r w:rsidRPr="00D1065E">
        <w:rPr>
          <w:rFonts w:ascii="Arial" w:hAnsi="Arial" w:cs="Arial"/>
          <w:szCs w:val="24"/>
        </w:rPr>
        <w:t xml:space="preserve">Climate directly affects employee engagement, satisfaction, and productivity. A positive climate fosters trust, motivation, and collaboration, while a negative climate can lead to disengagement and turnover (Patterson et al., 2005). For example, a </w:t>
      </w:r>
      <w:r w:rsidRPr="00D1065E">
        <w:rPr>
          <w:rFonts w:ascii="Arial" w:hAnsi="Arial" w:cs="Arial"/>
          <w:szCs w:val="24"/>
        </w:rPr>
        <w:lastRenderedPageBreak/>
        <w:t>climate that supports learning and development encourages employees to innovate and grow, enhancing both individual and organisational performance (Amabile, 1996).</w:t>
      </w:r>
    </w:p>
    <w:p w14:paraId="27EB5C05" w14:textId="77777777" w:rsidR="00436F12" w:rsidRPr="00D1065E" w:rsidRDefault="00436F12" w:rsidP="00D1065E">
      <w:pPr>
        <w:pStyle w:val="NoSpacing"/>
        <w:jc w:val="left"/>
        <w:rPr>
          <w:rFonts w:ascii="Arial" w:hAnsi="Arial" w:cs="Arial"/>
          <w:szCs w:val="24"/>
        </w:rPr>
      </w:pPr>
      <w:r w:rsidRPr="00D1065E">
        <w:rPr>
          <w:rFonts w:ascii="Arial" w:hAnsi="Arial" w:cs="Arial"/>
          <w:szCs w:val="24"/>
        </w:rPr>
        <w:t>Focusing on climate also aligns with the principles of the CIPD Good Work Index (2024), which emphasises the importance of creating fair, inclusive, and fulfilling work environments. By improving climate, organisations can address key dimensions of “good work” without waiting for cultural transformation to take root.</w:t>
      </w:r>
    </w:p>
    <w:p w14:paraId="0B360223" w14:textId="33D8FCED" w:rsidR="00436F12" w:rsidRPr="00D1065E" w:rsidRDefault="00436F12" w:rsidP="00D1065E">
      <w:pPr>
        <w:pStyle w:val="NoSpacing"/>
        <w:jc w:val="left"/>
        <w:rPr>
          <w:rFonts w:ascii="Arial" w:hAnsi="Arial" w:cs="Arial"/>
          <w:szCs w:val="24"/>
        </w:rPr>
      </w:pPr>
      <w:r w:rsidRPr="00D1065E">
        <w:rPr>
          <w:rFonts w:ascii="Arial" w:hAnsi="Arial" w:cs="Arial"/>
          <w:szCs w:val="24"/>
        </w:rPr>
        <w:t>Flexibility in Implementation</w:t>
      </w:r>
      <w:r w:rsidR="00360A49">
        <w:rPr>
          <w:rFonts w:ascii="Arial" w:hAnsi="Arial" w:cs="Arial"/>
          <w:szCs w:val="24"/>
        </w:rPr>
        <w:t>:</w:t>
      </w:r>
    </w:p>
    <w:p w14:paraId="31FCB5C8" w14:textId="5E300060" w:rsidR="00436F12" w:rsidRPr="00D1065E" w:rsidRDefault="00436F12" w:rsidP="00D1065E">
      <w:pPr>
        <w:pStyle w:val="NoSpacing"/>
        <w:jc w:val="left"/>
        <w:rPr>
          <w:rFonts w:ascii="Arial" w:hAnsi="Arial" w:cs="Arial"/>
          <w:szCs w:val="24"/>
        </w:rPr>
      </w:pPr>
      <w:r w:rsidRPr="00D1065E">
        <w:rPr>
          <w:rFonts w:ascii="Arial" w:hAnsi="Arial" w:cs="Arial"/>
          <w:szCs w:val="24"/>
        </w:rPr>
        <w:t>Climate is more adaptable than culture, allowing organisations to tailor interventions to specific contexts or teams. For instance, departments with differing subcultures may share a common climate of inclusion through targeted initiatives, such as mentoring program</w:t>
      </w:r>
      <w:r w:rsidR="008D286B" w:rsidRPr="00D1065E">
        <w:rPr>
          <w:rFonts w:ascii="Arial" w:hAnsi="Arial" w:cs="Arial"/>
          <w:szCs w:val="24"/>
        </w:rPr>
        <w:t>me</w:t>
      </w:r>
      <w:r w:rsidRPr="00D1065E">
        <w:rPr>
          <w:rFonts w:ascii="Arial" w:hAnsi="Arial" w:cs="Arial"/>
          <w:szCs w:val="24"/>
        </w:rPr>
        <w:t>s or flexible working arrangements (Young, 2023).</w:t>
      </w:r>
    </w:p>
    <w:p w14:paraId="46D694EB" w14:textId="77777777" w:rsidR="00436F12" w:rsidRPr="00D1065E" w:rsidRDefault="00436F12" w:rsidP="00D1065E">
      <w:pPr>
        <w:pStyle w:val="NoSpacing"/>
        <w:jc w:val="left"/>
        <w:rPr>
          <w:rFonts w:ascii="Arial" w:hAnsi="Arial" w:cs="Arial"/>
          <w:szCs w:val="24"/>
        </w:rPr>
      </w:pPr>
      <w:r w:rsidRPr="00D1065E">
        <w:rPr>
          <w:rFonts w:ascii="Arial" w:hAnsi="Arial" w:cs="Arial"/>
          <w:szCs w:val="24"/>
        </w:rPr>
        <w:t>This adaptability is particularly valuable in organisations facing external pressures, such as regulatory changes or market disruptions, where rapid adjustments are needed to maintain employee morale and performance.</w:t>
      </w:r>
    </w:p>
    <w:p w14:paraId="311BDE5A" w14:textId="266BD58F" w:rsidR="00436F12" w:rsidRPr="00D1065E" w:rsidRDefault="00436F12" w:rsidP="00D1065E">
      <w:pPr>
        <w:pStyle w:val="NoSpacing"/>
        <w:jc w:val="left"/>
        <w:rPr>
          <w:rFonts w:ascii="Arial" w:hAnsi="Arial" w:cs="Arial"/>
          <w:szCs w:val="24"/>
        </w:rPr>
      </w:pPr>
      <w:r w:rsidRPr="00D1065E">
        <w:rPr>
          <w:rFonts w:ascii="Arial" w:hAnsi="Arial" w:cs="Arial"/>
          <w:szCs w:val="24"/>
        </w:rPr>
        <w:t>Diagnostic Value</w:t>
      </w:r>
      <w:r w:rsidR="00360A49">
        <w:rPr>
          <w:rFonts w:ascii="Arial" w:hAnsi="Arial" w:cs="Arial"/>
          <w:szCs w:val="24"/>
        </w:rPr>
        <w:t>:</w:t>
      </w:r>
    </w:p>
    <w:p w14:paraId="152DFA84" w14:textId="74C71622" w:rsidR="00436F12" w:rsidRPr="00D1065E" w:rsidRDefault="00436F12" w:rsidP="00D1065E">
      <w:pPr>
        <w:pStyle w:val="NoSpacing"/>
        <w:jc w:val="left"/>
        <w:rPr>
          <w:rFonts w:ascii="Arial" w:hAnsi="Arial" w:cs="Arial"/>
          <w:szCs w:val="24"/>
        </w:rPr>
      </w:pPr>
      <w:r w:rsidRPr="00D1065E">
        <w:rPr>
          <w:rFonts w:ascii="Arial" w:hAnsi="Arial" w:cs="Arial"/>
          <w:szCs w:val="24"/>
        </w:rPr>
        <w:t xml:space="preserve">Analysing climate offers diagnostic insights into how cultural values are operationalised. Discrepancies between espoused values and perceived climate can reveal misalignments that undermine organisational effectiveness. For example, if an organisation claims to value ethical behaviour but employees perceive a climate of </w:t>
      </w:r>
      <w:r w:rsidR="00360A49" w:rsidRPr="00D1065E">
        <w:rPr>
          <w:rFonts w:ascii="Arial" w:hAnsi="Arial" w:cs="Arial"/>
          <w:szCs w:val="24"/>
        </w:rPr>
        <w:t>favouritism</w:t>
      </w:r>
      <w:r w:rsidRPr="00D1065E">
        <w:rPr>
          <w:rFonts w:ascii="Arial" w:hAnsi="Arial" w:cs="Arial"/>
          <w:szCs w:val="24"/>
        </w:rPr>
        <w:t xml:space="preserve"> or unfair practices, it signals a need for corrective action (Schneider et al., 2013).</w:t>
      </w:r>
    </w:p>
    <w:p w14:paraId="2E17E0F0" w14:textId="77777777" w:rsidR="004D65C6" w:rsidRPr="00D1065E" w:rsidRDefault="004D65C6" w:rsidP="00D1065E">
      <w:pPr>
        <w:pStyle w:val="NoSpacing"/>
        <w:jc w:val="left"/>
        <w:rPr>
          <w:rFonts w:ascii="Arial" w:hAnsi="Arial" w:cs="Arial"/>
          <w:szCs w:val="24"/>
        </w:rPr>
      </w:pPr>
    </w:p>
    <w:p w14:paraId="76F29966" w14:textId="38679FE8" w:rsidR="00436F12" w:rsidRPr="00D1065E" w:rsidRDefault="005E44D3" w:rsidP="00D1065E">
      <w:pPr>
        <w:pStyle w:val="NoSpacing"/>
        <w:jc w:val="left"/>
        <w:rPr>
          <w:rFonts w:ascii="Arial" w:hAnsi="Arial" w:cs="Arial"/>
          <w:szCs w:val="24"/>
        </w:rPr>
      </w:pPr>
      <w:r>
        <w:rPr>
          <w:rFonts w:ascii="Arial" w:hAnsi="Arial" w:cs="Arial"/>
          <w:szCs w:val="24"/>
        </w:rPr>
        <w:t xml:space="preserve">3.8 </w:t>
      </w:r>
      <w:r w:rsidR="00436F12" w:rsidRPr="00D1065E">
        <w:rPr>
          <w:rFonts w:ascii="Arial" w:hAnsi="Arial" w:cs="Arial"/>
          <w:szCs w:val="24"/>
        </w:rPr>
        <w:t>The Role of Leadership</w:t>
      </w:r>
    </w:p>
    <w:p w14:paraId="53F3DC3C" w14:textId="77777777" w:rsidR="00436F12" w:rsidRPr="00D1065E" w:rsidRDefault="00436F12" w:rsidP="00D1065E">
      <w:pPr>
        <w:pStyle w:val="NoSpacing"/>
        <w:jc w:val="left"/>
        <w:rPr>
          <w:rFonts w:ascii="Arial" w:hAnsi="Arial" w:cs="Arial"/>
          <w:szCs w:val="24"/>
        </w:rPr>
      </w:pPr>
      <w:r w:rsidRPr="00D1065E">
        <w:rPr>
          <w:rFonts w:ascii="Arial" w:hAnsi="Arial" w:cs="Arial"/>
          <w:szCs w:val="24"/>
        </w:rPr>
        <w:t>Leadership plays a pivotal role in bridging culture and climate. While leaders shape culture through vision and strategic direction, they influence climate through day-to-day interactions and decisions. For example, a leader who consistently recognises employee contributions can foster a climate of appreciation and trust, reinforcing the organisation’s cultural values of respect and collaboration (Cameron &amp; Quinn, 2006).</w:t>
      </w:r>
    </w:p>
    <w:p w14:paraId="4D54BF24" w14:textId="77777777" w:rsidR="00436F12" w:rsidRDefault="00436F12" w:rsidP="00D1065E">
      <w:pPr>
        <w:pStyle w:val="NoSpacing"/>
        <w:jc w:val="left"/>
        <w:rPr>
          <w:rFonts w:ascii="Arial" w:hAnsi="Arial" w:cs="Arial"/>
          <w:szCs w:val="24"/>
        </w:rPr>
      </w:pPr>
      <w:r w:rsidRPr="00D1065E">
        <w:rPr>
          <w:rFonts w:ascii="Arial" w:hAnsi="Arial" w:cs="Arial"/>
          <w:szCs w:val="24"/>
        </w:rPr>
        <w:t>Leaders also act as role models, demonstrating the behaviours and attitudes that align with organisational goals. By prioritising climate improvements, they can create immediate positive changes that pave the way for deeper cultural evolution.</w:t>
      </w:r>
    </w:p>
    <w:p w14:paraId="5EF385B0" w14:textId="798E72A4" w:rsidR="00032BB4" w:rsidRDefault="00135484" w:rsidP="00D1065E">
      <w:pPr>
        <w:pStyle w:val="NoSpacing"/>
        <w:jc w:val="left"/>
        <w:rPr>
          <w:rFonts w:ascii="Arial" w:hAnsi="Arial" w:cs="Arial"/>
          <w:szCs w:val="24"/>
        </w:rPr>
      </w:pPr>
      <w:r>
        <w:rPr>
          <w:rFonts w:ascii="Arial" w:hAnsi="Arial" w:cs="Arial"/>
          <w:szCs w:val="24"/>
        </w:rPr>
        <w:t>3.9</w:t>
      </w:r>
      <w:r w:rsidRPr="00135484">
        <w:t xml:space="preserve"> </w:t>
      </w:r>
      <w:r w:rsidR="00762B7E">
        <w:rPr>
          <w:rFonts w:ascii="Arial" w:hAnsi="Arial" w:cs="Arial"/>
          <w:szCs w:val="24"/>
        </w:rPr>
        <w:t>Utilisation</w:t>
      </w:r>
      <w:r w:rsidR="00032BB4">
        <w:rPr>
          <w:rFonts w:ascii="Arial" w:hAnsi="Arial" w:cs="Arial"/>
          <w:szCs w:val="24"/>
        </w:rPr>
        <w:t xml:space="preserve"> of </w:t>
      </w:r>
      <w:r w:rsidRPr="00135484">
        <w:rPr>
          <w:rFonts w:ascii="Arial" w:hAnsi="Arial" w:cs="Arial"/>
          <w:szCs w:val="24"/>
        </w:rPr>
        <w:t xml:space="preserve">CIPD’s Maturity Model, </w:t>
      </w:r>
    </w:p>
    <w:p w14:paraId="3BF49829" w14:textId="3112D301" w:rsidR="00135484" w:rsidRPr="00D1065E" w:rsidRDefault="00032BB4" w:rsidP="00D1065E">
      <w:pPr>
        <w:pStyle w:val="NoSpacing"/>
        <w:jc w:val="left"/>
        <w:rPr>
          <w:rFonts w:ascii="Arial" w:hAnsi="Arial" w:cs="Arial"/>
          <w:szCs w:val="24"/>
        </w:rPr>
      </w:pPr>
      <w:r>
        <w:rPr>
          <w:rFonts w:ascii="Arial" w:hAnsi="Arial" w:cs="Arial"/>
          <w:szCs w:val="24"/>
        </w:rPr>
        <w:t>SPK</w:t>
      </w:r>
      <w:r w:rsidR="00135484" w:rsidRPr="00135484">
        <w:rPr>
          <w:rFonts w:ascii="Arial" w:hAnsi="Arial" w:cs="Arial"/>
          <w:szCs w:val="24"/>
        </w:rPr>
        <w:t xml:space="preserve"> can be assessed in its journey towards optimising organisational culture and climate. Currently, the company appears to operate at an </w:t>
      </w:r>
      <w:r w:rsidR="00135484" w:rsidRPr="00135484">
        <w:rPr>
          <w:rFonts w:ascii="Arial" w:hAnsi="Arial" w:cs="Arial"/>
          <w:i/>
          <w:iCs/>
          <w:szCs w:val="24"/>
        </w:rPr>
        <w:t>"Emerging"</w:t>
      </w:r>
      <w:r w:rsidR="00135484" w:rsidRPr="00135484">
        <w:rPr>
          <w:rFonts w:ascii="Arial" w:hAnsi="Arial" w:cs="Arial"/>
          <w:szCs w:val="24"/>
        </w:rPr>
        <w:t xml:space="preserve"> stage in several areas. For example, its </w:t>
      </w:r>
      <w:r w:rsidR="00135484" w:rsidRPr="00135484">
        <w:rPr>
          <w:rFonts w:ascii="Arial" w:hAnsi="Arial" w:cs="Arial"/>
          <w:b/>
          <w:bCs/>
          <w:szCs w:val="24"/>
        </w:rPr>
        <w:t>Safety Climate</w:t>
      </w:r>
      <w:r w:rsidR="00135484" w:rsidRPr="00135484">
        <w:rPr>
          <w:rFonts w:ascii="Arial" w:hAnsi="Arial" w:cs="Arial"/>
          <w:szCs w:val="24"/>
        </w:rPr>
        <w:t xml:space="preserve"> reflects a basic awareness of compliance requirements, but there is inconsistency in how safety policies are enforced and communicated across teams. Similarly, the </w:t>
      </w:r>
      <w:r w:rsidR="00135484" w:rsidRPr="00135484">
        <w:rPr>
          <w:rFonts w:ascii="Arial" w:hAnsi="Arial" w:cs="Arial"/>
          <w:b/>
          <w:bCs/>
          <w:szCs w:val="24"/>
        </w:rPr>
        <w:t>Learning Climate</w:t>
      </w:r>
      <w:r w:rsidR="00135484" w:rsidRPr="00135484">
        <w:rPr>
          <w:rFonts w:ascii="Arial" w:hAnsi="Arial" w:cs="Arial"/>
          <w:szCs w:val="24"/>
        </w:rPr>
        <w:t xml:space="preserve"> </w:t>
      </w:r>
      <w:r w:rsidR="00135484" w:rsidRPr="00135484">
        <w:rPr>
          <w:rFonts w:ascii="Arial" w:hAnsi="Arial" w:cs="Arial"/>
          <w:szCs w:val="24"/>
        </w:rPr>
        <w:lastRenderedPageBreak/>
        <w:t xml:space="preserve">demonstrates an ad hoc approach to training and development, with limited structured opportunities for employees to enhance skills or advance their careers. Leadership and management practices also indicate room for growth, particularly in promoting inclusivity and employee engagement. While foundational systems and policies are in place, the lack of integration between strategic objectives and operational practices hampers the organisation's ability to transition to the </w:t>
      </w:r>
      <w:r w:rsidR="00135484" w:rsidRPr="00135484">
        <w:rPr>
          <w:rFonts w:ascii="Arial" w:hAnsi="Arial" w:cs="Arial"/>
          <w:i/>
          <w:iCs/>
          <w:szCs w:val="24"/>
        </w:rPr>
        <w:t>"Established"</w:t>
      </w:r>
      <w:r w:rsidR="00135484" w:rsidRPr="00135484">
        <w:rPr>
          <w:rFonts w:ascii="Arial" w:hAnsi="Arial" w:cs="Arial"/>
          <w:szCs w:val="24"/>
        </w:rPr>
        <w:t xml:space="preserve"> or </w:t>
      </w:r>
      <w:r w:rsidR="00135484" w:rsidRPr="00135484">
        <w:rPr>
          <w:rFonts w:ascii="Arial" w:hAnsi="Arial" w:cs="Arial"/>
          <w:i/>
          <w:iCs/>
          <w:szCs w:val="24"/>
        </w:rPr>
        <w:t>"Optimising"</w:t>
      </w:r>
      <w:r w:rsidR="00135484" w:rsidRPr="00135484">
        <w:rPr>
          <w:rFonts w:ascii="Arial" w:hAnsi="Arial" w:cs="Arial"/>
          <w:szCs w:val="24"/>
        </w:rPr>
        <w:t xml:space="preserve"> stages. Addressing these gaps through targeted interventions in safety protocols, leadership training, and continuous learning initiatives can help the company progress towards higher maturity levels, fostering a more engaged and productive workforce.</w:t>
      </w:r>
    </w:p>
    <w:p w14:paraId="1C1B4B37" w14:textId="77777777" w:rsidR="00436F12" w:rsidRPr="00D1065E" w:rsidRDefault="00436F12" w:rsidP="00D1065E">
      <w:pPr>
        <w:pStyle w:val="NoSpacing"/>
        <w:jc w:val="left"/>
        <w:rPr>
          <w:rFonts w:ascii="Arial" w:hAnsi="Arial" w:cs="Arial"/>
          <w:szCs w:val="24"/>
        </w:rPr>
      </w:pPr>
    </w:p>
    <w:p w14:paraId="67114DD8" w14:textId="24A81DE2" w:rsidR="004262EB" w:rsidRPr="00D1065E" w:rsidRDefault="004262EB" w:rsidP="00D1065E">
      <w:pPr>
        <w:pStyle w:val="NoSpacing"/>
        <w:jc w:val="left"/>
        <w:rPr>
          <w:rFonts w:ascii="Arial" w:hAnsi="Arial" w:cs="Arial"/>
          <w:szCs w:val="24"/>
        </w:rPr>
      </w:pPr>
    </w:p>
    <w:p w14:paraId="72F4FDEB" w14:textId="0D440066" w:rsidR="004262EB" w:rsidRPr="00D1065E" w:rsidRDefault="004262EB" w:rsidP="00D1065E">
      <w:pPr>
        <w:pStyle w:val="NoSpacing"/>
        <w:jc w:val="left"/>
        <w:rPr>
          <w:rFonts w:ascii="Arial" w:hAnsi="Arial" w:cs="Arial"/>
          <w:color w:val="auto"/>
        </w:rPr>
      </w:pPr>
      <w:r w:rsidRPr="00D1065E">
        <w:rPr>
          <w:rFonts w:ascii="Arial" w:hAnsi="Arial" w:cs="Arial"/>
          <w:color w:val="auto"/>
        </w:rPr>
        <w:br w:type="page"/>
      </w:r>
    </w:p>
    <w:p w14:paraId="4EF077C5" w14:textId="5239673F" w:rsidR="00BA68CA" w:rsidRDefault="002A1E9B" w:rsidP="00BA68CA">
      <w:pPr>
        <w:pStyle w:val="Heading1"/>
        <w:rPr>
          <w:lang w:val="en-US" w:eastAsia="en-US"/>
        </w:rPr>
      </w:pPr>
      <w:bookmarkStart w:id="3" w:name="_Toc184415772"/>
      <w:r>
        <w:rPr>
          <w:lang w:val="en-US" w:eastAsia="en-US"/>
        </w:rPr>
        <w:lastRenderedPageBreak/>
        <w:t xml:space="preserve">4.0 </w:t>
      </w:r>
      <w:r w:rsidR="00BA68CA">
        <w:rPr>
          <w:lang w:val="en-US" w:eastAsia="en-US"/>
        </w:rPr>
        <w:t>Conclusio</w:t>
      </w:r>
      <w:r w:rsidR="005E44D3">
        <w:rPr>
          <w:lang w:val="en-US" w:eastAsia="en-US"/>
        </w:rPr>
        <w:t>n</w:t>
      </w:r>
      <w:bookmarkEnd w:id="3"/>
    </w:p>
    <w:p w14:paraId="431B1B1A" w14:textId="77777777" w:rsidR="0090536F" w:rsidRPr="00D1065E" w:rsidRDefault="0090536F" w:rsidP="00BE3FE0">
      <w:pPr>
        <w:pStyle w:val="NoSpacing"/>
        <w:jc w:val="left"/>
        <w:rPr>
          <w:rFonts w:ascii="Arial" w:hAnsi="Arial" w:cs="Arial"/>
          <w:szCs w:val="24"/>
          <w:lang w:eastAsia="en-US"/>
        </w:rPr>
      </w:pPr>
      <w:r w:rsidRPr="00D1065E">
        <w:rPr>
          <w:rFonts w:ascii="Arial" w:hAnsi="Arial" w:cs="Arial"/>
          <w:szCs w:val="24"/>
          <w:lang w:eastAsia="en-US"/>
        </w:rPr>
        <w:t>Organisational culture and climate are distinct yet interconnected concepts that shape employee experiences and organisational outcomes. While culture provides a foundational framework for long-term identity and strategy, climate offers a practical and measurable avenue for short-term interventions.</w:t>
      </w:r>
    </w:p>
    <w:p w14:paraId="4FD00614" w14:textId="6AC117D0" w:rsidR="00F7220B" w:rsidRPr="005E44D3" w:rsidRDefault="0090536F" w:rsidP="00BE3FE0">
      <w:pPr>
        <w:pStyle w:val="NoSpacing"/>
        <w:jc w:val="left"/>
        <w:rPr>
          <w:rFonts w:ascii="Arial" w:hAnsi="Arial" w:cs="Arial"/>
          <w:szCs w:val="24"/>
          <w:lang w:eastAsia="en-US"/>
        </w:rPr>
      </w:pPr>
      <w:r w:rsidRPr="00D1065E">
        <w:rPr>
          <w:rFonts w:ascii="Arial" w:hAnsi="Arial" w:cs="Arial"/>
          <w:szCs w:val="24"/>
          <w:lang w:eastAsia="en-US"/>
        </w:rPr>
        <w:t>Focusing on climate allows organisations to address immediate challenges, enhance engagement, and build trust, creating a fertile ground for sustained cultural transformation. By leveraging diagnostic tools and targeted strategies, organisations can align culture and climate to drive performance, innovation, and employee well-being.</w:t>
      </w:r>
    </w:p>
    <w:p w14:paraId="186257D1" w14:textId="598F2113" w:rsidR="00AA2555" w:rsidRPr="00D1065E" w:rsidRDefault="00AA2555" w:rsidP="00BE3FE0">
      <w:pPr>
        <w:pStyle w:val="NoSpacing"/>
        <w:jc w:val="left"/>
        <w:rPr>
          <w:rFonts w:ascii="Arial" w:hAnsi="Arial" w:cs="Arial"/>
          <w:szCs w:val="24"/>
          <w:lang w:eastAsia="en-US"/>
        </w:rPr>
      </w:pPr>
      <w:r w:rsidRPr="00D1065E">
        <w:rPr>
          <w:rFonts w:ascii="Arial" w:hAnsi="Arial" w:cs="Arial"/>
          <w:szCs w:val="24"/>
          <w:lang w:eastAsia="en-US"/>
        </w:rPr>
        <w:t xml:space="preserve">In </w:t>
      </w:r>
      <w:r w:rsidR="005C49EB" w:rsidRPr="00D1065E">
        <w:rPr>
          <w:rFonts w:ascii="Arial" w:hAnsi="Arial" w:cs="Arial"/>
          <w:szCs w:val="24"/>
          <w:lang w:eastAsia="en-US"/>
        </w:rPr>
        <w:t>SPK</w:t>
      </w:r>
      <w:r w:rsidRPr="00D1065E">
        <w:rPr>
          <w:rFonts w:ascii="Arial" w:hAnsi="Arial" w:cs="Arial"/>
          <w:szCs w:val="24"/>
          <w:lang w:eastAsia="en-US"/>
        </w:rPr>
        <w:t xml:space="preserve"> organisational culture provides the guiding principles that define its identity, while climate offers a real-time lens into how those principles are experienced by employees. Although culture shapes long-term behaviours, focusing on climate provides immediate, actionable insights that can drive practical improvements in safety, engagement, and performance. By leveraging climate assessments, the organisation can bridge the gap between cultural aspirations and operational realities, fostering a more effective and engaged workforce.</w:t>
      </w:r>
    </w:p>
    <w:p w14:paraId="79B275B8" w14:textId="02392DEC" w:rsidR="00F7220B" w:rsidRPr="00D1065E" w:rsidRDefault="003E7B73" w:rsidP="00BE3FE0">
      <w:pPr>
        <w:pStyle w:val="NoSpacing"/>
        <w:jc w:val="left"/>
        <w:rPr>
          <w:rFonts w:ascii="Arial" w:hAnsi="Arial" w:cs="Arial"/>
          <w:szCs w:val="24"/>
          <w:lang w:val="en-US" w:eastAsia="en-US"/>
        </w:rPr>
      </w:pPr>
      <w:r w:rsidRPr="00D1065E">
        <w:rPr>
          <w:rFonts w:ascii="Arial" w:hAnsi="Arial" w:cs="Arial"/>
          <w:szCs w:val="24"/>
          <w:lang w:eastAsia="en-US"/>
        </w:rPr>
        <w:t xml:space="preserve">These recommendations provide a strategic roadmap for improving organisational climate and supporting long-term cultural evolution. By addressing safety, inclusivity, and professional development, </w:t>
      </w:r>
      <w:r w:rsidR="005C49EB" w:rsidRPr="00D1065E">
        <w:rPr>
          <w:rFonts w:ascii="Arial" w:hAnsi="Arial" w:cs="Arial"/>
          <w:szCs w:val="24"/>
          <w:lang w:eastAsia="en-US"/>
        </w:rPr>
        <w:t>SPK</w:t>
      </w:r>
      <w:r w:rsidRPr="00D1065E">
        <w:rPr>
          <w:rFonts w:ascii="Arial" w:hAnsi="Arial" w:cs="Arial"/>
          <w:szCs w:val="24"/>
          <w:lang w:eastAsia="en-US"/>
        </w:rPr>
        <w:t xml:space="preserve"> can foster a more engaged, motivated, and high-performing workforce. Each initiative is designed to be cost-effective, actionable, and aligned with industry best practices, ensuring measurable improvements in employee experience and operational outcomes</w:t>
      </w:r>
      <w:r w:rsidR="003267EB" w:rsidRPr="00D1065E">
        <w:rPr>
          <w:rFonts w:ascii="Arial" w:hAnsi="Arial" w:cs="Arial"/>
          <w:szCs w:val="24"/>
          <w:lang w:eastAsia="en-US"/>
        </w:rPr>
        <w:t>.</w:t>
      </w:r>
    </w:p>
    <w:p w14:paraId="52EFC806" w14:textId="4414C6D7" w:rsidR="007F46DE" w:rsidRPr="00E905AA" w:rsidRDefault="007F46DE" w:rsidP="00E905AA">
      <w:pPr>
        <w:pStyle w:val="NoSpacing"/>
        <w:rPr>
          <w:rFonts w:ascii="Arial" w:eastAsiaTheme="majorEastAsia" w:hAnsi="Arial" w:cs="Arial"/>
        </w:rPr>
      </w:pPr>
      <w:r w:rsidRPr="00E905AA">
        <w:rPr>
          <w:rFonts w:ascii="Arial" w:eastAsiaTheme="majorEastAsia" w:hAnsi="Arial" w:cs="Arial"/>
        </w:rPr>
        <w:t xml:space="preserve">These recommendations are cost-effective and strategically aligned to improve organisational culture, enhance climate dimensions, and ensure sustainable employee engagement. By adopting these changes, </w:t>
      </w:r>
      <w:proofErr w:type="gramStart"/>
      <w:r w:rsidR="00E905AA">
        <w:rPr>
          <w:rFonts w:ascii="Arial" w:eastAsiaTheme="majorEastAsia" w:hAnsi="Arial" w:cs="Arial"/>
        </w:rPr>
        <w:t xml:space="preserve">SPK </w:t>
      </w:r>
      <w:r w:rsidRPr="00E905AA">
        <w:rPr>
          <w:rFonts w:ascii="Arial" w:eastAsiaTheme="majorEastAsia" w:hAnsi="Arial" w:cs="Arial"/>
        </w:rPr>
        <w:t xml:space="preserve"> can</w:t>
      </w:r>
      <w:proofErr w:type="gramEnd"/>
      <w:r w:rsidRPr="00E905AA">
        <w:rPr>
          <w:rFonts w:ascii="Arial" w:eastAsiaTheme="majorEastAsia" w:hAnsi="Arial" w:cs="Arial"/>
        </w:rPr>
        <w:t xml:space="preserve"> transition toward a more inclusive and innovative workplace, fostering productivity and long-term success.</w:t>
      </w:r>
    </w:p>
    <w:p w14:paraId="468A386E" w14:textId="7B53D520" w:rsidR="00D679C0" w:rsidRPr="00D1065E" w:rsidRDefault="00C137E7" w:rsidP="00C137E7">
      <w:pPr>
        <w:spacing w:before="0" w:beforeAutospacing="0" w:after="160" w:line="259" w:lineRule="auto"/>
        <w:jc w:val="left"/>
        <w:rPr>
          <w:rFonts w:ascii="Arial" w:hAnsi="Arial" w:cs="Arial"/>
          <w:szCs w:val="24"/>
          <w:lang w:val="en-US" w:eastAsia="en-US"/>
        </w:rPr>
      </w:pPr>
      <w:r>
        <w:rPr>
          <w:rFonts w:ascii="Arial" w:hAnsi="Arial" w:cs="Arial"/>
          <w:szCs w:val="24"/>
          <w:lang w:val="en-US" w:eastAsia="en-US"/>
        </w:rPr>
        <w:br w:type="page"/>
      </w:r>
    </w:p>
    <w:p w14:paraId="4DBB29FE" w14:textId="14832B96" w:rsidR="00F21B73" w:rsidRPr="005E44D3" w:rsidRDefault="005E44D3" w:rsidP="005E44D3">
      <w:pPr>
        <w:pStyle w:val="Heading1"/>
        <w:rPr>
          <w:lang w:val="en-US" w:eastAsia="en-US"/>
        </w:rPr>
      </w:pPr>
      <w:bookmarkStart w:id="4" w:name="_Toc184415773"/>
      <w:r>
        <w:rPr>
          <w:lang w:val="en-US" w:eastAsia="en-US"/>
        </w:rPr>
        <w:lastRenderedPageBreak/>
        <w:t>5.0 Recommendations</w:t>
      </w:r>
      <w:bookmarkEnd w:id="4"/>
    </w:p>
    <w:p w14:paraId="3EAB6239" w14:textId="32025D84" w:rsidR="00D679C0" w:rsidRPr="00D1065E" w:rsidRDefault="00D679C0" w:rsidP="00BE3FE0">
      <w:pPr>
        <w:pStyle w:val="NoSpacing"/>
        <w:jc w:val="left"/>
        <w:rPr>
          <w:rFonts w:ascii="Arial" w:hAnsi="Arial" w:cs="Arial"/>
          <w:color w:val="auto"/>
          <w:szCs w:val="24"/>
          <w:lang w:val="en-US" w:eastAsia="en-US"/>
        </w:rPr>
      </w:pPr>
      <w:r w:rsidRPr="00D1065E">
        <w:rPr>
          <w:rFonts w:ascii="Arial" w:hAnsi="Arial" w:cs="Arial"/>
          <w:color w:val="auto"/>
          <w:szCs w:val="24"/>
          <w:lang w:val="en-US" w:eastAsia="en-US"/>
        </w:rPr>
        <w:t>A key recommendation for a small organisation like SPK</w:t>
      </w:r>
      <w:r w:rsidR="00335ED3" w:rsidRPr="00D1065E">
        <w:rPr>
          <w:rFonts w:ascii="Arial" w:hAnsi="Arial" w:cs="Arial"/>
          <w:color w:val="auto"/>
          <w:szCs w:val="24"/>
          <w:lang w:val="en-US" w:eastAsia="en-US"/>
        </w:rPr>
        <w:t xml:space="preserve"> based on the</w:t>
      </w:r>
      <w:r w:rsidR="00CF7561" w:rsidRPr="00D1065E">
        <w:rPr>
          <w:rFonts w:ascii="Arial" w:hAnsi="Arial" w:cs="Arial"/>
          <w:color w:val="auto"/>
          <w:szCs w:val="24"/>
          <w:lang w:val="en-US" w:eastAsia="en-US"/>
        </w:rPr>
        <w:t xml:space="preserve"> </w:t>
      </w:r>
      <w:r w:rsidR="00CF7561" w:rsidRPr="00D1065E">
        <w:rPr>
          <w:rFonts w:ascii="Arial" w:hAnsi="Arial" w:cs="Arial"/>
          <w:color w:val="auto"/>
          <w:szCs w:val="24"/>
          <w:lang w:eastAsia="en-US"/>
        </w:rPr>
        <w:t>analysis of organisational culture and climate</w:t>
      </w:r>
      <w:r w:rsidR="00F2102D" w:rsidRPr="00D1065E">
        <w:rPr>
          <w:rFonts w:ascii="Arial" w:hAnsi="Arial" w:cs="Arial"/>
          <w:color w:val="auto"/>
          <w:szCs w:val="24"/>
          <w:lang w:eastAsia="en-US"/>
        </w:rPr>
        <w:t>,</w:t>
      </w:r>
      <w:r w:rsidR="00CF7561" w:rsidRPr="00D1065E">
        <w:rPr>
          <w:rFonts w:ascii="Arial" w:hAnsi="Arial" w:cs="Arial"/>
          <w:color w:val="auto"/>
          <w:szCs w:val="24"/>
          <w:lang w:eastAsia="en-US"/>
        </w:rPr>
        <w:t xml:space="preserve"> </w:t>
      </w:r>
      <w:proofErr w:type="gramStart"/>
      <w:r w:rsidR="00CF7561" w:rsidRPr="00D1065E">
        <w:rPr>
          <w:rFonts w:ascii="Arial" w:hAnsi="Arial" w:cs="Arial"/>
          <w:color w:val="auto"/>
          <w:szCs w:val="24"/>
          <w:lang w:eastAsia="en-US"/>
        </w:rPr>
        <w:t>are</w:t>
      </w:r>
      <w:proofErr w:type="gramEnd"/>
      <w:r w:rsidR="00CF7561" w:rsidRPr="00D1065E">
        <w:rPr>
          <w:rFonts w:ascii="Arial" w:hAnsi="Arial" w:cs="Arial"/>
          <w:color w:val="auto"/>
          <w:szCs w:val="24"/>
          <w:lang w:eastAsia="en-US"/>
        </w:rPr>
        <w:t xml:space="preserve"> designed to enhance employee engagement, operational efficiency, and long-term sustainability. Each recommendation includes an assessment of its importance, estimated cost, and anticipated impact on the organisation.</w:t>
      </w:r>
    </w:p>
    <w:p w14:paraId="5A7FEAB9" w14:textId="2D77B787" w:rsidR="002B2C73" w:rsidRPr="00D1065E" w:rsidRDefault="0045714F" w:rsidP="00BE3FE0">
      <w:pPr>
        <w:pStyle w:val="NoSpacing"/>
        <w:jc w:val="left"/>
        <w:rPr>
          <w:rFonts w:ascii="Arial" w:hAnsi="Arial" w:cs="Arial"/>
          <w:b/>
          <w:bCs/>
          <w:color w:val="auto"/>
          <w:szCs w:val="24"/>
          <w:lang w:eastAsia="en-US"/>
        </w:rPr>
      </w:pPr>
      <w:r>
        <w:rPr>
          <w:rFonts w:ascii="Arial" w:hAnsi="Arial" w:cs="Arial"/>
          <w:b/>
          <w:bCs/>
          <w:color w:val="auto"/>
          <w:szCs w:val="24"/>
          <w:lang w:eastAsia="en-US"/>
        </w:rPr>
        <w:t xml:space="preserve">A. </w:t>
      </w:r>
      <w:r w:rsidR="002B2C73" w:rsidRPr="00D1065E">
        <w:rPr>
          <w:rFonts w:ascii="Arial" w:hAnsi="Arial" w:cs="Arial"/>
          <w:b/>
          <w:bCs/>
          <w:color w:val="auto"/>
          <w:szCs w:val="24"/>
          <w:lang w:eastAsia="en-US"/>
        </w:rPr>
        <w:t>Implement a Robust Safety Climate Enhancement Program</w:t>
      </w:r>
      <w:r w:rsidR="00144140" w:rsidRPr="00D1065E">
        <w:rPr>
          <w:rFonts w:ascii="Arial" w:hAnsi="Arial" w:cs="Arial"/>
          <w:b/>
          <w:bCs/>
          <w:color w:val="auto"/>
          <w:szCs w:val="24"/>
          <w:lang w:eastAsia="en-US"/>
        </w:rPr>
        <w:t>me</w:t>
      </w:r>
    </w:p>
    <w:p w14:paraId="785CB231" w14:textId="7E77059C" w:rsidR="002B2C73" w:rsidRPr="00D1065E" w:rsidRDefault="002B2C73" w:rsidP="00BE3FE0">
      <w:pPr>
        <w:pStyle w:val="NoSpacing"/>
        <w:jc w:val="left"/>
        <w:rPr>
          <w:rFonts w:ascii="Arial" w:hAnsi="Arial" w:cs="Arial"/>
          <w:color w:val="auto"/>
          <w:szCs w:val="24"/>
          <w:lang w:eastAsia="en-US"/>
        </w:rPr>
      </w:pPr>
      <w:r w:rsidRPr="00D1065E">
        <w:rPr>
          <w:rFonts w:ascii="Arial" w:hAnsi="Arial" w:cs="Arial"/>
          <w:b/>
          <w:bCs/>
          <w:color w:val="auto"/>
          <w:szCs w:val="24"/>
          <w:lang w:eastAsia="en-US"/>
        </w:rPr>
        <w:t>Objective:</w:t>
      </w:r>
      <w:r w:rsidRPr="00D1065E">
        <w:rPr>
          <w:rFonts w:ascii="Arial" w:hAnsi="Arial" w:cs="Arial"/>
          <w:color w:val="auto"/>
          <w:szCs w:val="24"/>
          <w:lang w:eastAsia="en-US"/>
        </w:rPr>
        <w:t xml:space="preserve"> Strengthen the organisation's safety climate to ensure employees feel supported and protected in their roles, reducing workplace accidents and improving compliance with safety regulations.</w:t>
      </w:r>
      <w:r w:rsidR="00630898">
        <w:rPr>
          <w:rFonts w:ascii="Arial" w:hAnsi="Arial" w:cs="Arial"/>
          <w:color w:val="auto"/>
          <w:szCs w:val="24"/>
          <w:lang w:eastAsia="en-US"/>
        </w:rPr>
        <w:t xml:space="preserve"> </w:t>
      </w:r>
      <w:r w:rsidR="00DF06B3">
        <w:rPr>
          <w:rFonts w:ascii="Arial" w:hAnsi="Arial" w:cs="Arial"/>
          <w:color w:val="auto"/>
          <w:szCs w:val="24"/>
          <w:lang w:eastAsia="en-US"/>
        </w:rPr>
        <w:t xml:space="preserve">This will in turn </w:t>
      </w:r>
      <w:r w:rsidR="00630898">
        <w:rPr>
          <w:rFonts w:ascii="Arial" w:hAnsi="Arial" w:cs="Arial"/>
          <w:color w:val="auto"/>
          <w:szCs w:val="24"/>
          <w:lang w:eastAsia="en-US"/>
        </w:rPr>
        <w:t>reduce the potential incidents.</w:t>
      </w:r>
    </w:p>
    <w:p w14:paraId="172CECBA" w14:textId="77777777" w:rsidR="002B2C73" w:rsidRPr="00D1065E" w:rsidRDefault="002B2C73" w:rsidP="00D1065E">
      <w:pPr>
        <w:pStyle w:val="NoSpacing"/>
        <w:rPr>
          <w:rFonts w:ascii="Arial" w:hAnsi="Arial" w:cs="Arial"/>
          <w:color w:val="auto"/>
          <w:szCs w:val="24"/>
          <w:lang w:eastAsia="en-US"/>
        </w:rPr>
      </w:pPr>
      <w:r w:rsidRPr="00D1065E">
        <w:rPr>
          <w:rFonts w:ascii="Arial" w:hAnsi="Arial" w:cs="Arial"/>
          <w:b/>
          <w:bCs/>
          <w:color w:val="auto"/>
          <w:szCs w:val="24"/>
          <w:lang w:eastAsia="en-US"/>
        </w:rPr>
        <w:t>Actions:</w:t>
      </w:r>
    </w:p>
    <w:p w14:paraId="318256D7" w14:textId="77777777" w:rsidR="002B2C73" w:rsidRPr="00D1065E" w:rsidRDefault="002B2C73" w:rsidP="00BE3FE0">
      <w:pPr>
        <w:pStyle w:val="NoSpacing"/>
        <w:jc w:val="left"/>
        <w:rPr>
          <w:rFonts w:ascii="Arial" w:hAnsi="Arial" w:cs="Arial"/>
          <w:color w:val="auto"/>
          <w:szCs w:val="24"/>
          <w:lang w:eastAsia="en-US"/>
        </w:rPr>
      </w:pPr>
      <w:r w:rsidRPr="00D1065E">
        <w:rPr>
          <w:rFonts w:ascii="Arial" w:hAnsi="Arial" w:cs="Arial"/>
          <w:color w:val="auto"/>
          <w:szCs w:val="24"/>
          <w:lang w:eastAsia="en-US"/>
        </w:rPr>
        <w:t>Conduct regular safety training workshops tailored to field operations, addressing specific risks faced by maintenance teams.</w:t>
      </w:r>
    </w:p>
    <w:p w14:paraId="704A4394" w14:textId="77777777" w:rsidR="002B2C73" w:rsidRPr="00D1065E" w:rsidRDefault="002B2C73" w:rsidP="00BE3FE0">
      <w:pPr>
        <w:pStyle w:val="NoSpacing"/>
        <w:jc w:val="left"/>
        <w:rPr>
          <w:rFonts w:ascii="Arial" w:hAnsi="Arial" w:cs="Arial"/>
          <w:color w:val="auto"/>
          <w:szCs w:val="24"/>
          <w:lang w:eastAsia="en-US"/>
        </w:rPr>
      </w:pPr>
      <w:r w:rsidRPr="00D1065E">
        <w:rPr>
          <w:rFonts w:ascii="Arial" w:hAnsi="Arial" w:cs="Arial"/>
          <w:color w:val="auto"/>
          <w:szCs w:val="24"/>
          <w:lang w:eastAsia="en-US"/>
        </w:rPr>
        <w:t>Establish an anonymous reporting system for safety concerns to encourage transparency and proactive issue resolution.</w:t>
      </w:r>
    </w:p>
    <w:p w14:paraId="6C0F7DEC" w14:textId="2B778E39" w:rsidR="002B2C73" w:rsidRPr="00D1065E" w:rsidRDefault="002B2C73" w:rsidP="00BE3FE0">
      <w:pPr>
        <w:pStyle w:val="NoSpacing"/>
        <w:jc w:val="left"/>
        <w:rPr>
          <w:rFonts w:ascii="Arial" w:hAnsi="Arial" w:cs="Arial"/>
          <w:color w:val="auto"/>
          <w:szCs w:val="24"/>
          <w:lang w:eastAsia="en-US"/>
        </w:rPr>
      </w:pPr>
      <w:r w:rsidRPr="00D1065E">
        <w:rPr>
          <w:rFonts w:ascii="Arial" w:hAnsi="Arial" w:cs="Arial"/>
          <w:color w:val="auto"/>
          <w:szCs w:val="24"/>
          <w:lang w:eastAsia="en-US"/>
        </w:rPr>
        <w:t>Introduce a "Safety Champion" program</w:t>
      </w:r>
      <w:r w:rsidR="008D286B" w:rsidRPr="00D1065E">
        <w:rPr>
          <w:rFonts w:ascii="Arial" w:hAnsi="Arial" w:cs="Arial"/>
          <w:color w:val="auto"/>
          <w:szCs w:val="24"/>
          <w:lang w:eastAsia="en-US"/>
        </w:rPr>
        <w:t>me</w:t>
      </w:r>
      <w:r w:rsidRPr="00D1065E">
        <w:rPr>
          <w:rFonts w:ascii="Arial" w:hAnsi="Arial" w:cs="Arial"/>
          <w:color w:val="auto"/>
          <w:szCs w:val="24"/>
          <w:lang w:eastAsia="en-US"/>
        </w:rPr>
        <w:t>, recognising employees who exemplify best practices in safety compliance.</w:t>
      </w:r>
    </w:p>
    <w:p w14:paraId="295EBC00" w14:textId="47B48C2E" w:rsidR="002B2C73" w:rsidRPr="00D1065E" w:rsidRDefault="002B2C73" w:rsidP="00D1065E">
      <w:pPr>
        <w:pStyle w:val="NoSpacing"/>
        <w:rPr>
          <w:rFonts w:ascii="Arial" w:hAnsi="Arial" w:cs="Arial"/>
          <w:color w:val="auto"/>
          <w:szCs w:val="24"/>
          <w:lang w:eastAsia="en-US"/>
        </w:rPr>
      </w:pPr>
      <w:r w:rsidRPr="00D1065E">
        <w:rPr>
          <w:rFonts w:ascii="Arial" w:hAnsi="Arial" w:cs="Arial"/>
          <w:b/>
          <w:bCs/>
          <w:color w:val="auto"/>
          <w:szCs w:val="24"/>
          <w:lang w:eastAsia="en-US"/>
        </w:rPr>
        <w:t>Cost Estimate (Approximate Costings):</w:t>
      </w:r>
    </w:p>
    <w:p w14:paraId="325F09D1" w14:textId="5CE7F793" w:rsidR="002B2C73" w:rsidRPr="00D1065E" w:rsidRDefault="002B2C73" w:rsidP="00D1065E">
      <w:pPr>
        <w:pStyle w:val="NoSpacing"/>
        <w:rPr>
          <w:rFonts w:ascii="Arial" w:hAnsi="Arial" w:cs="Arial"/>
          <w:color w:val="auto"/>
          <w:szCs w:val="24"/>
          <w:lang w:eastAsia="en-US"/>
        </w:rPr>
      </w:pPr>
      <w:r w:rsidRPr="00D1065E">
        <w:rPr>
          <w:rFonts w:ascii="Arial" w:hAnsi="Arial" w:cs="Arial"/>
          <w:color w:val="auto"/>
          <w:szCs w:val="24"/>
          <w:lang w:eastAsia="en-US"/>
        </w:rPr>
        <w:t>Training workshops: £</w:t>
      </w:r>
      <w:r w:rsidR="005701CD" w:rsidRPr="00D1065E">
        <w:rPr>
          <w:rFonts w:ascii="Arial" w:hAnsi="Arial" w:cs="Arial"/>
          <w:color w:val="auto"/>
          <w:szCs w:val="24"/>
          <w:lang w:eastAsia="en-US"/>
        </w:rPr>
        <w:t>5</w:t>
      </w:r>
      <w:r w:rsidRPr="00D1065E">
        <w:rPr>
          <w:rFonts w:ascii="Arial" w:hAnsi="Arial" w:cs="Arial"/>
          <w:color w:val="auto"/>
          <w:szCs w:val="24"/>
          <w:lang w:eastAsia="en-US"/>
        </w:rPr>
        <w:t>,000 annually.</w:t>
      </w:r>
    </w:p>
    <w:p w14:paraId="03086B26" w14:textId="3793CB1E" w:rsidR="002B2C73" w:rsidRPr="00D1065E" w:rsidRDefault="00144140" w:rsidP="00D1065E">
      <w:pPr>
        <w:pStyle w:val="NoSpacing"/>
        <w:rPr>
          <w:rFonts w:ascii="Arial" w:hAnsi="Arial" w:cs="Arial"/>
          <w:color w:val="auto"/>
          <w:szCs w:val="24"/>
          <w:lang w:eastAsia="en-US"/>
        </w:rPr>
      </w:pPr>
      <w:r w:rsidRPr="00D1065E">
        <w:rPr>
          <w:rFonts w:ascii="Arial" w:hAnsi="Arial" w:cs="Arial"/>
          <w:color w:val="auto"/>
          <w:szCs w:val="24"/>
          <w:lang w:eastAsia="en-US"/>
        </w:rPr>
        <w:t xml:space="preserve">Online </w:t>
      </w:r>
      <w:r w:rsidR="005701CD" w:rsidRPr="00D1065E">
        <w:rPr>
          <w:rFonts w:ascii="Arial" w:hAnsi="Arial" w:cs="Arial"/>
          <w:color w:val="auto"/>
          <w:szCs w:val="24"/>
          <w:lang w:eastAsia="en-US"/>
        </w:rPr>
        <w:t>r</w:t>
      </w:r>
      <w:r w:rsidR="002B2C73" w:rsidRPr="00D1065E">
        <w:rPr>
          <w:rFonts w:ascii="Arial" w:hAnsi="Arial" w:cs="Arial"/>
          <w:color w:val="auto"/>
          <w:szCs w:val="24"/>
          <w:lang w:eastAsia="en-US"/>
        </w:rPr>
        <w:t>eporting system implementation: £3,000 one-time cost.</w:t>
      </w:r>
      <w:r w:rsidR="005701CD" w:rsidRPr="00D1065E">
        <w:rPr>
          <w:rFonts w:ascii="Arial" w:hAnsi="Arial" w:cs="Arial"/>
          <w:color w:val="auto"/>
          <w:szCs w:val="24"/>
          <w:lang w:eastAsia="en-US"/>
        </w:rPr>
        <w:t xml:space="preserve"> (AI)</w:t>
      </w:r>
    </w:p>
    <w:p w14:paraId="75034A92" w14:textId="375B8BC0" w:rsidR="002B2C73" w:rsidRPr="00D1065E" w:rsidRDefault="002B2C73" w:rsidP="00D1065E">
      <w:pPr>
        <w:pStyle w:val="NoSpacing"/>
        <w:rPr>
          <w:rFonts w:ascii="Arial" w:hAnsi="Arial" w:cs="Arial"/>
          <w:color w:val="auto"/>
          <w:szCs w:val="24"/>
          <w:lang w:eastAsia="en-US"/>
        </w:rPr>
      </w:pPr>
      <w:r w:rsidRPr="00D1065E">
        <w:rPr>
          <w:rFonts w:ascii="Arial" w:hAnsi="Arial" w:cs="Arial"/>
          <w:color w:val="auto"/>
          <w:szCs w:val="24"/>
          <w:lang w:eastAsia="en-US"/>
        </w:rPr>
        <w:t>Safety Champion incentives: £</w:t>
      </w:r>
      <w:r w:rsidR="005701CD" w:rsidRPr="00D1065E">
        <w:rPr>
          <w:rFonts w:ascii="Arial" w:hAnsi="Arial" w:cs="Arial"/>
          <w:color w:val="auto"/>
          <w:szCs w:val="24"/>
          <w:lang w:eastAsia="en-US"/>
        </w:rPr>
        <w:t>3</w:t>
      </w:r>
      <w:r w:rsidRPr="00D1065E">
        <w:rPr>
          <w:rFonts w:ascii="Arial" w:hAnsi="Arial" w:cs="Arial"/>
          <w:color w:val="auto"/>
          <w:szCs w:val="24"/>
          <w:lang w:eastAsia="en-US"/>
        </w:rPr>
        <w:t>,000 annually.</w:t>
      </w:r>
    </w:p>
    <w:p w14:paraId="1A50C4F8" w14:textId="77777777" w:rsidR="002B2C73" w:rsidRPr="00D1065E" w:rsidRDefault="002B2C73" w:rsidP="00D1065E">
      <w:pPr>
        <w:pStyle w:val="NoSpacing"/>
        <w:rPr>
          <w:rFonts w:ascii="Arial" w:hAnsi="Arial" w:cs="Arial"/>
          <w:color w:val="auto"/>
          <w:szCs w:val="24"/>
          <w:lang w:eastAsia="en-US"/>
        </w:rPr>
      </w:pPr>
      <w:r w:rsidRPr="00D1065E">
        <w:rPr>
          <w:rFonts w:ascii="Arial" w:hAnsi="Arial" w:cs="Arial"/>
          <w:b/>
          <w:bCs/>
          <w:color w:val="auto"/>
          <w:szCs w:val="24"/>
          <w:lang w:eastAsia="en-US"/>
        </w:rPr>
        <w:t>Impact:</w:t>
      </w:r>
    </w:p>
    <w:p w14:paraId="27A1274D" w14:textId="77777777" w:rsidR="002B2C73" w:rsidRPr="00D1065E" w:rsidRDefault="002B2C73" w:rsidP="00D1065E">
      <w:pPr>
        <w:pStyle w:val="NoSpacing"/>
        <w:rPr>
          <w:rFonts w:ascii="Arial" w:hAnsi="Arial" w:cs="Arial"/>
          <w:color w:val="auto"/>
          <w:szCs w:val="24"/>
          <w:lang w:eastAsia="en-US"/>
        </w:rPr>
      </w:pPr>
      <w:r w:rsidRPr="00D1065E">
        <w:rPr>
          <w:rFonts w:ascii="Arial" w:hAnsi="Arial" w:cs="Arial"/>
          <w:color w:val="auto"/>
          <w:szCs w:val="24"/>
          <w:lang w:eastAsia="en-US"/>
        </w:rPr>
        <w:t>Improved safety compliance and reduced workplace incidents.</w:t>
      </w:r>
    </w:p>
    <w:p w14:paraId="6C6D7A34" w14:textId="77777777" w:rsidR="002B2C73" w:rsidRPr="00D1065E" w:rsidRDefault="002B2C73" w:rsidP="00D1065E">
      <w:pPr>
        <w:pStyle w:val="NoSpacing"/>
        <w:rPr>
          <w:rFonts w:ascii="Arial" w:hAnsi="Arial" w:cs="Arial"/>
          <w:color w:val="auto"/>
          <w:szCs w:val="24"/>
          <w:lang w:eastAsia="en-US"/>
        </w:rPr>
      </w:pPr>
      <w:r w:rsidRPr="00D1065E">
        <w:rPr>
          <w:rFonts w:ascii="Arial" w:hAnsi="Arial" w:cs="Arial"/>
          <w:color w:val="auto"/>
          <w:szCs w:val="24"/>
          <w:lang w:eastAsia="en-US"/>
        </w:rPr>
        <w:t>Enhanced trust between employees and management regarding safety concerns.</w:t>
      </w:r>
    </w:p>
    <w:p w14:paraId="3EF616CD" w14:textId="77777777" w:rsidR="002B2C73" w:rsidRPr="00D1065E" w:rsidRDefault="002B2C73" w:rsidP="00D1065E">
      <w:pPr>
        <w:pStyle w:val="NoSpacing"/>
        <w:rPr>
          <w:rFonts w:ascii="Arial" w:hAnsi="Arial" w:cs="Arial"/>
          <w:color w:val="auto"/>
          <w:szCs w:val="24"/>
          <w:lang w:eastAsia="en-US"/>
        </w:rPr>
      </w:pPr>
      <w:r w:rsidRPr="00D1065E">
        <w:rPr>
          <w:rFonts w:ascii="Arial" w:hAnsi="Arial" w:cs="Arial"/>
          <w:color w:val="auto"/>
          <w:szCs w:val="24"/>
          <w:lang w:eastAsia="en-US"/>
        </w:rPr>
        <w:t>Positive perception of the organisation’s commitment to employee well-being.</w:t>
      </w:r>
    </w:p>
    <w:p w14:paraId="79752959" w14:textId="77777777" w:rsidR="00D679C0" w:rsidRPr="00D1065E" w:rsidRDefault="00D679C0" w:rsidP="00D1065E">
      <w:pPr>
        <w:pStyle w:val="NoSpacing"/>
        <w:rPr>
          <w:rFonts w:ascii="Arial" w:hAnsi="Arial" w:cs="Arial"/>
          <w:color w:val="auto"/>
          <w:szCs w:val="24"/>
          <w:lang w:val="en-US" w:eastAsia="en-US"/>
        </w:rPr>
      </w:pPr>
    </w:p>
    <w:p w14:paraId="4C0CD2BB" w14:textId="77777777" w:rsidR="00D679C0" w:rsidRDefault="00D679C0" w:rsidP="00D1065E">
      <w:pPr>
        <w:pStyle w:val="NoSpacing"/>
        <w:rPr>
          <w:rFonts w:ascii="Arial" w:hAnsi="Arial" w:cs="Arial"/>
          <w:color w:val="FF0000"/>
          <w:szCs w:val="24"/>
          <w:lang w:val="en-US" w:eastAsia="en-US"/>
        </w:rPr>
      </w:pPr>
    </w:p>
    <w:p w14:paraId="5664350D" w14:textId="77777777" w:rsidR="00B55CC6" w:rsidRDefault="00B55CC6" w:rsidP="00D1065E">
      <w:pPr>
        <w:pStyle w:val="NoSpacing"/>
        <w:rPr>
          <w:rFonts w:ascii="Arial" w:hAnsi="Arial" w:cs="Arial"/>
          <w:color w:val="FF0000"/>
          <w:szCs w:val="24"/>
          <w:lang w:val="en-US" w:eastAsia="en-US"/>
        </w:rPr>
      </w:pPr>
    </w:p>
    <w:p w14:paraId="7F78FDE0" w14:textId="77777777" w:rsidR="00B55CC6" w:rsidRPr="00D1065E" w:rsidRDefault="00B55CC6" w:rsidP="00D1065E">
      <w:pPr>
        <w:pStyle w:val="NoSpacing"/>
        <w:rPr>
          <w:rFonts w:ascii="Arial" w:hAnsi="Arial" w:cs="Arial"/>
          <w:color w:val="FF0000"/>
          <w:szCs w:val="24"/>
          <w:lang w:val="en-US" w:eastAsia="en-US"/>
        </w:rPr>
      </w:pPr>
    </w:p>
    <w:p w14:paraId="27003106" w14:textId="3D52AD46" w:rsidR="003A5715" w:rsidRPr="00D1065E" w:rsidRDefault="0045714F" w:rsidP="00D1065E">
      <w:pPr>
        <w:pStyle w:val="NoSpacing"/>
        <w:rPr>
          <w:rFonts w:ascii="Arial" w:hAnsi="Arial" w:cs="Arial"/>
          <w:b/>
          <w:bCs/>
          <w:color w:val="auto"/>
          <w:szCs w:val="24"/>
          <w:lang w:eastAsia="en-US"/>
        </w:rPr>
      </w:pPr>
      <w:r>
        <w:rPr>
          <w:rFonts w:ascii="Arial" w:hAnsi="Arial" w:cs="Arial"/>
          <w:b/>
          <w:bCs/>
          <w:color w:val="auto"/>
          <w:szCs w:val="24"/>
          <w:lang w:eastAsia="en-US"/>
        </w:rPr>
        <w:lastRenderedPageBreak/>
        <w:t xml:space="preserve">B. </w:t>
      </w:r>
      <w:r w:rsidR="003A5715" w:rsidRPr="00D1065E">
        <w:rPr>
          <w:rFonts w:ascii="Arial" w:hAnsi="Arial" w:cs="Arial"/>
          <w:b/>
          <w:bCs/>
          <w:color w:val="auto"/>
          <w:szCs w:val="24"/>
          <w:lang w:eastAsia="en-US"/>
        </w:rPr>
        <w:t>Develop an Inclusive Leadership Training Initiative</w:t>
      </w:r>
    </w:p>
    <w:p w14:paraId="4D6573EB" w14:textId="35D1D8D3" w:rsidR="003A5715" w:rsidRPr="00D1065E" w:rsidRDefault="003A5715" w:rsidP="00D1065E">
      <w:pPr>
        <w:pStyle w:val="NoSpacing"/>
        <w:rPr>
          <w:rFonts w:ascii="Arial" w:hAnsi="Arial" w:cs="Arial"/>
          <w:color w:val="auto"/>
          <w:szCs w:val="24"/>
          <w:lang w:eastAsia="en-US"/>
        </w:rPr>
      </w:pPr>
      <w:r w:rsidRPr="00B55CC6">
        <w:rPr>
          <w:rFonts w:ascii="Arial" w:hAnsi="Arial" w:cs="Arial"/>
          <w:b/>
          <w:bCs/>
          <w:color w:val="auto"/>
          <w:szCs w:val="24"/>
          <w:lang w:eastAsia="en-US"/>
        </w:rPr>
        <w:t>Objective:</w:t>
      </w:r>
      <w:r w:rsidRPr="00D1065E">
        <w:rPr>
          <w:rFonts w:ascii="Arial" w:hAnsi="Arial" w:cs="Arial"/>
          <w:color w:val="auto"/>
          <w:szCs w:val="24"/>
          <w:lang w:eastAsia="en-US"/>
        </w:rPr>
        <w:t xml:space="preserve"> Foster an inclusive climate by equipping leaders with skills to manage a diverse workforce effectively and promote equity in decision-making processes.</w:t>
      </w:r>
      <w:r w:rsidR="00FA3EEF">
        <w:rPr>
          <w:rFonts w:ascii="Arial" w:hAnsi="Arial" w:cs="Arial"/>
          <w:color w:val="auto"/>
          <w:szCs w:val="24"/>
          <w:lang w:eastAsia="en-US"/>
        </w:rPr>
        <w:t xml:space="preserve"> This will in turn lead to becoming an employer of choice. </w:t>
      </w:r>
    </w:p>
    <w:p w14:paraId="481CD5D0" w14:textId="77777777" w:rsidR="003A5715" w:rsidRPr="00D1065E" w:rsidRDefault="003A5715" w:rsidP="00D1065E">
      <w:pPr>
        <w:pStyle w:val="NoSpacing"/>
        <w:rPr>
          <w:rFonts w:ascii="Arial" w:hAnsi="Arial" w:cs="Arial"/>
          <w:color w:val="auto"/>
          <w:szCs w:val="24"/>
          <w:lang w:eastAsia="en-US"/>
        </w:rPr>
      </w:pPr>
      <w:r w:rsidRPr="00762B7E">
        <w:rPr>
          <w:rFonts w:ascii="Arial" w:hAnsi="Arial" w:cs="Arial"/>
          <w:b/>
          <w:bCs/>
          <w:color w:val="auto"/>
          <w:szCs w:val="24"/>
          <w:lang w:eastAsia="en-US"/>
        </w:rPr>
        <w:t>Actions</w:t>
      </w:r>
      <w:r w:rsidRPr="00D1065E">
        <w:rPr>
          <w:rFonts w:ascii="Arial" w:hAnsi="Arial" w:cs="Arial"/>
          <w:color w:val="auto"/>
          <w:szCs w:val="24"/>
          <w:lang w:eastAsia="en-US"/>
        </w:rPr>
        <w:t>:</w:t>
      </w:r>
    </w:p>
    <w:p w14:paraId="1543656E" w14:textId="77777777"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Provide mandatory diversity and inclusion (D&amp;I) training for all managerial staff.</w:t>
      </w:r>
    </w:p>
    <w:p w14:paraId="5596F0C5" w14:textId="77777777"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Introduce regular “inclusion audits” to monitor employee perceptions of fairness and inclusivity.</w:t>
      </w:r>
    </w:p>
    <w:p w14:paraId="1A9F9E2B" w14:textId="2577A693"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Launch mentorship program</w:t>
      </w:r>
      <w:r w:rsidR="004406A4" w:rsidRPr="00D1065E">
        <w:rPr>
          <w:rFonts w:ascii="Arial" w:hAnsi="Arial" w:cs="Arial"/>
          <w:color w:val="auto"/>
          <w:szCs w:val="24"/>
          <w:lang w:eastAsia="en-US"/>
        </w:rPr>
        <w:t>me</w:t>
      </w:r>
      <w:r w:rsidRPr="00D1065E">
        <w:rPr>
          <w:rFonts w:ascii="Arial" w:hAnsi="Arial" w:cs="Arial"/>
          <w:color w:val="auto"/>
          <w:szCs w:val="24"/>
          <w:lang w:eastAsia="en-US"/>
        </w:rPr>
        <w:t>s pairing leaders with employees from under</w:t>
      </w:r>
      <w:r w:rsidR="007557DE" w:rsidRPr="00D1065E">
        <w:rPr>
          <w:rFonts w:ascii="Arial" w:hAnsi="Arial" w:cs="Arial"/>
          <w:color w:val="auto"/>
          <w:szCs w:val="24"/>
          <w:lang w:eastAsia="en-US"/>
        </w:rPr>
        <w:t>-</w:t>
      </w:r>
      <w:r w:rsidRPr="00D1065E">
        <w:rPr>
          <w:rFonts w:ascii="Arial" w:hAnsi="Arial" w:cs="Arial"/>
          <w:color w:val="auto"/>
          <w:szCs w:val="24"/>
          <w:lang w:eastAsia="en-US"/>
        </w:rPr>
        <w:t>represented groups.</w:t>
      </w:r>
    </w:p>
    <w:p w14:paraId="7883A0F9" w14:textId="77777777" w:rsidR="003A5715" w:rsidRPr="00D1065E" w:rsidRDefault="003A5715" w:rsidP="00D1065E">
      <w:pPr>
        <w:pStyle w:val="NoSpacing"/>
        <w:rPr>
          <w:rFonts w:ascii="Arial" w:hAnsi="Arial" w:cs="Arial"/>
          <w:color w:val="auto"/>
          <w:szCs w:val="24"/>
          <w:lang w:eastAsia="en-US"/>
        </w:rPr>
      </w:pPr>
      <w:r w:rsidRPr="00D1065E">
        <w:rPr>
          <w:rFonts w:ascii="Arial" w:hAnsi="Arial" w:cs="Arial"/>
          <w:b/>
          <w:bCs/>
          <w:color w:val="auto"/>
          <w:szCs w:val="24"/>
          <w:lang w:eastAsia="en-US"/>
        </w:rPr>
        <w:t>Cost Estimate:</w:t>
      </w:r>
    </w:p>
    <w:p w14:paraId="6CC369FD" w14:textId="2C4AD54C"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D&amp;I training: £</w:t>
      </w:r>
      <w:r w:rsidR="003A255F" w:rsidRPr="00D1065E">
        <w:rPr>
          <w:rFonts w:ascii="Arial" w:hAnsi="Arial" w:cs="Arial"/>
          <w:color w:val="auto"/>
          <w:szCs w:val="24"/>
          <w:lang w:eastAsia="en-US"/>
        </w:rPr>
        <w:t>0</w:t>
      </w:r>
      <w:r w:rsidRPr="00D1065E">
        <w:rPr>
          <w:rFonts w:ascii="Arial" w:hAnsi="Arial" w:cs="Arial"/>
          <w:color w:val="auto"/>
          <w:szCs w:val="24"/>
          <w:lang w:eastAsia="en-US"/>
        </w:rPr>
        <w:t xml:space="preserve"> annually</w:t>
      </w:r>
      <w:r w:rsidR="003A255F" w:rsidRPr="00D1065E">
        <w:rPr>
          <w:rFonts w:ascii="Arial" w:hAnsi="Arial" w:cs="Arial"/>
          <w:color w:val="auto"/>
          <w:szCs w:val="24"/>
          <w:lang w:eastAsia="en-US"/>
        </w:rPr>
        <w:t xml:space="preserve"> (</w:t>
      </w:r>
      <w:r w:rsidR="00CB2AE4" w:rsidRPr="00D1065E">
        <w:rPr>
          <w:rFonts w:ascii="Arial" w:hAnsi="Arial" w:cs="Arial"/>
          <w:color w:val="auto"/>
          <w:szCs w:val="24"/>
          <w:lang w:eastAsia="en-US"/>
        </w:rPr>
        <w:t>HR</w:t>
      </w:r>
      <w:r w:rsidR="003A255F" w:rsidRPr="00D1065E">
        <w:rPr>
          <w:rFonts w:ascii="Arial" w:hAnsi="Arial" w:cs="Arial"/>
          <w:color w:val="auto"/>
          <w:szCs w:val="24"/>
          <w:lang w:eastAsia="en-US"/>
        </w:rPr>
        <w:t xml:space="preserve"> </w:t>
      </w:r>
      <w:r w:rsidR="003B408C" w:rsidRPr="00D1065E">
        <w:rPr>
          <w:rFonts w:ascii="Arial" w:hAnsi="Arial" w:cs="Arial"/>
          <w:color w:val="auto"/>
          <w:szCs w:val="24"/>
          <w:lang w:eastAsia="en-US"/>
        </w:rPr>
        <w:t xml:space="preserve">to </w:t>
      </w:r>
      <w:r w:rsidR="003A255F" w:rsidRPr="00D1065E">
        <w:rPr>
          <w:rFonts w:ascii="Arial" w:hAnsi="Arial" w:cs="Arial"/>
          <w:color w:val="auto"/>
          <w:szCs w:val="24"/>
          <w:lang w:eastAsia="en-US"/>
        </w:rPr>
        <w:t>deliver internally)</w:t>
      </w:r>
      <w:r w:rsidRPr="00D1065E">
        <w:rPr>
          <w:rFonts w:ascii="Arial" w:hAnsi="Arial" w:cs="Arial"/>
          <w:color w:val="auto"/>
          <w:szCs w:val="24"/>
          <w:lang w:eastAsia="en-US"/>
        </w:rPr>
        <w:t>.</w:t>
      </w:r>
    </w:p>
    <w:p w14:paraId="1FC600BB" w14:textId="763A7F01"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Inclusion audits: £0 annually.</w:t>
      </w:r>
    </w:p>
    <w:p w14:paraId="0A16B61E" w14:textId="3E063670"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Mentorship program</w:t>
      </w:r>
      <w:r w:rsidR="004406A4" w:rsidRPr="00D1065E">
        <w:rPr>
          <w:rFonts w:ascii="Arial" w:hAnsi="Arial" w:cs="Arial"/>
          <w:color w:val="auto"/>
          <w:szCs w:val="24"/>
          <w:lang w:eastAsia="en-US"/>
        </w:rPr>
        <w:t>me</w:t>
      </w:r>
      <w:r w:rsidRPr="00D1065E">
        <w:rPr>
          <w:rFonts w:ascii="Arial" w:hAnsi="Arial" w:cs="Arial"/>
          <w:color w:val="auto"/>
          <w:szCs w:val="24"/>
          <w:lang w:eastAsia="en-US"/>
        </w:rPr>
        <w:t xml:space="preserve"> setup: £</w:t>
      </w:r>
      <w:r w:rsidR="007557DE" w:rsidRPr="00D1065E">
        <w:rPr>
          <w:rFonts w:ascii="Arial" w:hAnsi="Arial" w:cs="Arial"/>
          <w:color w:val="auto"/>
          <w:szCs w:val="24"/>
          <w:lang w:eastAsia="en-US"/>
        </w:rPr>
        <w:t>1</w:t>
      </w:r>
      <w:r w:rsidRPr="00D1065E">
        <w:rPr>
          <w:rFonts w:ascii="Arial" w:hAnsi="Arial" w:cs="Arial"/>
          <w:color w:val="auto"/>
          <w:szCs w:val="24"/>
          <w:lang w:eastAsia="en-US"/>
        </w:rPr>
        <w:t>,000 one-time cost.</w:t>
      </w:r>
    </w:p>
    <w:p w14:paraId="24554882" w14:textId="1B9DF828" w:rsidR="003A5715" w:rsidRPr="00D1065E" w:rsidRDefault="007557DE" w:rsidP="00D1065E">
      <w:pPr>
        <w:pStyle w:val="NoSpacing"/>
        <w:rPr>
          <w:rFonts w:ascii="Arial" w:hAnsi="Arial" w:cs="Arial"/>
          <w:color w:val="auto"/>
          <w:szCs w:val="24"/>
          <w:lang w:eastAsia="en-US"/>
        </w:rPr>
      </w:pPr>
      <w:r w:rsidRPr="00D1065E">
        <w:rPr>
          <w:rFonts w:ascii="Arial" w:hAnsi="Arial" w:cs="Arial"/>
          <w:b/>
          <w:bCs/>
          <w:color w:val="auto"/>
          <w:szCs w:val="24"/>
          <w:lang w:eastAsia="en-US"/>
        </w:rPr>
        <w:t xml:space="preserve">Expected </w:t>
      </w:r>
      <w:r w:rsidR="003A5715" w:rsidRPr="00D1065E">
        <w:rPr>
          <w:rFonts w:ascii="Arial" w:hAnsi="Arial" w:cs="Arial"/>
          <w:b/>
          <w:bCs/>
          <w:color w:val="auto"/>
          <w:szCs w:val="24"/>
          <w:lang w:eastAsia="en-US"/>
        </w:rPr>
        <w:t>Impact:</w:t>
      </w:r>
    </w:p>
    <w:p w14:paraId="76CB721F" w14:textId="77777777"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Enhanced employee morale and engagement through visible efforts to promote inclusivity.</w:t>
      </w:r>
    </w:p>
    <w:p w14:paraId="75E619BA" w14:textId="77777777" w:rsidR="003A5715" w:rsidRPr="00D1065E"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Reduced turnover rates among underrepresented employees.</w:t>
      </w:r>
    </w:p>
    <w:p w14:paraId="1775E830" w14:textId="77777777" w:rsidR="003A5715" w:rsidRDefault="003A5715" w:rsidP="00D1065E">
      <w:pPr>
        <w:pStyle w:val="NoSpacing"/>
        <w:rPr>
          <w:rFonts w:ascii="Arial" w:hAnsi="Arial" w:cs="Arial"/>
          <w:color w:val="auto"/>
          <w:szCs w:val="24"/>
          <w:lang w:eastAsia="en-US"/>
        </w:rPr>
      </w:pPr>
      <w:r w:rsidRPr="00D1065E">
        <w:rPr>
          <w:rFonts w:ascii="Arial" w:hAnsi="Arial" w:cs="Arial"/>
          <w:color w:val="auto"/>
          <w:szCs w:val="24"/>
          <w:lang w:eastAsia="en-US"/>
        </w:rPr>
        <w:t>Alignment with organisational values of fairness and equity.</w:t>
      </w:r>
    </w:p>
    <w:p w14:paraId="04ACCB89" w14:textId="77777777" w:rsidR="009E44BF" w:rsidRDefault="009E44BF" w:rsidP="00D1065E">
      <w:pPr>
        <w:pStyle w:val="NoSpacing"/>
        <w:rPr>
          <w:rFonts w:ascii="Arial" w:hAnsi="Arial" w:cs="Arial"/>
          <w:color w:val="auto"/>
          <w:szCs w:val="24"/>
          <w:lang w:eastAsia="en-US"/>
        </w:rPr>
      </w:pPr>
    </w:p>
    <w:p w14:paraId="70F5A745" w14:textId="77777777" w:rsidR="00B55CC6" w:rsidRPr="00D1065E" w:rsidRDefault="00B55CC6" w:rsidP="00D1065E">
      <w:pPr>
        <w:pStyle w:val="NoSpacing"/>
        <w:rPr>
          <w:rFonts w:ascii="Arial" w:hAnsi="Arial" w:cs="Arial"/>
          <w:color w:val="auto"/>
          <w:szCs w:val="24"/>
          <w:lang w:eastAsia="en-US"/>
        </w:rPr>
      </w:pPr>
    </w:p>
    <w:p w14:paraId="0C1C5C87" w14:textId="6A561617" w:rsidR="00D60605" w:rsidRPr="00D1065E" w:rsidRDefault="00B55CC6" w:rsidP="00D1065E">
      <w:pPr>
        <w:pStyle w:val="NoSpacing"/>
        <w:rPr>
          <w:rFonts w:ascii="Arial" w:hAnsi="Arial" w:cs="Arial"/>
          <w:b/>
          <w:bCs/>
          <w:color w:val="auto"/>
          <w:szCs w:val="24"/>
          <w:lang w:eastAsia="en-US"/>
        </w:rPr>
      </w:pPr>
      <w:r>
        <w:rPr>
          <w:rFonts w:ascii="Arial" w:hAnsi="Arial" w:cs="Arial"/>
          <w:b/>
          <w:bCs/>
          <w:color w:val="auto"/>
          <w:szCs w:val="24"/>
          <w:lang w:eastAsia="en-US"/>
        </w:rPr>
        <w:t xml:space="preserve">C. </w:t>
      </w:r>
      <w:r w:rsidR="00D60605" w:rsidRPr="00D1065E">
        <w:rPr>
          <w:rFonts w:ascii="Arial" w:hAnsi="Arial" w:cs="Arial"/>
          <w:b/>
          <w:bCs/>
          <w:color w:val="auto"/>
          <w:szCs w:val="24"/>
          <w:lang w:eastAsia="en-US"/>
        </w:rPr>
        <w:t>Establish a Continuous Learning and Development Framework</w:t>
      </w:r>
    </w:p>
    <w:p w14:paraId="37166768"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b/>
          <w:bCs/>
          <w:color w:val="auto"/>
          <w:szCs w:val="24"/>
          <w:lang w:eastAsia="en-US"/>
        </w:rPr>
        <w:t>Objective:</w:t>
      </w:r>
      <w:r w:rsidRPr="00D1065E">
        <w:rPr>
          <w:rFonts w:ascii="Arial" w:hAnsi="Arial" w:cs="Arial"/>
          <w:color w:val="auto"/>
          <w:szCs w:val="24"/>
          <w:lang w:eastAsia="en-US"/>
        </w:rPr>
        <w:t xml:space="preserve"> Build a culture of continuous improvement by enhancing the learning climate, equipping employees with skills to adapt to industry changes and organisational growth.</w:t>
      </w:r>
    </w:p>
    <w:p w14:paraId="60414B96" w14:textId="77777777" w:rsidR="00DD6257" w:rsidRPr="00D1065E" w:rsidRDefault="00DD6257" w:rsidP="00D1065E">
      <w:pPr>
        <w:pStyle w:val="NoSpacing"/>
        <w:rPr>
          <w:rFonts w:ascii="Arial" w:hAnsi="Arial" w:cs="Arial"/>
          <w:b/>
          <w:bCs/>
          <w:color w:val="auto"/>
          <w:szCs w:val="24"/>
          <w:lang w:eastAsia="en-US"/>
        </w:rPr>
      </w:pPr>
    </w:p>
    <w:p w14:paraId="7189DBBE" w14:textId="535E35C3" w:rsidR="00D60605" w:rsidRPr="00D1065E" w:rsidRDefault="00D60605" w:rsidP="00D1065E">
      <w:pPr>
        <w:pStyle w:val="NoSpacing"/>
        <w:rPr>
          <w:rFonts w:ascii="Arial" w:hAnsi="Arial" w:cs="Arial"/>
          <w:color w:val="auto"/>
          <w:szCs w:val="24"/>
          <w:lang w:eastAsia="en-US"/>
        </w:rPr>
      </w:pPr>
      <w:r w:rsidRPr="00D1065E">
        <w:rPr>
          <w:rFonts w:ascii="Arial" w:hAnsi="Arial" w:cs="Arial"/>
          <w:b/>
          <w:bCs/>
          <w:color w:val="auto"/>
          <w:szCs w:val="24"/>
          <w:lang w:eastAsia="en-US"/>
        </w:rPr>
        <w:t>Actions:</w:t>
      </w:r>
    </w:p>
    <w:p w14:paraId="50BFF57E"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Develop a comprehensive online learning portal offering courses in technical skills, customer service, and leadership.</w:t>
      </w:r>
    </w:p>
    <w:p w14:paraId="6F39CB25"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lastRenderedPageBreak/>
        <w:t>Offer tuition reimbursement or subsidies for employees pursuing relevant certifications.</w:t>
      </w:r>
    </w:p>
    <w:p w14:paraId="17334B9F"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Create career development plans aligned with individual goals and organisational needs.</w:t>
      </w:r>
    </w:p>
    <w:p w14:paraId="25E8CBEF"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b/>
          <w:bCs/>
          <w:color w:val="auto"/>
          <w:szCs w:val="24"/>
          <w:lang w:eastAsia="en-US"/>
        </w:rPr>
        <w:t>Cost Estimate:</w:t>
      </w:r>
    </w:p>
    <w:p w14:paraId="6EE45A00"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Online learning portal: £20,000 setup cost, £5,000 annual maintenance.</w:t>
      </w:r>
    </w:p>
    <w:p w14:paraId="495DAB75" w14:textId="4D4EA044"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Tuition reimbursement: £1,000 annually.</w:t>
      </w:r>
    </w:p>
    <w:p w14:paraId="29879247" w14:textId="7BFD71FE"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Career development planning: £</w:t>
      </w:r>
      <w:r w:rsidR="00732673" w:rsidRPr="00D1065E">
        <w:rPr>
          <w:rFonts w:ascii="Arial" w:hAnsi="Arial" w:cs="Arial"/>
          <w:color w:val="auto"/>
          <w:szCs w:val="24"/>
          <w:lang w:eastAsia="en-US"/>
        </w:rPr>
        <w:t>1</w:t>
      </w:r>
      <w:r w:rsidRPr="00D1065E">
        <w:rPr>
          <w:rFonts w:ascii="Arial" w:hAnsi="Arial" w:cs="Arial"/>
          <w:color w:val="auto"/>
          <w:szCs w:val="24"/>
          <w:lang w:eastAsia="en-US"/>
        </w:rPr>
        <w:t>,000 annually for HR resources.</w:t>
      </w:r>
    </w:p>
    <w:p w14:paraId="5103816A"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b/>
          <w:bCs/>
          <w:color w:val="auto"/>
          <w:szCs w:val="24"/>
          <w:lang w:eastAsia="en-US"/>
        </w:rPr>
        <w:t>Impact:</w:t>
      </w:r>
    </w:p>
    <w:p w14:paraId="0E888E43"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Increased employee satisfaction and retention through visible career growth opportunities.</w:t>
      </w:r>
    </w:p>
    <w:p w14:paraId="27C65025"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Improved service quality and innovation driven by a skilled workforce.</w:t>
      </w:r>
    </w:p>
    <w:p w14:paraId="7DFD70EE" w14:textId="77777777" w:rsidR="00D60605" w:rsidRPr="00D1065E" w:rsidRDefault="00D60605" w:rsidP="00D1065E">
      <w:pPr>
        <w:pStyle w:val="NoSpacing"/>
        <w:rPr>
          <w:rFonts w:ascii="Arial" w:hAnsi="Arial" w:cs="Arial"/>
          <w:color w:val="auto"/>
          <w:szCs w:val="24"/>
          <w:lang w:eastAsia="en-US"/>
        </w:rPr>
      </w:pPr>
      <w:r w:rsidRPr="00D1065E">
        <w:rPr>
          <w:rFonts w:ascii="Arial" w:hAnsi="Arial" w:cs="Arial"/>
          <w:color w:val="auto"/>
          <w:szCs w:val="24"/>
          <w:lang w:eastAsia="en-US"/>
        </w:rPr>
        <w:t>Enhanced organisational reputation as an employer that values professional development.</w:t>
      </w:r>
    </w:p>
    <w:p w14:paraId="1842FD6D" w14:textId="7C1EF77D" w:rsidR="009D478C" w:rsidRPr="00D1065E" w:rsidRDefault="009D478C" w:rsidP="00D1065E">
      <w:pPr>
        <w:pStyle w:val="NoSpacing"/>
        <w:rPr>
          <w:rFonts w:ascii="Arial" w:hAnsi="Arial" w:cs="Arial"/>
          <w:b/>
          <w:bCs/>
          <w:color w:val="auto"/>
          <w:szCs w:val="24"/>
          <w:lang w:eastAsia="en-US"/>
        </w:rPr>
      </w:pPr>
      <w:r w:rsidRPr="00D1065E">
        <w:rPr>
          <w:rFonts w:ascii="Arial" w:hAnsi="Arial" w:cs="Arial"/>
          <w:b/>
          <w:bCs/>
          <w:color w:val="auto"/>
          <w:szCs w:val="24"/>
          <w:lang w:eastAsia="en-US"/>
        </w:rPr>
        <w:t>Prioritisation of Recommendations</w:t>
      </w:r>
      <w:r w:rsidR="005C234D" w:rsidRPr="00D1065E">
        <w:rPr>
          <w:rFonts w:ascii="Arial" w:hAnsi="Arial" w:cs="Arial"/>
          <w:b/>
          <w:bCs/>
          <w:color w:val="auto"/>
          <w:szCs w:val="24"/>
          <w:lang w:eastAsia="en-US"/>
        </w:rPr>
        <w:t xml:space="preserve"> for SPK:</w:t>
      </w:r>
    </w:p>
    <w:p w14:paraId="5D00FD16" w14:textId="309A7EB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Safety Climate Enhancement Program</w:t>
      </w:r>
      <w:r w:rsidR="008D286B" w:rsidRPr="00D1065E">
        <w:rPr>
          <w:rFonts w:ascii="Arial" w:hAnsi="Arial" w:cs="Arial"/>
          <w:b/>
          <w:bCs/>
          <w:color w:val="auto"/>
          <w:szCs w:val="24"/>
          <w:lang w:eastAsia="en-US"/>
        </w:rPr>
        <w:t>me</w:t>
      </w:r>
    </w:p>
    <w:p w14:paraId="09FA2191" w14:textId="7777777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Reason:</w:t>
      </w:r>
      <w:r w:rsidRPr="00D1065E">
        <w:rPr>
          <w:rFonts w:ascii="Arial" w:hAnsi="Arial" w:cs="Arial"/>
          <w:color w:val="auto"/>
          <w:szCs w:val="24"/>
          <w:lang w:eastAsia="en-US"/>
        </w:rPr>
        <w:t xml:space="preserve"> Safety is a foundational requirement in the property maintenance industry. Focusing on this first addresses immediate risks and compliance concerns, setting the stage for a stable work environment.</w:t>
      </w:r>
    </w:p>
    <w:p w14:paraId="5BE672B8" w14:textId="7777777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Inclusive Leadership Training Initiative</w:t>
      </w:r>
    </w:p>
    <w:p w14:paraId="32CBDBC7" w14:textId="7777777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Reason:</w:t>
      </w:r>
      <w:r w:rsidRPr="00D1065E">
        <w:rPr>
          <w:rFonts w:ascii="Arial" w:hAnsi="Arial" w:cs="Arial"/>
          <w:color w:val="auto"/>
          <w:szCs w:val="24"/>
          <w:lang w:eastAsia="en-US"/>
        </w:rPr>
        <w:t xml:space="preserve"> Addressing inclusion fosters trust and engagement, particularly in a diverse workforce. This initiative builds the interpersonal foundations necessary for broader cultural and operational changes.</w:t>
      </w:r>
    </w:p>
    <w:p w14:paraId="51BB4073" w14:textId="7777777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Learning and Development Framework</w:t>
      </w:r>
    </w:p>
    <w:p w14:paraId="17A46FD8" w14:textId="77777777" w:rsidR="009D478C" w:rsidRPr="00D1065E" w:rsidRDefault="009D478C" w:rsidP="00D1065E">
      <w:pPr>
        <w:pStyle w:val="NoSpacing"/>
        <w:rPr>
          <w:rFonts w:ascii="Arial" w:hAnsi="Arial" w:cs="Arial"/>
          <w:color w:val="auto"/>
          <w:szCs w:val="24"/>
          <w:lang w:eastAsia="en-US"/>
        </w:rPr>
      </w:pPr>
      <w:r w:rsidRPr="00D1065E">
        <w:rPr>
          <w:rFonts w:ascii="Arial" w:hAnsi="Arial" w:cs="Arial"/>
          <w:b/>
          <w:bCs/>
          <w:color w:val="auto"/>
          <w:szCs w:val="24"/>
          <w:lang w:eastAsia="en-US"/>
        </w:rPr>
        <w:t>Reason:</w:t>
      </w:r>
      <w:r w:rsidRPr="00D1065E">
        <w:rPr>
          <w:rFonts w:ascii="Arial" w:hAnsi="Arial" w:cs="Arial"/>
          <w:color w:val="auto"/>
          <w:szCs w:val="24"/>
          <w:lang w:eastAsia="en-US"/>
        </w:rPr>
        <w:t xml:space="preserve"> While essential for long-term growth, this initiative requires a stable and engaged workforce, making it most effective after foundational issues like safety and inclusivity are addressed.</w:t>
      </w:r>
    </w:p>
    <w:p w14:paraId="4B75360E" w14:textId="77777777" w:rsidR="0094491A" w:rsidRDefault="0094491A">
      <w:pPr>
        <w:spacing w:before="0" w:beforeAutospacing="0" w:after="160" w:line="259" w:lineRule="auto"/>
        <w:jc w:val="left"/>
        <w:rPr>
          <w:i/>
          <w:iCs/>
          <w:color w:val="44546A" w:themeColor="text2"/>
          <w:sz w:val="18"/>
          <w:szCs w:val="18"/>
        </w:rPr>
      </w:pPr>
      <w:r>
        <w:br w:type="page"/>
      </w:r>
    </w:p>
    <w:bookmarkStart w:id="5" w:name="_Toc184415774" w:displacedByCustomXml="next"/>
    <w:sdt>
      <w:sdtPr>
        <w:rPr>
          <w:rFonts w:asciiTheme="minorHAnsi" w:eastAsia="Times New Roman" w:hAnsiTheme="minorHAnsi" w:cs="Times New Roman"/>
          <w:color w:val="000000" w:themeColor="text1"/>
          <w:sz w:val="24"/>
          <w:szCs w:val="20"/>
        </w:rPr>
        <w:id w:val="361563023"/>
        <w:docPartObj>
          <w:docPartGallery w:val="Bibliographies"/>
          <w:docPartUnique/>
        </w:docPartObj>
      </w:sdtPr>
      <w:sdtEndPr/>
      <w:sdtContent>
        <w:p w14:paraId="47DB7327" w14:textId="053F19C4" w:rsidR="0094491A" w:rsidRDefault="00E336E9" w:rsidP="0094491A">
          <w:pPr>
            <w:pStyle w:val="Heading1"/>
            <w:jc w:val="left"/>
          </w:pPr>
          <w:r w:rsidRPr="00E336E9">
            <w:rPr>
              <w:rFonts w:eastAsia="Times New Roman" w:cstheme="majorHAnsi"/>
              <w:color w:val="4472C4" w:themeColor="accent1"/>
              <w:szCs w:val="24"/>
            </w:rPr>
            <w:t>6.0</w:t>
          </w:r>
          <w:r w:rsidRPr="00E336E9">
            <w:rPr>
              <w:rFonts w:asciiTheme="minorHAnsi" w:eastAsia="Times New Roman" w:hAnsiTheme="minorHAnsi" w:cs="Times New Roman"/>
              <w:color w:val="4472C4" w:themeColor="accent1"/>
              <w:szCs w:val="24"/>
            </w:rPr>
            <w:t xml:space="preserve"> </w:t>
          </w:r>
          <w:r w:rsidR="0094491A">
            <w:t>References</w:t>
          </w:r>
          <w:bookmarkEnd w:id="5"/>
        </w:p>
        <w:sdt>
          <w:sdtPr>
            <w:id w:val="-573587230"/>
            <w:bibliography/>
          </w:sdtPr>
          <w:sdtEndPr/>
          <w:sdtContent>
            <w:p w14:paraId="096DD800" w14:textId="19217BF8" w:rsidR="00D37E70" w:rsidRDefault="00D37E70" w:rsidP="00FD4438">
              <w:pPr>
                <w:pStyle w:val="Bibliography"/>
                <w:jc w:val="left"/>
              </w:pPr>
              <w:r>
                <w:t xml:space="preserve">A Framework for </w:t>
              </w:r>
              <w:r w:rsidR="00EA35B3">
                <w:t>Intentional</w:t>
              </w:r>
              <w:r>
                <w:t xml:space="preserve"> Cultural Change (2013)</w:t>
              </w:r>
              <w:r w:rsidRPr="00101938">
                <w:t xml:space="preserve"> </w:t>
              </w:r>
              <w:hyperlink r:id="rId11" w:history="1">
                <w:r w:rsidRPr="00101938">
                  <w:rPr>
                    <w:rStyle w:val="Hyperlink"/>
                  </w:rPr>
                  <w:t>BiglanandEmbryFramework_cultural_change_2013.pdf</w:t>
                </w:r>
              </w:hyperlink>
              <w:r w:rsidRPr="00FF08F0">
                <w:t xml:space="preserve">  Amabile, T. M. (1996). </w:t>
              </w:r>
              <w:r w:rsidRPr="00FF08F0">
                <w:rPr>
                  <w:i/>
                  <w:iCs/>
                </w:rPr>
                <w:t>Creativity in Context</w:t>
              </w:r>
              <w:r w:rsidRPr="00FF08F0">
                <w:t>. Westview Press.</w:t>
              </w:r>
              <w:r>
                <w:t xml:space="preserve"> [Accessed 7/11/2024]</w:t>
              </w:r>
            </w:p>
            <w:p w14:paraId="739B9632" w14:textId="716F3BC2" w:rsidR="006129EB" w:rsidRPr="006129EB" w:rsidRDefault="006129EB" w:rsidP="006129EB">
              <w:r w:rsidRPr="00FF08F0">
                <w:t xml:space="preserve">Cameron, K. S., &amp; Quinn, R. E. (2006). </w:t>
              </w:r>
              <w:r w:rsidRPr="00FF08F0">
                <w:rPr>
                  <w:i/>
                  <w:iCs/>
                </w:rPr>
                <w:t>Diagnosing and Changing Organizational Culture</w:t>
              </w:r>
              <w:r w:rsidRPr="00FF08F0">
                <w:t>. Wiley.</w:t>
              </w:r>
              <w:r>
                <w:t xml:space="preserve"> [Accessed 5 November 2024]</w:t>
              </w:r>
            </w:p>
            <w:p w14:paraId="6F96D06A" w14:textId="060859E8" w:rsidR="0094491A" w:rsidRPr="008D5E19" w:rsidRDefault="0094491A" w:rsidP="00FD4438">
              <w:pPr>
                <w:pStyle w:val="Bibliography"/>
                <w:jc w:val="left"/>
                <w:rPr>
                  <w:noProof/>
                  <w:szCs w:val="24"/>
                </w:rPr>
              </w:pPr>
              <w:r>
                <w:fldChar w:fldCharType="begin"/>
              </w:r>
              <w:r>
                <w:instrText xml:space="preserve"> BIBLIOGRAPHY </w:instrText>
              </w:r>
              <w:r>
                <w:fldChar w:fldCharType="separate"/>
              </w:r>
              <w:r>
                <w:rPr>
                  <w:noProof/>
                </w:rPr>
                <w:t xml:space="preserve">Charity Commission, </w:t>
              </w:r>
              <w:r w:rsidR="00FD4438">
                <w:rPr>
                  <w:noProof/>
                </w:rPr>
                <w:t>(</w:t>
              </w:r>
              <w:r>
                <w:rPr>
                  <w:noProof/>
                </w:rPr>
                <w:t>2009</w:t>
              </w:r>
              <w:r w:rsidR="00FD4438">
                <w:rPr>
                  <w:noProof/>
                </w:rPr>
                <w:t>)</w:t>
              </w:r>
              <w:r>
                <w:rPr>
                  <w:noProof/>
                </w:rPr>
                <w:t xml:space="preserve">. </w:t>
              </w:r>
              <w:r>
                <w:rPr>
                  <w:i/>
                  <w:iCs/>
                  <w:noProof/>
                </w:rPr>
                <w:t xml:space="preserve">A Snapshot of Charities in Wales. </w:t>
              </w:r>
              <w:r>
                <w:rPr>
                  <w:noProof/>
                </w:rPr>
                <w:t xml:space="preserve">[Online] Available at: </w:t>
              </w:r>
              <w:r>
                <w:rPr>
                  <w:noProof/>
                  <w:u w:val="single"/>
                </w:rPr>
                <w:t>https://assets.publishing.service.gov.uk/government/uploads/system/uploads/attachment_data/file/284709/walesreport.pdf</w:t>
              </w:r>
              <w:r w:rsidR="00FD4438">
                <w:rPr>
                  <w:noProof/>
                  <w:u w:val="single"/>
                </w:rPr>
                <w:t xml:space="preserve"> </w:t>
              </w:r>
              <w:r>
                <w:rPr>
                  <w:noProof/>
                </w:rPr>
                <w:t xml:space="preserve">[Accessed </w:t>
              </w:r>
              <w:r w:rsidR="00FD4438">
                <w:rPr>
                  <w:noProof/>
                </w:rPr>
                <w:t xml:space="preserve">02 </w:t>
              </w:r>
              <w:r w:rsidR="00812CA2">
                <w:rPr>
                  <w:noProof/>
                </w:rPr>
                <w:t>November</w:t>
              </w:r>
              <w:r>
                <w:rPr>
                  <w:noProof/>
                </w:rPr>
                <w:t xml:space="preserve"> 202</w:t>
              </w:r>
              <w:r w:rsidR="00812CA2">
                <w:rPr>
                  <w:noProof/>
                </w:rPr>
                <w:t>4</w:t>
              </w:r>
              <w:r>
                <w:rPr>
                  <w:noProof/>
                </w:rPr>
                <w:t>].</w:t>
              </w:r>
            </w:p>
            <w:p w14:paraId="07C65A5D" w14:textId="7BBD1DC7" w:rsidR="0094491A" w:rsidRDefault="0094491A" w:rsidP="00FD4438">
              <w:pPr>
                <w:pStyle w:val="Bibliography"/>
                <w:jc w:val="left"/>
                <w:rPr>
                  <w:noProof/>
                </w:rPr>
              </w:pPr>
              <w:r>
                <w:rPr>
                  <w:noProof/>
                </w:rPr>
                <w:t xml:space="preserve">Chwarae Teg, </w:t>
              </w:r>
              <w:r w:rsidR="00FD4438">
                <w:rPr>
                  <w:noProof/>
                </w:rPr>
                <w:t>(</w:t>
              </w:r>
              <w:r>
                <w:rPr>
                  <w:noProof/>
                </w:rPr>
                <w:t>2021</w:t>
              </w:r>
              <w:r w:rsidR="00FD4438">
                <w:rPr>
                  <w:noProof/>
                </w:rPr>
                <w:t>)</w:t>
              </w:r>
              <w:r>
                <w:rPr>
                  <w:noProof/>
                </w:rPr>
                <w:t xml:space="preserve">. </w:t>
              </w:r>
              <w:r>
                <w:rPr>
                  <w:i/>
                  <w:iCs/>
                  <w:noProof/>
                </w:rPr>
                <w:t xml:space="preserve">Report to the People and Organisational Development Committee, </w:t>
              </w:r>
              <w:r>
                <w:rPr>
                  <w:noProof/>
                </w:rPr>
                <w:t>s.l.: Internal Document.</w:t>
              </w:r>
              <w:r w:rsidR="008E21F9">
                <w:rPr>
                  <w:noProof/>
                </w:rPr>
                <w:t xml:space="preserve"> [Accessed 02November 2024]</w:t>
              </w:r>
            </w:p>
            <w:p w14:paraId="5F854BF8" w14:textId="15BDB03A" w:rsidR="0094491A" w:rsidRDefault="0094491A" w:rsidP="00FD4438">
              <w:pPr>
                <w:pStyle w:val="Bibliography"/>
                <w:jc w:val="left"/>
                <w:rPr>
                  <w:noProof/>
                </w:rPr>
              </w:pPr>
              <w:r>
                <w:rPr>
                  <w:noProof/>
                </w:rPr>
                <w:t xml:space="preserve">Chwarae Teg, </w:t>
              </w:r>
              <w:r w:rsidR="00FD4438">
                <w:rPr>
                  <w:noProof/>
                </w:rPr>
                <w:t>(</w:t>
              </w:r>
              <w:r>
                <w:rPr>
                  <w:noProof/>
                </w:rPr>
                <w:t>2022</w:t>
              </w:r>
              <w:r w:rsidR="00FD4438">
                <w:rPr>
                  <w:noProof/>
                </w:rPr>
                <w:t>)</w:t>
              </w:r>
              <w:r>
                <w:rPr>
                  <w:noProof/>
                </w:rPr>
                <w:t xml:space="preserve">. </w:t>
              </w:r>
              <w:r>
                <w:rPr>
                  <w:i/>
                  <w:iCs/>
                  <w:noProof/>
                </w:rPr>
                <w:t xml:space="preserve">Chwarae Teg Careers. </w:t>
              </w:r>
              <w:r>
                <w:rPr>
                  <w:noProof/>
                </w:rPr>
                <w:t xml:space="preserve">[Online] Available at: </w:t>
              </w:r>
              <w:r>
                <w:rPr>
                  <w:noProof/>
                  <w:u w:val="single"/>
                </w:rPr>
                <w:t>https://chwaraeteg.com/careers/</w:t>
              </w:r>
              <w:r w:rsidR="00FD4438">
                <w:rPr>
                  <w:noProof/>
                  <w:u w:val="single"/>
                </w:rPr>
                <w:t xml:space="preserve"> </w:t>
              </w:r>
              <w:r>
                <w:rPr>
                  <w:noProof/>
                </w:rPr>
                <w:t xml:space="preserve">[Accessed 5 </w:t>
              </w:r>
              <w:r w:rsidR="008E21F9">
                <w:rPr>
                  <w:noProof/>
                </w:rPr>
                <w:t>November</w:t>
              </w:r>
              <w:r>
                <w:rPr>
                  <w:noProof/>
                </w:rPr>
                <w:t xml:space="preserve"> 202</w:t>
              </w:r>
              <w:r w:rsidR="008E21F9">
                <w:rPr>
                  <w:noProof/>
                </w:rPr>
                <w:t>4</w:t>
              </w:r>
              <w:r>
                <w:rPr>
                  <w:noProof/>
                </w:rPr>
                <w:t>].</w:t>
              </w:r>
            </w:p>
            <w:p w14:paraId="7B48728B" w14:textId="255F3183" w:rsidR="009A6207" w:rsidRPr="009A6207" w:rsidRDefault="009A6207" w:rsidP="009A6207">
              <w:r w:rsidRPr="00FF08F0">
                <w:t xml:space="preserve">CIPD (2017). </w:t>
              </w:r>
              <w:r w:rsidRPr="00FF08F0">
                <w:rPr>
                  <w:i/>
                  <w:iCs/>
                </w:rPr>
                <w:t>The Maturity Model</w:t>
              </w:r>
              <w:r w:rsidRPr="00FF08F0">
                <w:t>. Chartered Institute of Personnel and Development.</w:t>
              </w:r>
            </w:p>
            <w:p w14:paraId="0E803C0E" w14:textId="7AC000D5" w:rsidR="00030B80" w:rsidRPr="00030B80" w:rsidRDefault="00030B80" w:rsidP="006A5C8E">
              <w:pPr>
                <w:jc w:val="left"/>
              </w:pPr>
              <w:hyperlink r:id="rId12" w:history="1">
                <w:r w:rsidRPr="00030B80">
                  <w:rPr>
                    <w:rStyle w:val="Hyperlink"/>
                  </w:rPr>
                  <w:t>CIPD</w:t>
                </w:r>
                <w:r w:rsidR="006A5C8E">
                  <w:rPr>
                    <w:rStyle w:val="Hyperlink"/>
                  </w:rPr>
                  <w:t xml:space="preserve">, </w:t>
                </w:r>
                <w:r w:rsidR="00812CA2">
                  <w:rPr>
                    <w:rStyle w:val="Hyperlink"/>
                  </w:rPr>
                  <w:t>(</w:t>
                </w:r>
                <w:r w:rsidR="006A5C8E">
                  <w:rPr>
                    <w:rStyle w:val="Hyperlink"/>
                  </w:rPr>
                  <w:t xml:space="preserve">2024) </w:t>
                </w:r>
                <w:r w:rsidRPr="00030B80">
                  <w:rPr>
                    <w:rStyle w:val="Hyperlink"/>
                  </w:rPr>
                  <w:t xml:space="preserve"> Unethical-behaviour-in-the-workplace_report-2_tcm18-57022.pdf</w:t>
                </w:r>
              </w:hyperlink>
              <w:r w:rsidR="003E7F2E">
                <w:t xml:space="preserve"> [Accessed 04 December 2024</w:t>
              </w:r>
              <w:r w:rsidR="006A5C8E">
                <w:t>]</w:t>
              </w:r>
              <w:r w:rsidR="003E7F2E">
                <w:t xml:space="preserve"> </w:t>
              </w:r>
            </w:p>
            <w:p w14:paraId="17C04D0D" w14:textId="5F0F989F" w:rsidR="0094491A" w:rsidRDefault="0094491A" w:rsidP="00FD4438">
              <w:pPr>
                <w:pStyle w:val="Bibliography"/>
                <w:jc w:val="left"/>
                <w:rPr>
                  <w:noProof/>
                </w:rPr>
              </w:pPr>
              <w:r>
                <w:rPr>
                  <w:noProof/>
                </w:rPr>
                <w:t xml:space="preserve">CIPD.a, </w:t>
              </w:r>
              <w:r w:rsidR="00FD4438">
                <w:rPr>
                  <w:noProof/>
                </w:rPr>
                <w:t>(</w:t>
              </w:r>
              <w:r>
                <w:rPr>
                  <w:noProof/>
                </w:rPr>
                <w:t>2020</w:t>
              </w:r>
              <w:r w:rsidR="00FD4438">
                <w:rPr>
                  <w:noProof/>
                </w:rPr>
                <w:t>)</w:t>
              </w:r>
              <w:r>
                <w:rPr>
                  <w:noProof/>
                </w:rPr>
                <w:t xml:space="preserve">. </w:t>
              </w:r>
              <w:r>
                <w:rPr>
                  <w:i/>
                  <w:iCs/>
                  <w:noProof/>
                </w:rPr>
                <w:t xml:space="preserve">Resourcing and Talent Planning Survey 2020. </w:t>
              </w:r>
              <w:r>
                <w:rPr>
                  <w:noProof/>
                </w:rPr>
                <w:t xml:space="preserve">[Online] </w:t>
              </w:r>
              <w:r>
                <w:rPr>
                  <w:noProof/>
                </w:rPr>
                <w:br/>
                <w:t xml:space="preserve">Available at: </w:t>
              </w:r>
              <w:r>
                <w:rPr>
                  <w:noProof/>
                  <w:u w:val="single"/>
                </w:rPr>
                <w:t>https://www.cipd.co.uk/Images/resourcing-and-talent-planning-2020_tcm18-85530.pdf</w:t>
              </w:r>
              <w:r w:rsidR="00FD4438">
                <w:rPr>
                  <w:noProof/>
                  <w:u w:val="single"/>
                </w:rPr>
                <w:t xml:space="preserve"> </w:t>
              </w:r>
              <w:r>
                <w:rPr>
                  <w:noProof/>
                </w:rPr>
                <w:t xml:space="preserve">[Accessed 29 </w:t>
              </w:r>
              <w:r w:rsidR="00304ADB">
                <w:rPr>
                  <w:noProof/>
                </w:rPr>
                <w:t>November</w:t>
              </w:r>
              <w:r>
                <w:rPr>
                  <w:noProof/>
                </w:rPr>
                <w:t xml:space="preserve"> 202</w:t>
              </w:r>
              <w:r w:rsidR="00304ADB">
                <w:rPr>
                  <w:noProof/>
                </w:rPr>
                <w:t>4</w:t>
              </w:r>
              <w:r>
                <w:rPr>
                  <w:noProof/>
                </w:rPr>
                <w:t>].</w:t>
              </w:r>
            </w:p>
            <w:p w14:paraId="4758AB09" w14:textId="795388B0" w:rsidR="0094491A" w:rsidRDefault="0094491A" w:rsidP="00FD4438">
              <w:pPr>
                <w:pStyle w:val="Bibliography"/>
                <w:jc w:val="left"/>
                <w:rPr>
                  <w:noProof/>
                </w:rPr>
              </w:pPr>
              <w:r>
                <w:rPr>
                  <w:noProof/>
                </w:rPr>
                <w:t xml:space="preserve">CIPD.d, </w:t>
              </w:r>
              <w:r w:rsidR="00FD4438">
                <w:rPr>
                  <w:noProof/>
                </w:rPr>
                <w:t>(</w:t>
              </w:r>
              <w:r>
                <w:rPr>
                  <w:noProof/>
                </w:rPr>
                <w:t>2017</w:t>
              </w:r>
              <w:r w:rsidR="00FD4438">
                <w:rPr>
                  <w:noProof/>
                </w:rPr>
                <w:t>)</w:t>
              </w:r>
              <w:r>
                <w:rPr>
                  <w:noProof/>
                </w:rPr>
                <w:t xml:space="preserve">. </w:t>
              </w:r>
              <w:r>
                <w:rPr>
                  <w:i/>
                  <w:iCs/>
                  <w:noProof/>
                </w:rPr>
                <w:t xml:space="preserve">Future of technology and learning survey report. </w:t>
              </w:r>
              <w:r>
                <w:rPr>
                  <w:noProof/>
                </w:rPr>
                <w:t xml:space="preserve">[Online] Available at: </w:t>
              </w:r>
              <w:r>
                <w:rPr>
                  <w:noProof/>
                  <w:u w:val="single"/>
                </w:rPr>
                <w:t>https://www.cipd.co.uk/Images/the-future-of-technology-and-learning_2017-infographic_tcm18-29349.pdf</w:t>
              </w:r>
              <w:r w:rsidR="00FD4438">
                <w:rPr>
                  <w:noProof/>
                  <w:u w:val="single"/>
                </w:rPr>
                <w:t xml:space="preserve"> </w:t>
              </w:r>
              <w:r>
                <w:rPr>
                  <w:noProof/>
                </w:rPr>
                <w:t xml:space="preserve">[Accessed </w:t>
              </w:r>
              <w:r w:rsidR="00FD4438">
                <w:rPr>
                  <w:noProof/>
                </w:rPr>
                <w:t xml:space="preserve">01 </w:t>
              </w:r>
              <w:r w:rsidR="00304ADB">
                <w:rPr>
                  <w:noProof/>
                </w:rPr>
                <w:t>November</w:t>
              </w:r>
              <w:r>
                <w:rPr>
                  <w:noProof/>
                </w:rPr>
                <w:t xml:space="preserve"> 202</w:t>
              </w:r>
              <w:r w:rsidR="00304ADB">
                <w:rPr>
                  <w:noProof/>
                </w:rPr>
                <w:t>4</w:t>
              </w:r>
              <w:r>
                <w:rPr>
                  <w:noProof/>
                </w:rPr>
                <w:t>].</w:t>
              </w:r>
            </w:p>
            <w:p w14:paraId="2FA664C4" w14:textId="5B1AF86F" w:rsidR="0094491A" w:rsidRDefault="0094491A" w:rsidP="00FD4438">
              <w:pPr>
                <w:pStyle w:val="Bibliography"/>
                <w:jc w:val="left"/>
                <w:rPr>
                  <w:noProof/>
                </w:rPr>
              </w:pPr>
              <w:r>
                <w:rPr>
                  <w:noProof/>
                </w:rPr>
                <w:t xml:space="preserve">CIPD, </w:t>
              </w:r>
              <w:r w:rsidR="00FD4438">
                <w:rPr>
                  <w:noProof/>
                </w:rPr>
                <w:t>(</w:t>
              </w:r>
              <w:r>
                <w:rPr>
                  <w:noProof/>
                </w:rPr>
                <w:t>2020</w:t>
              </w:r>
              <w:r w:rsidR="00FD4438">
                <w:rPr>
                  <w:noProof/>
                </w:rPr>
                <w:t>)</w:t>
              </w:r>
              <w:r>
                <w:rPr>
                  <w:noProof/>
                </w:rPr>
                <w:t xml:space="preserve">. </w:t>
              </w:r>
              <w:r>
                <w:rPr>
                  <w:i/>
                  <w:iCs/>
                  <w:noProof/>
                </w:rPr>
                <w:t xml:space="preserve">People Profession 2030, a collective view of future trends. </w:t>
              </w:r>
              <w:r>
                <w:rPr>
                  <w:noProof/>
                </w:rPr>
                <w:t xml:space="preserve">[Online] Available at: </w:t>
              </w:r>
              <w:r>
                <w:rPr>
                  <w:noProof/>
                  <w:u w:val="single"/>
                </w:rPr>
                <w:t>https://www.cipd.co.uk/Images/people-profession-2030-report-compressed_tcm18-86095.pdf</w:t>
              </w:r>
              <w:r w:rsidR="00FD4438">
                <w:rPr>
                  <w:noProof/>
                  <w:u w:val="single"/>
                </w:rPr>
                <w:t xml:space="preserve"> </w:t>
              </w:r>
              <w:r>
                <w:rPr>
                  <w:noProof/>
                </w:rPr>
                <w:t xml:space="preserve">[Accessed </w:t>
              </w:r>
              <w:r w:rsidR="00FD4438">
                <w:rPr>
                  <w:noProof/>
                </w:rPr>
                <w:t xml:space="preserve">01 </w:t>
              </w:r>
              <w:r w:rsidR="00FA45F6">
                <w:rPr>
                  <w:noProof/>
                </w:rPr>
                <w:t>November</w:t>
              </w:r>
              <w:r>
                <w:rPr>
                  <w:noProof/>
                </w:rPr>
                <w:t xml:space="preserve"> 202</w:t>
              </w:r>
              <w:r w:rsidR="00FA45F6">
                <w:rPr>
                  <w:noProof/>
                </w:rPr>
                <w:t>4</w:t>
              </w:r>
              <w:r>
                <w:rPr>
                  <w:noProof/>
                </w:rPr>
                <w:t>].</w:t>
              </w:r>
            </w:p>
            <w:p w14:paraId="1D748DA5" w14:textId="0D8450EC" w:rsidR="0094491A" w:rsidRDefault="0094491A" w:rsidP="00FD4438">
              <w:pPr>
                <w:pStyle w:val="Bibliography"/>
                <w:jc w:val="left"/>
                <w:rPr>
                  <w:noProof/>
                </w:rPr>
              </w:pPr>
              <w:r>
                <w:rPr>
                  <w:noProof/>
                </w:rPr>
                <w:lastRenderedPageBreak/>
                <w:t xml:space="preserve">CIPD, </w:t>
              </w:r>
              <w:r w:rsidR="00FD4438">
                <w:rPr>
                  <w:noProof/>
                </w:rPr>
                <w:t>(</w:t>
              </w:r>
              <w:r>
                <w:rPr>
                  <w:noProof/>
                </w:rPr>
                <w:t>202</w:t>
              </w:r>
              <w:r w:rsidR="00FA45F6">
                <w:rPr>
                  <w:noProof/>
                </w:rPr>
                <w:t>4</w:t>
              </w:r>
              <w:r w:rsidR="00FD4438">
                <w:rPr>
                  <w:noProof/>
                </w:rPr>
                <w:t>)</w:t>
              </w:r>
              <w:r>
                <w:rPr>
                  <w:noProof/>
                </w:rPr>
                <w:t xml:space="preserve">. </w:t>
              </w:r>
              <w:r>
                <w:rPr>
                  <w:i/>
                  <w:iCs/>
                  <w:noProof/>
                </w:rPr>
                <w:t xml:space="preserve">Learning and Development Strategy and Policy. </w:t>
              </w:r>
              <w:r>
                <w:rPr>
                  <w:noProof/>
                </w:rPr>
                <w:t xml:space="preserve">[Online] Available at: </w:t>
              </w:r>
              <w:r>
                <w:rPr>
                  <w:noProof/>
                  <w:u w:val="single"/>
                </w:rPr>
                <w:t>https://www.cipd.co.uk/knowledge/strategy/development/factsheet</w:t>
              </w:r>
              <w:r>
                <w:rPr>
                  <w:noProof/>
                </w:rPr>
                <w:br/>
                <w:t xml:space="preserve">[Accessed </w:t>
              </w:r>
              <w:r w:rsidR="00FD4438">
                <w:rPr>
                  <w:noProof/>
                </w:rPr>
                <w:t>02 April</w:t>
              </w:r>
              <w:r>
                <w:rPr>
                  <w:noProof/>
                </w:rPr>
                <w:t xml:space="preserve"> 202</w:t>
              </w:r>
              <w:r w:rsidR="00FA45F6">
                <w:rPr>
                  <w:noProof/>
                </w:rPr>
                <w:t>4</w:t>
              </w:r>
              <w:r>
                <w:rPr>
                  <w:noProof/>
                </w:rPr>
                <w:t>].</w:t>
              </w:r>
            </w:p>
            <w:p w14:paraId="7E4A8D67" w14:textId="116F7AB4" w:rsidR="00D804C2" w:rsidRPr="00D804C2" w:rsidRDefault="00D804C2" w:rsidP="00D804C2">
              <w:r w:rsidRPr="00350B8D">
                <w:t xml:space="preserve">Hofstede, G. (1991). </w:t>
              </w:r>
              <w:r w:rsidRPr="00350B8D">
                <w:rPr>
                  <w:i/>
                  <w:iCs/>
                </w:rPr>
                <w:t>Cultures and Organizations: Software of the Mind</w:t>
              </w:r>
              <w:r w:rsidRPr="00350B8D">
                <w:t>. McGraw-Hill.</w:t>
              </w:r>
              <w:r>
                <w:t xml:space="preserve"> </w:t>
              </w:r>
            </w:p>
            <w:p w14:paraId="09785B70" w14:textId="2CAD6620" w:rsidR="006129EB" w:rsidRPr="006129EB" w:rsidRDefault="0094491A" w:rsidP="006129EB">
              <w:r>
                <w:rPr>
                  <w:noProof/>
                </w:rPr>
                <w:t xml:space="preserve">Deloitte, </w:t>
              </w:r>
              <w:r w:rsidR="00FD4438">
                <w:rPr>
                  <w:noProof/>
                </w:rPr>
                <w:t>(</w:t>
              </w:r>
              <w:r>
                <w:rPr>
                  <w:noProof/>
                </w:rPr>
                <w:t>2021</w:t>
              </w:r>
              <w:r w:rsidR="00FD4438">
                <w:rPr>
                  <w:noProof/>
                </w:rPr>
                <w:t>)</w:t>
              </w:r>
              <w:r>
                <w:rPr>
                  <w:noProof/>
                </w:rPr>
                <w:t xml:space="preserve">. </w:t>
              </w:r>
              <w:r>
                <w:rPr>
                  <w:i/>
                  <w:iCs/>
                  <w:noProof/>
                </w:rPr>
                <w:t xml:space="preserve">The Deloitte Global 2021 Millennial and Gen Z Survey. </w:t>
              </w:r>
              <w:r>
                <w:rPr>
                  <w:noProof/>
                </w:rPr>
                <w:t xml:space="preserve">[Online] </w:t>
              </w:r>
              <w:r>
                <w:rPr>
                  <w:noProof/>
                </w:rPr>
                <w:br/>
                <w:t xml:space="preserve">Available at: </w:t>
              </w:r>
              <w:r>
                <w:rPr>
                  <w:noProof/>
                  <w:u w:val="single"/>
                </w:rPr>
                <w:t>https://www2.deloitte.com/global/en/pages/about-deloitte/articles/millennialsurvey.html</w:t>
              </w:r>
              <w:r w:rsidR="00FD4438">
                <w:rPr>
                  <w:noProof/>
                  <w:u w:val="single"/>
                </w:rPr>
                <w:t xml:space="preserve"> </w:t>
              </w:r>
              <w:r>
                <w:rPr>
                  <w:noProof/>
                </w:rPr>
                <w:t xml:space="preserve">[Accessed </w:t>
              </w:r>
              <w:r w:rsidR="00FD4438">
                <w:rPr>
                  <w:noProof/>
                </w:rPr>
                <w:t xml:space="preserve">02 </w:t>
              </w:r>
              <w:r w:rsidR="00FA45F6">
                <w:rPr>
                  <w:noProof/>
                </w:rPr>
                <w:t>December</w:t>
              </w:r>
              <w:r>
                <w:rPr>
                  <w:noProof/>
                </w:rPr>
                <w:t xml:space="preserve"> 202</w:t>
              </w:r>
              <w:r w:rsidR="00FA45F6">
                <w:rPr>
                  <w:noProof/>
                </w:rPr>
                <w:t>4</w:t>
              </w:r>
              <w:r>
                <w:rPr>
                  <w:noProof/>
                </w:rPr>
                <w:t>].</w:t>
              </w:r>
              <w:r w:rsidR="006129EB" w:rsidRPr="006129EB">
                <w:t xml:space="preserve"> </w:t>
              </w:r>
              <w:r w:rsidR="006129EB" w:rsidRPr="00AA2555">
                <w:t xml:space="preserve">Cameron, K. S., &amp; Quinn, R. E. (2006). </w:t>
              </w:r>
              <w:r w:rsidR="006129EB" w:rsidRPr="00AA2555">
                <w:rPr>
                  <w:i/>
                  <w:iCs/>
                </w:rPr>
                <w:t>Diagnosing and Changing Organizational Culture</w:t>
              </w:r>
              <w:r w:rsidR="006129EB" w:rsidRPr="00AA2555">
                <w:t>. Wiley.</w:t>
              </w:r>
            </w:p>
            <w:p w14:paraId="75219CA1" w14:textId="54556530" w:rsidR="0094491A" w:rsidRDefault="0094491A" w:rsidP="00FD4438">
              <w:pPr>
                <w:pStyle w:val="Bibliography"/>
                <w:jc w:val="left"/>
                <w:rPr>
                  <w:noProof/>
                </w:rPr>
              </w:pPr>
              <w:r>
                <w:rPr>
                  <w:noProof/>
                </w:rPr>
                <w:t xml:space="preserve">Farnham, D., </w:t>
              </w:r>
              <w:r w:rsidR="00FD4438">
                <w:rPr>
                  <w:noProof/>
                </w:rPr>
                <w:t>(</w:t>
              </w:r>
              <w:r>
                <w:rPr>
                  <w:noProof/>
                </w:rPr>
                <w:t>2015</w:t>
              </w:r>
              <w:r w:rsidR="00FD4438">
                <w:rPr>
                  <w:noProof/>
                </w:rPr>
                <w:t>)</w:t>
              </w:r>
              <w:r>
                <w:rPr>
                  <w:noProof/>
                </w:rPr>
                <w:t xml:space="preserve">. </w:t>
              </w:r>
              <w:r>
                <w:rPr>
                  <w:i/>
                  <w:iCs/>
                  <w:noProof/>
                </w:rPr>
                <w:t xml:space="preserve">Human Resource Management in Context. </w:t>
              </w:r>
              <w:r>
                <w:rPr>
                  <w:noProof/>
                </w:rPr>
                <w:t>4 ed. London: CIPD.</w:t>
              </w:r>
            </w:p>
            <w:p w14:paraId="2582B371" w14:textId="09D179F8" w:rsidR="0094491A" w:rsidRDefault="0094491A" w:rsidP="00FD4438">
              <w:pPr>
                <w:pStyle w:val="Bibliography"/>
                <w:jc w:val="left"/>
                <w:rPr>
                  <w:noProof/>
                </w:rPr>
              </w:pPr>
              <w:r>
                <w:rPr>
                  <w:noProof/>
                </w:rPr>
                <w:t xml:space="preserve">Forbes, </w:t>
              </w:r>
              <w:r w:rsidR="00FD4438">
                <w:rPr>
                  <w:noProof/>
                </w:rPr>
                <w:t>(</w:t>
              </w:r>
              <w:r>
                <w:rPr>
                  <w:noProof/>
                </w:rPr>
                <w:t>2018</w:t>
              </w:r>
              <w:r w:rsidR="00FD4438">
                <w:rPr>
                  <w:noProof/>
                </w:rPr>
                <w:t>)</w:t>
              </w:r>
              <w:r>
                <w:rPr>
                  <w:noProof/>
                </w:rPr>
                <w:t xml:space="preserve">. </w:t>
              </w:r>
              <w:r>
                <w:rPr>
                  <w:i/>
                  <w:iCs/>
                  <w:noProof/>
                </w:rPr>
                <w:t xml:space="preserve">Developing Your Employees Is The Key To Retention. </w:t>
              </w:r>
              <w:r>
                <w:rPr>
                  <w:noProof/>
                </w:rPr>
                <w:t xml:space="preserve">[Online] </w:t>
              </w:r>
              <w:r>
                <w:rPr>
                  <w:noProof/>
                </w:rPr>
                <w:br/>
                <w:t xml:space="preserve">Available at: </w:t>
              </w:r>
              <w:r>
                <w:rPr>
                  <w:noProof/>
                  <w:u w:val="single"/>
                </w:rPr>
                <w:t>https://www.forbes.com/sites/meghanbiro/2018/07/23/developing-your-employees-is-the-key-to-retention-here-are-4-smart-ways-to-start/?sh=57d422a37344</w:t>
              </w:r>
              <w:r>
                <w:rPr>
                  <w:noProof/>
                </w:rPr>
                <w:br/>
                <w:t xml:space="preserve">[Accessed </w:t>
              </w:r>
              <w:r w:rsidR="00FD4438">
                <w:rPr>
                  <w:noProof/>
                </w:rPr>
                <w:t xml:space="preserve">02 </w:t>
              </w:r>
              <w:r w:rsidR="00720E3B">
                <w:rPr>
                  <w:noProof/>
                </w:rPr>
                <w:t>November 2024</w:t>
              </w:r>
              <w:r>
                <w:rPr>
                  <w:noProof/>
                </w:rPr>
                <w:t>].</w:t>
              </w:r>
            </w:p>
            <w:p w14:paraId="222ABFB5" w14:textId="4AA3A65E" w:rsidR="0094491A" w:rsidRDefault="0094491A" w:rsidP="00FD4438">
              <w:pPr>
                <w:pStyle w:val="Bibliography"/>
                <w:jc w:val="left"/>
                <w:rPr>
                  <w:noProof/>
                </w:rPr>
              </w:pPr>
              <w:r>
                <w:rPr>
                  <w:noProof/>
                </w:rPr>
                <w:t xml:space="preserve">Frith, B., </w:t>
              </w:r>
              <w:r w:rsidR="00FD4438">
                <w:rPr>
                  <w:noProof/>
                </w:rPr>
                <w:t>(</w:t>
              </w:r>
              <w:r>
                <w:rPr>
                  <w:noProof/>
                </w:rPr>
                <w:t>2017</w:t>
              </w:r>
              <w:r w:rsidR="00FD4438">
                <w:rPr>
                  <w:noProof/>
                </w:rPr>
                <w:t>)</w:t>
              </w:r>
              <w:r>
                <w:rPr>
                  <w:noProof/>
                </w:rPr>
                <w:t xml:space="preserve">. </w:t>
              </w:r>
              <w:r>
                <w:rPr>
                  <w:i/>
                  <w:iCs/>
                  <w:noProof/>
                </w:rPr>
                <w:t xml:space="preserve">Employers must help upskill older workers. </w:t>
              </w:r>
              <w:r>
                <w:rPr>
                  <w:noProof/>
                </w:rPr>
                <w:t xml:space="preserve">[Online] Available at: </w:t>
              </w:r>
              <w:r>
                <w:rPr>
                  <w:noProof/>
                  <w:u w:val="single"/>
                </w:rPr>
                <w:t>Employers must help upskill older workers</w:t>
              </w:r>
              <w:r w:rsidR="00FD4438">
                <w:rPr>
                  <w:noProof/>
                  <w:u w:val="single"/>
                </w:rPr>
                <w:t xml:space="preserve"> </w:t>
              </w:r>
              <w:r>
                <w:rPr>
                  <w:noProof/>
                </w:rPr>
                <w:t xml:space="preserve">[Accessed </w:t>
              </w:r>
              <w:r w:rsidR="00FD4438">
                <w:rPr>
                  <w:noProof/>
                </w:rPr>
                <w:t xml:space="preserve">02 </w:t>
              </w:r>
              <w:r w:rsidR="00720E3B">
                <w:rPr>
                  <w:noProof/>
                </w:rPr>
                <w:t>November</w:t>
              </w:r>
              <w:r>
                <w:rPr>
                  <w:noProof/>
                </w:rPr>
                <w:t xml:space="preserve"> 202</w:t>
              </w:r>
              <w:r w:rsidR="00720E3B">
                <w:rPr>
                  <w:noProof/>
                </w:rPr>
                <w:t>4</w:t>
              </w:r>
              <w:r>
                <w:rPr>
                  <w:noProof/>
                </w:rPr>
                <w:t>].</w:t>
              </w:r>
            </w:p>
            <w:p w14:paraId="66DDD02D" w14:textId="4FE30726" w:rsidR="0094491A" w:rsidRDefault="0094491A" w:rsidP="00FD4438">
              <w:pPr>
                <w:pStyle w:val="Bibliography"/>
                <w:jc w:val="left"/>
                <w:rPr>
                  <w:noProof/>
                </w:rPr>
              </w:pPr>
              <w:r>
                <w:rPr>
                  <w:noProof/>
                </w:rPr>
                <w:t xml:space="preserve">Gartner, </w:t>
              </w:r>
              <w:r w:rsidR="00FD4438">
                <w:rPr>
                  <w:noProof/>
                </w:rPr>
                <w:t>(</w:t>
              </w:r>
              <w:r>
                <w:rPr>
                  <w:noProof/>
                </w:rPr>
                <w:t>202</w:t>
              </w:r>
              <w:r w:rsidR="00270317">
                <w:rPr>
                  <w:noProof/>
                </w:rPr>
                <w:t>4</w:t>
              </w:r>
              <w:r w:rsidR="00FD4438">
                <w:rPr>
                  <w:noProof/>
                </w:rPr>
                <w:t>)</w:t>
              </w:r>
              <w:r>
                <w:rPr>
                  <w:noProof/>
                </w:rPr>
                <w:t xml:space="preserve">. </w:t>
              </w:r>
              <w:r>
                <w:rPr>
                  <w:i/>
                  <w:iCs/>
                  <w:noProof/>
                </w:rPr>
                <w:t>Gartner Top Strategic Technology Trends for 202</w:t>
              </w:r>
              <w:r w:rsidR="00270317">
                <w:rPr>
                  <w:i/>
                  <w:iCs/>
                  <w:noProof/>
                </w:rPr>
                <w:t>5</w:t>
              </w:r>
              <w:r>
                <w:rPr>
                  <w:i/>
                  <w:iCs/>
                  <w:noProof/>
                </w:rPr>
                <w:t xml:space="preserve">. </w:t>
              </w:r>
              <w:r>
                <w:rPr>
                  <w:noProof/>
                </w:rPr>
                <w:t xml:space="preserve">[Online] Available at: </w:t>
              </w:r>
              <w:r>
                <w:rPr>
                  <w:noProof/>
                  <w:u w:val="single"/>
                </w:rPr>
                <w:t>https://www.gartner.com/en/information-technology/insights/top-technology-trends</w:t>
              </w:r>
              <w:r w:rsidR="00FD4438">
                <w:rPr>
                  <w:noProof/>
                  <w:u w:val="single"/>
                </w:rPr>
                <w:t xml:space="preserve"> </w:t>
              </w:r>
              <w:r>
                <w:rPr>
                  <w:noProof/>
                </w:rPr>
                <w:t xml:space="preserve">[Accessed </w:t>
              </w:r>
              <w:r w:rsidR="00FD4438">
                <w:rPr>
                  <w:noProof/>
                </w:rPr>
                <w:t xml:space="preserve">02 </w:t>
              </w:r>
              <w:r w:rsidR="00270317">
                <w:rPr>
                  <w:noProof/>
                </w:rPr>
                <w:t xml:space="preserve">November </w:t>
              </w:r>
              <w:r>
                <w:rPr>
                  <w:noProof/>
                </w:rPr>
                <w:t>202</w:t>
              </w:r>
              <w:r w:rsidR="00270317">
                <w:rPr>
                  <w:noProof/>
                </w:rPr>
                <w:t>4</w:t>
              </w:r>
              <w:r>
                <w:rPr>
                  <w:noProof/>
                </w:rPr>
                <w:t>].</w:t>
              </w:r>
            </w:p>
            <w:p w14:paraId="053D2C6B" w14:textId="16DDC743" w:rsidR="00D804C2" w:rsidRPr="00D804C2" w:rsidRDefault="00D804C2" w:rsidP="00D804C2">
              <w:r w:rsidRPr="00350B8D">
                <w:t xml:space="preserve">Janis, I. L. (1982). </w:t>
              </w:r>
              <w:r w:rsidRPr="00350B8D">
                <w:rPr>
                  <w:i/>
                  <w:iCs/>
                </w:rPr>
                <w:t>Groupthink: Psychological Studies of Policy Decisions and Fiascoes</w:t>
              </w:r>
              <w:r w:rsidRPr="00350B8D">
                <w:t>. Houghton Mifflin.</w:t>
              </w:r>
            </w:p>
            <w:p w14:paraId="4D8EF87A" w14:textId="77BF2214" w:rsidR="007174CB" w:rsidRDefault="007174CB" w:rsidP="007174CB">
              <w:pPr>
                <w:rPr>
                  <w:rStyle w:val="Hyperlink"/>
                </w:rPr>
              </w:pPr>
              <w:r>
                <w:t xml:space="preserve">ONS (2024) Labour Market Overview </w:t>
              </w:r>
              <w:hyperlink r:id="rId13" w:history="1">
                <w:r w:rsidRPr="00DF2558">
                  <w:rPr>
                    <w:rStyle w:val="Hyperlink"/>
                  </w:rPr>
                  <w:t>Labour market overview, UK - Office for National Statistics</w:t>
                </w:r>
              </w:hyperlink>
              <w:r>
                <w:rPr>
                  <w:rStyle w:val="Hyperlink"/>
                </w:rPr>
                <w:t xml:space="preserve"> </w:t>
              </w:r>
              <w:r w:rsidR="004F5C9F">
                <w:rPr>
                  <w:rStyle w:val="Hyperlink"/>
                </w:rPr>
                <w:t>{Accessed 5 December 2024]</w:t>
              </w:r>
            </w:p>
            <w:p w14:paraId="67B92017" w14:textId="4410EF7E" w:rsidR="004C33EA" w:rsidRDefault="004C33EA" w:rsidP="007174CB">
              <w:r w:rsidRPr="00FF08F0">
                <w:t xml:space="preserve">Schneider, B., Ehrhart, M. G., &amp; Macey, W. H. (2013). "Organizational Climate and Culture." </w:t>
              </w:r>
              <w:r w:rsidRPr="00FF08F0">
                <w:rPr>
                  <w:i/>
                  <w:iCs/>
                </w:rPr>
                <w:t>Annual Review of Psychology</w:t>
              </w:r>
              <w:r w:rsidRPr="00FF08F0">
                <w:t>.</w:t>
              </w:r>
            </w:p>
            <w:p w14:paraId="75FB634D" w14:textId="481D6F58" w:rsidR="00440734" w:rsidRDefault="00440734" w:rsidP="007174CB">
              <w:r w:rsidRPr="00FF08F0">
                <w:lastRenderedPageBreak/>
                <w:t xml:space="preserve">Nishii, L. H. (2013). "The Benefits of Climate for Inclusion." </w:t>
              </w:r>
              <w:r w:rsidRPr="00FF08F0">
                <w:rPr>
                  <w:i/>
                  <w:iCs/>
                </w:rPr>
                <w:t>Journal of Organizational Behaviour</w:t>
              </w:r>
              <w:r w:rsidRPr="00FF08F0">
                <w:t>.</w:t>
              </w:r>
            </w:p>
            <w:p w14:paraId="61C17DAF" w14:textId="2C454BE0" w:rsidR="00440734" w:rsidRDefault="00440734" w:rsidP="007174CB">
              <w:pPr>
                <w:rPr>
                  <w:rStyle w:val="Hyperlink"/>
                </w:rPr>
              </w:pPr>
              <w:r w:rsidRPr="00FF08F0">
                <w:t xml:space="preserve">Patterson, M. G., et al. (2005). "Validating the Organizational Climate Measure." </w:t>
              </w:r>
              <w:r w:rsidRPr="00FF08F0">
                <w:rPr>
                  <w:i/>
                  <w:iCs/>
                </w:rPr>
                <w:t>Journal of Organizational Behavio</w:t>
              </w:r>
              <w:r>
                <w:rPr>
                  <w:i/>
                  <w:iCs/>
                </w:rPr>
                <w:t>u</w:t>
              </w:r>
              <w:r w:rsidRPr="00FF08F0">
                <w:rPr>
                  <w:i/>
                  <w:iCs/>
                </w:rPr>
                <w:t>r</w:t>
              </w:r>
              <w:r w:rsidRPr="00FF08F0">
                <w:t>, 26(4), pp. 379–408.</w:t>
              </w:r>
            </w:p>
            <w:p w14:paraId="1D114AAA" w14:textId="3B6A2304" w:rsidR="008B6A3D" w:rsidRDefault="008B6A3D" w:rsidP="007174CB">
              <w:pPr>
                <w:rPr>
                  <w:i/>
                  <w:iCs/>
                </w:rPr>
              </w:pPr>
              <w:r w:rsidRPr="00350B8D">
                <w:t xml:space="preserve">Young, A. (2023). </w:t>
              </w:r>
              <w:r w:rsidRPr="00350B8D">
                <w:rPr>
                  <w:i/>
                  <w:iCs/>
                </w:rPr>
                <w:t>Organisational Climate: A Practical Guide</w:t>
              </w:r>
            </w:p>
            <w:p w14:paraId="7C0AD740" w14:textId="577F5DCB" w:rsidR="004C33EA" w:rsidRPr="007174CB" w:rsidRDefault="004C33EA" w:rsidP="007174CB">
              <w:r w:rsidRPr="00FF08F0">
                <w:t xml:space="preserve">Schein, E. H. (2010). </w:t>
              </w:r>
              <w:r w:rsidRPr="00FF08F0">
                <w:rPr>
                  <w:i/>
                  <w:iCs/>
                </w:rPr>
                <w:t>Organi</w:t>
              </w:r>
              <w:r w:rsidR="00387308">
                <w:rPr>
                  <w:i/>
                  <w:iCs/>
                </w:rPr>
                <w:t>s</w:t>
              </w:r>
              <w:r w:rsidRPr="00FF08F0">
                <w:rPr>
                  <w:i/>
                  <w:iCs/>
                </w:rPr>
                <w:t>ational Culture and Leadership</w:t>
              </w:r>
              <w:r w:rsidRPr="00FF08F0">
                <w:t>. Jossey-Bass.</w:t>
              </w:r>
            </w:p>
            <w:p w14:paraId="0363567C" w14:textId="70329FE5" w:rsidR="00FF08F0" w:rsidRPr="00FF08F0" w:rsidRDefault="0094491A" w:rsidP="002D096C">
              <w:pPr>
                <w:pStyle w:val="Bibliography"/>
                <w:jc w:val="left"/>
                <w:rPr>
                  <w:noProof/>
                </w:rPr>
              </w:pPr>
              <w:r>
                <w:rPr>
                  <w:noProof/>
                </w:rPr>
                <w:t xml:space="preserve">The Telegraph, </w:t>
              </w:r>
              <w:r w:rsidR="00FD4438">
                <w:rPr>
                  <w:noProof/>
                </w:rPr>
                <w:t>(</w:t>
              </w:r>
              <w:r>
                <w:rPr>
                  <w:noProof/>
                </w:rPr>
                <w:t>2021</w:t>
              </w:r>
              <w:r w:rsidR="00FD4438">
                <w:rPr>
                  <w:noProof/>
                </w:rPr>
                <w:t>)</w:t>
              </w:r>
              <w:r>
                <w:rPr>
                  <w:noProof/>
                </w:rPr>
                <w:t xml:space="preserve">. </w:t>
              </w:r>
              <w:r>
                <w:rPr>
                  <w:i/>
                  <w:iCs/>
                  <w:noProof/>
                </w:rPr>
                <w:t xml:space="preserve">Staff Shortages. </w:t>
              </w:r>
              <w:r>
                <w:rPr>
                  <w:noProof/>
                </w:rPr>
                <w:t xml:space="preserve">[Online] Available at: </w:t>
              </w:r>
              <w:r>
                <w:rPr>
                  <w:noProof/>
                  <w:u w:val="single"/>
                </w:rPr>
                <w:t>https://www.telegraph.co.uk/business/2021/09/03/staff-shortages-last-years-vacancies-top-17m/</w:t>
              </w:r>
              <w:r w:rsidR="00FD4438">
                <w:rPr>
                  <w:noProof/>
                  <w:u w:val="single"/>
                </w:rPr>
                <w:t xml:space="preserve"> </w:t>
              </w:r>
              <w:r>
                <w:rPr>
                  <w:noProof/>
                </w:rPr>
                <w:t xml:space="preserve">[Accessed </w:t>
              </w:r>
              <w:r w:rsidR="00FD4438">
                <w:rPr>
                  <w:noProof/>
                </w:rPr>
                <w:t xml:space="preserve">02 </w:t>
              </w:r>
              <w:r w:rsidR="00D37E70">
                <w:rPr>
                  <w:noProof/>
                </w:rPr>
                <w:t>November</w:t>
              </w:r>
              <w:r>
                <w:rPr>
                  <w:noProof/>
                </w:rPr>
                <w:t xml:space="preserve"> 202</w:t>
              </w:r>
              <w:r w:rsidR="00D37E70">
                <w:rPr>
                  <w:noProof/>
                </w:rPr>
                <w:t>4</w:t>
              </w:r>
              <w:r>
                <w:rPr>
                  <w:noProof/>
                </w:rPr>
                <w:t>].</w:t>
              </w:r>
            </w:p>
            <w:p w14:paraId="194B4AAA" w14:textId="0C7AF56A" w:rsidR="00C609B1" w:rsidRPr="007E1EA5" w:rsidRDefault="0094491A" w:rsidP="007E1EA5">
              <w:pPr>
                <w:jc w:val="left"/>
              </w:pPr>
              <w:r>
                <w:rPr>
                  <w:b/>
                  <w:bCs/>
                  <w:noProof/>
                </w:rPr>
                <w:fldChar w:fldCharType="end"/>
              </w:r>
            </w:p>
          </w:sdtContent>
        </w:sdt>
      </w:sdtContent>
    </w:sdt>
    <w:sectPr w:rsidR="00C609B1" w:rsidRPr="007E1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C123A"/>
    <w:multiLevelType w:val="multilevel"/>
    <w:tmpl w:val="DA9AE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4543A"/>
    <w:multiLevelType w:val="multilevel"/>
    <w:tmpl w:val="EBBC1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24630"/>
    <w:multiLevelType w:val="multilevel"/>
    <w:tmpl w:val="CE0C4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A9315E"/>
    <w:multiLevelType w:val="hybridMultilevel"/>
    <w:tmpl w:val="15860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BF864F9"/>
    <w:multiLevelType w:val="multilevel"/>
    <w:tmpl w:val="FE968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7387A"/>
    <w:multiLevelType w:val="multilevel"/>
    <w:tmpl w:val="BF86F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7D63C9"/>
    <w:multiLevelType w:val="multilevel"/>
    <w:tmpl w:val="A0BA8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9A4624"/>
    <w:multiLevelType w:val="multilevel"/>
    <w:tmpl w:val="335A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630D16"/>
    <w:multiLevelType w:val="multilevel"/>
    <w:tmpl w:val="54B6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C95E24"/>
    <w:multiLevelType w:val="multilevel"/>
    <w:tmpl w:val="93BAD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FC0FFA"/>
    <w:multiLevelType w:val="multilevel"/>
    <w:tmpl w:val="1778A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142E8"/>
    <w:multiLevelType w:val="multilevel"/>
    <w:tmpl w:val="DB16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24E15"/>
    <w:multiLevelType w:val="multilevel"/>
    <w:tmpl w:val="68EA35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CE51FC"/>
    <w:multiLevelType w:val="multilevel"/>
    <w:tmpl w:val="E6EA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C63399"/>
    <w:multiLevelType w:val="hybridMultilevel"/>
    <w:tmpl w:val="54D02C4E"/>
    <w:lvl w:ilvl="0" w:tplc="1FF41596">
      <w:start w:val="1"/>
      <w:numFmt w:val="bullet"/>
      <w:lvlText w:val="-"/>
      <w:lvlJc w:val="left"/>
      <w:pPr>
        <w:tabs>
          <w:tab w:val="num" w:pos="720"/>
        </w:tabs>
        <w:ind w:left="720" w:hanging="360"/>
      </w:pPr>
      <w:rPr>
        <w:rFonts w:ascii="Times New Roman" w:hAnsi="Times New Roman" w:hint="default"/>
      </w:rPr>
    </w:lvl>
    <w:lvl w:ilvl="1" w:tplc="6D28F4AA" w:tentative="1">
      <w:start w:val="1"/>
      <w:numFmt w:val="bullet"/>
      <w:lvlText w:val="-"/>
      <w:lvlJc w:val="left"/>
      <w:pPr>
        <w:tabs>
          <w:tab w:val="num" w:pos="1440"/>
        </w:tabs>
        <w:ind w:left="1440" w:hanging="360"/>
      </w:pPr>
      <w:rPr>
        <w:rFonts w:ascii="Times New Roman" w:hAnsi="Times New Roman" w:hint="default"/>
      </w:rPr>
    </w:lvl>
    <w:lvl w:ilvl="2" w:tplc="D43813A4" w:tentative="1">
      <w:start w:val="1"/>
      <w:numFmt w:val="bullet"/>
      <w:lvlText w:val="-"/>
      <w:lvlJc w:val="left"/>
      <w:pPr>
        <w:tabs>
          <w:tab w:val="num" w:pos="2160"/>
        </w:tabs>
        <w:ind w:left="2160" w:hanging="360"/>
      </w:pPr>
      <w:rPr>
        <w:rFonts w:ascii="Times New Roman" w:hAnsi="Times New Roman" w:hint="default"/>
      </w:rPr>
    </w:lvl>
    <w:lvl w:ilvl="3" w:tplc="F3B2BF52" w:tentative="1">
      <w:start w:val="1"/>
      <w:numFmt w:val="bullet"/>
      <w:lvlText w:val="-"/>
      <w:lvlJc w:val="left"/>
      <w:pPr>
        <w:tabs>
          <w:tab w:val="num" w:pos="2880"/>
        </w:tabs>
        <w:ind w:left="2880" w:hanging="360"/>
      </w:pPr>
      <w:rPr>
        <w:rFonts w:ascii="Times New Roman" w:hAnsi="Times New Roman" w:hint="default"/>
      </w:rPr>
    </w:lvl>
    <w:lvl w:ilvl="4" w:tplc="1F2A001C" w:tentative="1">
      <w:start w:val="1"/>
      <w:numFmt w:val="bullet"/>
      <w:lvlText w:val="-"/>
      <w:lvlJc w:val="left"/>
      <w:pPr>
        <w:tabs>
          <w:tab w:val="num" w:pos="3600"/>
        </w:tabs>
        <w:ind w:left="3600" w:hanging="360"/>
      </w:pPr>
      <w:rPr>
        <w:rFonts w:ascii="Times New Roman" w:hAnsi="Times New Roman" w:hint="default"/>
      </w:rPr>
    </w:lvl>
    <w:lvl w:ilvl="5" w:tplc="B24A3CD8" w:tentative="1">
      <w:start w:val="1"/>
      <w:numFmt w:val="bullet"/>
      <w:lvlText w:val="-"/>
      <w:lvlJc w:val="left"/>
      <w:pPr>
        <w:tabs>
          <w:tab w:val="num" w:pos="4320"/>
        </w:tabs>
        <w:ind w:left="4320" w:hanging="360"/>
      </w:pPr>
      <w:rPr>
        <w:rFonts w:ascii="Times New Roman" w:hAnsi="Times New Roman" w:hint="default"/>
      </w:rPr>
    </w:lvl>
    <w:lvl w:ilvl="6" w:tplc="83FCE86E" w:tentative="1">
      <w:start w:val="1"/>
      <w:numFmt w:val="bullet"/>
      <w:lvlText w:val="-"/>
      <w:lvlJc w:val="left"/>
      <w:pPr>
        <w:tabs>
          <w:tab w:val="num" w:pos="5040"/>
        </w:tabs>
        <w:ind w:left="5040" w:hanging="360"/>
      </w:pPr>
      <w:rPr>
        <w:rFonts w:ascii="Times New Roman" w:hAnsi="Times New Roman" w:hint="default"/>
      </w:rPr>
    </w:lvl>
    <w:lvl w:ilvl="7" w:tplc="563A426A" w:tentative="1">
      <w:start w:val="1"/>
      <w:numFmt w:val="bullet"/>
      <w:lvlText w:val="-"/>
      <w:lvlJc w:val="left"/>
      <w:pPr>
        <w:tabs>
          <w:tab w:val="num" w:pos="5760"/>
        </w:tabs>
        <w:ind w:left="5760" w:hanging="360"/>
      </w:pPr>
      <w:rPr>
        <w:rFonts w:ascii="Times New Roman" w:hAnsi="Times New Roman" w:hint="default"/>
      </w:rPr>
    </w:lvl>
    <w:lvl w:ilvl="8" w:tplc="4398965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F1A0A76"/>
    <w:multiLevelType w:val="multilevel"/>
    <w:tmpl w:val="E62E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61563"/>
    <w:multiLevelType w:val="multilevel"/>
    <w:tmpl w:val="6DA85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E97453"/>
    <w:multiLevelType w:val="hybridMultilevel"/>
    <w:tmpl w:val="0A78E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062541">
    <w:abstractNumId w:val="17"/>
  </w:num>
  <w:num w:numId="2" w16cid:durableId="90127674">
    <w:abstractNumId w:val="3"/>
  </w:num>
  <w:num w:numId="3" w16cid:durableId="522477190">
    <w:abstractNumId w:val="2"/>
  </w:num>
  <w:num w:numId="4" w16cid:durableId="1327394005">
    <w:abstractNumId w:val="1"/>
  </w:num>
  <w:num w:numId="5" w16cid:durableId="387726446">
    <w:abstractNumId w:val="16"/>
  </w:num>
  <w:num w:numId="6" w16cid:durableId="1083991160">
    <w:abstractNumId w:val="0"/>
  </w:num>
  <w:num w:numId="7" w16cid:durableId="862716315">
    <w:abstractNumId w:val="5"/>
  </w:num>
  <w:num w:numId="8" w16cid:durableId="101851730">
    <w:abstractNumId w:val="4"/>
  </w:num>
  <w:num w:numId="9" w16cid:durableId="1313023416">
    <w:abstractNumId w:val="13"/>
  </w:num>
  <w:num w:numId="10" w16cid:durableId="1439106751">
    <w:abstractNumId w:val="7"/>
  </w:num>
  <w:num w:numId="11" w16cid:durableId="2037384163">
    <w:abstractNumId w:val="15"/>
  </w:num>
  <w:num w:numId="12" w16cid:durableId="1694721085">
    <w:abstractNumId w:val="8"/>
  </w:num>
  <w:num w:numId="13" w16cid:durableId="1381399031">
    <w:abstractNumId w:val="11"/>
  </w:num>
  <w:num w:numId="14" w16cid:durableId="1227106043">
    <w:abstractNumId w:val="9"/>
  </w:num>
  <w:num w:numId="15" w16cid:durableId="2040088438">
    <w:abstractNumId w:val="6"/>
  </w:num>
  <w:num w:numId="16" w16cid:durableId="1095133509">
    <w:abstractNumId w:val="10"/>
  </w:num>
  <w:num w:numId="17" w16cid:durableId="1643924050">
    <w:abstractNumId w:val="12"/>
  </w:num>
  <w:num w:numId="18" w16cid:durableId="9556038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565"/>
    <w:rsid w:val="00013C22"/>
    <w:rsid w:val="00015E2A"/>
    <w:rsid w:val="000163A5"/>
    <w:rsid w:val="00024116"/>
    <w:rsid w:val="0002560D"/>
    <w:rsid w:val="00030B80"/>
    <w:rsid w:val="00032BB4"/>
    <w:rsid w:val="00043C6E"/>
    <w:rsid w:val="00075B52"/>
    <w:rsid w:val="000A7940"/>
    <w:rsid w:val="000B6DC4"/>
    <w:rsid w:val="000D040F"/>
    <w:rsid w:val="000D2A4C"/>
    <w:rsid w:val="000E69CA"/>
    <w:rsid w:val="00101938"/>
    <w:rsid w:val="0011634D"/>
    <w:rsid w:val="00126D04"/>
    <w:rsid w:val="00135024"/>
    <w:rsid w:val="00135484"/>
    <w:rsid w:val="00144140"/>
    <w:rsid w:val="001520C3"/>
    <w:rsid w:val="00153AA5"/>
    <w:rsid w:val="00185C41"/>
    <w:rsid w:val="00185F8F"/>
    <w:rsid w:val="001F5D03"/>
    <w:rsid w:val="001F6454"/>
    <w:rsid w:val="00206484"/>
    <w:rsid w:val="00232EF8"/>
    <w:rsid w:val="00265BAD"/>
    <w:rsid w:val="00270317"/>
    <w:rsid w:val="00270DC9"/>
    <w:rsid w:val="0027273F"/>
    <w:rsid w:val="00293B02"/>
    <w:rsid w:val="002A1E9B"/>
    <w:rsid w:val="002B1594"/>
    <w:rsid w:val="002B24E6"/>
    <w:rsid w:val="002B2C73"/>
    <w:rsid w:val="002D096C"/>
    <w:rsid w:val="002D2156"/>
    <w:rsid w:val="002E1998"/>
    <w:rsid w:val="002E2525"/>
    <w:rsid w:val="002E3A86"/>
    <w:rsid w:val="002E6594"/>
    <w:rsid w:val="00304ADB"/>
    <w:rsid w:val="00316FCE"/>
    <w:rsid w:val="00323535"/>
    <w:rsid w:val="003267EB"/>
    <w:rsid w:val="00335ED3"/>
    <w:rsid w:val="00340706"/>
    <w:rsid w:val="0034607E"/>
    <w:rsid w:val="00350B8D"/>
    <w:rsid w:val="00360A49"/>
    <w:rsid w:val="003678DD"/>
    <w:rsid w:val="00373C40"/>
    <w:rsid w:val="00374C63"/>
    <w:rsid w:val="0038066F"/>
    <w:rsid w:val="00385228"/>
    <w:rsid w:val="00387308"/>
    <w:rsid w:val="00390562"/>
    <w:rsid w:val="003928CE"/>
    <w:rsid w:val="003A255F"/>
    <w:rsid w:val="003A5715"/>
    <w:rsid w:val="003B408C"/>
    <w:rsid w:val="003B40F0"/>
    <w:rsid w:val="003C0B8B"/>
    <w:rsid w:val="003D628F"/>
    <w:rsid w:val="003E7B73"/>
    <w:rsid w:val="003E7F2E"/>
    <w:rsid w:val="003F351D"/>
    <w:rsid w:val="004152DD"/>
    <w:rsid w:val="00423E86"/>
    <w:rsid w:val="004262EB"/>
    <w:rsid w:val="00436F12"/>
    <w:rsid w:val="004406A4"/>
    <w:rsid w:val="00440734"/>
    <w:rsid w:val="00444714"/>
    <w:rsid w:val="00452F59"/>
    <w:rsid w:val="0045714F"/>
    <w:rsid w:val="004644E8"/>
    <w:rsid w:val="00467339"/>
    <w:rsid w:val="00470010"/>
    <w:rsid w:val="004807CD"/>
    <w:rsid w:val="0048522F"/>
    <w:rsid w:val="004933CA"/>
    <w:rsid w:val="004964FE"/>
    <w:rsid w:val="00496A0F"/>
    <w:rsid w:val="004C33EA"/>
    <w:rsid w:val="004C551E"/>
    <w:rsid w:val="004D04BE"/>
    <w:rsid w:val="004D65C6"/>
    <w:rsid w:val="004D7F39"/>
    <w:rsid w:val="004E5C53"/>
    <w:rsid w:val="004F12C6"/>
    <w:rsid w:val="004F1399"/>
    <w:rsid w:val="004F20CC"/>
    <w:rsid w:val="004F5C9F"/>
    <w:rsid w:val="005005F3"/>
    <w:rsid w:val="00514A4C"/>
    <w:rsid w:val="00537EEC"/>
    <w:rsid w:val="005548C3"/>
    <w:rsid w:val="00561875"/>
    <w:rsid w:val="005701CD"/>
    <w:rsid w:val="0057739B"/>
    <w:rsid w:val="00577565"/>
    <w:rsid w:val="005942A7"/>
    <w:rsid w:val="005B0139"/>
    <w:rsid w:val="005B2510"/>
    <w:rsid w:val="005C17FD"/>
    <w:rsid w:val="005C234D"/>
    <w:rsid w:val="005C2902"/>
    <w:rsid w:val="005C45B5"/>
    <w:rsid w:val="005C49EB"/>
    <w:rsid w:val="005D5309"/>
    <w:rsid w:val="005D7D62"/>
    <w:rsid w:val="005E44D3"/>
    <w:rsid w:val="005E5BC9"/>
    <w:rsid w:val="005F6BE0"/>
    <w:rsid w:val="006129EB"/>
    <w:rsid w:val="00630898"/>
    <w:rsid w:val="0063146C"/>
    <w:rsid w:val="00633924"/>
    <w:rsid w:val="00645C8F"/>
    <w:rsid w:val="006516FD"/>
    <w:rsid w:val="00651E11"/>
    <w:rsid w:val="0065208D"/>
    <w:rsid w:val="00652262"/>
    <w:rsid w:val="00655EF9"/>
    <w:rsid w:val="00667925"/>
    <w:rsid w:val="00681969"/>
    <w:rsid w:val="00684EE3"/>
    <w:rsid w:val="006907F6"/>
    <w:rsid w:val="0069723D"/>
    <w:rsid w:val="006A5C8E"/>
    <w:rsid w:val="006C22F1"/>
    <w:rsid w:val="006C3EE1"/>
    <w:rsid w:val="006C7BE1"/>
    <w:rsid w:val="00713A72"/>
    <w:rsid w:val="00714FE8"/>
    <w:rsid w:val="007174CB"/>
    <w:rsid w:val="00720E3B"/>
    <w:rsid w:val="007311E0"/>
    <w:rsid w:val="00732673"/>
    <w:rsid w:val="0074292A"/>
    <w:rsid w:val="00742ADC"/>
    <w:rsid w:val="0074589D"/>
    <w:rsid w:val="00746A89"/>
    <w:rsid w:val="007557DE"/>
    <w:rsid w:val="00762B7E"/>
    <w:rsid w:val="00785881"/>
    <w:rsid w:val="007A772A"/>
    <w:rsid w:val="007B6C59"/>
    <w:rsid w:val="007C49ED"/>
    <w:rsid w:val="007E1EA5"/>
    <w:rsid w:val="007E320A"/>
    <w:rsid w:val="007F3291"/>
    <w:rsid w:val="007F46DE"/>
    <w:rsid w:val="00807240"/>
    <w:rsid w:val="00812CA2"/>
    <w:rsid w:val="00851B88"/>
    <w:rsid w:val="00872E53"/>
    <w:rsid w:val="008B6A3D"/>
    <w:rsid w:val="008C6A7E"/>
    <w:rsid w:val="008D03E4"/>
    <w:rsid w:val="008D286B"/>
    <w:rsid w:val="008D5E19"/>
    <w:rsid w:val="008E21F9"/>
    <w:rsid w:val="008F4F3D"/>
    <w:rsid w:val="00900518"/>
    <w:rsid w:val="00903D22"/>
    <w:rsid w:val="0090536F"/>
    <w:rsid w:val="00906AD4"/>
    <w:rsid w:val="0091594F"/>
    <w:rsid w:val="009370BF"/>
    <w:rsid w:val="00940AD2"/>
    <w:rsid w:val="0094491A"/>
    <w:rsid w:val="009452C7"/>
    <w:rsid w:val="009501EE"/>
    <w:rsid w:val="009573D4"/>
    <w:rsid w:val="00966D00"/>
    <w:rsid w:val="009A6207"/>
    <w:rsid w:val="009B3567"/>
    <w:rsid w:val="009D478C"/>
    <w:rsid w:val="009E27F2"/>
    <w:rsid w:val="009E44BF"/>
    <w:rsid w:val="009F07AD"/>
    <w:rsid w:val="009F17B3"/>
    <w:rsid w:val="009F2CDA"/>
    <w:rsid w:val="009F7C3C"/>
    <w:rsid w:val="00A25E0B"/>
    <w:rsid w:val="00A40127"/>
    <w:rsid w:val="00A4160F"/>
    <w:rsid w:val="00A4473A"/>
    <w:rsid w:val="00A47943"/>
    <w:rsid w:val="00A66B6C"/>
    <w:rsid w:val="00A7590B"/>
    <w:rsid w:val="00A76ACB"/>
    <w:rsid w:val="00A8483D"/>
    <w:rsid w:val="00AA2555"/>
    <w:rsid w:val="00AA3436"/>
    <w:rsid w:val="00AB2593"/>
    <w:rsid w:val="00AC3141"/>
    <w:rsid w:val="00AD64EC"/>
    <w:rsid w:val="00AF32D0"/>
    <w:rsid w:val="00B016D1"/>
    <w:rsid w:val="00B03ACF"/>
    <w:rsid w:val="00B05037"/>
    <w:rsid w:val="00B12389"/>
    <w:rsid w:val="00B349A1"/>
    <w:rsid w:val="00B46CAD"/>
    <w:rsid w:val="00B54AD6"/>
    <w:rsid w:val="00B55CC6"/>
    <w:rsid w:val="00B96C09"/>
    <w:rsid w:val="00BA68CA"/>
    <w:rsid w:val="00BB4689"/>
    <w:rsid w:val="00BC6607"/>
    <w:rsid w:val="00BC76D9"/>
    <w:rsid w:val="00BD47E7"/>
    <w:rsid w:val="00BE211A"/>
    <w:rsid w:val="00BE3FE0"/>
    <w:rsid w:val="00BF3600"/>
    <w:rsid w:val="00C137D8"/>
    <w:rsid w:val="00C137E7"/>
    <w:rsid w:val="00C25D06"/>
    <w:rsid w:val="00C42110"/>
    <w:rsid w:val="00C44A4F"/>
    <w:rsid w:val="00C5190D"/>
    <w:rsid w:val="00C55601"/>
    <w:rsid w:val="00C609B1"/>
    <w:rsid w:val="00C6676D"/>
    <w:rsid w:val="00C819ED"/>
    <w:rsid w:val="00C861DD"/>
    <w:rsid w:val="00C91177"/>
    <w:rsid w:val="00CA24DF"/>
    <w:rsid w:val="00CA39CE"/>
    <w:rsid w:val="00CB2AE4"/>
    <w:rsid w:val="00CC1735"/>
    <w:rsid w:val="00CE4051"/>
    <w:rsid w:val="00CF5A91"/>
    <w:rsid w:val="00CF7561"/>
    <w:rsid w:val="00D1065E"/>
    <w:rsid w:val="00D11731"/>
    <w:rsid w:val="00D263C6"/>
    <w:rsid w:val="00D3045B"/>
    <w:rsid w:val="00D37E70"/>
    <w:rsid w:val="00D52236"/>
    <w:rsid w:val="00D568DD"/>
    <w:rsid w:val="00D56D68"/>
    <w:rsid w:val="00D60605"/>
    <w:rsid w:val="00D65B18"/>
    <w:rsid w:val="00D679C0"/>
    <w:rsid w:val="00D75E2D"/>
    <w:rsid w:val="00D804C2"/>
    <w:rsid w:val="00D87488"/>
    <w:rsid w:val="00DA6DD4"/>
    <w:rsid w:val="00DC0804"/>
    <w:rsid w:val="00DC122A"/>
    <w:rsid w:val="00DC616C"/>
    <w:rsid w:val="00DD2A6D"/>
    <w:rsid w:val="00DD5ED7"/>
    <w:rsid w:val="00DD6257"/>
    <w:rsid w:val="00DD69DF"/>
    <w:rsid w:val="00DF06B3"/>
    <w:rsid w:val="00DF2558"/>
    <w:rsid w:val="00E0682B"/>
    <w:rsid w:val="00E110CB"/>
    <w:rsid w:val="00E165E5"/>
    <w:rsid w:val="00E2189C"/>
    <w:rsid w:val="00E300A3"/>
    <w:rsid w:val="00E31023"/>
    <w:rsid w:val="00E3308B"/>
    <w:rsid w:val="00E336E9"/>
    <w:rsid w:val="00E450AE"/>
    <w:rsid w:val="00E61ED9"/>
    <w:rsid w:val="00E625B7"/>
    <w:rsid w:val="00E63916"/>
    <w:rsid w:val="00E73AD6"/>
    <w:rsid w:val="00E8753D"/>
    <w:rsid w:val="00E905AA"/>
    <w:rsid w:val="00E91F1D"/>
    <w:rsid w:val="00EA01C3"/>
    <w:rsid w:val="00EA1CB5"/>
    <w:rsid w:val="00EA35B3"/>
    <w:rsid w:val="00EB03F7"/>
    <w:rsid w:val="00EC4AA0"/>
    <w:rsid w:val="00EC4F08"/>
    <w:rsid w:val="00ED21CB"/>
    <w:rsid w:val="00EF1DBA"/>
    <w:rsid w:val="00F11B57"/>
    <w:rsid w:val="00F168E2"/>
    <w:rsid w:val="00F2102D"/>
    <w:rsid w:val="00F21B73"/>
    <w:rsid w:val="00F37FE8"/>
    <w:rsid w:val="00F63579"/>
    <w:rsid w:val="00F66458"/>
    <w:rsid w:val="00F7220B"/>
    <w:rsid w:val="00FA0D30"/>
    <w:rsid w:val="00FA3EEF"/>
    <w:rsid w:val="00FA45F6"/>
    <w:rsid w:val="00FA6B43"/>
    <w:rsid w:val="00FA6E16"/>
    <w:rsid w:val="00FB1469"/>
    <w:rsid w:val="00FB3269"/>
    <w:rsid w:val="00FB5171"/>
    <w:rsid w:val="00FC0674"/>
    <w:rsid w:val="00FD4438"/>
    <w:rsid w:val="00FE0874"/>
    <w:rsid w:val="00FF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E3F57"/>
  <w15:chartTrackingRefBased/>
  <w15:docId w15:val="{10A880E3-8F2B-434D-9C2A-2D33755C3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2C7"/>
    <w:pPr>
      <w:spacing w:before="100" w:beforeAutospacing="1" w:after="0" w:line="360" w:lineRule="auto"/>
      <w:jc w:val="both"/>
    </w:pPr>
    <w:rPr>
      <w:rFonts w:eastAsia="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9452C7"/>
    <w:pPr>
      <w:keepNext/>
      <w:keepLines/>
      <w:pBdr>
        <w:bottom w:val="single" w:sz="4" w:space="1" w:color="4472C4" w:themeColor="accent1"/>
      </w:pBd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52C7"/>
    <w:pPr>
      <w:keepNext/>
      <w:keepLines/>
      <w:outlineLvl w:val="1"/>
    </w:pPr>
    <w:rPr>
      <w:rFonts w:asciiTheme="majorHAnsi" w:eastAsiaTheme="majorEastAsia" w:hAnsiTheme="majorHAnsi" w:cstheme="majorBidi"/>
      <w:b/>
      <w:color w:val="auto"/>
      <w:sz w:val="26"/>
      <w:szCs w:val="26"/>
    </w:rPr>
  </w:style>
  <w:style w:type="paragraph" w:styleId="Heading3">
    <w:name w:val="heading 3"/>
    <w:basedOn w:val="Normal"/>
    <w:next w:val="Normal"/>
    <w:link w:val="Heading3Char"/>
    <w:uiPriority w:val="9"/>
    <w:semiHidden/>
    <w:unhideWhenUsed/>
    <w:qFormat/>
    <w:rsid w:val="0034607E"/>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D65C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F360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52F59"/>
    <w:pPr>
      <w:spacing w:after="200"/>
    </w:pPr>
    <w:rPr>
      <w:i/>
      <w:iCs/>
      <w:color w:val="44546A" w:themeColor="text2"/>
      <w:sz w:val="18"/>
      <w:szCs w:val="18"/>
    </w:rPr>
  </w:style>
  <w:style w:type="paragraph" w:styleId="ListParagraph">
    <w:name w:val="List Paragraph"/>
    <w:basedOn w:val="Normal"/>
    <w:uiPriority w:val="34"/>
    <w:qFormat/>
    <w:rsid w:val="004F1399"/>
    <w:pPr>
      <w:ind w:left="720"/>
      <w:contextualSpacing/>
    </w:pPr>
  </w:style>
  <w:style w:type="table" w:styleId="TableGrid">
    <w:name w:val="Table Grid"/>
    <w:basedOn w:val="TableNormal"/>
    <w:uiPriority w:val="39"/>
    <w:rsid w:val="00F37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452C7"/>
    <w:rPr>
      <w:rFonts w:asciiTheme="majorHAnsi" w:eastAsiaTheme="majorEastAsia" w:hAnsiTheme="majorHAnsi" w:cstheme="majorBidi"/>
      <w:b/>
      <w:sz w:val="26"/>
      <w:szCs w:val="26"/>
      <w:lang w:eastAsia="en-GB"/>
    </w:rPr>
  </w:style>
  <w:style w:type="character" w:customStyle="1" w:styleId="Heading1Char">
    <w:name w:val="Heading 1 Char"/>
    <w:basedOn w:val="DefaultParagraphFont"/>
    <w:link w:val="Heading1"/>
    <w:uiPriority w:val="9"/>
    <w:rsid w:val="009452C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61875"/>
    <w:pPr>
      <w:pBdr>
        <w:bottom w:val="none" w:sz="0" w:space="0" w:color="auto"/>
      </w:pBdr>
      <w:spacing w:beforeAutospacing="0" w:line="259" w:lineRule="auto"/>
      <w:jc w:val="left"/>
      <w:outlineLvl w:val="9"/>
    </w:pPr>
    <w:rPr>
      <w:lang w:val="en-US" w:eastAsia="en-US"/>
    </w:rPr>
  </w:style>
  <w:style w:type="paragraph" w:styleId="TOC1">
    <w:name w:val="toc 1"/>
    <w:basedOn w:val="Normal"/>
    <w:next w:val="Normal"/>
    <w:autoRedefine/>
    <w:uiPriority w:val="39"/>
    <w:unhideWhenUsed/>
    <w:rsid w:val="00561875"/>
    <w:pPr>
      <w:spacing w:after="100"/>
    </w:pPr>
  </w:style>
  <w:style w:type="paragraph" w:styleId="TOC2">
    <w:name w:val="toc 2"/>
    <w:basedOn w:val="Normal"/>
    <w:next w:val="Normal"/>
    <w:autoRedefine/>
    <w:uiPriority w:val="39"/>
    <w:unhideWhenUsed/>
    <w:rsid w:val="00561875"/>
    <w:pPr>
      <w:spacing w:after="100"/>
      <w:ind w:left="240"/>
    </w:pPr>
  </w:style>
  <w:style w:type="character" w:styleId="Hyperlink">
    <w:name w:val="Hyperlink"/>
    <w:basedOn w:val="DefaultParagraphFont"/>
    <w:uiPriority w:val="99"/>
    <w:unhideWhenUsed/>
    <w:rsid w:val="00561875"/>
    <w:rPr>
      <w:color w:val="0563C1" w:themeColor="hyperlink"/>
      <w:u w:val="single"/>
    </w:rPr>
  </w:style>
  <w:style w:type="paragraph" w:styleId="Bibliography">
    <w:name w:val="Bibliography"/>
    <w:basedOn w:val="Normal"/>
    <w:next w:val="Normal"/>
    <w:uiPriority w:val="37"/>
    <w:unhideWhenUsed/>
    <w:rsid w:val="0094491A"/>
  </w:style>
  <w:style w:type="paragraph" w:styleId="TableofFigures">
    <w:name w:val="table of figures"/>
    <w:basedOn w:val="Normal"/>
    <w:next w:val="Normal"/>
    <w:uiPriority w:val="99"/>
    <w:unhideWhenUsed/>
    <w:rsid w:val="00872E53"/>
  </w:style>
  <w:style w:type="character" w:customStyle="1" w:styleId="Heading3Char">
    <w:name w:val="Heading 3 Char"/>
    <w:basedOn w:val="DefaultParagraphFont"/>
    <w:link w:val="Heading3"/>
    <w:uiPriority w:val="9"/>
    <w:semiHidden/>
    <w:rsid w:val="0034607E"/>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4D65C6"/>
    <w:rPr>
      <w:rFonts w:asciiTheme="majorHAnsi" w:eastAsiaTheme="majorEastAsia" w:hAnsiTheme="majorHAnsi" w:cstheme="majorBidi"/>
      <w:i/>
      <w:iCs/>
      <w:color w:val="2F5496" w:themeColor="accent1" w:themeShade="BF"/>
      <w:sz w:val="24"/>
      <w:szCs w:val="20"/>
      <w:lang w:eastAsia="en-GB"/>
    </w:rPr>
  </w:style>
  <w:style w:type="character" w:customStyle="1" w:styleId="Heading5Char">
    <w:name w:val="Heading 5 Char"/>
    <w:basedOn w:val="DefaultParagraphFont"/>
    <w:link w:val="Heading5"/>
    <w:uiPriority w:val="9"/>
    <w:semiHidden/>
    <w:rsid w:val="00BF3600"/>
    <w:rPr>
      <w:rFonts w:asciiTheme="majorHAnsi" w:eastAsiaTheme="majorEastAsia" w:hAnsiTheme="majorHAnsi" w:cstheme="majorBidi"/>
      <w:color w:val="2F5496" w:themeColor="accent1" w:themeShade="BF"/>
      <w:sz w:val="24"/>
      <w:szCs w:val="20"/>
      <w:lang w:eastAsia="en-GB"/>
    </w:rPr>
  </w:style>
  <w:style w:type="paragraph" w:styleId="NormalWeb">
    <w:name w:val="Normal (Web)"/>
    <w:basedOn w:val="Normal"/>
    <w:uiPriority w:val="99"/>
    <w:semiHidden/>
    <w:unhideWhenUsed/>
    <w:rsid w:val="004F20CC"/>
    <w:pPr>
      <w:spacing w:after="100" w:afterAutospacing="1" w:line="240" w:lineRule="auto"/>
      <w:jc w:val="left"/>
    </w:pPr>
    <w:rPr>
      <w:rFonts w:ascii="Times New Roman" w:hAnsi="Times New Roman"/>
      <w:color w:val="auto"/>
      <w:szCs w:val="24"/>
    </w:rPr>
  </w:style>
  <w:style w:type="character" w:styleId="Strong">
    <w:name w:val="Strong"/>
    <w:basedOn w:val="DefaultParagraphFont"/>
    <w:uiPriority w:val="22"/>
    <w:qFormat/>
    <w:rsid w:val="004F20CC"/>
    <w:rPr>
      <w:b/>
      <w:bCs/>
    </w:rPr>
  </w:style>
  <w:style w:type="character" w:styleId="UnresolvedMention">
    <w:name w:val="Unresolved Mention"/>
    <w:basedOn w:val="DefaultParagraphFont"/>
    <w:uiPriority w:val="99"/>
    <w:semiHidden/>
    <w:unhideWhenUsed/>
    <w:rsid w:val="00101938"/>
    <w:rPr>
      <w:color w:val="605E5C"/>
      <w:shd w:val="clear" w:color="auto" w:fill="E1DFDD"/>
    </w:rPr>
  </w:style>
  <w:style w:type="paragraph" w:styleId="NoSpacing">
    <w:name w:val="No Spacing"/>
    <w:uiPriority w:val="1"/>
    <w:qFormat/>
    <w:rsid w:val="00470010"/>
    <w:pPr>
      <w:spacing w:beforeAutospacing="1" w:after="0" w:line="240" w:lineRule="auto"/>
      <w:jc w:val="both"/>
    </w:pPr>
    <w:rPr>
      <w:rFonts w:eastAsia="Times New Roman" w:cs="Times New Roman"/>
      <w:color w:val="000000" w:themeColor="text1"/>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83226">
      <w:bodyDiv w:val="1"/>
      <w:marLeft w:val="0"/>
      <w:marRight w:val="0"/>
      <w:marTop w:val="0"/>
      <w:marBottom w:val="0"/>
      <w:divBdr>
        <w:top w:val="none" w:sz="0" w:space="0" w:color="auto"/>
        <w:left w:val="none" w:sz="0" w:space="0" w:color="auto"/>
        <w:bottom w:val="none" w:sz="0" w:space="0" w:color="auto"/>
        <w:right w:val="none" w:sz="0" w:space="0" w:color="auto"/>
      </w:divBdr>
    </w:div>
    <w:div w:id="42877877">
      <w:bodyDiv w:val="1"/>
      <w:marLeft w:val="0"/>
      <w:marRight w:val="0"/>
      <w:marTop w:val="0"/>
      <w:marBottom w:val="0"/>
      <w:divBdr>
        <w:top w:val="none" w:sz="0" w:space="0" w:color="auto"/>
        <w:left w:val="none" w:sz="0" w:space="0" w:color="auto"/>
        <w:bottom w:val="none" w:sz="0" w:space="0" w:color="auto"/>
        <w:right w:val="none" w:sz="0" w:space="0" w:color="auto"/>
      </w:divBdr>
    </w:div>
    <w:div w:id="97260109">
      <w:bodyDiv w:val="1"/>
      <w:marLeft w:val="0"/>
      <w:marRight w:val="0"/>
      <w:marTop w:val="0"/>
      <w:marBottom w:val="0"/>
      <w:divBdr>
        <w:top w:val="none" w:sz="0" w:space="0" w:color="auto"/>
        <w:left w:val="none" w:sz="0" w:space="0" w:color="auto"/>
        <w:bottom w:val="none" w:sz="0" w:space="0" w:color="auto"/>
        <w:right w:val="none" w:sz="0" w:space="0" w:color="auto"/>
      </w:divBdr>
    </w:div>
    <w:div w:id="101612602">
      <w:bodyDiv w:val="1"/>
      <w:marLeft w:val="0"/>
      <w:marRight w:val="0"/>
      <w:marTop w:val="0"/>
      <w:marBottom w:val="0"/>
      <w:divBdr>
        <w:top w:val="none" w:sz="0" w:space="0" w:color="auto"/>
        <w:left w:val="none" w:sz="0" w:space="0" w:color="auto"/>
        <w:bottom w:val="none" w:sz="0" w:space="0" w:color="auto"/>
        <w:right w:val="none" w:sz="0" w:space="0" w:color="auto"/>
      </w:divBdr>
    </w:div>
    <w:div w:id="150219019">
      <w:bodyDiv w:val="1"/>
      <w:marLeft w:val="0"/>
      <w:marRight w:val="0"/>
      <w:marTop w:val="0"/>
      <w:marBottom w:val="0"/>
      <w:divBdr>
        <w:top w:val="none" w:sz="0" w:space="0" w:color="auto"/>
        <w:left w:val="none" w:sz="0" w:space="0" w:color="auto"/>
        <w:bottom w:val="none" w:sz="0" w:space="0" w:color="auto"/>
        <w:right w:val="none" w:sz="0" w:space="0" w:color="auto"/>
      </w:divBdr>
    </w:div>
    <w:div w:id="172888510">
      <w:bodyDiv w:val="1"/>
      <w:marLeft w:val="0"/>
      <w:marRight w:val="0"/>
      <w:marTop w:val="0"/>
      <w:marBottom w:val="0"/>
      <w:divBdr>
        <w:top w:val="none" w:sz="0" w:space="0" w:color="auto"/>
        <w:left w:val="none" w:sz="0" w:space="0" w:color="auto"/>
        <w:bottom w:val="none" w:sz="0" w:space="0" w:color="auto"/>
        <w:right w:val="none" w:sz="0" w:space="0" w:color="auto"/>
      </w:divBdr>
    </w:div>
    <w:div w:id="221865558">
      <w:bodyDiv w:val="1"/>
      <w:marLeft w:val="0"/>
      <w:marRight w:val="0"/>
      <w:marTop w:val="0"/>
      <w:marBottom w:val="0"/>
      <w:divBdr>
        <w:top w:val="none" w:sz="0" w:space="0" w:color="auto"/>
        <w:left w:val="none" w:sz="0" w:space="0" w:color="auto"/>
        <w:bottom w:val="none" w:sz="0" w:space="0" w:color="auto"/>
        <w:right w:val="none" w:sz="0" w:space="0" w:color="auto"/>
      </w:divBdr>
    </w:div>
    <w:div w:id="237516064">
      <w:bodyDiv w:val="1"/>
      <w:marLeft w:val="0"/>
      <w:marRight w:val="0"/>
      <w:marTop w:val="0"/>
      <w:marBottom w:val="0"/>
      <w:divBdr>
        <w:top w:val="none" w:sz="0" w:space="0" w:color="auto"/>
        <w:left w:val="none" w:sz="0" w:space="0" w:color="auto"/>
        <w:bottom w:val="none" w:sz="0" w:space="0" w:color="auto"/>
        <w:right w:val="none" w:sz="0" w:space="0" w:color="auto"/>
      </w:divBdr>
    </w:div>
    <w:div w:id="325591587">
      <w:bodyDiv w:val="1"/>
      <w:marLeft w:val="0"/>
      <w:marRight w:val="0"/>
      <w:marTop w:val="0"/>
      <w:marBottom w:val="0"/>
      <w:divBdr>
        <w:top w:val="none" w:sz="0" w:space="0" w:color="auto"/>
        <w:left w:val="none" w:sz="0" w:space="0" w:color="auto"/>
        <w:bottom w:val="none" w:sz="0" w:space="0" w:color="auto"/>
        <w:right w:val="none" w:sz="0" w:space="0" w:color="auto"/>
      </w:divBdr>
    </w:div>
    <w:div w:id="328094541">
      <w:bodyDiv w:val="1"/>
      <w:marLeft w:val="0"/>
      <w:marRight w:val="0"/>
      <w:marTop w:val="0"/>
      <w:marBottom w:val="0"/>
      <w:divBdr>
        <w:top w:val="none" w:sz="0" w:space="0" w:color="auto"/>
        <w:left w:val="none" w:sz="0" w:space="0" w:color="auto"/>
        <w:bottom w:val="none" w:sz="0" w:space="0" w:color="auto"/>
        <w:right w:val="none" w:sz="0" w:space="0" w:color="auto"/>
      </w:divBdr>
    </w:div>
    <w:div w:id="388770642">
      <w:bodyDiv w:val="1"/>
      <w:marLeft w:val="0"/>
      <w:marRight w:val="0"/>
      <w:marTop w:val="0"/>
      <w:marBottom w:val="0"/>
      <w:divBdr>
        <w:top w:val="none" w:sz="0" w:space="0" w:color="auto"/>
        <w:left w:val="none" w:sz="0" w:space="0" w:color="auto"/>
        <w:bottom w:val="none" w:sz="0" w:space="0" w:color="auto"/>
        <w:right w:val="none" w:sz="0" w:space="0" w:color="auto"/>
      </w:divBdr>
    </w:div>
    <w:div w:id="440490196">
      <w:bodyDiv w:val="1"/>
      <w:marLeft w:val="0"/>
      <w:marRight w:val="0"/>
      <w:marTop w:val="0"/>
      <w:marBottom w:val="0"/>
      <w:divBdr>
        <w:top w:val="none" w:sz="0" w:space="0" w:color="auto"/>
        <w:left w:val="none" w:sz="0" w:space="0" w:color="auto"/>
        <w:bottom w:val="none" w:sz="0" w:space="0" w:color="auto"/>
        <w:right w:val="none" w:sz="0" w:space="0" w:color="auto"/>
      </w:divBdr>
    </w:div>
    <w:div w:id="453446982">
      <w:bodyDiv w:val="1"/>
      <w:marLeft w:val="0"/>
      <w:marRight w:val="0"/>
      <w:marTop w:val="0"/>
      <w:marBottom w:val="0"/>
      <w:divBdr>
        <w:top w:val="none" w:sz="0" w:space="0" w:color="auto"/>
        <w:left w:val="none" w:sz="0" w:space="0" w:color="auto"/>
        <w:bottom w:val="none" w:sz="0" w:space="0" w:color="auto"/>
        <w:right w:val="none" w:sz="0" w:space="0" w:color="auto"/>
      </w:divBdr>
    </w:div>
    <w:div w:id="517887099">
      <w:bodyDiv w:val="1"/>
      <w:marLeft w:val="0"/>
      <w:marRight w:val="0"/>
      <w:marTop w:val="0"/>
      <w:marBottom w:val="0"/>
      <w:divBdr>
        <w:top w:val="none" w:sz="0" w:space="0" w:color="auto"/>
        <w:left w:val="none" w:sz="0" w:space="0" w:color="auto"/>
        <w:bottom w:val="none" w:sz="0" w:space="0" w:color="auto"/>
        <w:right w:val="none" w:sz="0" w:space="0" w:color="auto"/>
      </w:divBdr>
    </w:div>
    <w:div w:id="567113652">
      <w:bodyDiv w:val="1"/>
      <w:marLeft w:val="0"/>
      <w:marRight w:val="0"/>
      <w:marTop w:val="0"/>
      <w:marBottom w:val="0"/>
      <w:divBdr>
        <w:top w:val="none" w:sz="0" w:space="0" w:color="auto"/>
        <w:left w:val="none" w:sz="0" w:space="0" w:color="auto"/>
        <w:bottom w:val="none" w:sz="0" w:space="0" w:color="auto"/>
        <w:right w:val="none" w:sz="0" w:space="0" w:color="auto"/>
      </w:divBdr>
    </w:div>
    <w:div w:id="586116763">
      <w:bodyDiv w:val="1"/>
      <w:marLeft w:val="0"/>
      <w:marRight w:val="0"/>
      <w:marTop w:val="0"/>
      <w:marBottom w:val="0"/>
      <w:divBdr>
        <w:top w:val="none" w:sz="0" w:space="0" w:color="auto"/>
        <w:left w:val="none" w:sz="0" w:space="0" w:color="auto"/>
        <w:bottom w:val="none" w:sz="0" w:space="0" w:color="auto"/>
        <w:right w:val="none" w:sz="0" w:space="0" w:color="auto"/>
      </w:divBdr>
    </w:div>
    <w:div w:id="623779550">
      <w:bodyDiv w:val="1"/>
      <w:marLeft w:val="0"/>
      <w:marRight w:val="0"/>
      <w:marTop w:val="0"/>
      <w:marBottom w:val="0"/>
      <w:divBdr>
        <w:top w:val="none" w:sz="0" w:space="0" w:color="auto"/>
        <w:left w:val="none" w:sz="0" w:space="0" w:color="auto"/>
        <w:bottom w:val="none" w:sz="0" w:space="0" w:color="auto"/>
        <w:right w:val="none" w:sz="0" w:space="0" w:color="auto"/>
      </w:divBdr>
    </w:div>
    <w:div w:id="663318279">
      <w:bodyDiv w:val="1"/>
      <w:marLeft w:val="0"/>
      <w:marRight w:val="0"/>
      <w:marTop w:val="0"/>
      <w:marBottom w:val="0"/>
      <w:divBdr>
        <w:top w:val="none" w:sz="0" w:space="0" w:color="auto"/>
        <w:left w:val="none" w:sz="0" w:space="0" w:color="auto"/>
        <w:bottom w:val="none" w:sz="0" w:space="0" w:color="auto"/>
        <w:right w:val="none" w:sz="0" w:space="0" w:color="auto"/>
      </w:divBdr>
    </w:div>
    <w:div w:id="745683877">
      <w:bodyDiv w:val="1"/>
      <w:marLeft w:val="0"/>
      <w:marRight w:val="0"/>
      <w:marTop w:val="0"/>
      <w:marBottom w:val="0"/>
      <w:divBdr>
        <w:top w:val="none" w:sz="0" w:space="0" w:color="auto"/>
        <w:left w:val="none" w:sz="0" w:space="0" w:color="auto"/>
        <w:bottom w:val="none" w:sz="0" w:space="0" w:color="auto"/>
        <w:right w:val="none" w:sz="0" w:space="0" w:color="auto"/>
      </w:divBdr>
    </w:div>
    <w:div w:id="788744060">
      <w:bodyDiv w:val="1"/>
      <w:marLeft w:val="0"/>
      <w:marRight w:val="0"/>
      <w:marTop w:val="0"/>
      <w:marBottom w:val="0"/>
      <w:divBdr>
        <w:top w:val="none" w:sz="0" w:space="0" w:color="auto"/>
        <w:left w:val="none" w:sz="0" w:space="0" w:color="auto"/>
        <w:bottom w:val="none" w:sz="0" w:space="0" w:color="auto"/>
        <w:right w:val="none" w:sz="0" w:space="0" w:color="auto"/>
      </w:divBdr>
    </w:div>
    <w:div w:id="797719818">
      <w:bodyDiv w:val="1"/>
      <w:marLeft w:val="0"/>
      <w:marRight w:val="0"/>
      <w:marTop w:val="0"/>
      <w:marBottom w:val="0"/>
      <w:divBdr>
        <w:top w:val="none" w:sz="0" w:space="0" w:color="auto"/>
        <w:left w:val="none" w:sz="0" w:space="0" w:color="auto"/>
        <w:bottom w:val="none" w:sz="0" w:space="0" w:color="auto"/>
        <w:right w:val="none" w:sz="0" w:space="0" w:color="auto"/>
      </w:divBdr>
    </w:div>
    <w:div w:id="895165015">
      <w:bodyDiv w:val="1"/>
      <w:marLeft w:val="0"/>
      <w:marRight w:val="0"/>
      <w:marTop w:val="0"/>
      <w:marBottom w:val="0"/>
      <w:divBdr>
        <w:top w:val="none" w:sz="0" w:space="0" w:color="auto"/>
        <w:left w:val="none" w:sz="0" w:space="0" w:color="auto"/>
        <w:bottom w:val="none" w:sz="0" w:space="0" w:color="auto"/>
        <w:right w:val="none" w:sz="0" w:space="0" w:color="auto"/>
      </w:divBdr>
    </w:div>
    <w:div w:id="898906544">
      <w:bodyDiv w:val="1"/>
      <w:marLeft w:val="0"/>
      <w:marRight w:val="0"/>
      <w:marTop w:val="0"/>
      <w:marBottom w:val="0"/>
      <w:divBdr>
        <w:top w:val="none" w:sz="0" w:space="0" w:color="auto"/>
        <w:left w:val="none" w:sz="0" w:space="0" w:color="auto"/>
        <w:bottom w:val="none" w:sz="0" w:space="0" w:color="auto"/>
        <w:right w:val="none" w:sz="0" w:space="0" w:color="auto"/>
      </w:divBdr>
    </w:div>
    <w:div w:id="974020286">
      <w:bodyDiv w:val="1"/>
      <w:marLeft w:val="0"/>
      <w:marRight w:val="0"/>
      <w:marTop w:val="0"/>
      <w:marBottom w:val="0"/>
      <w:divBdr>
        <w:top w:val="none" w:sz="0" w:space="0" w:color="auto"/>
        <w:left w:val="none" w:sz="0" w:space="0" w:color="auto"/>
        <w:bottom w:val="none" w:sz="0" w:space="0" w:color="auto"/>
        <w:right w:val="none" w:sz="0" w:space="0" w:color="auto"/>
      </w:divBdr>
    </w:div>
    <w:div w:id="974063714">
      <w:bodyDiv w:val="1"/>
      <w:marLeft w:val="0"/>
      <w:marRight w:val="0"/>
      <w:marTop w:val="0"/>
      <w:marBottom w:val="0"/>
      <w:divBdr>
        <w:top w:val="none" w:sz="0" w:space="0" w:color="auto"/>
        <w:left w:val="none" w:sz="0" w:space="0" w:color="auto"/>
        <w:bottom w:val="none" w:sz="0" w:space="0" w:color="auto"/>
        <w:right w:val="none" w:sz="0" w:space="0" w:color="auto"/>
      </w:divBdr>
    </w:div>
    <w:div w:id="976111688">
      <w:bodyDiv w:val="1"/>
      <w:marLeft w:val="0"/>
      <w:marRight w:val="0"/>
      <w:marTop w:val="0"/>
      <w:marBottom w:val="0"/>
      <w:divBdr>
        <w:top w:val="none" w:sz="0" w:space="0" w:color="auto"/>
        <w:left w:val="none" w:sz="0" w:space="0" w:color="auto"/>
        <w:bottom w:val="none" w:sz="0" w:space="0" w:color="auto"/>
        <w:right w:val="none" w:sz="0" w:space="0" w:color="auto"/>
      </w:divBdr>
    </w:div>
    <w:div w:id="976494947">
      <w:bodyDiv w:val="1"/>
      <w:marLeft w:val="0"/>
      <w:marRight w:val="0"/>
      <w:marTop w:val="0"/>
      <w:marBottom w:val="0"/>
      <w:divBdr>
        <w:top w:val="none" w:sz="0" w:space="0" w:color="auto"/>
        <w:left w:val="none" w:sz="0" w:space="0" w:color="auto"/>
        <w:bottom w:val="none" w:sz="0" w:space="0" w:color="auto"/>
        <w:right w:val="none" w:sz="0" w:space="0" w:color="auto"/>
      </w:divBdr>
    </w:div>
    <w:div w:id="1016730017">
      <w:bodyDiv w:val="1"/>
      <w:marLeft w:val="0"/>
      <w:marRight w:val="0"/>
      <w:marTop w:val="0"/>
      <w:marBottom w:val="0"/>
      <w:divBdr>
        <w:top w:val="none" w:sz="0" w:space="0" w:color="auto"/>
        <w:left w:val="none" w:sz="0" w:space="0" w:color="auto"/>
        <w:bottom w:val="none" w:sz="0" w:space="0" w:color="auto"/>
        <w:right w:val="none" w:sz="0" w:space="0" w:color="auto"/>
      </w:divBdr>
    </w:div>
    <w:div w:id="1031079066">
      <w:bodyDiv w:val="1"/>
      <w:marLeft w:val="0"/>
      <w:marRight w:val="0"/>
      <w:marTop w:val="0"/>
      <w:marBottom w:val="0"/>
      <w:divBdr>
        <w:top w:val="none" w:sz="0" w:space="0" w:color="auto"/>
        <w:left w:val="none" w:sz="0" w:space="0" w:color="auto"/>
        <w:bottom w:val="none" w:sz="0" w:space="0" w:color="auto"/>
        <w:right w:val="none" w:sz="0" w:space="0" w:color="auto"/>
      </w:divBdr>
    </w:div>
    <w:div w:id="1039431748">
      <w:bodyDiv w:val="1"/>
      <w:marLeft w:val="0"/>
      <w:marRight w:val="0"/>
      <w:marTop w:val="0"/>
      <w:marBottom w:val="0"/>
      <w:divBdr>
        <w:top w:val="none" w:sz="0" w:space="0" w:color="auto"/>
        <w:left w:val="none" w:sz="0" w:space="0" w:color="auto"/>
        <w:bottom w:val="none" w:sz="0" w:space="0" w:color="auto"/>
        <w:right w:val="none" w:sz="0" w:space="0" w:color="auto"/>
      </w:divBdr>
    </w:div>
    <w:div w:id="1045108253">
      <w:bodyDiv w:val="1"/>
      <w:marLeft w:val="0"/>
      <w:marRight w:val="0"/>
      <w:marTop w:val="0"/>
      <w:marBottom w:val="0"/>
      <w:divBdr>
        <w:top w:val="none" w:sz="0" w:space="0" w:color="auto"/>
        <w:left w:val="none" w:sz="0" w:space="0" w:color="auto"/>
        <w:bottom w:val="none" w:sz="0" w:space="0" w:color="auto"/>
        <w:right w:val="none" w:sz="0" w:space="0" w:color="auto"/>
      </w:divBdr>
    </w:div>
    <w:div w:id="1062096926">
      <w:bodyDiv w:val="1"/>
      <w:marLeft w:val="0"/>
      <w:marRight w:val="0"/>
      <w:marTop w:val="0"/>
      <w:marBottom w:val="0"/>
      <w:divBdr>
        <w:top w:val="none" w:sz="0" w:space="0" w:color="auto"/>
        <w:left w:val="none" w:sz="0" w:space="0" w:color="auto"/>
        <w:bottom w:val="none" w:sz="0" w:space="0" w:color="auto"/>
        <w:right w:val="none" w:sz="0" w:space="0" w:color="auto"/>
      </w:divBdr>
    </w:div>
    <w:div w:id="1121800452">
      <w:bodyDiv w:val="1"/>
      <w:marLeft w:val="0"/>
      <w:marRight w:val="0"/>
      <w:marTop w:val="0"/>
      <w:marBottom w:val="0"/>
      <w:divBdr>
        <w:top w:val="none" w:sz="0" w:space="0" w:color="auto"/>
        <w:left w:val="none" w:sz="0" w:space="0" w:color="auto"/>
        <w:bottom w:val="none" w:sz="0" w:space="0" w:color="auto"/>
        <w:right w:val="none" w:sz="0" w:space="0" w:color="auto"/>
      </w:divBdr>
    </w:div>
    <w:div w:id="1147043346">
      <w:bodyDiv w:val="1"/>
      <w:marLeft w:val="0"/>
      <w:marRight w:val="0"/>
      <w:marTop w:val="0"/>
      <w:marBottom w:val="0"/>
      <w:divBdr>
        <w:top w:val="none" w:sz="0" w:space="0" w:color="auto"/>
        <w:left w:val="none" w:sz="0" w:space="0" w:color="auto"/>
        <w:bottom w:val="none" w:sz="0" w:space="0" w:color="auto"/>
        <w:right w:val="none" w:sz="0" w:space="0" w:color="auto"/>
      </w:divBdr>
    </w:div>
    <w:div w:id="1172837313">
      <w:bodyDiv w:val="1"/>
      <w:marLeft w:val="0"/>
      <w:marRight w:val="0"/>
      <w:marTop w:val="0"/>
      <w:marBottom w:val="0"/>
      <w:divBdr>
        <w:top w:val="none" w:sz="0" w:space="0" w:color="auto"/>
        <w:left w:val="none" w:sz="0" w:space="0" w:color="auto"/>
        <w:bottom w:val="none" w:sz="0" w:space="0" w:color="auto"/>
        <w:right w:val="none" w:sz="0" w:space="0" w:color="auto"/>
      </w:divBdr>
    </w:div>
    <w:div w:id="1326518509">
      <w:bodyDiv w:val="1"/>
      <w:marLeft w:val="0"/>
      <w:marRight w:val="0"/>
      <w:marTop w:val="0"/>
      <w:marBottom w:val="0"/>
      <w:divBdr>
        <w:top w:val="none" w:sz="0" w:space="0" w:color="auto"/>
        <w:left w:val="none" w:sz="0" w:space="0" w:color="auto"/>
        <w:bottom w:val="none" w:sz="0" w:space="0" w:color="auto"/>
        <w:right w:val="none" w:sz="0" w:space="0" w:color="auto"/>
      </w:divBdr>
    </w:div>
    <w:div w:id="1361052296">
      <w:bodyDiv w:val="1"/>
      <w:marLeft w:val="0"/>
      <w:marRight w:val="0"/>
      <w:marTop w:val="0"/>
      <w:marBottom w:val="0"/>
      <w:divBdr>
        <w:top w:val="none" w:sz="0" w:space="0" w:color="auto"/>
        <w:left w:val="none" w:sz="0" w:space="0" w:color="auto"/>
        <w:bottom w:val="none" w:sz="0" w:space="0" w:color="auto"/>
        <w:right w:val="none" w:sz="0" w:space="0" w:color="auto"/>
      </w:divBdr>
    </w:div>
    <w:div w:id="1440953678">
      <w:bodyDiv w:val="1"/>
      <w:marLeft w:val="0"/>
      <w:marRight w:val="0"/>
      <w:marTop w:val="0"/>
      <w:marBottom w:val="0"/>
      <w:divBdr>
        <w:top w:val="none" w:sz="0" w:space="0" w:color="auto"/>
        <w:left w:val="none" w:sz="0" w:space="0" w:color="auto"/>
        <w:bottom w:val="none" w:sz="0" w:space="0" w:color="auto"/>
        <w:right w:val="none" w:sz="0" w:space="0" w:color="auto"/>
      </w:divBdr>
      <w:divsChild>
        <w:div w:id="1153331345">
          <w:marLeft w:val="360"/>
          <w:marRight w:val="0"/>
          <w:marTop w:val="200"/>
          <w:marBottom w:val="0"/>
          <w:divBdr>
            <w:top w:val="none" w:sz="0" w:space="0" w:color="auto"/>
            <w:left w:val="none" w:sz="0" w:space="0" w:color="auto"/>
            <w:bottom w:val="none" w:sz="0" w:space="0" w:color="auto"/>
            <w:right w:val="none" w:sz="0" w:space="0" w:color="auto"/>
          </w:divBdr>
        </w:div>
        <w:div w:id="901453147">
          <w:marLeft w:val="360"/>
          <w:marRight w:val="0"/>
          <w:marTop w:val="200"/>
          <w:marBottom w:val="0"/>
          <w:divBdr>
            <w:top w:val="none" w:sz="0" w:space="0" w:color="auto"/>
            <w:left w:val="none" w:sz="0" w:space="0" w:color="auto"/>
            <w:bottom w:val="none" w:sz="0" w:space="0" w:color="auto"/>
            <w:right w:val="none" w:sz="0" w:space="0" w:color="auto"/>
          </w:divBdr>
        </w:div>
        <w:div w:id="26178189">
          <w:marLeft w:val="360"/>
          <w:marRight w:val="0"/>
          <w:marTop w:val="200"/>
          <w:marBottom w:val="0"/>
          <w:divBdr>
            <w:top w:val="none" w:sz="0" w:space="0" w:color="auto"/>
            <w:left w:val="none" w:sz="0" w:space="0" w:color="auto"/>
            <w:bottom w:val="none" w:sz="0" w:space="0" w:color="auto"/>
            <w:right w:val="none" w:sz="0" w:space="0" w:color="auto"/>
          </w:divBdr>
        </w:div>
        <w:div w:id="890649685">
          <w:marLeft w:val="360"/>
          <w:marRight w:val="0"/>
          <w:marTop w:val="200"/>
          <w:marBottom w:val="0"/>
          <w:divBdr>
            <w:top w:val="none" w:sz="0" w:space="0" w:color="auto"/>
            <w:left w:val="none" w:sz="0" w:space="0" w:color="auto"/>
            <w:bottom w:val="none" w:sz="0" w:space="0" w:color="auto"/>
            <w:right w:val="none" w:sz="0" w:space="0" w:color="auto"/>
          </w:divBdr>
        </w:div>
        <w:div w:id="393436859">
          <w:marLeft w:val="360"/>
          <w:marRight w:val="0"/>
          <w:marTop w:val="200"/>
          <w:marBottom w:val="0"/>
          <w:divBdr>
            <w:top w:val="none" w:sz="0" w:space="0" w:color="auto"/>
            <w:left w:val="none" w:sz="0" w:space="0" w:color="auto"/>
            <w:bottom w:val="none" w:sz="0" w:space="0" w:color="auto"/>
            <w:right w:val="none" w:sz="0" w:space="0" w:color="auto"/>
          </w:divBdr>
        </w:div>
      </w:divsChild>
    </w:div>
    <w:div w:id="1620453468">
      <w:bodyDiv w:val="1"/>
      <w:marLeft w:val="0"/>
      <w:marRight w:val="0"/>
      <w:marTop w:val="0"/>
      <w:marBottom w:val="0"/>
      <w:divBdr>
        <w:top w:val="none" w:sz="0" w:space="0" w:color="auto"/>
        <w:left w:val="none" w:sz="0" w:space="0" w:color="auto"/>
        <w:bottom w:val="none" w:sz="0" w:space="0" w:color="auto"/>
        <w:right w:val="none" w:sz="0" w:space="0" w:color="auto"/>
      </w:divBdr>
    </w:div>
    <w:div w:id="1625379813">
      <w:bodyDiv w:val="1"/>
      <w:marLeft w:val="0"/>
      <w:marRight w:val="0"/>
      <w:marTop w:val="0"/>
      <w:marBottom w:val="0"/>
      <w:divBdr>
        <w:top w:val="none" w:sz="0" w:space="0" w:color="auto"/>
        <w:left w:val="none" w:sz="0" w:space="0" w:color="auto"/>
        <w:bottom w:val="none" w:sz="0" w:space="0" w:color="auto"/>
        <w:right w:val="none" w:sz="0" w:space="0" w:color="auto"/>
      </w:divBdr>
    </w:div>
    <w:div w:id="1665861973">
      <w:bodyDiv w:val="1"/>
      <w:marLeft w:val="0"/>
      <w:marRight w:val="0"/>
      <w:marTop w:val="0"/>
      <w:marBottom w:val="0"/>
      <w:divBdr>
        <w:top w:val="none" w:sz="0" w:space="0" w:color="auto"/>
        <w:left w:val="none" w:sz="0" w:space="0" w:color="auto"/>
        <w:bottom w:val="none" w:sz="0" w:space="0" w:color="auto"/>
        <w:right w:val="none" w:sz="0" w:space="0" w:color="auto"/>
      </w:divBdr>
    </w:div>
    <w:div w:id="1708405312">
      <w:bodyDiv w:val="1"/>
      <w:marLeft w:val="0"/>
      <w:marRight w:val="0"/>
      <w:marTop w:val="0"/>
      <w:marBottom w:val="0"/>
      <w:divBdr>
        <w:top w:val="none" w:sz="0" w:space="0" w:color="auto"/>
        <w:left w:val="none" w:sz="0" w:space="0" w:color="auto"/>
        <w:bottom w:val="none" w:sz="0" w:space="0" w:color="auto"/>
        <w:right w:val="none" w:sz="0" w:space="0" w:color="auto"/>
      </w:divBdr>
    </w:div>
    <w:div w:id="1782217185">
      <w:bodyDiv w:val="1"/>
      <w:marLeft w:val="0"/>
      <w:marRight w:val="0"/>
      <w:marTop w:val="0"/>
      <w:marBottom w:val="0"/>
      <w:divBdr>
        <w:top w:val="none" w:sz="0" w:space="0" w:color="auto"/>
        <w:left w:val="none" w:sz="0" w:space="0" w:color="auto"/>
        <w:bottom w:val="none" w:sz="0" w:space="0" w:color="auto"/>
        <w:right w:val="none" w:sz="0" w:space="0" w:color="auto"/>
      </w:divBdr>
    </w:div>
    <w:div w:id="1808164459">
      <w:bodyDiv w:val="1"/>
      <w:marLeft w:val="0"/>
      <w:marRight w:val="0"/>
      <w:marTop w:val="0"/>
      <w:marBottom w:val="0"/>
      <w:divBdr>
        <w:top w:val="none" w:sz="0" w:space="0" w:color="auto"/>
        <w:left w:val="none" w:sz="0" w:space="0" w:color="auto"/>
        <w:bottom w:val="none" w:sz="0" w:space="0" w:color="auto"/>
        <w:right w:val="none" w:sz="0" w:space="0" w:color="auto"/>
      </w:divBdr>
    </w:div>
    <w:div w:id="1837575805">
      <w:bodyDiv w:val="1"/>
      <w:marLeft w:val="0"/>
      <w:marRight w:val="0"/>
      <w:marTop w:val="0"/>
      <w:marBottom w:val="0"/>
      <w:divBdr>
        <w:top w:val="none" w:sz="0" w:space="0" w:color="auto"/>
        <w:left w:val="none" w:sz="0" w:space="0" w:color="auto"/>
        <w:bottom w:val="none" w:sz="0" w:space="0" w:color="auto"/>
        <w:right w:val="none" w:sz="0" w:space="0" w:color="auto"/>
      </w:divBdr>
    </w:div>
    <w:div w:id="1867021112">
      <w:bodyDiv w:val="1"/>
      <w:marLeft w:val="0"/>
      <w:marRight w:val="0"/>
      <w:marTop w:val="0"/>
      <w:marBottom w:val="0"/>
      <w:divBdr>
        <w:top w:val="none" w:sz="0" w:space="0" w:color="auto"/>
        <w:left w:val="none" w:sz="0" w:space="0" w:color="auto"/>
        <w:bottom w:val="none" w:sz="0" w:space="0" w:color="auto"/>
        <w:right w:val="none" w:sz="0" w:space="0" w:color="auto"/>
      </w:divBdr>
    </w:div>
    <w:div w:id="1911962135">
      <w:bodyDiv w:val="1"/>
      <w:marLeft w:val="0"/>
      <w:marRight w:val="0"/>
      <w:marTop w:val="0"/>
      <w:marBottom w:val="0"/>
      <w:divBdr>
        <w:top w:val="none" w:sz="0" w:space="0" w:color="auto"/>
        <w:left w:val="none" w:sz="0" w:space="0" w:color="auto"/>
        <w:bottom w:val="none" w:sz="0" w:space="0" w:color="auto"/>
        <w:right w:val="none" w:sz="0" w:space="0" w:color="auto"/>
      </w:divBdr>
    </w:div>
    <w:div w:id="1924071944">
      <w:bodyDiv w:val="1"/>
      <w:marLeft w:val="0"/>
      <w:marRight w:val="0"/>
      <w:marTop w:val="0"/>
      <w:marBottom w:val="0"/>
      <w:divBdr>
        <w:top w:val="none" w:sz="0" w:space="0" w:color="auto"/>
        <w:left w:val="none" w:sz="0" w:space="0" w:color="auto"/>
        <w:bottom w:val="none" w:sz="0" w:space="0" w:color="auto"/>
        <w:right w:val="none" w:sz="0" w:space="0" w:color="auto"/>
      </w:divBdr>
    </w:div>
    <w:div w:id="1930429678">
      <w:bodyDiv w:val="1"/>
      <w:marLeft w:val="0"/>
      <w:marRight w:val="0"/>
      <w:marTop w:val="0"/>
      <w:marBottom w:val="0"/>
      <w:divBdr>
        <w:top w:val="none" w:sz="0" w:space="0" w:color="auto"/>
        <w:left w:val="none" w:sz="0" w:space="0" w:color="auto"/>
        <w:bottom w:val="none" w:sz="0" w:space="0" w:color="auto"/>
        <w:right w:val="none" w:sz="0" w:space="0" w:color="auto"/>
      </w:divBdr>
    </w:div>
    <w:div w:id="1983727229">
      <w:bodyDiv w:val="1"/>
      <w:marLeft w:val="0"/>
      <w:marRight w:val="0"/>
      <w:marTop w:val="0"/>
      <w:marBottom w:val="0"/>
      <w:divBdr>
        <w:top w:val="none" w:sz="0" w:space="0" w:color="auto"/>
        <w:left w:val="none" w:sz="0" w:space="0" w:color="auto"/>
        <w:bottom w:val="none" w:sz="0" w:space="0" w:color="auto"/>
        <w:right w:val="none" w:sz="0" w:space="0" w:color="auto"/>
      </w:divBdr>
    </w:div>
    <w:div w:id="1991401345">
      <w:bodyDiv w:val="1"/>
      <w:marLeft w:val="0"/>
      <w:marRight w:val="0"/>
      <w:marTop w:val="0"/>
      <w:marBottom w:val="0"/>
      <w:divBdr>
        <w:top w:val="none" w:sz="0" w:space="0" w:color="auto"/>
        <w:left w:val="none" w:sz="0" w:space="0" w:color="auto"/>
        <w:bottom w:val="none" w:sz="0" w:space="0" w:color="auto"/>
        <w:right w:val="none" w:sz="0" w:space="0" w:color="auto"/>
      </w:divBdr>
    </w:div>
    <w:div w:id="1995521873">
      <w:bodyDiv w:val="1"/>
      <w:marLeft w:val="0"/>
      <w:marRight w:val="0"/>
      <w:marTop w:val="0"/>
      <w:marBottom w:val="0"/>
      <w:divBdr>
        <w:top w:val="none" w:sz="0" w:space="0" w:color="auto"/>
        <w:left w:val="none" w:sz="0" w:space="0" w:color="auto"/>
        <w:bottom w:val="none" w:sz="0" w:space="0" w:color="auto"/>
        <w:right w:val="none" w:sz="0" w:space="0" w:color="auto"/>
      </w:divBdr>
    </w:div>
    <w:div w:id="2054959134">
      <w:bodyDiv w:val="1"/>
      <w:marLeft w:val="0"/>
      <w:marRight w:val="0"/>
      <w:marTop w:val="0"/>
      <w:marBottom w:val="0"/>
      <w:divBdr>
        <w:top w:val="none" w:sz="0" w:space="0" w:color="auto"/>
        <w:left w:val="none" w:sz="0" w:space="0" w:color="auto"/>
        <w:bottom w:val="none" w:sz="0" w:space="0" w:color="auto"/>
        <w:right w:val="none" w:sz="0" w:space="0" w:color="auto"/>
      </w:divBdr>
    </w:div>
    <w:div w:id="2065568321">
      <w:bodyDiv w:val="1"/>
      <w:marLeft w:val="0"/>
      <w:marRight w:val="0"/>
      <w:marTop w:val="0"/>
      <w:marBottom w:val="0"/>
      <w:divBdr>
        <w:top w:val="none" w:sz="0" w:space="0" w:color="auto"/>
        <w:left w:val="none" w:sz="0" w:space="0" w:color="auto"/>
        <w:bottom w:val="none" w:sz="0" w:space="0" w:color="auto"/>
        <w:right w:val="none" w:sz="0" w:space="0" w:color="auto"/>
      </w:divBdr>
    </w:div>
    <w:div w:id="2080133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employmentandlabourmarket/peopleinwork/employmentandemployeetypes/bulletins/uklabourmarket/november202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user\OneDrive\Desktop\Shaping%20Cultures%20and%20Behaviours\CIPD.%20Unethical-behaviour-in-the-workplace_report-2_tcm18-5702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user\Downloads\BiglanandEmbryFramework_cultural_change_2013.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Hyw211</b:Tag>
    <b:SourceType>Report</b:SourceType>
    <b:Guid>{CDAC8F70-DCA8-4B1F-8F58-EAEE3560B958}</b:Guid>
    <b:Author>
      <b:Author>
        <b:Corporate>Hywel Dda University Health Board </b:Corporate>
      </b:Author>
    </b:Author>
    <b:Title>Workforce Profile</b:Title>
    <b:Year>2021</b:Year>
    <b:Publisher>Internal document</b:Publisher>
    <b:RefOrder>6</b:RefOrder>
  </b:Source>
  <b:Source>
    <b:Tag>Pew19</b:Tag>
    <b:SourceType>InternetSite</b:SourceType>
    <b:Guid>{8A264537-E704-4685-A56F-DA053BB6A7AD}</b:Guid>
    <b:Title>Millennials stand out for their technology use, but older generations also embrace digital life</b:Title>
    <b:Year>2019</b:Year>
    <b:Author>
      <b:Author>
        <b:Corporate>Pew Research Center</b:Corporate>
      </b:Author>
    </b:Author>
    <b:YearAccessed>2022</b:YearAccessed>
    <b:MonthAccessed>March</b:MonthAccessed>
    <b:DayAccessed>19</b:DayAccessed>
    <b:URL>https://www.pewresearch.org/fact-tank/2019/09/09/us-generations-technology-use/</b:URL>
    <b:RefOrder>7</b:RefOrder>
  </b:Source>
  <b:Source>
    <b:Tag>Bec17</b:Tag>
    <b:SourceType>InternetSite</b:SourceType>
    <b:Guid>{CD29C2B5-AA36-44D3-8A8D-2B4C67FCE45C}</b:Guid>
    <b:Author>
      <b:Author>
        <b:NameList>
          <b:Person>
            <b:Last>Frith</b:Last>
            <b:First>Beckett</b:First>
          </b:Person>
        </b:NameList>
      </b:Author>
    </b:Author>
    <b:Title>Employers must help upskill older workers</b:Title>
    <b:Year>2017</b:Year>
    <b:YearAccessed>2022</b:YearAccessed>
    <b:MonthAccessed>March</b:MonthAccessed>
    <b:DayAccessed>19</b:DayAccessed>
    <b:URL>Employers must help upskill older workers</b:URL>
    <b:RefOrder>8</b:RefOrder>
  </b:Source>
  <b:Source>
    <b:Tag>Wel22</b:Tag>
    <b:SourceType>InternetSite</b:SourceType>
    <b:Guid>{FF9C130A-78CF-40EE-9C5E-5BF142223433}</b:Guid>
    <b:Author>
      <b:Author>
        <b:Corporate>Welsh Government</b:Corporate>
      </b:Author>
    </b:Author>
    <b:Title>Broadband in Wales</b:Title>
    <b:YearAccessed>2022</b:YearAccessed>
    <b:MonthAccessed>March</b:MonthAccessed>
    <b:DayAccessed>19</b:DayAccessed>
    <b:URL>https://gov.wales/broadband-in-wales/about-broadband-in-wales</b:URL>
    <b:RefOrder>9</b:RefOrder>
  </b:Source>
  <b:Source>
    <b:Tag>Far15</b:Tag>
    <b:SourceType>Book</b:SourceType>
    <b:Guid>{4A47D97E-21D1-4FEE-8437-5AABB4ABCE7E}</b:Guid>
    <b:Title>Human Resource Management in Context</b:Title>
    <b:Year>2015</b:Year>
    <b:Author>
      <b:Author>
        <b:NameList>
          <b:Person>
            <b:Last>Farnham</b:Last>
            <b:First>David</b:First>
          </b:Person>
        </b:NameList>
      </b:Author>
    </b:Author>
    <b:City>London</b:City>
    <b:Publisher>CIPD</b:Publisher>
    <b:Edition>4</b:Edition>
    <b:RefOrder>10</b:RefOrder>
  </b:Source>
  <b:Source>
    <b:Tag>BBC22</b:Tag>
    <b:SourceType>InternetSite</b:SourceType>
    <b:Guid>{78F9D2EF-4167-475E-8EAC-D0AC258381B5}</b:Guid>
    <b:Title>Ukraine war to halve global trade growth, warns WTO</b:Title>
    <b:Year>2022</b:Year>
    <b:Author>
      <b:Author>
        <b:Corporate>BBC News</b:Corporate>
      </b:Author>
    </b:Author>
    <b:YearAccessed>2022</b:YearAccessed>
    <b:MonthAccessed>April</b:MonthAccessed>
    <b:DayAccessed>02</b:DayAccessed>
    <b:URL>https://www.bbc.co.uk/news/business-60949053</b:URL>
    <b:RefOrder>3</b:RefOrder>
  </b:Source>
  <b:Source>
    <b:Tag>BBC221</b:Tag>
    <b:SourceType>InternetSite</b:SourceType>
    <b:Guid>{A43407C7-80D1-4F42-A612-E18D4F83426E}</b:Guid>
    <b:Author>
      <b:Author>
        <b:Corporate>BBC News</b:Corporate>
      </b:Author>
    </b:Author>
    <b:Title>The bosses helping staff pay their soaring energy bills</b:Title>
    <b:Year>2022</b:Year>
    <b:YearAccessed>2022</b:YearAccessed>
    <b:MonthAccessed>April</b:MonthAccessed>
    <b:DayAccessed>02</b:DayAccessed>
    <b:URL>https://www.bbc.co.uk/news/business-60569979</b:URL>
    <b:RefOrder>2</b:RefOrder>
  </b:Source>
  <b:Source>
    <b:Tag>Yah22</b:Tag>
    <b:SourceType>InternetSite</b:SourceType>
    <b:Guid>{FC7D1A2C-0DDC-447B-8F4D-F2EB2B9C753F}</b:Guid>
    <b:Author>
      <b:Author>
        <b:Corporate>Yahoo News</b:Corporate>
      </b:Author>
    </b:Author>
    <b:Title>Pub chain warns of higher food prices as VAT rises</b:Title>
    <b:Year>2022</b:Year>
    <b:YearAccessed>2022</b:YearAccessed>
    <b:MonthAccessed>April</b:MonthAccessed>
    <b:DayAccessed>02</b:DayAccessed>
    <b:URL>https://ca.news.yahoo.com/were-putting-prices-cope-vat-230218130.html</b:URL>
    <b:RefOrder>1</b:RefOrder>
  </b:Source>
  <b:Source>
    <b:Tag>Gla201</b:Tag>
    <b:SourceType>InternetSite</b:SourceType>
    <b:Guid>{424498BF-ABD3-4932-8EF7-58F191B4EF05}</b:Guid>
    <b:Title>How To Calculate Your Cost-Per-Hire</b:Title>
    <b:Year>2020</b:Year>
    <b:Author>
      <b:Author>
        <b:Corporate>Glassdoor</b:Corporate>
      </b:Author>
    </b:Author>
    <b:YearAccessed>2022</b:YearAccessed>
    <b:MonthAccessed>April</b:MonthAccessed>
    <b:DayAccessed>03</b:DayAccessed>
    <b:URL>https://www.glassdoor.co.uk/employers/blog/calculate-cost-per-hire/</b:URL>
    <b:RefOrder>4</b:RefOrder>
  </b:Source>
  <b:Source>
    <b:Tag>Ree22</b:Tag>
    <b:SourceType>InternetSite</b:SourceType>
    <b:Guid>{5C560DC1-5002-46AE-A90D-A3189AE8AD98}</b:Guid>
    <b:Author>
      <b:Author>
        <b:Corporate>Reed</b:Corporate>
      </b:Author>
    </b:Author>
    <b:Title>Salary Guide 2022 Human Resources</b:Title>
    <b:Year>2022</b:Year>
    <b:YearAccessed>2022</b:YearAccessed>
    <b:MonthAccessed>April</b:MonthAccessed>
    <b:DayAccessed>03</b:DayAccessed>
    <b:URL>https://resources.reed.com/hubfs/Content/Campaigns/Salary%20Guides/2022/Salary%20guide%202022%20-%20Human%20Resources.pdf?utm_referrer=https%3A%2F%2Fwww.reed.com%2F</b:URL>
    <b:RefOrder>5</b:RefOrder>
  </b:Source>
  <b:Source>
    <b:Tag>GOV21</b:Tag>
    <b:SourceType>InternetSite</b:SourceType>
    <b:Guid>{67C76262-1865-4A49-B8B4-89BDC662CB3F}</b:Guid>
    <b:Author>
      <b:Author>
        <b:Corporate>GOV.UK</b:Corporate>
      </b:Author>
    </b:Author>
    <b:Title>£20 million to improve small business leadership and problem-solving skills in the wake of coronavirus</b:Title>
    <b:InternetSiteTitle>Coronavirus (COVID-19)</b:InternetSiteTitle>
    <b:Year>2021</b:Year>
    <b:Month>August</b:Month>
    <b:Day>3</b:Day>
    <b:URL>https://www.gov.uk/government/news/20-million-to-improve-small-business-leadership-and-problem-solving-skills-in-the-wake-of-coronavirus</b:URL>
    <b:YearAccessed>2022</b:YearAccessed>
    <b:MonthAccessed>January</b:MonthAccessed>
    <b:DayAccessed>12</b:DayAccessed>
    <b:RefOrder>11</b:RefOrder>
  </b:Source>
  <b:Source>
    <b:Tag>Har21</b:Tag>
    <b:SourceType>InternetSite</b:SourceType>
    <b:Guid>{0B29A649-828A-40D0-A4EF-CC3F3B497F57}</b:Guid>
    <b:Author>
      <b:Author>
        <b:Corporate>Harvard Business Review</b:Corporate>
      </b:Author>
    </b:Author>
    <b:Title>6 Strategies to Boost Retention Through the Great Resignation</b:Title>
    <b:Year>2021</b:Year>
    <b:YearAccessed>2022</b:YearAccessed>
    <b:MonthAccessed>January</b:MonthAccessed>
    <b:DayAccessed>30</b:DayAccessed>
    <b:URL>https://hbr.org/2021/11/6-strategies-to-boost-retention-through-the-great-resignation</b:URL>
    <b:RefOrder>12</b:RefOrder>
  </b:Source>
  <b:Source>
    <b:Tag>Cha09</b:Tag>
    <b:SourceType>InternetSite</b:SourceType>
    <b:Guid>{E4812CA1-71EF-4595-AF7A-D85A9F621999}</b:Guid>
    <b:Author>
      <b:Author>
        <b:Corporate>Charity Commission</b:Corporate>
      </b:Author>
    </b:Author>
    <b:Title>A Snapshot of Charities in Wales</b:Title>
    <b:Year>2009</b:Year>
    <b:YearAccessed>2022</b:YearAccessed>
    <b:MonthAccessed>February</b:MonthAccessed>
    <b:DayAccessed>5</b:DayAccessed>
    <b:URL>https://assets.publishing.service.gov.uk/government/uploads/system/uploads/attachment_data/file/284709/walesreport.pdf</b:URL>
    <b:RefOrder>13</b:RefOrder>
  </b:Source>
  <b:Source>
    <b:Tag>Wel221</b:Tag>
    <b:SourceType>InternetSite</b:SourceType>
    <b:Guid>{9DFBBF38-377D-4193-8930-DBCA5541D8D1}</b:Guid>
    <b:Author>
      <b:Author>
        <b:Corporate>Welsh Government</b:Corporate>
      </b:Author>
    </b:Author>
    <b:Title>Access Broadband Cymru grant scheme</b:Title>
    <b:Year>2022</b:Year>
    <b:YearAccessed>2022</b:YearAccessed>
    <b:MonthAccessed>March</b:MonthAccessed>
    <b:DayAccessed>19</b:DayAccessed>
    <b:URL>https://gov.wales/access-broadband-cymru-grant-scheme</b:URL>
    <b:RefOrder>14</b:RefOrder>
  </b:Source>
  <b:Source>
    <b:Tag>Chw22</b:Tag>
    <b:SourceType>InternetSite</b:SourceType>
    <b:Guid>{EE5D1754-9AA5-413D-A24C-E9386D044480}</b:Guid>
    <b:Author>
      <b:Author>
        <b:Corporate>Chwarae Teg</b:Corporate>
      </b:Author>
    </b:Author>
    <b:Title>Chwarae Teg Careers</b:Title>
    <b:Year>2022</b:Year>
    <b:YearAccessed>2022</b:YearAccessed>
    <b:MonthAccessed>February</b:MonthAccessed>
    <b:DayAccessed>5</b:DayAccessed>
    <b:URL>https://chwaraeteg.com/careers/</b:URL>
    <b:RefOrder>15</b:RefOrder>
  </b:Source>
  <b:Source>
    <b:Tag>ONS20</b:Tag>
    <b:SourceType>InternetSite</b:SourceType>
    <b:Guid>{15576766-0E59-4C89-AEF2-9B0DFEEDE987}</b:Guid>
    <b:Author>
      <b:Author>
        <b:Corporate>ONS</b:Corporate>
      </b:Author>
    </b:Author>
    <b:Title>Coronavirus and the impact on output in the UK economy: June 2020</b:Title>
    <b:Year>2020</b:Year>
    <b:YearAccessed>2022</b:YearAccessed>
    <b:MonthAccessed>February</b:MonthAccessed>
    <b:DayAccessed>5</b:DayAccessed>
    <b:URL>https://www.ons.gov.uk/economy/grossdomesticproductgdp/articles/coronavirusandtheimpactonoutputintheukeconomy/june2020</b:URL>
    <b:RefOrder>16</b:RefOrder>
  </b:Source>
  <b:Source>
    <b:Tag>For18</b:Tag>
    <b:SourceType>InternetSite</b:SourceType>
    <b:Guid>{0ED5D0B9-3014-45F9-8569-F89C168415E5}</b:Guid>
    <b:Author>
      <b:Author>
        <b:Corporate>Forbes</b:Corporate>
      </b:Author>
    </b:Author>
    <b:Title>Developing Your Employees Is The Key To Retention</b:Title>
    <b:Year>2018</b:Year>
    <b:YearAccessed>2022</b:YearAccessed>
    <b:MonthAccessed>January</b:MonthAccessed>
    <b:DayAccessed>30</b:DayAccessed>
    <b:URL>https://www.forbes.com/sites/meghanbiro/2018/07/23/developing-your-employees-is-the-key-to-retention-here-are-4-smart-ways-to-start/?sh=57d422a37344</b:URL>
    <b:RefOrder>17</b:RefOrder>
  </b:Source>
  <b:Source>
    <b:Tag>Eur22</b:Tag>
    <b:SourceType>InternetSite</b:SourceType>
    <b:Guid>{67FD6F4C-11C6-47BD-94FA-11FD44C6E8F6}</b:Guid>
    <b:Author>
      <b:Author>
        <b:Corporate>European Commission</b:Corporate>
      </b:Author>
    </b:Author>
    <b:Title>Digital skills and jobs</b:Title>
    <b:YearAccessed>2022</b:YearAccessed>
    <b:MonthAccessed>February</b:MonthAccessed>
    <b:DayAccessed>5</b:DayAccessed>
    <b:URL>https://digital-strategy.ec.europa.eu/en/policies/digital-skills-and-jobs</b:URL>
    <b:RefOrder>18</b:RefOrder>
  </b:Source>
  <b:Source>
    <b:Tag>Com21</b:Tag>
    <b:SourceType>InternetSite</b:SourceType>
    <b:Guid>{0F8CC82B-0B83-4B4E-BFE4-1FB78DB7AD78}</b:Guid>
    <b:Author>
      <b:Author>
        <b:Corporate>Companies House</b:Corporate>
      </b:Author>
    </b:Author>
    <b:Title>Filing Accounts for FAIR PLAY (WORKFORCE) LIMITED</b:Title>
    <b:Year>2021</b:Year>
    <b:YearAccessed>2022</b:YearAccessed>
    <b:MonthAccessed>February</b:MonthAccessed>
    <b:DayAccessed>6</b:DayAccessed>
    <b:URL>https://find-and-update.company-information.service.gov.uk/company/02901456/filing-history</b:URL>
    <b:RefOrder>19</b:RefOrder>
  </b:Source>
  <b:Source>
    <b:Tag>CIP17</b:Tag>
    <b:SourceType>InternetSite</b:SourceType>
    <b:Guid>{5FF57ED8-2906-4F74-BC92-45A38DD2DD43}</b:Guid>
    <b:Author>
      <b:Author>
        <b:Corporate>CIPD.d</b:Corporate>
      </b:Author>
    </b:Author>
    <b:Title>Future of technology and learning survey report </b:Title>
    <b:Year>2017</b:Year>
    <b:YearAccessed>2022</b:YearAccessed>
    <b:MonthAccessed>February</b:MonthAccessed>
    <b:DayAccessed>5</b:DayAccessed>
    <b:URL>https://www.cipd.co.uk/Images/the-future-of-technology-and-learning_2017-infographic_tcm18-29349.pdf</b:URL>
    <b:RefOrder>20</b:RefOrder>
  </b:Source>
  <b:Source>
    <b:Tag>Gar22</b:Tag>
    <b:SourceType>InternetSite</b:SourceType>
    <b:Guid>{A3534C0D-6942-4FB4-B04B-2FC0F2590646}</b:Guid>
    <b:Author>
      <b:Author>
        <b:Corporate>Gartner</b:Corporate>
      </b:Author>
    </b:Author>
    <b:Title>Gartner Top Strategic Technology Trends for 2022</b:Title>
    <b:Year>2022</b:Year>
    <b:YearAccessed>2022</b:YearAccessed>
    <b:MonthAccessed>February</b:MonthAccessed>
    <b:DayAccessed>6</b:DayAccessed>
    <b:URL>https://www.gartner.com/en/information-technology/insights/top-technology-trends</b:URL>
    <b:RefOrder>21</b:RefOrder>
  </b:Source>
  <b:Source>
    <b:Tag>Wel222</b:Tag>
    <b:SourceType>InternetSite</b:SourceType>
    <b:Guid>{9A596D56-D1EF-475D-9D4E-DBF3846F7983}</b:Guid>
    <b:Author>
      <b:Author>
        <b:Corporate>Welsh Government</b:Corporate>
      </b:Author>
    </b:Author>
    <b:Title>Gigabit Broadband Voucher Scheme</b:Title>
    <b:Year>2022</b:Year>
    <b:YearAccessed>2022</b:YearAccessed>
    <b:MonthAccessed>March</b:MonthAccessed>
    <b:DayAccessed>19</b:DayAccessed>
    <b:URL>https://gigabitvoucher.culture.gov.uk/Wales/</b:URL>
    <b:RefOrder>22</b:RefOrder>
  </b:Source>
  <b:Source>
    <b:Tag>Gla20</b:Tag>
    <b:SourceType>InternetSite</b:SourceType>
    <b:Guid>{14D4548B-EC6B-4B40-BC2F-F26407D1E252}</b:Guid>
    <b:Author>
      <b:Author>
        <b:Corporate>Glassdoor for Employers</b:Corporate>
      </b:Author>
    </b:Author>
    <b:Title>How To Calculate Your Cost-Per-Hire</b:Title>
    <b:Year>2020</b:Year>
    <b:YearAccessed>2022</b:YearAccessed>
    <b:MonthAccessed>February</b:MonthAccessed>
    <b:DayAccessed>6</b:DayAccessed>
    <b:URL>https://www.glassdoor.co.uk/employers/blog/calculate-cost-per-hire/#:~:text=This%20also%20includes%20internal%20hiring%20costs%20for%20your,make%20more%20strategic%20decisions%20lower%20recruitment%20costs%20%C2%A33%2C000.</b:URL>
    <b:RefOrder>23</b:RefOrder>
  </b:Source>
  <b:Source>
    <b:Tag>ONS22</b:Tag>
    <b:SourceType>InternetSite</b:SourceType>
    <b:Guid>{92C89B65-B1B8-4AF6-88E5-2FDE45797276}</b:Guid>
    <b:Author>
      <b:Author>
        <b:Corporate>ONS</b:Corporate>
      </b:Author>
    </b:Author>
    <b:Title>Labour market overview, UK: January 2022</b:Title>
    <b:Year>2022</b:Year>
    <b:YearAccessed>2022</b:YearAccessed>
    <b:MonthAccessed>February</b:MonthAccessed>
    <b:DayAccessed>5</b:DayAccessed>
    <b:URL>https://www.ons.gov.uk/employmentandlabourmarket/peopleinwork/employmentandemployeetypes/bulletins/uklabourmarket/latest</b:URL>
    <b:RefOrder>24</b:RefOrder>
  </b:Source>
  <b:Source>
    <b:Tag>CIP212</b:Tag>
    <b:SourceType>InternetSite</b:SourceType>
    <b:Guid>{1BAF80B3-2B20-41EE-A012-80E6B8C6970B}</b:Guid>
    <b:Author>
      <b:Author>
        <b:Corporate>CIPD</b:Corporate>
      </b:Author>
    </b:Author>
    <b:Title>Learning and Development Strategy and Policy</b:Title>
    <b:Year>2021</b:Year>
    <b:YearAccessed>2022</b:YearAccessed>
    <b:MonthAccessed>February</b:MonthAccessed>
    <b:DayAccessed>6</b:DayAccessed>
    <b:URL>https://www.cipd.co.uk/knowledge/strategy/development/factsheet</b:URL>
    <b:RefOrder>25</b:RefOrder>
  </b:Source>
  <b:Source>
    <b:Tag>CIP201</b:Tag>
    <b:SourceType>InternetSite</b:SourceType>
    <b:Guid>{41D6259A-AF7E-4426-ADF7-AFFBE1C3128E}</b:Guid>
    <b:Title>People Profession 2030, a collective view of future trends</b:Title>
    <b:InternetSiteTitle>CIPD</b:InternetSiteTitle>
    <b:Year>2020</b:Year>
    <b:Month>November</b:Month>
    <b:URL>https://www.cipd.co.uk/Images/people-profession-2030-report-compressed_tcm18-86095.pdf</b:URL>
    <b:Author>
      <b:Author>
        <b:Corporate>CIPD</b:Corporate>
      </b:Author>
    </b:Author>
    <b:YearAccessed>2022</b:YearAccessed>
    <b:MonthAccessed>January</b:MonthAccessed>
    <b:DayAccessed>12</b:DayAccessed>
    <b:RefOrder>26</b:RefOrder>
  </b:Source>
  <b:Source>
    <b:Tag>CT2021</b:Tag>
    <b:SourceType>Report</b:SourceType>
    <b:Guid>{B8D171DB-7F3E-45DC-933A-23B7A58D875A}</b:Guid>
    <b:Title>Report to the People and Organisational Development Committee</b:Title>
    <b:Year>2021</b:Year>
    <b:Author>
      <b:Author>
        <b:Corporate>Chwarae Teg</b:Corporate>
      </b:Author>
    </b:Author>
    <b:Publisher>Internal Document</b:Publisher>
    <b:RefOrder>27</b:RefOrder>
  </b:Source>
  <b:Source>
    <b:Tag>CIPDa</b:Tag>
    <b:SourceType>DocumentFromInternetSite</b:SourceType>
    <b:Guid>{D5749D85-33FC-4D1C-9D9A-DAD97BBA1077}</b:Guid>
    <b:Title>Resourcing and Talent Planning Survey 2020</b:Title>
    <b:Year>2020</b:Year>
    <b:Author>
      <b:Author>
        <b:Corporate>CIPD.a</b:Corporate>
      </b:Author>
    </b:Author>
    <b:Month>October</b:Month>
    <b:YearAccessed>2022</b:YearAccessed>
    <b:MonthAccessed>January</b:MonthAccessed>
    <b:DayAccessed>29</b:DayAccessed>
    <b:URL>https://www.cipd.co.uk/Images/resourcing-and-talent-planning-2020_tcm18-85530.pdf</b:URL>
    <b:RefOrder>28</b:RefOrder>
  </b:Source>
  <b:Source>
    <b:Tag>The212</b:Tag>
    <b:SourceType>InternetSite</b:SourceType>
    <b:Guid>{B9C7D8AF-EFC2-4EA8-AE60-86CB36DE6B6E}</b:Guid>
    <b:Author>
      <b:Author>
        <b:Corporate>The Telegraph</b:Corporate>
      </b:Author>
    </b:Author>
    <b:Title>Staff Shortages</b:Title>
    <b:Year>2021</b:Year>
    <b:YearAccessed>2022</b:YearAccessed>
    <b:MonthAccessed>February</b:MonthAccessed>
    <b:DayAccessed>5</b:DayAccessed>
    <b:URL>https://www.telegraph.co.uk/business/2021/09/03/staff-shortages-last-years-vacancies-top-17m/</b:URL>
    <b:RefOrder>29</b:RefOrder>
  </b:Source>
  <b:Source>
    <b:Tag>Del21</b:Tag>
    <b:SourceType>InternetSite</b:SourceType>
    <b:Guid>{CD787442-D855-43E0-8316-3006167973D7}</b:Guid>
    <b:Author>
      <b:Author>
        <b:Corporate>Deloitte</b:Corporate>
      </b:Author>
    </b:Author>
    <b:Title>The Deloitte Global 2021 Millennial and Gen Z Survey</b:Title>
    <b:Year>2021</b:Year>
    <b:YearAccessed>2022</b:YearAccessed>
    <b:MonthAccessed>January</b:MonthAccessed>
    <b:DayAccessed>30</b:DayAccessed>
    <b:URL>https://www2.deloitte.com/global/en/pages/about-deloitte/articles/millennialsurvey.html</b:URL>
    <b:RefOrder>30</b:RefOrder>
  </b:Source>
  <b:Source>
    <b:Tag>Hyw21</b:Tag>
    <b:SourceType>Report</b:SourceType>
    <b:Guid>{5283B9A3-B5F8-4AC6-8347-21577BF88193}</b:Guid>
    <b:Title>Understanding the staff experience in Hywel Dda University Health Board during the 2020-2021 Covid 19 Pandemic</b:Title>
    <b:Year>2021</b:Year>
    <b:Author>
      <b:Author>
        <b:Corporate>HDUHB</b:Corporate>
      </b:Author>
    </b:Author>
    <b:Publisher>Hywel Dda University Health Board</b:Publisher>
    <b:RefOrder>31</b:RefOrder>
  </b:Source>
  <b:Source>
    <b:Tag>GOV22</b:Tag>
    <b:SourceType>InternetSite</b:SourceType>
    <b:Guid>{B797024B-DB67-4CCE-9A27-B415715F45A9}</b:Guid>
    <b:Title>UK Shared Prosperity Fund: pre-launch guidance</b:Title>
    <b:Year>2022</b:Year>
    <b:Author>
      <b:Author>
        <b:Corporate>GOV.UK</b:Corporate>
      </b:Author>
    </b:Author>
    <b:YearAccessed>2022</b:YearAccessed>
    <b:MonthAccessed>March</b:MonthAccessed>
    <b:DayAccessed>6</b:DayAccessed>
    <b:URL>https://www.gov.uk/government/publications/uk-shared-prosperity-fund-pre-launch-guidance/uk-shared-prosperity-fund-pre-launch-guidance</b:URL>
    <b:RefOrder>32</b:RefOrder>
  </b:Source>
  <b:Source>
    <b:Tag>OEC21</b:Tag>
    <b:SourceType>InternetSite</b:SourceType>
    <b:Guid>{153780CF-FF83-4F3D-953E-659453833E02}</b:Guid>
    <b:Author>
      <b:Author>
        <b:Corporate>OECD Library</b:Corporate>
      </b:Author>
    </b:Author>
    <b:Title>Will it stay or will it go? Analysing developments in telework during COVID-19 using online job postings data</b:Title>
    <b:Year>2021</b:Year>
    <b:YearAccessed>2022</b:YearAccessed>
    <b:MonthAccessed>February</b:MonthAccessed>
    <b:DayAccessed>5</b:DayAccessed>
    <b:URL>https://www.oecd-ilibrary.org/economics/will-it-stay-or-will-it-go-analysing-developments-in-telework-during-covid-19-using-online-job-postings-data_aed3816e-en</b:URL>
    <b:RefOrder>33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2616AEF8D410614FADBD86909A90A6D1" ma:contentTypeVersion="14" ma:contentTypeDescription="Create a new document." ma:contentTypeScope="" ma:versionID="dcf6baf9aaf6e1f9714c452a5a88f1ec">
  <xsd:schema xmlns:xsd="http://www.w3.org/2001/XMLSchema" xmlns:xs="http://www.w3.org/2001/XMLSchema" xmlns:p="http://schemas.microsoft.com/office/2006/metadata/properties" xmlns:ns3="b49ff4ba-9735-4c06-adb2-a824a0667840" xmlns:ns4="0dac5885-212f-4fdc-983b-6c0e8ebcd788" targetNamespace="http://schemas.microsoft.com/office/2006/metadata/properties" ma:root="true" ma:fieldsID="65c660c5cd9bc0ec91db4af85eb4e6b1" ns3:_="" ns4:_="">
    <xsd:import namespace="b49ff4ba-9735-4c06-adb2-a824a0667840"/>
    <xsd:import namespace="0dac5885-212f-4fdc-983b-6c0e8ebcd7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9ff4ba-9735-4c06-adb2-a824a066784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dac5885-212f-4fdc-983b-6c0e8ebcd7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5A69F9-7343-4957-8DEB-9118075E8903}">
  <ds:schemaRefs>
    <ds:schemaRef ds:uri="http://schemas.microsoft.com/sharepoint/v3/contenttype/forms"/>
  </ds:schemaRefs>
</ds:datastoreItem>
</file>

<file path=customXml/itemProps2.xml><?xml version="1.0" encoding="utf-8"?>
<ds:datastoreItem xmlns:ds="http://schemas.openxmlformats.org/officeDocument/2006/customXml" ds:itemID="{09D3F4B2-199B-4876-BA85-9D3F2208E7B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F81229-E08B-4CE3-B391-5C66F97C98F3}">
  <ds:schemaRefs>
    <ds:schemaRef ds:uri="http://schemas.openxmlformats.org/officeDocument/2006/bibliography"/>
  </ds:schemaRefs>
</ds:datastoreItem>
</file>

<file path=customXml/itemProps4.xml><?xml version="1.0" encoding="utf-8"?>
<ds:datastoreItem xmlns:ds="http://schemas.openxmlformats.org/officeDocument/2006/customXml" ds:itemID="{A0EAF3EF-7420-4172-A42E-EC9BFE0B88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9ff4ba-9735-4c06-adb2-a824a0667840"/>
    <ds:schemaRef ds:uri="0dac5885-212f-4fdc-983b-6c0e8ebcd7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17</Pages>
  <Words>3978</Words>
  <Characters>22678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Michelle Holland</cp:lastModifiedBy>
  <cp:revision>8</cp:revision>
  <dcterms:created xsi:type="dcterms:W3CDTF">2024-12-04T13:13:00Z</dcterms:created>
  <dcterms:modified xsi:type="dcterms:W3CDTF">2024-12-06T23:33:00Z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0x0101002616AEF8D410614FADBD86909A90A6D1</vt:lpwstr>
  </property>
</Properties>
</file>