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16F7E" w14:textId="77777777" w:rsidR="005D6F9C" w:rsidRPr="00437057" w:rsidRDefault="005D6F9C" w:rsidP="005D6F9C">
      <w:pPr>
        <w:pStyle w:val="Heading1"/>
        <w:rPr>
          <w:rFonts w:ascii="Arial" w:hAnsi="Arial" w:cs="Arial"/>
        </w:rPr>
      </w:pPr>
      <w:r w:rsidRPr="00437057">
        <w:rPr>
          <w:rFonts w:ascii="Arial" w:hAnsi="Arial" w:cs="Arial"/>
        </w:rPr>
        <w:t>Abstract</w:t>
      </w:r>
    </w:p>
    <w:p w14:paraId="279F0DB7" w14:textId="77777777" w:rsidR="005D6F9C" w:rsidRDefault="005D6F9C" w:rsidP="005D6F9C">
      <w:pPr>
        <w:spacing w:after="180" w:line="480" w:lineRule="auto"/>
        <w:rPr>
          <w:rFonts w:ascii="Arial" w:eastAsia="Arial" w:hAnsi="Arial" w:cs="Arial"/>
          <w:color w:val="26221F"/>
        </w:rPr>
      </w:pPr>
      <w:r w:rsidRPr="6311CB48">
        <w:rPr>
          <w:rFonts w:ascii="Arial" w:eastAsia="Arial" w:hAnsi="Arial" w:cs="Arial"/>
          <w:color w:val="26221F"/>
        </w:rPr>
        <w:t>Policing in England and Wales continues to operate under sustained operational pressure, rising public demand, and increasing levels of psychological injury, resulting in declining workforce resilience and reduced deployable capacity (</w:t>
      </w:r>
      <w:proofErr w:type="spellStart"/>
      <w:r w:rsidRPr="6311CB48">
        <w:rPr>
          <w:rFonts w:ascii="Arial" w:eastAsia="Arial" w:hAnsi="Arial" w:cs="Arial"/>
          <w:color w:val="26221F"/>
        </w:rPr>
        <w:t>Houdmont</w:t>
      </w:r>
      <w:proofErr w:type="spellEnd"/>
      <w:r w:rsidRPr="6311CB48">
        <w:rPr>
          <w:rFonts w:ascii="Arial" w:eastAsia="Arial" w:hAnsi="Arial" w:cs="Arial"/>
          <w:color w:val="26221F"/>
        </w:rPr>
        <w:t xml:space="preserve"> and Elliott</w:t>
      </w:r>
      <w:r>
        <w:noBreakHyphen/>
      </w:r>
      <w:r w:rsidRPr="6311CB48">
        <w:rPr>
          <w:rFonts w:ascii="Arial" w:eastAsia="Arial" w:hAnsi="Arial" w:cs="Arial"/>
          <w:color w:val="26221F"/>
        </w:rPr>
        <w:t>Davies, 2016; HSE, 2023). These pressures are intensified by trauma exposure, organisational stressors, and cultural barriers that inhibit early help</w:t>
      </w:r>
      <w:r>
        <w:noBreakHyphen/>
      </w:r>
      <w:r w:rsidRPr="6311CB48">
        <w:rPr>
          <w:rFonts w:ascii="Arial" w:eastAsia="Arial" w:hAnsi="Arial" w:cs="Arial"/>
          <w:color w:val="26221F"/>
        </w:rPr>
        <w:t>seeking, creating significant operational, financial, and wellbeing</w:t>
      </w:r>
      <w:r>
        <w:noBreakHyphen/>
      </w:r>
      <w:r w:rsidRPr="6311CB48">
        <w:rPr>
          <w:rFonts w:ascii="Arial" w:eastAsia="Arial" w:hAnsi="Arial" w:cs="Arial"/>
          <w:color w:val="26221F"/>
        </w:rPr>
        <w:t>related risks. National drivers—including the Police Covenant, NPCC Wellbeing Framework, College of Policing guidance, and HMICFRS PEEL inspections—reinforce the need for a structured, evidence</w:t>
      </w:r>
      <w:r>
        <w:noBreakHyphen/>
      </w:r>
      <w:r w:rsidRPr="6311CB48">
        <w:rPr>
          <w:rFonts w:ascii="Arial" w:eastAsia="Arial" w:hAnsi="Arial" w:cs="Arial"/>
          <w:color w:val="26221F"/>
        </w:rPr>
        <w:t>based approach to workforce wellbeing. This strategic business plan has been developed in response to these pressures, providing a coherent, theoretically informed Wellbeing and Workforce Resilience Strategy for Humberside Police. Its purpose is to address organisational risk, strengthen operational capability, and support long</w:t>
      </w:r>
      <w:r>
        <w:noBreakHyphen/>
      </w:r>
      <w:r w:rsidRPr="6311CB48">
        <w:rPr>
          <w:rFonts w:ascii="Arial" w:eastAsia="Arial" w:hAnsi="Arial" w:cs="Arial"/>
          <w:color w:val="26221F"/>
        </w:rPr>
        <w:t>term workforce sustainability within a high</w:t>
      </w:r>
      <w:r>
        <w:noBreakHyphen/>
      </w:r>
      <w:r w:rsidRPr="6311CB48">
        <w:rPr>
          <w:rFonts w:ascii="Arial" w:eastAsia="Arial" w:hAnsi="Arial" w:cs="Arial"/>
          <w:color w:val="26221F"/>
        </w:rPr>
        <w:t>demand policing environment.</w:t>
      </w:r>
    </w:p>
    <w:p w14:paraId="1BDDF043" w14:textId="77777777" w:rsidR="005D6F9C" w:rsidRDefault="005D6F9C" w:rsidP="005D6F9C">
      <w:pPr>
        <w:spacing w:after="180" w:line="480" w:lineRule="auto"/>
        <w:rPr>
          <w:rFonts w:ascii="Arial" w:eastAsia="Arial" w:hAnsi="Arial" w:cs="Arial"/>
          <w:color w:val="26221F"/>
        </w:rPr>
      </w:pPr>
      <w:r w:rsidRPr="6311CB48">
        <w:rPr>
          <w:rFonts w:ascii="Arial" w:eastAsia="Arial" w:hAnsi="Arial" w:cs="Arial"/>
          <w:color w:val="26221F"/>
        </w:rPr>
        <w:t>The strategy is underpinned by a mixed</w:t>
      </w:r>
      <w:r>
        <w:noBreakHyphen/>
      </w:r>
      <w:r w:rsidRPr="6311CB48">
        <w:rPr>
          <w:rFonts w:ascii="Arial" w:eastAsia="Arial" w:hAnsi="Arial" w:cs="Arial"/>
          <w:color w:val="26221F"/>
        </w:rPr>
        <w:t>method evidence base comprising sickness data, staff surveys, exit interviews, HMICFRS findings, and academic research. Key insights highlight the prevalence of psychological injury as a leading cause of long</w:t>
      </w:r>
      <w:r>
        <w:noBreakHyphen/>
      </w:r>
      <w:r w:rsidRPr="6311CB48">
        <w:rPr>
          <w:rFonts w:ascii="Arial" w:eastAsia="Arial" w:hAnsi="Arial" w:cs="Arial"/>
          <w:color w:val="26221F"/>
        </w:rPr>
        <w:t>term absence, the disproportionate trauma exposure experienced by high</w:t>
      </w:r>
      <w:r>
        <w:noBreakHyphen/>
      </w:r>
      <w:r w:rsidRPr="6311CB48">
        <w:rPr>
          <w:rFonts w:ascii="Arial" w:eastAsia="Arial" w:hAnsi="Arial" w:cs="Arial"/>
          <w:color w:val="26221F"/>
        </w:rPr>
        <w:t xml:space="preserve">risk units, and the critical influence of leadership behaviour on wellbeing outcomes (Arnold and Connelly, 2013; Brewin, 2014). Evidence also demonstrates that early intervention significantly reduces the duration and severity of psychological injury, improves recovery trajectories, and enhances organisational performance (Cooper and Cartwright, 1997; NICE, 2022). These findings justify the need for a strategic, </w:t>
      </w:r>
      <w:r w:rsidRPr="6311CB48">
        <w:rPr>
          <w:rFonts w:ascii="Arial" w:eastAsia="Arial" w:hAnsi="Arial" w:cs="Arial"/>
          <w:color w:val="26221F"/>
        </w:rPr>
        <w:lastRenderedPageBreak/>
        <w:t>whole</w:t>
      </w:r>
      <w:r>
        <w:noBreakHyphen/>
      </w:r>
      <w:r w:rsidRPr="6311CB48">
        <w:rPr>
          <w:rFonts w:ascii="Arial" w:eastAsia="Arial" w:hAnsi="Arial" w:cs="Arial"/>
          <w:color w:val="26221F"/>
        </w:rPr>
        <w:t>system approach that moves beyond reactive welfare provision and towards proactive, preventative organisational practice.</w:t>
      </w:r>
    </w:p>
    <w:p w14:paraId="2C56F875" w14:textId="77777777" w:rsidR="005D6F9C" w:rsidRDefault="005D6F9C" w:rsidP="005D6F9C">
      <w:pPr>
        <w:spacing w:after="180" w:line="480" w:lineRule="auto"/>
        <w:rPr>
          <w:rFonts w:ascii="Arial" w:eastAsia="Arial" w:hAnsi="Arial" w:cs="Arial"/>
          <w:color w:val="26221F"/>
        </w:rPr>
      </w:pPr>
      <w:r w:rsidRPr="6311CB48">
        <w:rPr>
          <w:rFonts w:ascii="Arial" w:eastAsia="Arial" w:hAnsi="Arial" w:cs="Arial"/>
          <w:color w:val="26221F"/>
        </w:rPr>
        <w:t>Strategic management theory provides the foundation for the proposed interventions. The Resource</w:t>
      </w:r>
      <w:r>
        <w:noBreakHyphen/>
      </w:r>
      <w:r w:rsidRPr="6311CB48">
        <w:rPr>
          <w:rFonts w:ascii="Arial" w:eastAsia="Arial" w:hAnsi="Arial" w:cs="Arial"/>
          <w:color w:val="26221F"/>
        </w:rPr>
        <w:t>Based View positions workforce capability as a core strategic asset, emphasising that declining wellbeing directly undermines organisational effectiveness (Cooper and Dewe, 2008). Systems Theory explains how trauma exposure, supervision quality, leadership behaviour, and organisational processes interact to influence wellbeing outcomes (Creamer et al., 2012). Public Value Theory reinforces the link between workforce health, legitimacy, and service quality. Strategic Fit Theory ensures alignment between the strategy, organisational priorities, and external pressures (Zajac et al., 2000). Kotter’s Change Model supports phased cultural transformation (Kotter, 1996), while Balanced Scorecard principles inform wellbeing performance metrics and dashboard design (Kaplan and Norton, 1996).</w:t>
      </w:r>
    </w:p>
    <w:p w14:paraId="1F866A3C" w14:textId="77777777" w:rsidR="005D6F9C" w:rsidRDefault="005D6F9C" w:rsidP="005D6F9C">
      <w:pPr>
        <w:spacing w:after="180" w:line="480" w:lineRule="auto"/>
        <w:rPr>
          <w:rFonts w:ascii="Arial" w:eastAsia="Arial" w:hAnsi="Arial" w:cs="Arial"/>
          <w:color w:val="26221F"/>
        </w:rPr>
      </w:pPr>
      <w:r w:rsidRPr="6311CB48">
        <w:rPr>
          <w:rFonts w:ascii="Arial" w:eastAsia="Arial" w:hAnsi="Arial" w:cs="Arial"/>
          <w:color w:val="26221F"/>
        </w:rPr>
        <w:t>The strategy aligns directly with Humberside Police’s Mission to be victim</w:t>
      </w:r>
      <w:r>
        <w:noBreakHyphen/>
      </w:r>
      <w:r w:rsidRPr="6311CB48">
        <w:rPr>
          <w:rFonts w:ascii="Arial" w:eastAsia="Arial" w:hAnsi="Arial" w:cs="Arial"/>
          <w:color w:val="26221F"/>
        </w:rPr>
        <w:t>focused, community</w:t>
      </w:r>
      <w:r>
        <w:noBreakHyphen/>
      </w:r>
      <w:r w:rsidRPr="6311CB48">
        <w:rPr>
          <w:rFonts w:ascii="Arial" w:eastAsia="Arial" w:hAnsi="Arial" w:cs="Arial"/>
          <w:color w:val="26221F"/>
        </w:rPr>
        <w:t>focused, and workforce</w:t>
      </w:r>
      <w:r>
        <w:noBreakHyphen/>
      </w:r>
      <w:r w:rsidRPr="6311CB48">
        <w:rPr>
          <w:rFonts w:ascii="Arial" w:eastAsia="Arial" w:hAnsi="Arial" w:cs="Arial"/>
          <w:color w:val="26221F"/>
        </w:rPr>
        <w:t>focused. Strengthening psychological resilience and Occupational Health capacity enhances service quality for victims. Improved deployable capacity supports community</w:t>
      </w:r>
      <w:r>
        <w:noBreakHyphen/>
      </w:r>
      <w:r w:rsidRPr="6311CB48">
        <w:rPr>
          <w:rFonts w:ascii="Arial" w:eastAsia="Arial" w:hAnsi="Arial" w:cs="Arial"/>
          <w:color w:val="26221F"/>
        </w:rPr>
        <w:t>focused policing through faster response and problem</w:t>
      </w:r>
      <w:r>
        <w:noBreakHyphen/>
      </w:r>
      <w:r w:rsidRPr="6311CB48">
        <w:rPr>
          <w:rFonts w:ascii="Arial" w:eastAsia="Arial" w:hAnsi="Arial" w:cs="Arial"/>
          <w:color w:val="26221F"/>
        </w:rPr>
        <w:t>solving. Workforce focus is embedded throughout, recognising that a healthy, supported, and resilient workforce is essential for delivering trusted policing services. The strategy also supports the organisation’s Vision to be an outstanding, locally trusted, and globally acclaimed police force by embedding evidence</w:t>
      </w:r>
      <w:r>
        <w:noBreakHyphen/>
      </w:r>
      <w:r w:rsidRPr="6311CB48">
        <w:rPr>
          <w:rFonts w:ascii="Arial" w:eastAsia="Arial" w:hAnsi="Arial" w:cs="Arial"/>
          <w:color w:val="26221F"/>
        </w:rPr>
        <w:t>based wellbeing practice, strengthening leadership capability, and aligning organisational culture with national standards of excellence.</w:t>
      </w:r>
    </w:p>
    <w:p w14:paraId="02A64F73" w14:textId="77777777" w:rsidR="005D6F9C" w:rsidRDefault="005D6F9C" w:rsidP="005D6F9C">
      <w:pPr>
        <w:spacing w:after="180" w:line="480" w:lineRule="auto"/>
        <w:rPr>
          <w:rFonts w:ascii="Arial" w:eastAsia="Arial" w:hAnsi="Arial" w:cs="Arial"/>
          <w:color w:val="26221F"/>
        </w:rPr>
      </w:pPr>
      <w:r w:rsidRPr="6311CB48">
        <w:rPr>
          <w:rFonts w:ascii="Arial" w:eastAsia="Arial" w:hAnsi="Arial" w:cs="Arial"/>
          <w:color w:val="26221F"/>
        </w:rPr>
        <w:lastRenderedPageBreak/>
        <w:t>A whole</w:t>
      </w:r>
      <w:r>
        <w:noBreakHyphen/>
      </w:r>
      <w:r w:rsidRPr="6311CB48">
        <w:rPr>
          <w:rFonts w:ascii="Arial" w:eastAsia="Arial" w:hAnsi="Arial" w:cs="Arial"/>
          <w:color w:val="26221F"/>
        </w:rPr>
        <w:t>system approach is adopted across four domains: wellbeing governance, workforce health and psychological resilience, leadership and cultural change, and data</w:t>
      </w:r>
      <w:r>
        <w:noBreakHyphen/>
      </w:r>
      <w:r w:rsidRPr="6311CB48">
        <w:rPr>
          <w:rFonts w:ascii="Arial" w:eastAsia="Arial" w:hAnsi="Arial" w:cs="Arial"/>
          <w:color w:val="26221F"/>
        </w:rPr>
        <w:t>driven performance measurement. A phased 36</w:t>
      </w:r>
      <w:r>
        <w:noBreakHyphen/>
      </w:r>
      <w:r w:rsidRPr="6311CB48">
        <w:rPr>
          <w:rFonts w:ascii="Arial" w:eastAsia="Arial" w:hAnsi="Arial" w:cs="Arial"/>
          <w:color w:val="26221F"/>
        </w:rPr>
        <w:t>month implementation plan provides a structured roadmap for delivery, supported by targeted investment in Occupational Health capacity, leadership development, trauma</w:t>
      </w:r>
      <w:r>
        <w:noBreakHyphen/>
      </w:r>
      <w:r w:rsidRPr="6311CB48">
        <w:rPr>
          <w:rFonts w:ascii="Arial" w:eastAsia="Arial" w:hAnsi="Arial" w:cs="Arial"/>
          <w:color w:val="26221F"/>
        </w:rPr>
        <w:t>informed pathways, and digital infrastructure. Financial modelling demonstrates that the strategy is affordable, proportionate, and capable of generating significant cost avoidance through reduced sickness, improved deployable capacity, and earlier intervention (Deloitte, 2020).</w:t>
      </w:r>
    </w:p>
    <w:p w14:paraId="4142A57A" w14:textId="77777777" w:rsidR="005D6F9C" w:rsidRDefault="005D6F9C" w:rsidP="005D6F9C">
      <w:pPr>
        <w:spacing w:after="180" w:line="480" w:lineRule="auto"/>
        <w:rPr>
          <w:rFonts w:ascii="Arial" w:eastAsia="Arial" w:hAnsi="Arial" w:cs="Arial"/>
          <w:color w:val="26221F"/>
        </w:rPr>
      </w:pPr>
      <w:r w:rsidRPr="6311CB48">
        <w:rPr>
          <w:rFonts w:ascii="Arial" w:eastAsia="Arial" w:hAnsi="Arial" w:cs="Arial"/>
          <w:color w:val="26221F"/>
        </w:rPr>
        <w:t>Overall, this strategic business plan provides an evidence</w:t>
      </w:r>
      <w:r>
        <w:noBreakHyphen/>
      </w:r>
      <w:r w:rsidRPr="6311CB48">
        <w:rPr>
          <w:rFonts w:ascii="Arial" w:eastAsia="Arial" w:hAnsi="Arial" w:cs="Arial"/>
          <w:color w:val="26221F"/>
        </w:rPr>
        <w:t>based, theoretically grounded, and operationally deliverable approach to strengthening workforce wellbeing and organisational resilience. It positions wellbeing as a strategic enabler of performance, sustainability, public value, and alignment with Humberside Police’s Mission and Vision.</w:t>
      </w:r>
    </w:p>
    <w:p w14:paraId="685DBD91" w14:textId="77777777" w:rsidR="00C71B10" w:rsidRDefault="00C71B10"/>
    <w:sectPr w:rsidR="00C71B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F9C"/>
    <w:rsid w:val="005D6F9C"/>
    <w:rsid w:val="007E6D32"/>
    <w:rsid w:val="009A215E"/>
    <w:rsid w:val="00C71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41BAD"/>
  <w15:chartTrackingRefBased/>
  <w15:docId w15:val="{0D50DA7C-D648-4EC0-AFE1-A75DF3C8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F9C"/>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5D6F9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D6F9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D6F9C"/>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D6F9C"/>
    <w:pPr>
      <w:keepNext/>
      <w:keepLines/>
      <w:spacing w:before="80" w:after="40" w:line="278" w:lineRule="auto"/>
      <w:outlineLvl w:val="3"/>
    </w:pPr>
    <w:rPr>
      <w:rFonts w:eastAsiaTheme="majorEastAsia"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D6F9C"/>
    <w:pPr>
      <w:keepNext/>
      <w:keepLines/>
      <w:spacing w:before="80" w:after="40" w:line="278" w:lineRule="auto"/>
      <w:outlineLvl w:val="4"/>
    </w:pPr>
    <w:rPr>
      <w:rFonts w:eastAsiaTheme="majorEastAsia"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D6F9C"/>
    <w:pPr>
      <w:keepNext/>
      <w:keepLines/>
      <w:spacing w:before="40" w:after="0" w:line="278" w:lineRule="auto"/>
      <w:outlineLvl w:val="5"/>
    </w:pPr>
    <w:rPr>
      <w:rFonts w:eastAsiaTheme="majorEastAsia"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D6F9C"/>
    <w:pPr>
      <w:keepNext/>
      <w:keepLines/>
      <w:spacing w:before="40" w:after="0" w:line="278" w:lineRule="auto"/>
      <w:outlineLvl w:val="6"/>
    </w:pPr>
    <w:rPr>
      <w:rFonts w:eastAsiaTheme="majorEastAsia"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D6F9C"/>
    <w:pPr>
      <w:keepNext/>
      <w:keepLines/>
      <w:spacing w:after="0" w:line="278" w:lineRule="auto"/>
      <w:outlineLvl w:val="7"/>
    </w:pPr>
    <w:rPr>
      <w:rFonts w:eastAsiaTheme="majorEastAsia"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D6F9C"/>
    <w:pPr>
      <w:keepNext/>
      <w:keepLines/>
      <w:spacing w:after="0" w:line="278" w:lineRule="auto"/>
      <w:outlineLvl w:val="8"/>
    </w:pPr>
    <w:rPr>
      <w:rFonts w:eastAsiaTheme="majorEastAsia"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F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6F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6F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6F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6F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6F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6F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6F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6F9C"/>
    <w:rPr>
      <w:rFonts w:eastAsiaTheme="majorEastAsia" w:cstheme="majorBidi"/>
      <w:color w:val="272727" w:themeColor="text1" w:themeTint="D8"/>
    </w:rPr>
  </w:style>
  <w:style w:type="paragraph" w:styleId="Title">
    <w:name w:val="Title"/>
    <w:basedOn w:val="Normal"/>
    <w:next w:val="Normal"/>
    <w:link w:val="TitleChar"/>
    <w:uiPriority w:val="10"/>
    <w:qFormat/>
    <w:rsid w:val="005D6F9C"/>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D6F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6F9C"/>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D6F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6F9C"/>
    <w:pPr>
      <w:spacing w:before="160" w:line="278" w:lineRule="auto"/>
      <w:jc w:val="center"/>
    </w:pPr>
    <w:rPr>
      <w:rFonts w:eastAsiaTheme="minorHAns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D6F9C"/>
    <w:rPr>
      <w:i/>
      <w:iCs/>
      <w:color w:val="404040" w:themeColor="text1" w:themeTint="BF"/>
    </w:rPr>
  </w:style>
  <w:style w:type="paragraph" w:styleId="ListParagraph">
    <w:name w:val="List Paragraph"/>
    <w:basedOn w:val="Normal"/>
    <w:uiPriority w:val="34"/>
    <w:qFormat/>
    <w:rsid w:val="005D6F9C"/>
    <w:pPr>
      <w:spacing w:line="278" w:lineRule="auto"/>
      <w:ind w:left="720"/>
      <w:contextualSpacing/>
    </w:pPr>
    <w:rPr>
      <w:rFonts w:eastAsiaTheme="minorHAnsi"/>
      <w:kern w:val="2"/>
      <w:lang w:eastAsia="en-US"/>
      <w14:ligatures w14:val="standardContextual"/>
    </w:rPr>
  </w:style>
  <w:style w:type="character" w:styleId="IntenseEmphasis">
    <w:name w:val="Intense Emphasis"/>
    <w:basedOn w:val="DefaultParagraphFont"/>
    <w:uiPriority w:val="21"/>
    <w:qFormat/>
    <w:rsid w:val="005D6F9C"/>
    <w:rPr>
      <w:i/>
      <w:iCs/>
      <w:color w:val="0F4761" w:themeColor="accent1" w:themeShade="BF"/>
    </w:rPr>
  </w:style>
  <w:style w:type="paragraph" w:styleId="IntenseQuote">
    <w:name w:val="Intense Quote"/>
    <w:basedOn w:val="Normal"/>
    <w:next w:val="Normal"/>
    <w:link w:val="IntenseQuoteChar"/>
    <w:uiPriority w:val="30"/>
    <w:qFormat/>
    <w:rsid w:val="005D6F9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D6F9C"/>
    <w:rPr>
      <w:i/>
      <w:iCs/>
      <w:color w:val="0F4761" w:themeColor="accent1" w:themeShade="BF"/>
    </w:rPr>
  </w:style>
  <w:style w:type="character" w:styleId="IntenseReference">
    <w:name w:val="Intense Reference"/>
    <w:basedOn w:val="DefaultParagraphFont"/>
    <w:uiPriority w:val="32"/>
    <w:qFormat/>
    <w:rsid w:val="005D6F9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691</Words>
  <Characters>3940</Characters>
  <Application>Microsoft Office Word</Application>
  <DocSecurity>0</DocSecurity>
  <Lines>32</Lines>
  <Paragraphs>9</Paragraphs>
  <ScaleCrop>false</ScaleCrop>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Hoskins, Katie 0631</dc:creator>
  <cp:keywords/>
  <dc:description/>
  <cp:lastModifiedBy>Hoskins, Katie 0631</cp:lastModifiedBy>
  <cp:revision>1</cp:revision>
  <dcterms:created xsi:type="dcterms:W3CDTF">2026-07-03T10:31:00Z</dcterms:created>
  <dcterms:modified xsi:type="dcterms:W3CDTF">2026-07-03T10:32:00Z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2026-07-03T10:32:22Z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34c6942a-ceac-4a6c-872f-f10a83e69ada</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ies>
</file>