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A78" w:rsidRDefault="004A4A78">
      <w:r>
        <w:rPr>
          <w:noProof/>
          <w:lang w:val="en-GB" w:eastAsia="en-GB"/>
        </w:rPr>
        <w:drawing>
          <wp:anchor distT="0" distB="0" distL="114300" distR="114300" simplePos="0" relativeHeight="251658240" behindDoc="0" locked="0" layoutInCell="1" allowOverlap="1">
            <wp:simplePos x="0" y="0"/>
            <wp:positionH relativeFrom="column">
              <wp:posOffset>28575</wp:posOffset>
            </wp:positionH>
            <wp:positionV relativeFrom="paragraph">
              <wp:posOffset>190500</wp:posOffset>
            </wp:positionV>
            <wp:extent cx="5943600" cy="4019550"/>
            <wp:effectExtent l="19050" t="0" r="0" b="0"/>
            <wp:wrapTopAndBottom/>
            <wp:docPr id="1" name="Picture 1" descr="http://www.medievalswansea.ac.uk/static/media/uploads/thw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edievalswansea.ac.uk/static/media/uploads/thwc.jpg"/>
                    <pic:cNvPicPr>
                      <a:picLocks noChangeAspect="1" noChangeArrowheads="1"/>
                    </pic:cNvPicPr>
                  </pic:nvPicPr>
                  <pic:blipFill>
                    <a:blip r:embed="rId7" cstate="print"/>
                    <a:srcRect/>
                    <a:stretch>
                      <a:fillRect/>
                    </a:stretch>
                  </pic:blipFill>
                  <pic:spPr bwMode="auto">
                    <a:xfrm>
                      <a:off x="0" y="0"/>
                      <a:ext cx="5943600" cy="4019550"/>
                    </a:xfrm>
                    <a:prstGeom prst="rect">
                      <a:avLst/>
                    </a:prstGeom>
                    <a:noFill/>
                    <a:ln w="9525">
                      <a:noFill/>
                      <a:miter lim="800000"/>
                      <a:headEnd/>
                      <a:tailEnd/>
                    </a:ln>
                  </pic:spPr>
                </pic:pic>
              </a:graphicData>
            </a:graphic>
          </wp:anchor>
        </w:drawing>
      </w:r>
    </w:p>
    <w:p w:rsidR="004A4A78" w:rsidRDefault="00D67F18">
      <w:r>
        <w:rPr>
          <w:noProof/>
        </w:rPr>
        <w:pict>
          <v:shapetype id="_x0000_t202" coordsize="21600,21600" o:spt="202" path="m,l,21600r21600,l21600,xe">
            <v:stroke joinstyle="miter"/>
            <v:path gradientshapeok="t" o:connecttype="rect"/>
          </v:shapetype>
          <v:shape id="_x0000_s1026" type="#_x0000_t202" style="position:absolute;margin-left:3.75pt;margin-top:13.55pt;width:465pt;height:210.75pt;z-index:251659264" strokecolor="white [3212]">
            <v:textbox>
              <w:txbxContent>
                <w:p w:rsidR="004A4A78" w:rsidRDefault="004A4A78" w:rsidP="004A4A78">
                  <w:pPr>
                    <w:jc w:val="center"/>
                    <w:rPr>
                      <w:lang w:val="en-GB"/>
                    </w:rPr>
                  </w:pPr>
                </w:p>
                <w:p w:rsidR="004A4A78" w:rsidRDefault="004A4A78" w:rsidP="004A4A78">
                  <w:pPr>
                    <w:jc w:val="center"/>
                    <w:rPr>
                      <w:lang w:val="en-GB"/>
                    </w:rPr>
                  </w:pPr>
                </w:p>
                <w:p w:rsidR="004A4A78" w:rsidRDefault="004A4A78" w:rsidP="004A4A78">
                  <w:pPr>
                    <w:jc w:val="center"/>
                    <w:rPr>
                      <w:lang w:val="en-GB"/>
                    </w:rPr>
                  </w:pPr>
                  <w:r>
                    <w:rPr>
                      <w:lang w:val="en-GB"/>
                    </w:rPr>
                    <w:t>HPHI4007</w:t>
                  </w:r>
                </w:p>
                <w:p w:rsidR="004A4A78" w:rsidRDefault="004A4A78" w:rsidP="004A4A78">
                  <w:pPr>
                    <w:jc w:val="center"/>
                    <w:rPr>
                      <w:lang w:val="en-GB"/>
                    </w:rPr>
                  </w:pPr>
                  <w:r>
                    <w:rPr>
                      <w:lang w:val="en-GB"/>
                    </w:rPr>
                    <w:t>The Medieval World</w:t>
                  </w:r>
                </w:p>
                <w:p w:rsidR="004A4A78" w:rsidRDefault="004A4A78" w:rsidP="004A4A78">
                  <w:pPr>
                    <w:jc w:val="center"/>
                    <w:rPr>
                      <w:lang w:val="en-GB"/>
                    </w:rPr>
                  </w:pPr>
                  <w:r>
                    <w:rPr>
                      <w:lang w:val="en-GB"/>
                    </w:rPr>
                    <w:t xml:space="preserve">Claire Mann </w:t>
                  </w:r>
                </w:p>
                <w:p w:rsidR="004A4A78" w:rsidRDefault="004A4A78" w:rsidP="004A4A78">
                  <w:pPr>
                    <w:jc w:val="center"/>
                    <w:rPr>
                      <w:lang w:val="en-GB"/>
                    </w:rPr>
                  </w:pPr>
                  <w:r>
                    <w:rPr>
                      <w:lang w:val="en-GB"/>
                    </w:rPr>
                    <w:t>1602593</w:t>
                  </w:r>
                </w:p>
                <w:p w:rsidR="004A4A78" w:rsidRPr="004A4A78" w:rsidRDefault="004A4A78" w:rsidP="004A4A78">
                  <w:pPr>
                    <w:jc w:val="center"/>
                    <w:rPr>
                      <w:lang w:val="en-GB"/>
                    </w:rPr>
                  </w:pPr>
                  <w:r>
                    <w:rPr>
                      <w:lang w:val="en-GB"/>
                    </w:rPr>
                    <w:t>28</w:t>
                  </w:r>
                  <w:r w:rsidRPr="004A4A78">
                    <w:rPr>
                      <w:vertAlign w:val="superscript"/>
                      <w:lang w:val="en-GB"/>
                    </w:rPr>
                    <w:t>th</w:t>
                  </w:r>
                  <w:r>
                    <w:rPr>
                      <w:lang w:val="en-GB"/>
                    </w:rPr>
                    <w:t xml:space="preserve"> September 2018</w:t>
                  </w:r>
                </w:p>
              </w:txbxContent>
            </v:textbox>
          </v:shape>
        </w:pict>
      </w:r>
    </w:p>
    <w:p w:rsidR="004A4A78" w:rsidRDefault="004A4A78"/>
    <w:p w:rsidR="004A4A78" w:rsidRDefault="004A4A78"/>
    <w:p w:rsidR="004A4A78" w:rsidRPr="004A4A78" w:rsidRDefault="004A4A78" w:rsidP="004A4A78"/>
    <w:p w:rsidR="004A4A78" w:rsidRPr="004A4A78" w:rsidRDefault="004A4A78" w:rsidP="004A4A78"/>
    <w:p w:rsidR="004A4A78" w:rsidRPr="004A4A78" w:rsidRDefault="004A4A78" w:rsidP="004A4A78"/>
    <w:p w:rsidR="004A4A78" w:rsidRPr="004A4A78" w:rsidRDefault="004A4A78" w:rsidP="004A4A78"/>
    <w:p w:rsidR="004A4A78" w:rsidRPr="004A4A78" w:rsidRDefault="004A4A78" w:rsidP="004A4A78"/>
    <w:p w:rsidR="004A4A78" w:rsidRPr="004A4A78" w:rsidRDefault="004A4A78" w:rsidP="004A4A78"/>
    <w:p w:rsidR="004A4A78" w:rsidRDefault="004A4A78" w:rsidP="004A4A78"/>
    <w:p w:rsidR="00C918BD" w:rsidRDefault="00C918BD" w:rsidP="004A4A78">
      <w:pPr>
        <w:jc w:val="center"/>
      </w:pPr>
    </w:p>
    <w:p w:rsidR="004A4A78" w:rsidRPr="002C35A2" w:rsidRDefault="004A4A78" w:rsidP="004A4A78">
      <w:pPr>
        <w:spacing w:line="480" w:lineRule="auto"/>
        <w:jc w:val="center"/>
        <w:rPr>
          <w:u w:val="single"/>
          <w:lang w:val="en-GB"/>
        </w:rPr>
      </w:pPr>
      <w:r w:rsidRPr="002C35A2">
        <w:rPr>
          <w:u w:val="single"/>
          <w:lang w:val="en-GB"/>
        </w:rPr>
        <w:lastRenderedPageBreak/>
        <w:t xml:space="preserve">The hanging of William </w:t>
      </w:r>
      <w:proofErr w:type="spellStart"/>
      <w:r w:rsidRPr="002C35A2">
        <w:rPr>
          <w:u w:val="single"/>
          <w:lang w:val="en-GB"/>
        </w:rPr>
        <w:t>Cragh</w:t>
      </w:r>
      <w:proofErr w:type="spellEnd"/>
      <w:r w:rsidRPr="002C35A2">
        <w:rPr>
          <w:u w:val="single"/>
          <w:lang w:val="en-GB"/>
        </w:rPr>
        <w:t xml:space="preserve"> in 1287 ‘Medieval Swansea’</w:t>
      </w:r>
    </w:p>
    <w:p w:rsidR="004A4A78" w:rsidRDefault="004A4A78" w:rsidP="004A4A78">
      <w:pPr>
        <w:spacing w:line="480" w:lineRule="auto"/>
        <w:jc w:val="center"/>
        <w:rPr>
          <w:lang w:val="en-GB"/>
        </w:rPr>
      </w:pPr>
    </w:p>
    <w:p w:rsidR="004A4A78" w:rsidRDefault="004A4A78" w:rsidP="004A4A78">
      <w:pPr>
        <w:spacing w:line="480" w:lineRule="auto"/>
        <w:jc w:val="both"/>
        <w:rPr>
          <w:lang w:val="en-GB"/>
        </w:rPr>
      </w:pPr>
      <w:r>
        <w:rPr>
          <w:lang w:val="en-GB"/>
        </w:rPr>
        <w:t>For this assessment we will be using the ‘City Witness’ website which examines the story of the tw</w:t>
      </w:r>
      <w:r w:rsidR="00D67F18">
        <w:rPr>
          <w:lang w:val="en-GB"/>
        </w:rPr>
        <w:t xml:space="preserve">ice hanged William </w:t>
      </w:r>
      <w:proofErr w:type="spellStart"/>
      <w:r w:rsidR="00D67F18">
        <w:rPr>
          <w:lang w:val="en-GB"/>
        </w:rPr>
        <w:t>Cragh</w:t>
      </w:r>
      <w:proofErr w:type="spellEnd"/>
      <w:r w:rsidR="00D67F18">
        <w:rPr>
          <w:lang w:val="en-GB"/>
        </w:rPr>
        <w:t xml:space="preserve"> (also known as </w:t>
      </w:r>
      <w:r>
        <w:rPr>
          <w:lang w:val="en-GB"/>
        </w:rPr>
        <w:t xml:space="preserve">William </w:t>
      </w:r>
      <w:proofErr w:type="spellStart"/>
      <w:r>
        <w:rPr>
          <w:lang w:val="en-GB"/>
        </w:rPr>
        <w:t>ap</w:t>
      </w:r>
      <w:proofErr w:type="spellEnd"/>
      <w:r>
        <w:rPr>
          <w:lang w:val="en-GB"/>
        </w:rPr>
        <w:t xml:space="preserve"> Rhys) at Swansea castle in 1287.</w:t>
      </w:r>
    </w:p>
    <w:p w:rsidR="004A4A78" w:rsidRDefault="004A4A78" w:rsidP="004A4A78">
      <w:pPr>
        <w:spacing w:line="480" w:lineRule="auto"/>
        <w:jc w:val="both"/>
        <w:rPr>
          <w:lang w:val="en-GB"/>
        </w:rPr>
      </w:pPr>
    </w:p>
    <w:p w:rsidR="004A4A78" w:rsidRDefault="004A4A78" w:rsidP="004A4A78">
      <w:pPr>
        <w:spacing w:line="480" w:lineRule="auto"/>
        <w:jc w:val="both"/>
        <w:rPr>
          <w:lang w:val="en-GB"/>
        </w:rPr>
      </w:pPr>
      <w:r>
        <w:rPr>
          <w:lang w:val="en-GB"/>
        </w:rPr>
        <w:t xml:space="preserve">William </w:t>
      </w:r>
      <w:proofErr w:type="spellStart"/>
      <w:r>
        <w:rPr>
          <w:lang w:val="en-GB"/>
        </w:rPr>
        <w:t>Cragh</w:t>
      </w:r>
      <w:proofErr w:type="spellEnd"/>
      <w:r>
        <w:rPr>
          <w:lang w:val="en-GB"/>
        </w:rPr>
        <w:t xml:space="preserve"> ‘the Scabby’ was a </w:t>
      </w:r>
      <w:r>
        <w:rPr>
          <w:rStyle w:val="FootnoteReference"/>
          <w:lang w:val="en-GB"/>
        </w:rPr>
        <w:footnoteReference w:id="1"/>
      </w:r>
      <w:r>
        <w:rPr>
          <w:lang w:val="en-GB"/>
        </w:rPr>
        <w:t xml:space="preserve">‘poor but free man’ from Swansea.  He and a nobleman by the name of </w:t>
      </w:r>
      <w:proofErr w:type="spellStart"/>
      <w:r>
        <w:rPr>
          <w:lang w:val="en-GB"/>
        </w:rPr>
        <w:t>Trahaearn</w:t>
      </w:r>
      <w:proofErr w:type="spellEnd"/>
      <w:r>
        <w:rPr>
          <w:lang w:val="en-GB"/>
        </w:rPr>
        <w:t xml:space="preserve"> </w:t>
      </w:r>
      <w:proofErr w:type="spellStart"/>
      <w:proofErr w:type="gramStart"/>
      <w:r>
        <w:rPr>
          <w:lang w:val="en-GB"/>
        </w:rPr>
        <w:t>ap</w:t>
      </w:r>
      <w:proofErr w:type="spellEnd"/>
      <w:proofErr w:type="gramEnd"/>
      <w:r>
        <w:rPr>
          <w:lang w:val="en-GB"/>
        </w:rPr>
        <w:t xml:space="preserve"> </w:t>
      </w:r>
      <w:proofErr w:type="spellStart"/>
      <w:r>
        <w:rPr>
          <w:lang w:val="en-GB"/>
        </w:rPr>
        <w:t>Hywel</w:t>
      </w:r>
      <w:proofErr w:type="spellEnd"/>
      <w:r>
        <w:rPr>
          <w:lang w:val="en-GB"/>
        </w:rPr>
        <w:t xml:space="preserve"> were sentenced to death following their involvement in the attack on </w:t>
      </w:r>
      <w:proofErr w:type="spellStart"/>
      <w:r>
        <w:rPr>
          <w:lang w:val="en-GB"/>
        </w:rPr>
        <w:t>Oystermouth</w:t>
      </w:r>
      <w:proofErr w:type="spellEnd"/>
      <w:r>
        <w:rPr>
          <w:lang w:val="en-GB"/>
        </w:rPr>
        <w:t xml:space="preserve"> castle.  The </w:t>
      </w:r>
      <w:proofErr w:type="spellStart"/>
      <w:r>
        <w:rPr>
          <w:lang w:val="en-GB"/>
        </w:rPr>
        <w:t>Oystermouth</w:t>
      </w:r>
      <w:proofErr w:type="spellEnd"/>
      <w:r>
        <w:rPr>
          <w:lang w:val="en-GB"/>
        </w:rPr>
        <w:t xml:space="preserve"> castle at Swansea belonged to the de </w:t>
      </w:r>
      <w:proofErr w:type="spellStart"/>
      <w:r>
        <w:rPr>
          <w:lang w:val="en-GB"/>
        </w:rPr>
        <w:t>Briouze</w:t>
      </w:r>
      <w:proofErr w:type="spellEnd"/>
      <w:r>
        <w:rPr>
          <w:lang w:val="en-GB"/>
        </w:rPr>
        <w:t xml:space="preserve"> family, the lords of the Gower.  On the 5</w:t>
      </w:r>
      <w:r w:rsidRPr="0003081D">
        <w:rPr>
          <w:vertAlign w:val="superscript"/>
          <w:lang w:val="en-GB"/>
        </w:rPr>
        <w:t>th</w:t>
      </w:r>
      <w:r>
        <w:rPr>
          <w:lang w:val="en-GB"/>
        </w:rPr>
        <w:t xml:space="preserve"> of July 1287 the castle at </w:t>
      </w:r>
      <w:proofErr w:type="spellStart"/>
      <w:r>
        <w:rPr>
          <w:lang w:val="en-GB"/>
        </w:rPr>
        <w:t>Oystermouth</w:t>
      </w:r>
      <w:proofErr w:type="spellEnd"/>
      <w:r>
        <w:rPr>
          <w:lang w:val="en-GB"/>
        </w:rPr>
        <w:t xml:space="preserve"> was seized and burnt, resulting in the death of thirteen of the lords men.</w:t>
      </w:r>
    </w:p>
    <w:p w:rsidR="004A4A78" w:rsidRDefault="004A4A78" w:rsidP="004A4A78">
      <w:pPr>
        <w:spacing w:line="480" w:lineRule="auto"/>
        <w:jc w:val="both"/>
        <w:rPr>
          <w:lang w:val="en-GB"/>
        </w:rPr>
      </w:pPr>
    </w:p>
    <w:p w:rsidR="004A4A78" w:rsidRDefault="004A4A78" w:rsidP="004A4A78">
      <w:pPr>
        <w:spacing w:line="480" w:lineRule="auto"/>
        <w:jc w:val="both"/>
        <w:rPr>
          <w:lang w:val="en-GB"/>
        </w:rPr>
      </w:pPr>
      <w:r>
        <w:rPr>
          <w:lang w:val="en-GB"/>
        </w:rPr>
        <w:t xml:space="preserve">Lord William de </w:t>
      </w:r>
      <w:proofErr w:type="spellStart"/>
      <w:r>
        <w:rPr>
          <w:lang w:val="en-GB"/>
        </w:rPr>
        <w:t>Briouze</w:t>
      </w:r>
      <w:proofErr w:type="spellEnd"/>
      <w:r>
        <w:rPr>
          <w:lang w:val="en-GB"/>
        </w:rPr>
        <w:t xml:space="preserve"> Snr sentenced </w:t>
      </w:r>
      <w:proofErr w:type="spellStart"/>
      <w:r>
        <w:rPr>
          <w:lang w:val="en-GB"/>
        </w:rPr>
        <w:t>Trahaearn</w:t>
      </w:r>
      <w:proofErr w:type="spellEnd"/>
      <w:r>
        <w:rPr>
          <w:lang w:val="en-GB"/>
        </w:rPr>
        <w:t xml:space="preserve"> and </w:t>
      </w:r>
      <w:proofErr w:type="spellStart"/>
      <w:r>
        <w:rPr>
          <w:lang w:val="en-GB"/>
        </w:rPr>
        <w:t>Cragh</w:t>
      </w:r>
      <w:proofErr w:type="spellEnd"/>
      <w:r>
        <w:rPr>
          <w:lang w:val="en-GB"/>
        </w:rPr>
        <w:t xml:space="preserve"> to be hanged for their involvement in the attack.  Later that year</w:t>
      </w:r>
      <w:r w:rsidR="00D67F18">
        <w:rPr>
          <w:lang w:val="en-GB"/>
        </w:rPr>
        <w:t>,</w:t>
      </w:r>
      <w:r>
        <w:rPr>
          <w:lang w:val="en-GB"/>
        </w:rPr>
        <w:t xml:space="preserve"> possibly November</w:t>
      </w:r>
      <w:r w:rsidR="00D67F18">
        <w:rPr>
          <w:lang w:val="en-GB"/>
        </w:rPr>
        <w:t>,</w:t>
      </w:r>
      <w:r>
        <w:rPr>
          <w:lang w:val="en-GB"/>
        </w:rPr>
        <w:t xml:space="preserve"> the prisoners were taken from the dungeons at Swansea Castle, where the de </w:t>
      </w:r>
      <w:proofErr w:type="spellStart"/>
      <w:r>
        <w:rPr>
          <w:lang w:val="en-GB"/>
        </w:rPr>
        <w:t>Briouze</w:t>
      </w:r>
      <w:proofErr w:type="spellEnd"/>
      <w:r>
        <w:rPr>
          <w:lang w:val="en-GB"/>
        </w:rPr>
        <w:t xml:space="preserve"> family lived, and led to the gallows by Lord de </w:t>
      </w:r>
      <w:proofErr w:type="spellStart"/>
      <w:r>
        <w:rPr>
          <w:lang w:val="en-GB"/>
        </w:rPr>
        <w:t>Briouze’s</w:t>
      </w:r>
      <w:proofErr w:type="spellEnd"/>
      <w:r>
        <w:rPr>
          <w:lang w:val="en-GB"/>
        </w:rPr>
        <w:t xml:space="preserve"> men.  Here </w:t>
      </w:r>
      <w:proofErr w:type="spellStart"/>
      <w:r>
        <w:rPr>
          <w:lang w:val="en-GB"/>
        </w:rPr>
        <w:t>Cragh</w:t>
      </w:r>
      <w:proofErr w:type="spellEnd"/>
      <w:r>
        <w:rPr>
          <w:lang w:val="en-GB"/>
        </w:rPr>
        <w:t xml:space="preserve"> was hanged first, followed by </w:t>
      </w:r>
      <w:proofErr w:type="spellStart"/>
      <w:r>
        <w:rPr>
          <w:lang w:val="en-GB"/>
        </w:rPr>
        <w:t>Trahaearn</w:t>
      </w:r>
      <w:proofErr w:type="spellEnd"/>
      <w:r>
        <w:rPr>
          <w:lang w:val="en-GB"/>
        </w:rPr>
        <w:t xml:space="preserve">.  </w:t>
      </w:r>
      <w:proofErr w:type="spellStart"/>
      <w:r>
        <w:rPr>
          <w:lang w:val="en-GB"/>
        </w:rPr>
        <w:t>Trahaearn</w:t>
      </w:r>
      <w:proofErr w:type="spellEnd"/>
      <w:r>
        <w:rPr>
          <w:lang w:val="en-GB"/>
        </w:rPr>
        <w:t xml:space="preserve"> </w:t>
      </w:r>
      <w:proofErr w:type="spellStart"/>
      <w:proofErr w:type="gramStart"/>
      <w:r>
        <w:rPr>
          <w:lang w:val="en-GB"/>
        </w:rPr>
        <w:t>ap</w:t>
      </w:r>
      <w:proofErr w:type="spellEnd"/>
      <w:proofErr w:type="gramEnd"/>
      <w:r>
        <w:rPr>
          <w:lang w:val="en-GB"/>
        </w:rPr>
        <w:t xml:space="preserve"> </w:t>
      </w:r>
      <w:proofErr w:type="spellStart"/>
      <w:r>
        <w:rPr>
          <w:lang w:val="en-GB"/>
        </w:rPr>
        <w:t>Hywel</w:t>
      </w:r>
      <w:proofErr w:type="spellEnd"/>
      <w:r>
        <w:rPr>
          <w:lang w:val="en-GB"/>
        </w:rPr>
        <w:t xml:space="preserve"> was said to be </w:t>
      </w:r>
      <w:r>
        <w:rPr>
          <w:rStyle w:val="FootnoteReference"/>
          <w:lang w:val="en-GB"/>
        </w:rPr>
        <w:footnoteReference w:id="2"/>
      </w:r>
      <w:r>
        <w:rPr>
          <w:lang w:val="en-GB"/>
        </w:rPr>
        <w:t xml:space="preserve"> ‘big and heavy’ and we are told as he was hauled up, the crossbeam on the gallows broke and both men fell to the ground. </w:t>
      </w:r>
    </w:p>
    <w:p w:rsidR="004A4A78" w:rsidRDefault="004A4A78" w:rsidP="004A4A78">
      <w:pPr>
        <w:spacing w:line="480" w:lineRule="auto"/>
        <w:jc w:val="both"/>
        <w:rPr>
          <w:lang w:val="en-GB"/>
        </w:rPr>
      </w:pPr>
      <w:r>
        <w:rPr>
          <w:lang w:val="en-GB"/>
        </w:rPr>
        <w:lastRenderedPageBreak/>
        <w:t xml:space="preserve"> The hanging took place for a second time, one man on either side of the upright of the remaining gallows</w:t>
      </w:r>
      <w:r w:rsidR="00D67F18">
        <w:rPr>
          <w:lang w:val="en-GB"/>
        </w:rPr>
        <w:t xml:space="preserve"> and they were checked</w:t>
      </w:r>
      <w:bookmarkStart w:id="0" w:name="_GoBack"/>
      <w:bookmarkEnd w:id="0"/>
      <w:r>
        <w:rPr>
          <w:lang w:val="en-GB"/>
        </w:rPr>
        <w:t xml:space="preserve"> to make sure they were</w:t>
      </w:r>
      <w:r>
        <w:rPr>
          <w:rStyle w:val="FootnoteReference"/>
          <w:lang w:val="en-GB"/>
        </w:rPr>
        <w:footnoteReference w:id="3"/>
      </w:r>
      <w:r>
        <w:rPr>
          <w:lang w:val="en-GB"/>
        </w:rPr>
        <w:t xml:space="preserve"> ‘definitely dead’.</w:t>
      </w:r>
    </w:p>
    <w:p w:rsidR="004A4A78" w:rsidRDefault="004A4A78" w:rsidP="004A4A78">
      <w:pPr>
        <w:spacing w:line="480" w:lineRule="auto"/>
        <w:jc w:val="both"/>
        <w:rPr>
          <w:lang w:val="en-GB"/>
        </w:rPr>
      </w:pPr>
    </w:p>
    <w:p w:rsidR="004A4A78" w:rsidRDefault="004A4A78" w:rsidP="004A4A78">
      <w:pPr>
        <w:spacing w:line="480" w:lineRule="auto"/>
        <w:jc w:val="both"/>
        <w:rPr>
          <w:lang w:val="en-GB"/>
        </w:rPr>
      </w:pPr>
      <w:r>
        <w:rPr>
          <w:lang w:val="en-GB"/>
        </w:rPr>
        <w:t xml:space="preserve">The events that followed were later reported as miraculous with accreditation for the miracle linked to Thomas </w:t>
      </w:r>
      <w:proofErr w:type="spellStart"/>
      <w:r>
        <w:rPr>
          <w:lang w:val="en-GB"/>
        </w:rPr>
        <w:t>Cantilupe</w:t>
      </w:r>
      <w:proofErr w:type="spellEnd"/>
      <w:r>
        <w:rPr>
          <w:lang w:val="en-GB"/>
        </w:rPr>
        <w:t xml:space="preserve"> a bishop of Hereford.  It is said that when the twice hanged </w:t>
      </w:r>
      <w:proofErr w:type="spellStart"/>
      <w:r>
        <w:rPr>
          <w:lang w:val="en-GB"/>
        </w:rPr>
        <w:t>Cragh</w:t>
      </w:r>
      <w:proofErr w:type="spellEnd"/>
      <w:r>
        <w:rPr>
          <w:lang w:val="en-GB"/>
        </w:rPr>
        <w:t xml:space="preserve"> although in a revolting physical condition with </w:t>
      </w:r>
      <w:r>
        <w:rPr>
          <w:rStyle w:val="FootnoteReference"/>
          <w:lang w:val="en-GB"/>
        </w:rPr>
        <w:footnoteReference w:id="4"/>
      </w:r>
      <w:r>
        <w:rPr>
          <w:lang w:val="en-GB"/>
        </w:rPr>
        <w:t xml:space="preserve"> ‘a blackened visage, swollen tongue and protuberant eyes’ was examined prior to his burial he was found to be still alive.  In 1307, 20 years after this supposed miracle </w:t>
      </w:r>
      <w:proofErr w:type="spellStart"/>
      <w:r>
        <w:rPr>
          <w:lang w:val="en-GB"/>
        </w:rPr>
        <w:t>Cragh</w:t>
      </w:r>
      <w:proofErr w:type="spellEnd"/>
      <w:r>
        <w:rPr>
          <w:lang w:val="en-GB"/>
        </w:rPr>
        <w:t xml:space="preserve"> himself and eight other individuals gave witness statements on his double hanging.  These statements later contributed to the canonisation process for St Thomas de </w:t>
      </w:r>
      <w:proofErr w:type="spellStart"/>
      <w:r>
        <w:rPr>
          <w:lang w:val="en-GB"/>
        </w:rPr>
        <w:t>Cantilupe</w:t>
      </w:r>
      <w:proofErr w:type="spellEnd"/>
      <w:r>
        <w:rPr>
          <w:lang w:val="en-GB"/>
        </w:rPr>
        <w:t>.</w:t>
      </w:r>
    </w:p>
    <w:p w:rsidR="004A4A78" w:rsidRDefault="004A4A78" w:rsidP="004A4A78">
      <w:pPr>
        <w:spacing w:line="480" w:lineRule="auto"/>
        <w:jc w:val="both"/>
        <w:rPr>
          <w:lang w:val="en-GB"/>
        </w:rPr>
      </w:pPr>
    </w:p>
    <w:p w:rsidR="004A4A78" w:rsidRDefault="004A4A78" w:rsidP="004A4A78">
      <w:pPr>
        <w:spacing w:line="480" w:lineRule="auto"/>
        <w:jc w:val="both"/>
        <w:rPr>
          <w:lang w:val="en-GB"/>
        </w:rPr>
      </w:pPr>
      <w:r>
        <w:rPr>
          <w:lang w:val="en-GB"/>
        </w:rPr>
        <w:t xml:space="preserve">From the nine witness statements documented the one I am going to write about is that of Lady Mary de </w:t>
      </w:r>
      <w:proofErr w:type="spellStart"/>
      <w:r>
        <w:rPr>
          <w:lang w:val="en-GB"/>
        </w:rPr>
        <w:t>Briouze</w:t>
      </w:r>
      <w:proofErr w:type="spellEnd"/>
      <w:r>
        <w:rPr>
          <w:lang w:val="en-GB"/>
        </w:rPr>
        <w:t xml:space="preserve">. It is likely that Lady Mary came from a </w:t>
      </w:r>
      <w:r>
        <w:rPr>
          <w:rStyle w:val="FootnoteReference"/>
          <w:lang w:val="en-GB"/>
        </w:rPr>
        <w:footnoteReference w:id="5"/>
      </w:r>
      <w:r>
        <w:rPr>
          <w:lang w:val="en-GB"/>
        </w:rPr>
        <w:t xml:space="preserve">‘wealthy baronial family’, she was the third wife of Lord William de </w:t>
      </w:r>
      <w:proofErr w:type="spellStart"/>
      <w:r>
        <w:rPr>
          <w:lang w:val="en-GB"/>
        </w:rPr>
        <w:t>Briouze</w:t>
      </w:r>
      <w:proofErr w:type="spellEnd"/>
      <w:r>
        <w:rPr>
          <w:lang w:val="en-GB"/>
        </w:rPr>
        <w:t xml:space="preserve"> and was said to be a woman of independent means prior to their marriage. They both lived at Swansea castle at the time of </w:t>
      </w:r>
      <w:proofErr w:type="spellStart"/>
      <w:r>
        <w:rPr>
          <w:lang w:val="en-GB"/>
        </w:rPr>
        <w:t>Cragh’s</w:t>
      </w:r>
      <w:proofErr w:type="spellEnd"/>
      <w:r>
        <w:rPr>
          <w:lang w:val="en-GB"/>
        </w:rPr>
        <w:t xml:space="preserve"> hanging. Lady Mary asked her husband</w:t>
      </w:r>
      <w:r w:rsidR="00D67F18">
        <w:rPr>
          <w:lang w:val="en-GB"/>
        </w:rPr>
        <w:t>,</w:t>
      </w:r>
      <w:r>
        <w:rPr>
          <w:lang w:val="en-GB"/>
        </w:rPr>
        <w:t xml:space="preserve"> Lord William de </w:t>
      </w:r>
      <w:proofErr w:type="spellStart"/>
      <w:r>
        <w:rPr>
          <w:lang w:val="en-GB"/>
        </w:rPr>
        <w:t>Briouze</w:t>
      </w:r>
      <w:proofErr w:type="spellEnd"/>
      <w:r w:rsidR="00D67F18">
        <w:rPr>
          <w:lang w:val="en-GB"/>
        </w:rPr>
        <w:t>,</w:t>
      </w:r>
      <w:r>
        <w:rPr>
          <w:lang w:val="en-GB"/>
        </w:rPr>
        <w:t xml:space="preserve"> to pardon William </w:t>
      </w:r>
      <w:proofErr w:type="spellStart"/>
      <w:r>
        <w:rPr>
          <w:lang w:val="en-GB"/>
        </w:rPr>
        <w:t>Cragh’s</w:t>
      </w:r>
      <w:proofErr w:type="spellEnd"/>
      <w:r>
        <w:rPr>
          <w:lang w:val="en-GB"/>
        </w:rPr>
        <w:t xml:space="preserve"> hanging though her request was rejected.  The lady was said to have a </w:t>
      </w:r>
      <w:r>
        <w:rPr>
          <w:rStyle w:val="FootnoteReference"/>
          <w:lang w:val="en-GB"/>
        </w:rPr>
        <w:footnoteReference w:id="6"/>
      </w:r>
      <w:r>
        <w:rPr>
          <w:lang w:val="en-GB"/>
        </w:rPr>
        <w:t xml:space="preserve">’mysterious interest’ in William </w:t>
      </w:r>
      <w:proofErr w:type="spellStart"/>
      <w:r>
        <w:rPr>
          <w:lang w:val="en-GB"/>
        </w:rPr>
        <w:t>Cragh’s</w:t>
      </w:r>
      <w:proofErr w:type="spellEnd"/>
      <w:r>
        <w:rPr>
          <w:lang w:val="en-GB"/>
        </w:rPr>
        <w:t xml:space="preserve"> fate though there is no evidence as to why.  Following on from his execution Lady Mary arranged the measuring of his body, a handmaiden of hers </w:t>
      </w:r>
      <w:r>
        <w:rPr>
          <w:lang w:val="en-GB"/>
        </w:rPr>
        <w:lastRenderedPageBreak/>
        <w:t xml:space="preserve">was sent though it is uncertain which one as there are three conflicting testimonies.  What is interesting though is that the string used to measure the body of </w:t>
      </w:r>
      <w:proofErr w:type="spellStart"/>
      <w:r>
        <w:rPr>
          <w:lang w:val="en-GB"/>
        </w:rPr>
        <w:t>Cragh</w:t>
      </w:r>
      <w:proofErr w:type="spellEnd"/>
      <w:r>
        <w:rPr>
          <w:lang w:val="en-GB"/>
        </w:rPr>
        <w:t xml:space="preserve"> was in fact string taken from Lady Mary’s daughter, Margaret’s purse.</w:t>
      </w:r>
    </w:p>
    <w:p w:rsidR="004A4A78" w:rsidRDefault="004A4A78" w:rsidP="004A4A78">
      <w:pPr>
        <w:spacing w:line="480" w:lineRule="auto"/>
        <w:jc w:val="both"/>
        <w:rPr>
          <w:lang w:val="en-GB"/>
        </w:rPr>
      </w:pPr>
    </w:p>
    <w:p w:rsidR="004A4A78" w:rsidRDefault="004A4A78" w:rsidP="004A4A78">
      <w:pPr>
        <w:spacing w:line="480" w:lineRule="auto"/>
        <w:jc w:val="both"/>
        <w:rPr>
          <w:lang w:val="en-GB"/>
        </w:rPr>
      </w:pPr>
      <w:r>
        <w:rPr>
          <w:lang w:val="en-GB"/>
        </w:rPr>
        <w:t xml:space="preserve">From the document it would seem Lady Mary de </w:t>
      </w:r>
      <w:proofErr w:type="spellStart"/>
      <w:r>
        <w:rPr>
          <w:lang w:val="en-GB"/>
        </w:rPr>
        <w:t>Briouze</w:t>
      </w:r>
      <w:proofErr w:type="spellEnd"/>
      <w:r>
        <w:rPr>
          <w:lang w:val="en-GB"/>
        </w:rPr>
        <w:t xml:space="preserve"> was rather heavily involved with events surrounding the miracle.  From begging her husband to spare </w:t>
      </w:r>
      <w:proofErr w:type="spellStart"/>
      <w:r>
        <w:rPr>
          <w:lang w:val="en-GB"/>
        </w:rPr>
        <w:t>Cragh’s</w:t>
      </w:r>
      <w:proofErr w:type="spellEnd"/>
      <w:r>
        <w:rPr>
          <w:lang w:val="en-GB"/>
        </w:rPr>
        <w:t xml:space="preserve"> life, praying to St Thomas to intercede on </w:t>
      </w:r>
      <w:proofErr w:type="spellStart"/>
      <w:r>
        <w:rPr>
          <w:lang w:val="en-GB"/>
        </w:rPr>
        <w:t>Cragh’s</w:t>
      </w:r>
      <w:proofErr w:type="spellEnd"/>
      <w:r>
        <w:rPr>
          <w:lang w:val="en-GB"/>
        </w:rPr>
        <w:t xml:space="preserve"> behalf, the measuring of </w:t>
      </w:r>
      <w:proofErr w:type="spellStart"/>
      <w:r>
        <w:rPr>
          <w:lang w:val="en-GB"/>
        </w:rPr>
        <w:t>Cragh’s</w:t>
      </w:r>
      <w:proofErr w:type="spellEnd"/>
      <w:r>
        <w:rPr>
          <w:lang w:val="en-GB"/>
        </w:rPr>
        <w:t xml:space="preserve"> body and also the after care of the miracle.  It is believed Lady Mary de </w:t>
      </w:r>
      <w:proofErr w:type="spellStart"/>
      <w:r>
        <w:rPr>
          <w:lang w:val="en-GB"/>
        </w:rPr>
        <w:t>Briouze</w:t>
      </w:r>
      <w:proofErr w:type="spellEnd"/>
      <w:r>
        <w:rPr>
          <w:lang w:val="en-GB"/>
        </w:rPr>
        <w:t xml:space="preserve"> sent Matilda de la Chapel another of her handmaidens to assist in </w:t>
      </w:r>
      <w:proofErr w:type="spellStart"/>
      <w:r>
        <w:rPr>
          <w:lang w:val="en-GB"/>
        </w:rPr>
        <w:t>Cragh</w:t>
      </w:r>
      <w:r w:rsidR="00D67F18">
        <w:rPr>
          <w:lang w:val="en-GB"/>
        </w:rPr>
        <w:t>’</w:t>
      </w:r>
      <w:r>
        <w:rPr>
          <w:lang w:val="en-GB"/>
        </w:rPr>
        <w:t>s</w:t>
      </w:r>
      <w:proofErr w:type="spellEnd"/>
      <w:r>
        <w:rPr>
          <w:lang w:val="en-GB"/>
        </w:rPr>
        <w:t xml:space="preserve"> care during his recovery.  Later she travelled to Hereford to visit the tomb of St Thomas de </w:t>
      </w:r>
      <w:proofErr w:type="spellStart"/>
      <w:r>
        <w:rPr>
          <w:lang w:val="en-GB"/>
        </w:rPr>
        <w:t>Cantilupe</w:t>
      </w:r>
      <w:proofErr w:type="spellEnd"/>
      <w:r>
        <w:rPr>
          <w:lang w:val="en-GB"/>
        </w:rPr>
        <w:t xml:space="preserve"> accompanied by her </w:t>
      </w:r>
      <w:proofErr w:type="gramStart"/>
      <w:r>
        <w:rPr>
          <w:lang w:val="en-GB"/>
        </w:rPr>
        <w:t>husband  Lord</w:t>
      </w:r>
      <w:proofErr w:type="gramEnd"/>
      <w:r>
        <w:rPr>
          <w:lang w:val="en-GB"/>
        </w:rPr>
        <w:t xml:space="preserve"> William de </w:t>
      </w:r>
      <w:proofErr w:type="spellStart"/>
      <w:r>
        <w:rPr>
          <w:lang w:val="en-GB"/>
        </w:rPr>
        <w:t>Briouze</w:t>
      </w:r>
      <w:proofErr w:type="spellEnd"/>
      <w:r>
        <w:rPr>
          <w:lang w:val="en-GB"/>
        </w:rPr>
        <w:t xml:space="preserve"> and </w:t>
      </w:r>
      <w:proofErr w:type="spellStart"/>
      <w:r>
        <w:rPr>
          <w:lang w:val="en-GB"/>
        </w:rPr>
        <w:t>Cragh</w:t>
      </w:r>
      <w:proofErr w:type="spellEnd"/>
      <w:r>
        <w:rPr>
          <w:lang w:val="en-GB"/>
        </w:rPr>
        <w:t>.</w:t>
      </w:r>
    </w:p>
    <w:p w:rsidR="004A4A78" w:rsidRDefault="004A4A78" w:rsidP="004A4A78">
      <w:pPr>
        <w:spacing w:line="480" w:lineRule="auto"/>
        <w:jc w:val="both"/>
        <w:rPr>
          <w:lang w:val="en-GB"/>
        </w:rPr>
      </w:pPr>
    </w:p>
    <w:p w:rsidR="004A4A78" w:rsidRDefault="004A4A78" w:rsidP="004A4A78">
      <w:pPr>
        <w:spacing w:line="480" w:lineRule="auto"/>
        <w:jc w:val="both"/>
        <w:rPr>
          <w:lang w:val="en-GB"/>
        </w:rPr>
      </w:pPr>
      <w:r>
        <w:rPr>
          <w:lang w:val="en-GB"/>
        </w:rPr>
        <w:t xml:space="preserve">It is uncertain how reliable Lady Mary de </w:t>
      </w:r>
      <w:proofErr w:type="spellStart"/>
      <w:r>
        <w:rPr>
          <w:lang w:val="en-GB"/>
        </w:rPr>
        <w:t>Briouze</w:t>
      </w:r>
      <w:r w:rsidR="00D67F18">
        <w:rPr>
          <w:lang w:val="en-GB"/>
        </w:rPr>
        <w:t>’</w:t>
      </w:r>
      <w:r>
        <w:rPr>
          <w:lang w:val="en-GB"/>
        </w:rPr>
        <w:t>s</w:t>
      </w:r>
      <w:proofErr w:type="spellEnd"/>
      <w:r>
        <w:rPr>
          <w:lang w:val="en-GB"/>
        </w:rPr>
        <w:t xml:space="preserve"> testimony is as her statement describes the hanging of </w:t>
      </w:r>
      <w:proofErr w:type="spellStart"/>
      <w:r>
        <w:rPr>
          <w:lang w:val="en-GB"/>
        </w:rPr>
        <w:t>Cragh</w:t>
      </w:r>
      <w:proofErr w:type="spellEnd"/>
      <w:r>
        <w:rPr>
          <w:lang w:val="en-GB"/>
        </w:rPr>
        <w:t xml:space="preserve">, the removal of his body from the gallows. Lady Mary goes on to describe the way </w:t>
      </w:r>
      <w:proofErr w:type="spellStart"/>
      <w:r>
        <w:rPr>
          <w:lang w:val="en-GB"/>
        </w:rPr>
        <w:t>Cragh</w:t>
      </w:r>
      <w:r w:rsidR="00D67F18">
        <w:rPr>
          <w:lang w:val="en-GB"/>
        </w:rPr>
        <w:t>’</w:t>
      </w:r>
      <w:r>
        <w:rPr>
          <w:lang w:val="en-GB"/>
        </w:rPr>
        <w:t>s</w:t>
      </w:r>
      <w:proofErr w:type="spellEnd"/>
      <w:r>
        <w:rPr>
          <w:lang w:val="en-GB"/>
        </w:rPr>
        <w:t xml:space="preserve"> body was transported on a certain wooden wheel </w:t>
      </w:r>
      <w:r>
        <w:rPr>
          <w:rStyle w:val="FootnoteReference"/>
          <w:lang w:val="en-GB"/>
        </w:rPr>
        <w:footnoteReference w:id="7"/>
      </w:r>
      <w:r>
        <w:rPr>
          <w:lang w:val="en-GB"/>
        </w:rPr>
        <w:t xml:space="preserve">’head hanging down from one part and the feet from another, and the middle of him as it were lying across the said wood’.  Lady Mary goes on to describe the manner in which </w:t>
      </w:r>
      <w:proofErr w:type="spellStart"/>
      <w:r>
        <w:rPr>
          <w:lang w:val="en-GB"/>
        </w:rPr>
        <w:t>Cragh</w:t>
      </w:r>
      <w:r w:rsidR="00D67F18">
        <w:rPr>
          <w:lang w:val="en-GB"/>
        </w:rPr>
        <w:t>’</w:t>
      </w:r>
      <w:r>
        <w:rPr>
          <w:lang w:val="en-GB"/>
        </w:rPr>
        <w:t>s</w:t>
      </w:r>
      <w:proofErr w:type="spellEnd"/>
      <w:r>
        <w:rPr>
          <w:lang w:val="en-GB"/>
        </w:rPr>
        <w:t xml:space="preserve"> body was carried, on the wheel was so painful, even a healthy person carried in that way would be </w:t>
      </w:r>
      <w:r>
        <w:rPr>
          <w:rStyle w:val="FootnoteReference"/>
          <w:lang w:val="en-GB"/>
        </w:rPr>
        <w:footnoteReference w:id="8"/>
      </w:r>
      <w:r>
        <w:rPr>
          <w:lang w:val="en-GB"/>
        </w:rPr>
        <w:t xml:space="preserve"> ‘almost dead’.  The testimony goes on to say the evidence she gave was what she had heard from people present and she had not witnessed any of the said events herself.</w:t>
      </w:r>
    </w:p>
    <w:p w:rsidR="004A4A78" w:rsidRDefault="004A4A78" w:rsidP="004A4A78">
      <w:pPr>
        <w:spacing w:line="480" w:lineRule="auto"/>
        <w:jc w:val="both"/>
        <w:rPr>
          <w:lang w:val="en-GB"/>
        </w:rPr>
      </w:pPr>
    </w:p>
    <w:p w:rsidR="004A4A78" w:rsidRDefault="004A4A78" w:rsidP="004A4A78">
      <w:pPr>
        <w:jc w:val="center"/>
      </w:pPr>
    </w:p>
    <w:p w:rsidR="004A4A78" w:rsidRDefault="004A4A78" w:rsidP="004A4A78">
      <w:pPr>
        <w:jc w:val="center"/>
      </w:pPr>
    </w:p>
    <w:p w:rsidR="004A4A78" w:rsidRDefault="004A4A78" w:rsidP="004A4A78">
      <w:pPr>
        <w:jc w:val="center"/>
      </w:pPr>
    </w:p>
    <w:p w:rsidR="004A4A78" w:rsidRDefault="004A4A78" w:rsidP="004A4A78">
      <w:pPr>
        <w:jc w:val="center"/>
      </w:pPr>
    </w:p>
    <w:p w:rsidR="004A4A78" w:rsidRDefault="004A4A78" w:rsidP="004A4A78">
      <w:pPr>
        <w:jc w:val="center"/>
      </w:pPr>
    </w:p>
    <w:p w:rsidR="004A4A78" w:rsidRDefault="004A4A78" w:rsidP="004A4A78">
      <w:pPr>
        <w:jc w:val="center"/>
      </w:pPr>
    </w:p>
    <w:p w:rsidR="004A4A78" w:rsidRDefault="004A4A78" w:rsidP="004A4A78">
      <w:pPr>
        <w:jc w:val="center"/>
      </w:pPr>
    </w:p>
    <w:p w:rsidR="004A4A78" w:rsidRPr="004A4A78" w:rsidRDefault="004A4A78" w:rsidP="004A4A78">
      <w:pPr>
        <w:jc w:val="center"/>
      </w:pPr>
    </w:p>
    <w:sectPr w:rsidR="004A4A78" w:rsidRPr="004A4A78" w:rsidSect="00C918B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123" w:rsidRDefault="00375123" w:rsidP="004A4A78">
      <w:pPr>
        <w:spacing w:after="0" w:line="240" w:lineRule="auto"/>
      </w:pPr>
      <w:r>
        <w:separator/>
      </w:r>
    </w:p>
  </w:endnote>
  <w:endnote w:type="continuationSeparator" w:id="0">
    <w:p w:rsidR="00375123" w:rsidRDefault="00375123" w:rsidP="004A4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925975"/>
      <w:docPartObj>
        <w:docPartGallery w:val="Page Numbers (Bottom of Page)"/>
        <w:docPartUnique/>
      </w:docPartObj>
    </w:sdtPr>
    <w:sdtEndPr>
      <w:rPr>
        <w:noProof/>
      </w:rPr>
    </w:sdtEndPr>
    <w:sdtContent>
      <w:p w:rsidR="00D67F18" w:rsidRDefault="00D67F18">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D67F18" w:rsidRDefault="00D67F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123" w:rsidRDefault="00375123" w:rsidP="004A4A78">
      <w:pPr>
        <w:spacing w:after="0" w:line="240" w:lineRule="auto"/>
      </w:pPr>
      <w:r>
        <w:separator/>
      </w:r>
    </w:p>
  </w:footnote>
  <w:footnote w:type="continuationSeparator" w:id="0">
    <w:p w:rsidR="00375123" w:rsidRDefault="00375123" w:rsidP="004A4A78">
      <w:pPr>
        <w:spacing w:after="0" w:line="240" w:lineRule="auto"/>
      </w:pPr>
      <w:r>
        <w:continuationSeparator/>
      </w:r>
    </w:p>
  </w:footnote>
  <w:footnote w:id="1">
    <w:p w:rsidR="004A4A78" w:rsidRPr="00BC2865" w:rsidRDefault="004A4A78" w:rsidP="004A4A78">
      <w:pPr>
        <w:pStyle w:val="FootnoteText"/>
        <w:rPr>
          <w:lang w:val="en-GB"/>
        </w:rPr>
      </w:pPr>
      <w:r>
        <w:rPr>
          <w:rStyle w:val="FootnoteReference"/>
        </w:rPr>
        <w:footnoteRef/>
      </w:r>
      <w:r w:rsidR="00D67F18">
        <w:t xml:space="preserve"> </w:t>
      </w:r>
      <w:r>
        <w:t xml:space="preserve"> </w:t>
      </w:r>
      <w:proofErr w:type="gramStart"/>
      <w:r>
        <w:rPr>
          <w:i/>
          <w:iCs/>
        </w:rPr>
        <w:t xml:space="preserve">The miracle of the resuscitation of the twice-hanged William </w:t>
      </w:r>
      <w:proofErr w:type="spellStart"/>
      <w:r>
        <w:rPr>
          <w:i/>
          <w:iCs/>
        </w:rPr>
        <w:t>Cragh</w:t>
      </w:r>
      <w:proofErr w:type="spellEnd"/>
      <w:r>
        <w:t xml:space="preserve"> () &lt;http://www.medievalswansea.ac.uk/en/person/william-cragh&gt; [accessed 28 September 2018].</w:t>
      </w:r>
      <w:proofErr w:type="gramEnd"/>
    </w:p>
  </w:footnote>
  <w:footnote w:id="2">
    <w:p w:rsidR="004A4A78" w:rsidRPr="002B2FF9" w:rsidRDefault="004A4A78" w:rsidP="004A4A78">
      <w:pPr>
        <w:pStyle w:val="FootnoteText"/>
        <w:rPr>
          <w:lang w:val="en-GB"/>
        </w:rPr>
      </w:pPr>
      <w:r>
        <w:rPr>
          <w:rStyle w:val="FootnoteReference"/>
        </w:rPr>
        <w:footnoteRef/>
      </w:r>
      <w:r w:rsidR="00D67F18">
        <w:t xml:space="preserve"> </w:t>
      </w:r>
      <w:r>
        <w:t xml:space="preserve"> </w:t>
      </w:r>
      <w:proofErr w:type="gramStart"/>
      <w:r>
        <w:rPr>
          <w:i/>
          <w:iCs/>
        </w:rPr>
        <w:t xml:space="preserve">The miracle of the resuscitation of the twice-hanged William </w:t>
      </w:r>
      <w:proofErr w:type="spellStart"/>
      <w:r>
        <w:rPr>
          <w:i/>
          <w:iCs/>
        </w:rPr>
        <w:t>Cragh</w:t>
      </w:r>
      <w:proofErr w:type="spellEnd"/>
      <w:r>
        <w:t xml:space="preserve"> () &lt;http://www.medievalswansea.ac.uk/en/the-story/the-twice-hanged-william-cragh/#story&gt; [accessed 28 September 2018].</w:t>
      </w:r>
      <w:proofErr w:type="gramEnd"/>
    </w:p>
  </w:footnote>
  <w:footnote w:id="3">
    <w:p w:rsidR="004A4A78" w:rsidRPr="005A607D" w:rsidRDefault="004A4A78" w:rsidP="004A4A78">
      <w:pPr>
        <w:pStyle w:val="FootnoteText"/>
        <w:rPr>
          <w:lang w:val="en-GB"/>
        </w:rPr>
      </w:pPr>
      <w:r>
        <w:rPr>
          <w:rStyle w:val="FootnoteReference"/>
        </w:rPr>
        <w:footnoteRef/>
      </w:r>
      <w:r>
        <w:t xml:space="preserve">  </w:t>
      </w:r>
      <w:proofErr w:type="gramStart"/>
      <w:r>
        <w:rPr>
          <w:i/>
          <w:iCs/>
        </w:rPr>
        <w:t xml:space="preserve">The miracle of the resuscitation of the twice-hanged William </w:t>
      </w:r>
      <w:proofErr w:type="spellStart"/>
      <w:r>
        <w:rPr>
          <w:i/>
          <w:iCs/>
        </w:rPr>
        <w:t>Cragh</w:t>
      </w:r>
      <w:proofErr w:type="spellEnd"/>
      <w:r>
        <w:t xml:space="preserve"> () &lt;http://www.medievalswansea.ac.uk/en/the-story/the-twice-hanged-william-cragh/#story&gt; [accessed 28 September 2018].</w:t>
      </w:r>
      <w:proofErr w:type="gramEnd"/>
    </w:p>
  </w:footnote>
  <w:footnote w:id="4">
    <w:p w:rsidR="004A4A78" w:rsidRPr="005A607D" w:rsidRDefault="004A4A78" w:rsidP="004A4A78">
      <w:pPr>
        <w:pStyle w:val="FootnoteText"/>
        <w:rPr>
          <w:lang w:val="en-GB"/>
        </w:rPr>
      </w:pPr>
      <w:r>
        <w:rPr>
          <w:rStyle w:val="FootnoteReference"/>
        </w:rPr>
        <w:footnoteRef/>
      </w:r>
      <w:r>
        <w:t xml:space="preserve"> </w:t>
      </w:r>
      <w:proofErr w:type="gramStart"/>
      <w:r>
        <w:rPr>
          <w:i/>
          <w:iCs/>
        </w:rPr>
        <w:t xml:space="preserve">The miracle of the resuscitation of the twice-hanged William </w:t>
      </w:r>
      <w:proofErr w:type="spellStart"/>
      <w:r>
        <w:rPr>
          <w:i/>
          <w:iCs/>
        </w:rPr>
        <w:t>Cragh</w:t>
      </w:r>
      <w:proofErr w:type="spellEnd"/>
      <w:r>
        <w:t xml:space="preserve"> () &lt;http://www.medievalswansea.ac.uk/en/the-story/the-twice-hanged-william-cragh/#story&gt; [accessed 28 September 2018].</w:t>
      </w:r>
      <w:proofErr w:type="gramEnd"/>
    </w:p>
  </w:footnote>
  <w:footnote w:id="5">
    <w:p w:rsidR="004A4A78" w:rsidRPr="00A82E98" w:rsidRDefault="004A4A78" w:rsidP="004A4A78">
      <w:pPr>
        <w:pStyle w:val="FootnoteText"/>
        <w:rPr>
          <w:lang w:val="en-GB"/>
        </w:rPr>
      </w:pPr>
      <w:r>
        <w:rPr>
          <w:rStyle w:val="FootnoteReference"/>
        </w:rPr>
        <w:footnoteRef/>
      </w:r>
      <w:r>
        <w:t xml:space="preserve">  </w:t>
      </w:r>
      <w:proofErr w:type="gramStart"/>
      <w:r>
        <w:rPr>
          <w:i/>
          <w:iCs/>
        </w:rPr>
        <w:t xml:space="preserve">The miracle of the resuscitation of the twice-hanged William </w:t>
      </w:r>
      <w:proofErr w:type="spellStart"/>
      <w:r>
        <w:rPr>
          <w:i/>
          <w:iCs/>
        </w:rPr>
        <w:t>Cragh</w:t>
      </w:r>
      <w:proofErr w:type="spellEnd"/>
      <w:r>
        <w:t xml:space="preserve"> () &lt;http://www.medievalswansea.ac.uk/en/person/mary-de-briouze&gt; [accessed 28 September 2018].</w:t>
      </w:r>
      <w:proofErr w:type="gramEnd"/>
    </w:p>
  </w:footnote>
  <w:footnote w:id="6">
    <w:p w:rsidR="004A4A78" w:rsidRPr="002C35A2" w:rsidRDefault="004A4A78" w:rsidP="004A4A78">
      <w:pPr>
        <w:pStyle w:val="FootnoteText"/>
        <w:rPr>
          <w:lang w:val="en-GB"/>
        </w:rPr>
      </w:pPr>
      <w:r>
        <w:rPr>
          <w:rStyle w:val="FootnoteReference"/>
        </w:rPr>
        <w:footnoteRef/>
      </w:r>
      <w:r>
        <w:t xml:space="preserve">  </w:t>
      </w:r>
      <w:proofErr w:type="gramStart"/>
      <w:r>
        <w:rPr>
          <w:i/>
          <w:iCs/>
        </w:rPr>
        <w:t xml:space="preserve">The miracle of the resuscitation of the twice-hanged William </w:t>
      </w:r>
      <w:proofErr w:type="spellStart"/>
      <w:r>
        <w:rPr>
          <w:i/>
          <w:iCs/>
        </w:rPr>
        <w:t>Cragh</w:t>
      </w:r>
      <w:proofErr w:type="spellEnd"/>
      <w:r>
        <w:t xml:space="preserve"> () &lt;http://www.medievalswansea.ac.uk/en/the-story/the-twice-hanged-william-cragh/&gt; [accessed 28 September 2018].</w:t>
      </w:r>
      <w:proofErr w:type="gramEnd"/>
    </w:p>
  </w:footnote>
  <w:footnote w:id="7">
    <w:p w:rsidR="004A4A78" w:rsidRPr="00E01B57" w:rsidRDefault="004A4A78" w:rsidP="004A4A78">
      <w:pPr>
        <w:pStyle w:val="FootnoteText"/>
        <w:rPr>
          <w:lang w:val="en-GB"/>
        </w:rPr>
      </w:pPr>
      <w:r>
        <w:rPr>
          <w:rStyle w:val="FootnoteReference"/>
        </w:rPr>
        <w:footnoteRef/>
      </w:r>
      <w:r w:rsidR="00D67F18">
        <w:t xml:space="preserve"> </w:t>
      </w:r>
      <w:r>
        <w:t xml:space="preserve"> </w:t>
      </w:r>
      <w:proofErr w:type="gramStart"/>
      <w:r>
        <w:rPr>
          <w:i/>
          <w:iCs/>
        </w:rPr>
        <w:t xml:space="preserve">The miracle of the resuscitation of the twice-hanged William </w:t>
      </w:r>
      <w:proofErr w:type="spellStart"/>
      <w:r>
        <w:rPr>
          <w:i/>
          <w:iCs/>
        </w:rPr>
        <w:t>Cragh</w:t>
      </w:r>
      <w:proofErr w:type="spellEnd"/>
      <w:r>
        <w:t xml:space="preserve"> () &lt;http://www.medievalswansea.ac.uk/en/statement/2&gt; [accessed 28 September 2018].</w:t>
      </w:r>
      <w:proofErr w:type="gramEnd"/>
    </w:p>
  </w:footnote>
  <w:footnote w:id="8">
    <w:p w:rsidR="004A4A78" w:rsidRPr="00E01B57" w:rsidRDefault="004A4A78" w:rsidP="004A4A78">
      <w:pPr>
        <w:pStyle w:val="FootnoteText"/>
        <w:rPr>
          <w:lang w:val="en-GB"/>
        </w:rPr>
      </w:pPr>
      <w:r>
        <w:rPr>
          <w:rStyle w:val="FootnoteReference"/>
        </w:rPr>
        <w:footnoteRef/>
      </w:r>
      <w:r>
        <w:t xml:space="preserve"> </w:t>
      </w:r>
      <w:proofErr w:type="gramStart"/>
      <w:r>
        <w:rPr>
          <w:i/>
          <w:iCs/>
        </w:rPr>
        <w:t xml:space="preserve">The miracle of the resuscitation of the twice-hanged William </w:t>
      </w:r>
      <w:proofErr w:type="spellStart"/>
      <w:r>
        <w:rPr>
          <w:i/>
          <w:iCs/>
        </w:rPr>
        <w:t>Cragh</w:t>
      </w:r>
      <w:proofErr w:type="spellEnd"/>
      <w:r>
        <w:t xml:space="preserve"> () &lt;http://www.medievalswansea.ac.uk/en/statement/2&gt; [accessed 28 September 2018].</w:t>
      </w:r>
      <w:proofErr w:type="gramEnd"/>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A4A78"/>
    <w:rsid w:val="00375123"/>
    <w:rsid w:val="004A4A78"/>
    <w:rsid w:val="005A40B3"/>
    <w:rsid w:val="00C918BD"/>
    <w:rsid w:val="00D67F18"/>
    <w:rsid w:val="00F32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8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4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A78"/>
    <w:rPr>
      <w:rFonts w:ascii="Tahoma" w:hAnsi="Tahoma" w:cs="Tahoma"/>
      <w:sz w:val="16"/>
      <w:szCs w:val="16"/>
    </w:rPr>
  </w:style>
  <w:style w:type="paragraph" w:styleId="FootnoteText">
    <w:name w:val="footnote text"/>
    <w:basedOn w:val="Normal"/>
    <w:link w:val="FootnoteTextChar"/>
    <w:uiPriority w:val="99"/>
    <w:semiHidden/>
    <w:unhideWhenUsed/>
    <w:rsid w:val="004A4A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4A78"/>
    <w:rPr>
      <w:sz w:val="20"/>
      <w:szCs w:val="20"/>
    </w:rPr>
  </w:style>
  <w:style w:type="character" w:styleId="FootnoteReference">
    <w:name w:val="footnote reference"/>
    <w:basedOn w:val="DefaultParagraphFont"/>
    <w:uiPriority w:val="99"/>
    <w:semiHidden/>
    <w:unhideWhenUsed/>
    <w:rsid w:val="004A4A78"/>
    <w:rPr>
      <w:vertAlign w:val="superscript"/>
    </w:rPr>
  </w:style>
  <w:style w:type="paragraph" w:styleId="Header">
    <w:name w:val="header"/>
    <w:basedOn w:val="Normal"/>
    <w:link w:val="HeaderChar"/>
    <w:uiPriority w:val="99"/>
    <w:unhideWhenUsed/>
    <w:rsid w:val="00D67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F18"/>
  </w:style>
  <w:style w:type="paragraph" w:styleId="Footer">
    <w:name w:val="footer"/>
    <w:basedOn w:val="Normal"/>
    <w:link w:val="FooterChar"/>
    <w:uiPriority w:val="99"/>
    <w:unhideWhenUsed/>
    <w:rsid w:val="00D6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F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Dell</cp:lastModifiedBy>
  <cp:revision>3</cp:revision>
  <dcterms:created xsi:type="dcterms:W3CDTF">2018-09-28T17:06:00Z</dcterms:created>
  <dcterms:modified xsi:type="dcterms:W3CDTF">2018-09-28T18:10:00Z</dcterms:modified>
</cp:coreProperties>
</file>