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74D5B" w:rsidRPr="00A246CD" w:rsidRDefault="00774D5B" w:rsidP="00774D5B">
      <w:pPr>
        <w:rPr>
          <w:rFonts w:ascii="Times New Roman" w:hAnsi="Times New Roman" w:cs="Times New Roman"/>
          <w:b/>
          <w:sz w:val="24"/>
          <w:szCs w:val="24"/>
        </w:rPr>
      </w:pPr>
      <w:r w:rsidRPr="00A246CD">
        <w:rPr>
          <w:rFonts w:ascii="Times New Roman" w:hAnsi="Times New Roman" w:cs="Times New Roman"/>
          <w:b/>
          <w:sz w:val="24"/>
          <w:szCs w:val="24"/>
        </w:rPr>
        <w:t>Choosing a case study of your choice drawn from the Bronze Age East Mediterranean (Aegean, Cyprus or the Levant) consider how theoretical perspectives might help archaeologists to</w:t>
      </w:r>
      <w:r w:rsidR="00205115" w:rsidRPr="00A246CD">
        <w:rPr>
          <w:rFonts w:ascii="Times New Roman" w:hAnsi="Times New Roman" w:cs="Times New Roman"/>
          <w:b/>
          <w:sz w:val="24"/>
          <w:szCs w:val="24"/>
        </w:rPr>
        <w:t xml:space="preserve"> interpret ritual and ceremony in palatial contexts. </w:t>
      </w:r>
    </w:p>
    <w:p w:rsidR="00B7034B" w:rsidRPr="00A246CD" w:rsidRDefault="00F17EE8" w:rsidP="00B7034B">
      <w:pPr>
        <w:jc w:val="both"/>
        <w:rPr>
          <w:rFonts w:ascii="Times New Roman" w:hAnsi="Times New Roman" w:cs="Times New Roman"/>
          <w:sz w:val="24"/>
          <w:szCs w:val="24"/>
        </w:rPr>
      </w:pPr>
      <w:r w:rsidRPr="00A246CD">
        <w:rPr>
          <w:rFonts w:ascii="Times New Roman" w:hAnsi="Times New Roman" w:cs="Times New Roman"/>
          <w:sz w:val="24"/>
          <w:szCs w:val="24"/>
        </w:rPr>
        <w:t xml:space="preserve">Ugarit is located on what is now the coast of Northern Syria. </w:t>
      </w:r>
      <w:r w:rsidR="00CF5850" w:rsidRPr="00A246CD">
        <w:rPr>
          <w:rFonts w:ascii="Times New Roman" w:hAnsi="Times New Roman" w:cs="Times New Roman"/>
          <w:sz w:val="24"/>
          <w:szCs w:val="24"/>
        </w:rPr>
        <w:t>T</w:t>
      </w:r>
      <w:r w:rsidRPr="00A246CD">
        <w:rPr>
          <w:rFonts w:ascii="Times New Roman" w:hAnsi="Times New Roman" w:cs="Times New Roman"/>
          <w:sz w:val="24"/>
          <w:szCs w:val="24"/>
        </w:rPr>
        <w:t>he site was</w:t>
      </w:r>
      <w:r w:rsidR="00CF5850" w:rsidRPr="00A246CD">
        <w:rPr>
          <w:rFonts w:ascii="Times New Roman" w:hAnsi="Times New Roman" w:cs="Times New Roman"/>
          <w:sz w:val="24"/>
          <w:szCs w:val="24"/>
        </w:rPr>
        <w:t xml:space="preserve"> occupied from the 8</w:t>
      </w:r>
      <w:r w:rsidR="00CF5850" w:rsidRPr="00A246CD">
        <w:rPr>
          <w:rFonts w:ascii="Times New Roman" w:hAnsi="Times New Roman" w:cs="Times New Roman"/>
          <w:sz w:val="24"/>
          <w:szCs w:val="24"/>
          <w:vertAlign w:val="superscript"/>
        </w:rPr>
        <w:t>th</w:t>
      </w:r>
      <w:r w:rsidR="00CF5850" w:rsidRPr="00A246CD">
        <w:rPr>
          <w:rFonts w:ascii="Times New Roman" w:hAnsi="Times New Roman" w:cs="Times New Roman"/>
          <w:sz w:val="24"/>
          <w:szCs w:val="24"/>
        </w:rPr>
        <w:t xml:space="preserve"> millennium BC up to the early 12</w:t>
      </w:r>
      <w:r w:rsidR="00CF5850" w:rsidRPr="00A246CD">
        <w:rPr>
          <w:rFonts w:ascii="Times New Roman" w:hAnsi="Times New Roman" w:cs="Times New Roman"/>
          <w:sz w:val="24"/>
          <w:szCs w:val="24"/>
          <w:vertAlign w:val="superscript"/>
        </w:rPr>
        <w:t>th</w:t>
      </w:r>
      <w:r w:rsidR="00CF5850" w:rsidRPr="00A246CD">
        <w:rPr>
          <w:rFonts w:ascii="Times New Roman" w:hAnsi="Times New Roman" w:cs="Times New Roman"/>
          <w:sz w:val="24"/>
          <w:szCs w:val="24"/>
        </w:rPr>
        <w:t xml:space="preserve"> century BC</w:t>
      </w:r>
      <w:r w:rsidRPr="00A246CD">
        <w:rPr>
          <w:rStyle w:val="FootnoteReference"/>
          <w:rFonts w:ascii="Times New Roman" w:hAnsi="Times New Roman" w:cs="Times New Roman"/>
          <w:sz w:val="24"/>
          <w:szCs w:val="24"/>
        </w:rPr>
        <w:footnoteReference w:id="1"/>
      </w:r>
      <w:r w:rsidR="00CF5850" w:rsidRPr="00A246CD">
        <w:rPr>
          <w:rFonts w:ascii="Times New Roman" w:hAnsi="Times New Roman" w:cs="Times New Roman"/>
          <w:sz w:val="24"/>
          <w:szCs w:val="24"/>
        </w:rPr>
        <w:t xml:space="preserve">. </w:t>
      </w:r>
      <w:r w:rsidR="004B68F7" w:rsidRPr="00A246CD">
        <w:rPr>
          <w:rFonts w:ascii="Times New Roman" w:hAnsi="Times New Roman" w:cs="Times New Roman"/>
          <w:sz w:val="24"/>
          <w:szCs w:val="24"/>
        </w:rPr>
        <w:t>There have been extensive excavations at the city but muc</w:t>
      </w:r>
      <w:r w:rsidR="00DB3153">
        <w:rPr>
          <w:rFonts w:ascii="Times New Roman" w:hAnsi="Times New Roman" w:cs="Times New Roman"/>
          <w:sz w:val="24"/>
          <w:szCs w:val="24"/>
        </w:rPr>
        <w:t>h of it still remains uncovered. In contrast,</w:t>
      </w:r>
      <w:r w:rsidR="004B68F7" w:rsidRPr="00A246CD">
        <w:rPr>
          <w:rFonts w:ascii="Times New Roman" w:hAnsi="Times New Roman" w:cs="Times New Roman"/>
          <w:sz w:val="24"/>
          <w:szCs w:val="24"/>
        </w:rPr>
        <w:t xml:space="preserve"> t</w:t>
      </w:r>
      <w:r w:rsidR="007075E0" w:rsidRPr="00A246CD">
        <w:rPr>
          <w:rFonts w:ascii="Times New Roman" w:hAnsi="Times New Roman" w:cs="Times New Roman"/>
          <w:sz w:val="24"/>
          <w:szCs w:val="24"/>
        </w:rPr>
        <w:t xml:space="preserve">he </w:t>
      </w:r>
      <w:r w:rsidR="004B68F7" w:rsidRPr="00A246CD">
        <w:rPr>
          <w:rFonts w:ascii="Times New Roman" w:hAnsi="Times New Roman" w:cs="Times New Roman"/>
          <w:sz w:val="24"/>
          <w:szCs w:val="24"/>
        </w:rPr>
        <w:t>palatial</w:t>
      </w:r>
      <w:r w:rsidR="007075E0" w:rsidRPr="00A246CD">
        <w:rPr>
          <w:rFonts w:ascii="Times New Roman" w:hAnsi="Times New Roman" w:cs="Times New Roman"/>
          <w:sz w:val="24"/>
          <w:szCs w:val="24"/>
        </w:rPr>
        <w:t xml:space="preserve"> </w:t>
      </w:r>
      <w:r w:rsidR="00DB3153">
        <w:rPr>
          <w:rFonts w:ascii="Times New Roman" w:hAnsi="Times New Roman" w:cs="Times New Roman"/>
          <w:sz w:val="24"/>
          <w:szCs w:val="24"/>
        </w:rPr>
        <w:t>area of the city was</w:t>
      </w:r>
      <w:r w:rsidR="007075E0" w:rsidRPr="00A246CD">
        <w:rPr>
          <w:rFonts w:ascii="Times New Roman" w:hAnsi="Times New Roman" w:cs="Times New Roman"/>
          <w:sz w:val="24"/>
          <w:szCs w:val="24"/>
        </w:rPr>
        <w:t xml:space="preserve"> excavated at length between the years of 1950 and 1955</w:t>
      </w:r>
      <w:r w:rsidR="007075E0" w:rsidRPr="00A246CD">
        <w:rPr>
          <w:rStyle w:val="FootnoteReference"/>
          <w:rFonts w:ascii="Times New Roman" w:hAnsi="Times New Roman" w:cs="Times New Roman"/>
          <w:sz w:val="24"/>
          <w:szCs w:val="24"/>
        </w:rPr>
        <w:footnoteReference w:id="2"/>
      </w:r>
      <w:r w:rsidR="00597203" w:rsidRPr="00A246CD">
        <w:rPr>
          <w:rFonts w:ascii="Times New Roman" w:hAnsi="Times New Roman" w:cs="Times New Roman"/>
          <w:sz w:val="24"/>
          <w:szCs w:val="24"/>
        </w:rPr>
        <w:t xml:space="preserve"> and so we know much about its layout and architecture. </w:t>
      </w:r>
      <w:r w:rsidR="002B7143" w:rsidRPr="00A246CD">
        <w:rPr>
          <w:rFonts w:ascii="Times New Roman" w:hAnsi="Times New Roman" w:cs="Times New Roman"/>
          <w:sz w:val="24"/>
          <w:szCs w:val="24"/>
        </w:rPr>
        <w:t>The Palace is situated to the west of the main city and is separated from the rest of the city by a fortification wall. This wall was as much as 4 meters high on the north side of the Palace and it featured many highly technical architectural aspects</w:t>
      </w:r>
      <w:r w:rsidR="002B7143" w:rsidRPr="00A246CD">
        <w:rPr>
          <w:rStyle w:val="FootnoteReference"/>
          <w:rFonts w:ascii="Times New Roman" w:hAnsi="Times New Roman" w:cs="Times New Roman"/>
          <w:sz w:val="24"/>
          <w:szCs w:val="24"/>
        </w:rPr>
        <w:footnoteReference w:id="3"/>
      </w:r>
      <w:r w:rsidR="002B7143" w:rsidRPr="00A246CD">
        <w:rPr>
          <w:rFonts w:ascii="Times New Roman" w:hAnsi="Times New Roman" w:cs="Times New Roman"/>
          <w:sz w:val="24"/>
          <w:szCs w:val="24"/>
        </w:rPr>
        <w:t xml:space="preserve">. </w:t>
      </w:r>
      <w:r w:rsidR="00F06BA6" w:rsidRPr="00A246CD">
        <w:rPr>
          <w:rFonts w:ascii="Times New Roman" w:hAnsi="Times New Roman" w:cs="Times New Roman"/>
          <w:sz w:val="24"/>
          <w:szCs w:val="24"/>
        </w:rPr>
        <w:t xml:space="preserve">It clearly separates the Royal area from the rest of the city. </w:t>
      </w:r>
      <w:r w:rsidR="00B7034B" w:rsidRPr="00A246CD">
        <w:rPr>
          <w:rFonts w:ascii="Times New Roman" w:hAnsi="Times New Roman" w:cs="Times New Roman"/>
          <w:sz w:val="24"/>
          <w:szCs w:val="24"/>
        </w:rPr>
        <w:t>We are able to know much about the activity in the city of Ugarit and the Palace because of the many records found in the Palace. These records are written in Akkadian and Ugaritic and they provide insight into Ugarit and the surrounding kingdoms</w:t>
      </w:r>
      <w:r w:rsidR="00B7034B" w:rsidRPr="00A246CD">
        <w:rPr>
          <w:rFonts w:ascii="Times New Roman" w:hAnsi="Times New Roman" w:cs="Times New Roman"/>
          <w:sz w:val="24"/>
          <w:szCs w:val="24"/>
          <w:vertAlign w:val="superscript"/>
        </w:rPr>
        <w:footnoteReference w:id="4"/>
      </w:r>
      <w:r w:rsidR="00B7034B" w:rsidRPr="00A246CD">
        <w:rPr>
          <w:rFonts w:ascii="Times New Roman" w:hAnsi="Times New Roman" w:cs="Times New Roman"/>
          <w:sz w:val="24"/>
          <w:szCs w:val="24"/>
        </w:rPr>
        <w:t xml:space="preserve">. </w:t>
      </w:r>
    </w:p>
    <w:p w:rsidR="002B7143" w:rsidRPr="00A246CD" w:rsidRDefault="00F06BA6" w:rsidP="00F82FB3">
      <w:pPr>
        <w:jc w:val="both"/>
        <w:rPr>
          <w:rFonts w:ascii="Times New Roman" w:hAnsi="Times New Roman" w:cs="Times New Roman"/>
          <w:sz w:val="24"/>
          <w:szCs w:val="24"/>
        </w:rPr>
      </w:pPr>
      <w:r w:rsidRPr="00A246CD">
        <w:rPr>
          <w:rFonts w:ascii="Times New Roman" w:hAnsi="Times New Roman" w:cs="Times New Roman"/>
          <w:sz w:val="24"/>
          <w:szCs w:val="24"/>
        </w:rPr>
        <w:t>Within the Palace complex there are</w:t>
      </w:r>
      <w:r w:rsidR="005E1A8B" w:rsidRPr="00A246CD">
        <w:rPr>
          <w:rFonts w:ascii="Times New Roman" w:hAnsi="Times New Roman" w:cs="Times New Roman"/>
          <w:sz w:val="24"/>
          <w:szCs w:val="24"/>
        </w:rPr>
        <w:t xml:space="preserve"> many buildings including a temple and a pillared hall which could possibly have been for feasting or other ceremonial action. </w:t>
      </w:r>
      <w:r w:rsidR="00B10EF5" w:rsidRPr="00A246CD">
        <w:rPr>
          <w:rFonts w:ascii="Times New Roman" w:hAnsi="Times New Roman" w:cs="Times New Roman"/>
          <w:sz w:val="24"/>
          <w:szCs w:val="24"/>
        </w:rPr>
        <w:t xml:space="preserve">The temple was built before the pillared building and so probably influenced the structure and placement of the later building. </w:t>
      </w:r>
      <w:r w:rsidRPr="00A246CD">
        <w:rPr>
          <w:rFonts w:ascii="Times New Roman" w:hAnsi="Times New Roman" w:cs="Times New Roman"/>
          <w:sz w:val="24"/>
          <w:szCs w:val="24"/>
        </w:rPr>
        <w:t xml:space="preserve">The temple has a similar layout to the two temples on the acropolis elsewhere in the city and the pillared hall is situated close to the temple suggesting a link between the ceremonies enacted within both structures. Since these are the two buildings where the most amount of ritual and ceremonial activity is likely to have taken place, this essay will focus upon them as the subject of theoretical analysis. </w:t>
      </w:r>
    </w:p>
    <w:p w:rsidR="00A1376F" w:rsidRPr="00A246CD" w:rsidRDefault="00A1376F" w:rsidP="003B71AC">
      <w:pPr>
        <w:jc w:val="both"/>
        <w:rPr>
          <w:rFonts w:ascii="Times New Roman" w:hAnsi="Times New Roman" w:cs="Times New Roman"/>
          <w:sz w:val="24"/>
          <w:szCs w:val="24"/>
        </w:rPr>
      </w:pPr>
      <w:r w:rsidRPr="00A246CD">
        <w:rPr>
          <w:rFonts w:ascii="Times New Roman" w:hAnsi="Times New Roman" w:cs="Times New Roman"/>
          <w:sz w:val="24"/>
          <w:szCs w:val="24"/>
        </w:rPr>
        <w:t xml:space="preserve">There are many archaeological theories that are employed in order to help archaeologists interpret archaeological sites and material objects. </w:t>
      </w:r>
      <w:r w:rsidR="00CF4FB4" w:rsidRPr="00A246CD">
        <w:rPr>
          <w:rFonts w:ascii="Times New Roman" w:hAnsi="Times New Roman" w:cs="Times New Roman"/>
          <w:sz w:val="24"/>
          <w:szCs w:val="24"/>
        </w:rPr>
        <w:t xml:space="preserve">Use of a theory is helpful for this because they act as a tool or a lens through which to view archaeological findings. </w:t>
      </w:r>
      <w:r w:rsidR="0084666E" w:rsidRPr="00A246CD">
        <w:rPr>
          <w:rFonts w:ascii="Times New Roman" w:hAnsi="Times New Roman" w:cs="Times New Roman"/>
          <w:sz w:val="24"/>
          <w:szCs w:val="24"/>
        </w:rPr>
        <w:t>However there is a drawback if only one particular theory is used because interpretation of the site or object will become bias towards that one p</w:t>
      </w:r>
      <w:r w:rsidR="00B2660D" w:rsidRPr="00A246CD">
        <w:rPr>
          <w:rFonts w:ascii="Times New Roman" w:hAnsi="Times New Roman" w:cs="Times New Roman"/>
          <w:sz w:val="24"/>
          <w:szCs w:val="24"/>
        </w:rPr>
        <w:t xml:space="preserve">articular theory. </w:t>
      </w:r>
      <w:r w:rsidR="0084666E" w:rsidRPr="00A246CD">
        <w:rPr>
          <w:rFonts w:ascii="Times New Roman" w:hAnsi="Times New Roman" w:cs="Times New Roman"/>
          <w:sz w:val="24"/>
          <w:szCs w:val="24"/>
        </w:rPr>
        <w:t xml:space="preserve">This is why multiple theories must be explored when dealing with archaeology and when attempting to interpret ancient societies. </w:t>
      </w:r>
    </w:p>
    <w:p w:rsidR="00B11B5B" w:rsidRPr="00A246CD" w:rsidRDefault="007B1634" w:rsidP="00A1376F">
      <w:pPr>
        <w:jc w:val="both"/>
        <w:rPr>
          <w:rFonts w:ascii="Times New Roman" w:hAnsi="Times New Roman" w:cs="Times New Roman"/>
          <w:sz w:val="24"/>
          <w:szCs w:val="24"/>
        </w:rPr>
      </w:pPr>
      <w:r w:rsidRPr="00A246CD">
        <w:rPr>
          <w:rFonts w:ascii="Times New Roman" w:hAnsi="Times New Roman" w:cs="Times New Roman"/>
          <w:sz w:val="24"/>
          <w:szCs w:val="24"/>
        </w:rPr>
        <w:t xml:space="preserve">Connerton proposes a theory focused on social and habitual memory within societies. </w:t>
      </w:r>
      <w:r w:rsidR="00C45024" w:rsidRPr="00A246CD">
        <w:rPr>
          <w:rFonts w:ascii="Times New Roman" w:hAnsi="Times New Roman" w:cs="Times New Roman"/>
          <w:sz w:val="24"/>
          <w:szCs w:val="24"/>
        </w:rPr>
        <w:t>He attempted to explain people’s actions through their social memory. Connerton argues that people base all of their actions on their memory of past events because 'we always base our particular experiences on prior context in order to ensure that they are intelligible to all'</w:t>
      </w:r>
      <w:r w:rsidR="00275E55" w:rsidRPr="00A246CD">
        <w:rPr>
          <w:rStyle w:val="FootnoteReference"/>
          <w:rFonts w:ascii="Times New Roman" w:hAnsi="Times New Roman" w:cs="Times New Roman"/>
          <w:sz w:val="24"/>
          <w:szCs w:val="24"/>
        </w:rPr>
        <w:footnoteReference w:id="5"/>
      </w:r>
      <w:r w:rsidR="00C45024" w:rsidRPr="00A246CD">
        <w:rPr>
          <w:rFonts w:ascii="Times New Roman" w:hAnsi="Times New Roman" w:cs="Times New Roman"/>
          <w:sz w:val="24"/>
          <w:szCs w:val="24"/>
        </w:rPr>
        <w:t>.</w:t>
      </w:r>
      <w:r w:rsidR="00D92DA5" w:rsidRPr="00A246CD">
        <w:rPr>
          <w:rFonts w:ascii="Times New Roman" w:hAnsi="Times New Roman" w:cs="Times New Roman"/>
          <w:sz w:val="24"/>
          <w:szCs w:val="24"/>
        </w:rPr>
        <w:t xml:space="preserve"> </w:t>
      </w:r>
    </w:p>
    <w:p w:rsidR="000E13A6" w:rsidRPr="00A246CD" w:rsidRDefault="00036070" w:rsidP="00A1376F">
      <w:pPr>
        <w:jc w:val="both"/>
        <w:rPr>
          <w:rFonts w:ascii="Times New Roman" w:hAnsi="Times New Roman" w:cs="Times New Roman"/>
          <w:sz w:val="24"/>
          <w:szCs w:val="24"/>
        </w:rPr>
      </w:pPr>
      <w:r w:rsidRPr="00A246CD">
        <w:rPr>
          <w:rFonts w:ascii="Times New Roman" w:hAnsi="Times New Roman" w:cs="Times New Roman"/>
          <w:sz w:val="24"/>
          <w:szCs w:val="24"/>
        </w:rPr>
        <w:t>Connerton illustrates three distinct classes of memory. The first is personal memory. These are the expressions of memory a person makes about th</w:t>
      </w:r>
      <w:r w:rsidR="00AE3AF9" w:rsidRPr="00A246CD">
        <w:rPr>
          <w:rFonts w:ascii="Times New Roman" w:hAnsi="Times New Roman" w:cs="Times New Roman"/>
          <w:sz w:val="24"/>
          <w:szCs w:val="24"/>
        </w:rPr>
        <w:t>eir own 'life history'</w:t>
      </w:r>
      <w:r w:rsidR="00AE3AF9" w:rsidRPr="00A246CD">
        <w:rPr>
          <w:rStyle w:val="FootnoteReference"/>
          <w:rFonts w:ascii="Times New Roman" w:hAnsi="Times New Roman" w:cs="Times New Roman"/>
          <w:sz w:val="24"/>
          <w:szCs w:val="24"/>
        </w:rPr>
        <w:footnoteReference w:id="6"/>
      </w:r>
      <w:r w:rsidRPr="00A246CD">
        <w:rPr>
          <w:rFonts w:ascii="Times New Roman" w:hAnsi="Times New Roman" w:cs="Times New Roman"/>
          <w:sz w:val="24"/>
          <w:szCs w:val="24"/>
        </w:rPr>
        <w:t xml:space="preserve">. Personal memory is what shapes our view of ourselves through 'the way in which we </w:t>
      </w:r>
      <w:r w:rsidR="00435251" w:rsidRPr="00A246CD">
        <w:rPr>
          <w:rFonts w:ascii="Times New Roman" w:hAnsi="Times New Roman" w:cs="Times New Roman"/>
          <w:sz w:val="24"/>
          <w:szCs w:val="24"/>
        </w:rPr>
        <w:t xml:space="preserve">view our past </w:t>
      </w:r>
      <w:r w:rsidR="00435251" w:rsidRPr="00A246CD">
        <w:rPr>
          <w:rFonts w:ascii="Times New Roman" w:hAnsi="Times New Roman" w:cs="Times New Roman"/>
          <w:sz w:val="24"/>
          <w:szCs w:val="24"/>
        </w:rPr>
        <w:lastRenderedPageBreak/>
        <w:t>actions'</w:t>
      </w:r>
      <w:r w:rsidR="00435251" w:rsidRPr="00A246CD">
        <w:rPr>
          <w:rStyle w:val="FootnoteReference"/>
          <w:rFonts w:ascii="Times New Roman" w:hAnsi="Times New Roman" w:cs="Times New Roman"/>
          <w:sz w:val="24"/>
          <w:szCs w:val="24"/>
        </w:rPr>
        <w:footnoteReference w:id="7"/>
      </w:r>
      <w:r w:rsidRPr="00A246CD">
        <w:rPr>
          <w:rFonts w:ascii="Times New Roman" w:hAnsi="Times New Roman" w:cs="Times New Roman"/>
          <w:sz w:val="24"/>
          <w:szCs w:val="24"/>
        </w:rPr>
        <w:t>.  The second class of memory is cognitive memory. This class describes the memories of learned or experienced things. An example used by Connerton is remembering what words mean o</w:t>
      </w:r>
      <w:r w:rsidR="00143CB4" w:rsidRPr="00A246CD">
        <w:rPr>
          <w:rFonts w:ascii="Times New Roman" w:hAnsi="Times New Roman" w:cs="Times New Roman"/>
          <w:sz w:val="24"/>
          <w:szCs w:val="24"/>
        </w:rPr>
        <w:t>r the words to a song</w:t>
      </w:r>
      <w:r w:rsidR="00143CB4" w:rsidRPr="00A246CD">
        <w:rPr>
          <w:rStyle w:val="FootnoteReference"/>
          <w:rFonts w:ascii="Times New Roman" w:hAnsi="Times New Roman" w:cs="Times New Roman"/>
          <w:sz w:val="24"/>
          <w:szCs w:val="24"/>
        </w:rPr>
        <w:footnoteReference w:id="8"/>
      </w:r>
      <w:r w:rsidR="00143CB4" w:rsidRPr="00A246CD">
        <w:rPr>
          <w:rFonts w:ascii="Times New Roman" w:hAnsi="Times New Roman" w:cs="Times New Roman"/>
          <w:sz w:val="24"/>
          <w:szCs w:val="24"/>
        </w:rPr>
        <w:t xml:space="preserve">. </w:t>
      </w:r>
      <w:r w:rsidRPr="00A246CD">
        <w:rPr>
          <w:rFonts w:ascii="Times New Roman" w:hAnsi="Times New Roman" w:cs="Times New Roman"/>
          <w:sz w:val="24"/>
          <w:szCs w:val="24"/>
        </w:rPr>
        <w:t>The third class of memory is the type of memory we use to 'reproduce a certain performance</w:t>
      </w:r>
      <w:r w:rsidR="008E2F68" w:rsidRPr="00A246CD">
        <w:rPr>
          <w:rFonts w:ascii="Times New Roman" w:hAnsi="Times New Roman" w:cs="Times New Roman"/>
          <w:sz w:val="24"/>
          <w:szCs w:val="24"/>
        </w:rPr>
        <w:t>'</w:t>
      </w:r>
      <w:r w:rsidR="008E2F68" w:rsidRPr="00A246CD">
        <w:rPr>
          <w:rStyle w:val="FootnoteReference"/>
          <w:rFonts w:ascii="Times New Roman" w:hAnsi="Times New Roman" w:cs="Times New Roman"/>
          <w:sz w:val="24"/>
          <w:szCs w:val="24"/>
        </w:rPr>
        <w:footnoteReference w:id="9"/>
      </w:r>
      <w:r w:rsidRPr="00A246CD">
        <w:rPr>
          <w:rFonts w:ascii="Times New Roman" w:hAnsi="Times New Roman" w:cs="Times New Roman"/>
          <w:sz w:val="24"/>
          <w:szCs w:val="24"/>
        </w:rPr>
        <w:t xml:space="preserve">. An example of this type of memory would be riding a bike or reading. </w:t>
      </w:r>
      <w:r w:rsidR="0054042A" w:rsidRPr="00A246CD">
        <w:rPr>
          <w:rFonts w:ascii="Times New Roman" w:hAnsi="Times New Roman" w:cs="Times New Roman"/>
          <w:sz w:val="24"/>
          <w:szCs w:val="24"/>
        </w:rPr>
        <w:t xml:space="preserve">Connerton refers to this category of memory as ‘habit-memory’. </w:t>
      </w:r>
      <w:r w:rsidR="00BB487A" w:rsidRPr="00A246CD">
        <w:rPr>
          <w:rFonts w:ascii="Times New Roman" w:hAnsi="Times New Roman" w:cs="Times New Roman"/>
          <w:sz w:val="24"/>
          <w:szCs w:val="24"/>
        </w:rPr>
        <w:t>He shows that social 'habit-memory' is very different to the other two categories of memory. He does this by looking at the effects that the loss of personal and cognitive has on a person and then posing the question of what forgetting a habit-memory would be like</w:t>
      </w:r>
      <w:r w:rsidR="00BB487A" w:rsidRPr="00A246CD">
        <w:rPr>
          <w:rStyle w:val="FootnoteReference"/>
          <w:rFonts w:ascii="Times New Roman" w:hAnsi="Times New Roman" w:cs="Times New Roman"/>
          <w:sz w:val="24"/>
          <w:szCs w:val="24"/>
        </w:rPr>
        <w:footnoteReference w:id="10"/>
      </w:r>
      <w:r w:rsidR="00BB487A" w:rsidRPr="00A246CD">
        <w:rPr>
          <w:rFonts w:ascii="Times New Roman" w:hAnsi="Times New Roman" w:cs="Times New Roman"/>
          <w:sz w:val="24"/>
          <w:szCs w:val="24"/>
        </w:rPr>
        <w:t>.</w:t>
      </w:r>
      <w:r w:rsidR="000E13A6" w:rsidRPr="00A246CD">
        <w:rPr>
          <w:rFonts w:ascii="Times New Roman" w:hAnsi="Times New Roman" w:cs="Times New Roman"/>
          <w:sz w:val="24"/>
          <w:szCs w:val="24"/>
        </w:rPr>
        <w:t xml:space="preserve"> </w:t>
      </w:r>
      <w:r w:rsidR="00EB6D24" w:rsidRPr="00A246CD">
        <w:rPr>
          <w:rFonts w:ascii="Times New Roman" w:hAnsi="Times New Roman" w:cs="Times New Roman"/>
          <w:sz w:val="24"/>
          <w:szCs w:val="24"/>
        </w:rPr>
        <w:t>As well as these three classes of memory, Connerton also illustrates two different types of social practices for cementing memory into culture. The first is ‘incorporated practices</w:t>
      </w:r>
      <w:r w:rsidR="00B30E9B" w:rsidRPr="00A246CD">
        <w:rPr>
          <w:rStyle w:val="FootnoteReference"/>
          <w:rFonts w:ascii="Times New Roman" w:hAnsi="Times New Roman" w:cs="Times New Roman"/>
          <w:sz w:val="24"/>
          <w:szCs w:val="24"/>
        </w:rPr>
        <w:footnoteReference w:id="11"/>
      </w:r>
      <w:r w:rsidR="00EB6D24" w:rsidRPr="00A246CD">
        <w:rPr>
          <w:rFonts w:ascii="Times New Roman" w:hAnsi="Times New Roman" w:cs="Times New Roman"/>
          <w:sz w:val="24"/>
          <w:szCs w:val="24"/>
        </w:rPr>
        <w:t>’ which are the actions merged into our behaviours and habits. The second is ‘inscribing practices</w:t>
      </w:r>
      <w:r w:rsidR="00B30E9B" w:rsidRPr="00A246CD">
        <w:rPr>
          <w:rStyle w:val="FootnoteReference"/>
          <w:rFonts w:ascii="Times New Roman" w:hAnsi="Times New Roman" w:cs="Times New Roman"/>
          <w:sz w:val="24"/>
          <w:szCs w:val="24"/>
        </w:rPr>
        <w:footnoteReference w:id="12"/>
      </w:r>
      <w:r w:rsidR="00EB6D24" w:rsidRPr="00A246CD">
        <w:rPr>
          <w:rFonts w:ascii="Times New Roman" w:hAnsi="Times New Roman" w:cs="Times New Roman"/>
          <w:sz w:val="24"/>
          <w:szCs w:val="24"/>
        </w:rPr>
        <w:t xml:space="preserve">’ which are how we store information such as inscriptions or the writing of books in order to consciously preserve culturally important memories. </w:t>
      </w:r>
    </w:p>
    <w:p w:rsidR="000E13A6" w:rsidRPr="00A246CD" w:rsidRDefault="000E13A6" w:rsidP="00A1376F">
      <w:pPr>
        <w:jc w:val="both"/>
        <w:rPr>
          <w:rFonts w:ascii="Times New Roman" w:hAnsi="Times New Roman" w:cs="Times New Roman"/>
          <w:sz w:val="24"/>
          <w:szCs w:val="24"/>
        </w:rPr>
      </w:pPr>
      <w:r w:rsidRPr="00A246CD">
        <w:rPr>
          <w:rFonts w:ascii="Times New Roman" w:hAnsi="Times New Roman" w:cs="Times New Roman"/>
          <w:sz w:val="24"/>
          <w:szCs w:val="24"/>
        </w:rPr>
        <w:t>Within this theory, Connerton also focuses upon the influence social habit-memory has over 'repeated commemorative acts' and 'culturally specific bodily practices'</w:t>
      </w:r>
      <w:r w:rsidRPr="00A246CD">
        <w:rPr>
          <w:rFonts w:ascii="Times New Roman" w:hAnsi="Times New Roman" w:cs="Times New Roman"/>
          <w:sz w:val="24"/>
          <w:szCs w:val="24"/>
          <w:vertAlign w:val="superscript"/>
        </w:rPr>
        <w:footnoteReference w:id="13"/>
      </w:r>
      <w:r w:rsidRPr="00A246CD">
        <w:rPr>
          <w:rFonts w:ascii="Times New Roman" w:hAnsi="Times New Roman" w:cs="Times New Roman"/>
          <w:sz w:val="24"/>
          <w:szCs w:val="24"/>
        </w:rPr>
        <w:t xml:space="preserve">. These repeated acts are cultural habits and they become central to cultural practices. Ritualistic behaviour follows a set of rules that have been shaped and reinforced by habitual acts and bodily practices. </w:t>
      </w:r>
      <w:r w:rsidR="0077487D" w:rsidRPr="00A246CD">
        <w:rPr>
          <w:rFonts w:ascii="Times New Roman" w:hAnsi="Times New Roman" w:cs="Times New Roman"/>
          <w:sz w:val="24"/>
          <w:szCs w:val="24"/>
        </w:rPr>
        <w:t>This theory can be applied to the rituals and ceremonies of anci</w:t>
      </w:r>
      <w:r w:rsidR="00387F2C" w:rsidRPr="00A246CD">
        <w:rPr>
          <w:rFonts w:ascii="Times New Roman" w:hAnsi="Times New Roman" w:cs="Times New Roman"/>
          <w:sz w:val="24"/>
          <w:szCs w:val="24"/>
        </w:rPr>
        <w:t>ent civilisations by explaining the reason behind their</w:t>
      </w:r>
      <w:r w:rsidR="00177704" w:rsidRPr="00A246CD">
        <w:rPr>
          <w:rFonts w:ascii="Times New Roman" w:hAnsi="Times New Roman" w:cs="Times New Roman"/>
          <w:sz w:val="24"/>
          <w:szCs w:val="24"/>
        </w:rPr>
        <w:t xml:space="preserve"> perform</w:t>
      </w:r>
      <w:r w:rsidR="00387F2C" w:rsidRPr="00A246CD">
        <w:rPr>
          <w:rFonts w:ascii="Times New Roman" w:hAnsi="Times New Roman" w:cs="Times New Roman"/>
          <w:sz w:val="24"/>
          <w:szCs w:val="24"/>
        </w:rPr>
        <w:t xml:space="preserve">ance ritual and ceremonial actions and their use of space in regards to these practices. </w:t>
      </w:r>
      <w:r w:rsidR="00177704" w:rsidRPr="00A246CD">
        <w:rPr>
          <w:rFonts w:ascii="Times New Roman" w:hAnsi="Times New Roman" w:cs="Times New Roman"/>
          <w:sz w:val="24"/>
          <w:szCs w:val="24"/>
        </w:rPr>
        <w:t xml:space="preserve"> </w:t>
      </w:r>
    </w:p>
    <w:p w:rsidR="00A23F4C" w:rsidRPr="00A246CD" w:rsidRDefault="00B15E55" w:rsidP="00A1376F">
      <w:pPr>
        <w:jc w:val="both"/>
        <w:rPr>
          <w:rFonts w:ascii="Times New Roman" w:hAnsi="Times New Roman" w:cs="Times New Roman"/>
          <w:sz w:val="24"/>
          <w:szCs w:val="24"/>
        </w:rPr>
      </w:pPr>
      <w:r>
        <w:rPr>
          <w:rFonts w:ascii="Times New Roman" w:hAnsi="Times New Roman" w:cs="Times New Roman"/>
          <w:sz w:val="24"/>
          <w:szCs w:val="24"/>
        </w:rPr>
        <w:t xml:space="preserve">Another theoretical approach which can be applied to archaeology is Phenomenology. </w:t>
      </w:r>
      <w:r w:rsidR="00A23F4C" w:rsidRPr="00A246CD">
        <w:rPr>
          <w:rFonts w:ascii="Times New Roman" w:hAnsi="Times New Roman" w:cs="Times New Roman"/>
          <w:sz w:val="24"/>
          <w:szCs w:val="24"/>
        </w:rPr>
        <w:t>The theory of Phenomenology was first expounded in an archaeological perspective by Tilley</w:t>
      </w:r>
      <w:r w:rsidR="005A37E3" w:rsidRPr="00A246CD">
        <w:rPr>
          <w:rStyle w:val="FootnoteReference"/>
          <w:rFonts w:ascii="Times New Roman" w:hAnsi="Times New Roman" w:cs="Times New Roman"/>
          <w:sz w:val="24"/>
          <w:szCs w:val="24"/>
        </w:rPr>
        <w:footnoteReference w:id="14"/>
      </w:r>
      <w:r w:rsidR="00A23F4C" w:rsidRPr="00A246CD">
        <w:rPr>
          <w:rFonts w:ascii="Times New Roman" w:hAnsi="Times New Roman" w:cs="Times New Roman"/>
          <w:sz w:val="24"/>
          <w:szCs w:val="24"/>
        </w:rPr>
        <w:t xml:space="preserve"> who argued that archaeologists can </w:t>
      </w:r>
      <w:r w:rsidR="00925AAA" w:rsidRPr="00A246CD">
        <w:rPr>
          <w:rFonts w:ascii="Times New Roman" w:hAnsi="Times New Roman" w:cs="Times New Roman"/>
          <w:sz w:val="24"/>
          <w:szCs w:val="24"/>
        </w:rPr>
        <w:t xml:space="preserve">get a better understanding of the people and societies in the ancient world through exploring the sensory perceptions </w:t>
      </w:r>
      <w:r w:rsidR="00EB2E93" w:rsidRPr="00A246CD">
        <w:rPr>
          <w:rFonts w:ascii="Times New Roman" w:hAnsi="Times New Roman" w:cs="Times New Roman"/>
          <w:sz w:val="24"/>
          <w:szCs w:val="24"/>
        </w:rPr>
        <w:t xml:space="preserve">they may have encountered. </w:t>
      </w:r>
      <w:r w:rsidR="00D35793" w:rsidRPr="00A246CD">
        <w:rPr>
          <w:rFonts w:ascii="Times New Roman" w:hAnsi="Times New Roman" w:cs="Times New Roman"/>
          <w:sz w:val="24"/>
          <w:szCs w:val="24"/>
        </w:rPr>
        <w:t>Casey also explored the theory of Phenomenology in terms of place, in that people’s sensory experiences of a certain place are what makes that place. He explained this by saying; ‘there is no knowing or sensing a place except by being in that place, and to be in a place is to be in a position to perceive it’</w:t>
      </w:r>
      <w:r w:rsidR="00D35793" w:rsidRPr="00A246CD">
        <w:rPr>
          <w:sz w:val="24"/>
          <w:szCs w:val="24"/>
          <w:vertAlign w:val="superscript"/>
        </w:rPr>
        <w:footnoteReference w:id="15"/>
      </w:r>
      <w:r w:rsidR="00D35793" w:rsidRPr="00A246CD">
        <w:rPr>
          <w:rFonts w:ascii="Times New Roman" w:hAnsi="Times New Roman" w:cs="Times New Roman"/>
          <w:sz w:val="24"/>
          <w:szCs w:val="24"/>
        </w:rPr>
        <w:t>.</w:t>
      </w:r>
      <w:r w:rsidR="00FE1623" w:rsidRPr="00A246CD">
        <w:rPr>
          <w:rFonts w:ascii="Times New Roman" w:hAnsi="Times New Roman" w:cs="Times New Roman"/>
          <w:sz w:val="24"/>
          <w:szCs w:val="24"/>
        </w:rPr>
        <w:t xml:space="preserve"> The use of phenomenology in this way is helpful to archaeologists because we often become detached from the people we are studying when the only focus is upon the archaeological material, rather than on how the material objects and the </w:t>
      </w:r>
      <w:r w:rsidR="00EA32DC" w:rsidRPr="00A246CD">
        <w:rPr>
          <w:rFonts w:ascii="Times New Roman" w:hAnsi="Times New Roman" w:cs="Times New Roman"/>
          <w:sz w:val="24"/>
          <w:szCs w:val="24"/>
        </w:rPr>
        <w:t xml:space="preserve">settings had a sensory impact on people as individuals. </w:t>
      </w:r>
    </w:p>
    <w:p w:rsidR="006213CB" w:rsidRPr="00A246CD" w:rsidRDefault="00C62605" w:rsidP="00CC2C53">
      <w:pPr>
        <w:jc w:val="both"/>
        <w:rPr>
          <w:rFonts w:ascii="Times New Roman" w:hAnsi="Times New Roman" w:cs="Times New Roman"/>
          <w:sz w:val="24"/>
          <w:szCs w:val="24"/>
        </w:rPr>
      </w:pPr>
      <w:r w:rsidRPr="00A246CD">
        <w:rPr>
          <w:rFonts w:ascii="Times New Roman" w:hAnsi="Times New Roman" w:cs="Times New Roman"/>
          <w:sz w:val="24"/>
          <w:szCs w:val="24"/>
        </w:rPr>
        <w:t xml:space="preserve">The practice of feasting can be explored </w:t>
      </w:r>
      <w:r w:rsidR="00910766" w:rsidRPr="00A246CD">
        <w:rPr>
          <w:rFonts w:ascii="Times New Roman" w:hAnsi="Times New Roman" w:cs="Times New Roman"/>
          <w:sz w:val="24"/>
          <w:szCs w:val="24"/>
        </w:rPr>
        <w:t xml:space="preserve">in this way </w:t>
      </w:r>
      <w:r w:rsidRPr="00A246CD">
        <w:rPr>
          <w:rFonts w:ascii="Times New Roman" w:hAnsi="Times New Roman" w:cs="Times New Roman"/>
          <w:sz w:val="24"/>
          <w:szCs w:val="24"/>
        </w:rPr>
        <w:t xml:space="preserve">through examining the objects used within commensality as well as the location in which it took place. In this way we can begin </w:t>
      </w:r>
      <w:r w:rsidRPr="00A246CD">
        <w:rPr>
          <w:rFonts w:ascii="Times New Roman" w:hAnsi="Times New Roman" w:cs="Times New Roman"/>
          <w:sz w:val="24"/>
          <w:szCs w:val="24"/>
        </w:rPr>
        <w:lastRenderedPageBreak/>
        <w:t>to explore the 'sensual experience of feasting'</w:t>
      </w:r>
      <w:r w:rsidRPr="00A246CD">
        <w:rPr>
          <w:rStyle w:val="FootnoteReference"/>
          <w:rFonts w:ascii="Times New Roman" w:hAnsi="Times New Roman" w:cs="Times New Roman"/>
          <w:sz w:val="24"/>
          <w:szCs w:val="24"/>
        </w:rPr>
        <w:footnoteReference w:id="16"/>
      </w:r>
      <w:r w:rsidRPr="00A246CD">
        <w:rPr>
          <w:rFonts w:ascii="Times New Roman" w:hAnsi="Times New Roman" w:cs="Times New Roman"/>
          <w:sz w:val="24"/>
          <w:szCs w:val="24"/>
        </w:rPr>
        <w:t xml:space="preserve"> that the people taking part in them would have been subject to.</w:t>
      </w:r>
      <w:r w:rsidR="00A23F4C" w:rsidRPr="00A246CD">
        <w:rPr>
          <w:rFonts w:ascii="Times New Roman" w:hAnsi="Times New Roman" w:cs="Times New Roman"/>
          <w:sz w:val="24"/>
          <w:szCs w:val="24"/>
        </w:rPr>
        <w:t xml:space="preserve"> </w:t>
      </w:r>
      <w:r w:rsidR="001B6CAD" w:rsidRPr="00A246CD">
        <w:rPr>
          <w:rFonts w:ascii="Times New Roman" w:hAnsi="Times New Roman" w:cs="Times New Roman"/>
          <w:sz w:val="24"/>
          <w:szCs w:val="24"/>
        </w:rPr>
        <w:t xml:space="preserve">There are many aspects of a feast that would have played a role in creating an atmosphere which encapsulated all of the senses of the attendee. </w:t>
      </w:r>
      <w:r w:rsidR="00CC2C53" w:rsidRPr="00A246CD">
        <w:rPr>
          <w:rFonts w:ascii="Times New Roman" w:hAnsi="Times New Roman" w:cs="Times New Roman"/>
          <w:sz w:val="24"/>
          <w:szCs w:val="24"/>
        </w:rPr>
        <w:t>Many scholars have explored ideas surrounding feasting and the conspicuous consump</w:t>
      </w:r>
      <w:r w:rsidR="00A14103" w:rsidRPr="00A246CD">
        <w:rPr>
          <w:rFonts w:ascii="Times New Roman" w:hAnsi="Times New Roman" w:cs="Times New Roman"/>
          <w:sz w:val="24"/>
          <w:szCs w:val="24"/>
        </w:rPr>
        <w:t xml:space="preserve">tion of food and drink in this respect. For example, </w:t>
      </w:r>
      <w:r w:rsidR="00CC2C53" w:rsidRPr="00A246CD">
        <w:rPr>
          <w:rFonts w:ascii="Times New Roman" w:hAnsi="Times New Roman" w:cs="Times New Roman"/>
          <w:sz w:val="24"/>
          <w:szCs w:val="24"/>
        </w:rPr>
        <w:t>Hamilakis and Sherratt argue that consumption is 'an essential part of the human condition'</w:t>
      </w:r>
      <w:r w:rsidR="00A14103" w:rsidRPr="00A246CD">
        <w:rPr>
          <w:rStyle w:val="FootnoteReference"/>
          <w:rFonts w:ascii="Times New Roman" w:hAnsi="Times New Roman" w:cs="Times New Roman"/>
          <w:sz w:val="24"/>
          <w:szCs w:val="24"/>
        </w:rPr>
        <w:footnoteReference w:id="17"/>
      </w:r>
      <w:r w:rsidR="00CC2C53" w:rsidRPr="00A246CD">
        <w:rPr>
          <w:rFonts w:ascii="Times New Roman" w:hAnsi="Times New Roman" w:cs="Times New Roman"/>
          <w:sz w:val="24"/>
          <w:szCs w:val="24"/>
        </w:rPr>
        <w:t xml:space="preserve"> and that consumption within a social context is essential in how individuals view their identity or the identity of</w:t>
      </w:r>
      <w:r w:rsidR="00B66C48">
        <w:rPr>
          <w:rFonts w:ascii="Times New Roman" w:hAnsi="Times New Roman" w:cs="Times New Roman"/>
          <w:sz w:val="24"/>
          <w:szCs w:val="24"/>
        </w:rPr>
        <w:t xml:space="preserve"> the group they belong to</w:t>
      </w:r>
      <w:r w:rsidR="00B66C48">
        <w:rPr>
          <w:rStyle w:val="FootnoteReference"/>
          <w:rFonts w:ascii="Times New Roman" w:hAnsi="Times New Roman" w:cs="Times New Roman"/>
          <w:sz w:val="24"/>
          <w:szCs w:val="24"/>
        </w:rPr>
        <w:footnoteReference w:id="18"/>
      </w:r>
      <w:r w:rsidR="00B66C48">
        <w:rPr>
          <w:rFonts w:ascii="Times New Roman" w:hAnsi="Times New Roman" w:cs="Times New Roman"/>
          <w:sz w:val="24"/>
          <w:szCs w:val="24"/>
        </w:rPr>
        <w:t>.</w:t>
      </w:r>
      <w:r w:rsidR="00CC2C53" w:rsidRPr="00A246CD">
        <w:rPr>
          <w:rFonts w:ascii="Times New Roman" w:hAnsi="Times New Roman" w:cs="Times New Roman"/>
          <w:sz w:val="24"/>
          <w:szCs w:val="24"/>
        </w:rPr>
        <w:t xml:space="preserve"> </w:t>
      </w:r>
      <w:r w:rsidR="00213E37" w:rsidRPr="00A246CD">
        <w:rPr>
          <w:rFonts w:ascii="Times New Roman" w:hAnsi="Times New Roman" w:cs="Times New Roman"/>
          <w:sz w:val="24"/>
          <w:szCs w:val="24"/>
        </w:rPr>
        <w:t xml:space="preserve">In this way, the ritual actions, ceremonies and material used or performed </w:t>
      </w:r>
      <w:r w:rsidR="00FA2416" w:rsidRPr="00A246CD">
        <w:rPr>
          <w:rFonts w:ascii="Times New Roman" w:hAnsi="Times New Roman" w:cs="Times New Roman"/>
          <w:sz w:val="24"/>
          <w:szCs w:val="24"/>
        </w:rPr>
        <w:t xml:space="preserve">during feasting all conveyed an expressions of personal identity. </w:t>
      </w:r>
    </w:p>
    <w:p w:rsidR="00CC2C53" w:rsidRPr="00A246CD" w:rsidRDefault="00FA2416" w:rsidP="00CC2C53">
      <w:pPr>
        <w:jc w:val="both"/>
        <w:rPr>
          <w:rFonts w:ascii="Times New Roman" w:hAnsi="Times New Roman" w:cs="Times New Roman"/>
          <w:sz w:val="24"/>
          <w:szCs w:val="24"/>
        </w:rPr>
      </w:pPr>
      <w:r w:rsidRPr="00A246CD">
        <w:rPr>
          <w:rFonts w:ascii="Times New Roman" w:hAnsi="Times New Roman" w:cs="Times New Roman"/>
          <w:sz w:val="24"/>
          <w:szCs w:val="24"/>
        </w:rPr>
        <w:t xml:space="preserve"> </w:t>
      </w:r>
      <w:r w:rsidR="00CC2C53" w:rsidRPr="00A246CD">
        <w:rPr>
          <w:rFonts w:ascii="Times New Roman" w:hAnsi="Times New Roman" w:cs="Times New Roman"/>
          <w:sz w:val="24"/>
          <w:szCs w:val="24"/>
        </w:rPr>
        <w:t xml:space="preserve">Hamilakis and Sherratt </w:t>
      </w:r>
      <w:r w:rsidR="002877E2">
        <w:rPr>
          <w:rFonts w:ascii="Times New Roman" w:hAnsi="Times New Roman" w:cs="Times New Roman"/>
          <w:sz w:val="24"/>
          <w:szCs w:val="24"/>
        </w:rPr>
        <w:t xml:space="preserve">also </w:t>
      </w:r>
      <w:r w:rsidR="00CC2C53" w:rsidRPr="00A246CD">
        <w:rPr>
          <w:rFonts w:ascii="Times New Roman" w:hAnsi="Times New Roman" w:cs="Times New Roman"/>
          <w:sz w:val="24"/>
          <w:szCs w:val="24"/>
        </w:rPr>
        <w:t>highlight many different aspects that are elements of social consumption and have the purpose of defining group or individual identity. These range from ritualised smoking to dedications made to the gods</w:t>
      </w:r>
      <w:r w:rsidR="003D0FB7">
        <w:rPr>
          <w:rStyle w:val="FootnoteReference"/>
          <w:rFonts w:ascii="Times New Roman" w:hAnsi="Times New Roman" w:cs="Times New Roman"/>
          <w:sz w:val="24"/>
          <w:szCs w:val="24"/>
        </w:rPr>
        <w:footnoteReference w:id="19"/>
      </w:r>
      <w:r w:rsidR="00D405B1">
        <w:rPr>
          <w:rFonts w:ascii="Times New Roman" w:hAnsi="Times New Roman" w:cs="Times New Roman"/>
          <w:sz w:val="24"/>
          <w:szCs w:val="24"/>
        </w:rPr>
        <w:t>.</w:t>
      </w:r>
      <w:r w:rsidR="006213CB" w:rsidRPr="00A246CD">
        <w:rPr>
          <w:rFonts w:ascii="Times New Roman" w:hAnsi="Times New Roman" w:cs="Times New Roman"/>
          <w:sz w:val="24"/>
          <w:szCs w:val="24"/>
        </w:rPr>
        <w:t xml:space="preserve"> Activities such as these portray identity through the feelings and emotional responses they illicit from participants. </w:t>
      </w:r>
      <w:r w:rsidR="00D405B1">
        <w:rPr>
          <w:rFonts w:ascii="Times New Roman" w:hAnsi="Times New Roman" w:cs="Times New Roman"/>
          <w:sz w:val="24"/>
          <w:szCs w:val="24"/>
        </w:rPr>
        <w:t xml:space="preserve">These feelings are what are remembered by the individual. </w:t>
      </w:r>
      <w:r w:rsidR="00CC2C53" w:rsidRPr="00A246CD">
        <w:rPr>
          <w:rFonts w:ascii="Times New Roman" w:hAnsi="Times New Roman" w:cs="Times New Roman"/>
          <w:sz w:val="24"/>
          <w:szCs w:val="24"/>
        </w:rPr>
        <w:t>Memory in terms of feasting for Hamilakis and Sherratt comes in two parts; 'bodily memory' and the material record of the objects associated with and used in feasting</w:t>
      </w:r>
      <w:r w:rsidR="008D105A">
        <w:rPr>
          <w:rStyle w:val="FootnoteReference"/>
          <w:rFonts w:ascii="Times New Roman" w:hAnsi="Times New Roman" w:cs="Times New Roman"/>
          <w:sz w:val="24"/>
          <w:szCs w:val="24"/>
        </w:rPr>
        <w:footnoteReference w:id="20"/>
      </w:r>
      <w:r w:rsidR="00D405B1">
        <w:rPr>
          <w:rFonts w:ascii="Times New Roman" w:hAnsi="Times New Roman" w:cs="Times New Roman"/>
          <w:sz w:val="24"/>
          <w:szCs w:val="24"/>
        </w:rPr>
        <w:t xml:space="preserve">. </w:t>
      </w:r>
    </w:p>
    <w:p w:rsidR="00E75458" w:rsidRPr="00A246CD" w:rsidRDefault="00E75458" w:rsidP="00ED07FD">
      <w:pPr>
        <w:jc w:val="both"/>
        <w:rPr>
          <w:rFonts w:ascii="Times New Roman" w:hAnsi="Times New Roman" w:cs="Times New Roman"/>
          <w:sz w:val="24"/>
          <w:szCs w:val="24"/>
        </w:rPr>
      </w:pPr>
      <w:r w:rsidRPr="00A246CD">
        <w:rPr>
          <w:rFonts w:ascii="Times New Roman" w:hAnsi="Times New Roman" w:cs="Times New Roman"/>
          <w:sz w:val="24"/>
          <w:szCs w:val="24"/>
        </w:rPr>
        <w:t xml:space="preserve">There are two buildings within the palatial area of Ugarit that visibly appear to be places of ritual and ceremonial activity; the Hurrian Temple and the Pillared Building. </w:t>
      </w:r>
      <w:r w:rsidR="0001488D" w:rsidRPr="00A246CD">
        <w:rPr>
          <w:rFonts w:ascii="Times New Roman" w:hAnsi="Times New Roman" w:cs="Times New Roman"/>
          <w:sz w:val="24"/>
          <w:szCs w:val="24"/>
        </w:rPr>
        <w:t xml:space="preserve">These two archaeological structures </w:t>
      </w:r>
      <w:r w:rsidR="00E8256C" w:rsidRPr="00A246CD">
        <w:rPr>
          <w:rFonts w:ascii="Times New Roman" w:hAnsi="Times New Roman" w:cs="Times New Roman"/>
          <w:sz w:val="24"/>
          <w:szCs w:val="24"/>
        </w:rPr>
        <w:t>prove useful as case studies to which both theories discussed above can be applied</w:t>
      </w:r>
      <w:r w:rsidR="00321A78" w:rsidRPr="00A246CD">
        <w:rPr>
          <w:rFonts w:ascii="Times New Roman" w:hAnsi="Times New Roman" w:cs="Times New Roman"/>
          <w:sz w:val="24"/>
          <w:szCs w:val="24"/>
        </w:rPr>
        <w:t xml:space="preserve"> in order to</w:t>
      </w:r>
      <w:r w:rsidR="00E8256C" w:rsidRPr="00A246CD">
        <w:rPr>
          <w:rFonts w:ascii="Times New Roman" w:hAnsi="Times New Roman" w:cs="Times New Roman"/>
          <w:sz w:val="24"/>
          <w:szCs w:val="24"/>
        </w:rPr>
        <w:t xml:space="preserve"> </w:t>
      </w:r>
      <w:r w:rsidR="00321A78" w:rsidRPr="00A246CD">
        <w:rPr>
          <w:rFonts w:ascii="Times New Roman" w:hAnsi="Times New Roman" w:cs="Times New Roman"/>
          <w:sz w:val="24"/>
          <w:szCs w:val="24"/>
        </w:rPr>
        <w:t>analyse them</w:t>
      </w:r>
      <w:r w:rsidR="00E8256C" w:rsidRPr="00A246CD">
        <w:rPr>
          <w:rFonts w:ascii="Times New Roman" w:hAnsi="Times New Roman" w:cs="Times New Roman"/>
          <w:sz w:val="24"/>
          <w:szCs w:val="24"/>
        </w:rPr>
        <w:t xml:space="preserve">. </w:t>
      </w:r>
    </w:p>
    <w:p w:rsidR="00ED07FD" w:rsidRPr="00A246CD" w:rsidRDefault="00ED07FD" w:rsidP="00ED07FD">
      <w:pPr>
        <w:jc w:val="both"/>
        <w:rPr>
          <w:rFonts w:ascii="Times New Roman" w:hAnsi="Times New Roman" w:cs="Times New Roman"/>
          <w:sz w:val="24"/>
          <w:szCs w:val="24"/>
        </w:rPr>
      </w:pPr>
      <w:r w:rsidRPr="00A246CD">
        <w:rPr>
          <w:rFonts w:ascii="Times New Roman" w:hAnsi="Times New Roman" w:cs="Times New Roman"/>
          <w:sz w:val="24"/>
          <w:szCs w:val="24"/>
        </w:rPr>
        <w:t>The temple within the palatial area is referred to as the “Hurrian” Temple. The reason behind its name is because during the excavations of this temple two figurines were found that depict a seated goddess and a standing god. When they were excavated, these two figurines were believed to be Hurrian</w:t>
      </w:r>
      <w:r w:rsidRPr="00A246CD">
        <w:rPr>
          <w:rFonts w:ascii="Times New Roman" w:hAnsi="Times New Roman" w:cs="Times New Roman"/>
          <w:sz w:val="24"/>
          <w:szCs w:val="24"/>
          <w:vertAlign w:val="superscript"/>
        </w:rPr>
        <w:footnoteReference w:id="21"/>
      </w:r>
      <w:r w:rsidRPr="00A246CD">
        <w:rPr>
          <w:rFonts w:ascii="Times New Roman" w:hAnsi="Times New Roman" w:cs="Times New Roman"/>
          <w:sz w:val="24"/>
          <w:szCs w:val="24"/>
        </w:rPr>
        <w:t>. The Hurrian Temple has been dated to have been constructed sometime at the end of the Middle Bronze Age</w:t>
      </w:r>
      <w:r w:rsidRPr="00A246CD">
        <w:rPr>
          <w:rFonts w:ascii="Times New Roman" w:hAnsi="Times New Roman" w:cs="Times New Roman"/>
          <w:sz w:val="24"/>
          <w:szCs w:val="24"/>
          <w:vertAlign w:val="superscript"/>
        </w:rPr>
        <w:footnoteReference w:id="22"/>
      </w:r>
      <w:r w:rsidRPr="00A246CD">
        <w:rPr>
          <w:rFonts w:ascii="Times New Roman" w:hAnsi="Times New Roman" w:cs="Times New Roman"/>
          <w:sz w:val="24"/>
          <w:szCs w:val="24"/>
        </w:rPr>
        <w:t>. The temple is 12 meters long and 8 meters wide and inside is split into two sections which are divided by a doorway. In the section through the inside doorway is a flight of steps. Yon says that the stairway in the temple would have lead up to a roof terrace and that it was ‘on this terrace that ceremonies would have been held’</w:t>
      </w:r>
      <w:r w:rsidRPr="00A246CD">
        <w:rPr>
          <w:rFonts w:ascii="Times New Roman" w:hAnsi="Times New Roman" w:cs="Times New Roman"/>
          <w:sz w:val="24"/>
          <w:szCs w:val="24"/>
          <w:vertAlign w:val="superscript"/>
        </w:rPr>
        <w:footnoteReference w:id="23"/>
      </w:r>
      <w:r w:rsidRPr="00A246CD">
        <w:rPr>
          <w:rFonts w:ascii="Times New Roman" w:hAnsi="Times New Roman" w:cs="Times New Roman"/>
          <w:sz w:val="24"/>
          <w:szCs w:val="24"/>
        </w:rPr>
        <w:t>. The layout of this temple is similar to the layout of the temple to Baal and the temple to Dagan on the acropolis</w:t>
      </w:r>
      <w:r w:rsidRPr="00A246CD">
        <w:rPr>
          <w:rStyle w:val="FootnoteReference"/>
          <w:rFonts w:ascii="Times New Roman" w:hAnsi="Times New Roman" w:cs="Times New Roman"/>
          <w:sz w:val="24"/>
          <w:szCs w:val="24"/>
        </w:rPr>
        <w:footnoteReference w:id="24"/>
      </w:r>
      <w:r w:rsidRPr="00A246CD">
        <w:rPr>
          <w:rFonts w:ascii="Times New Roman" w:hAnsi="Times New Roman" w:cs="Times New Roman"/>
          <w:sz w:val="24"/>
          <w:szCs w:val="24"/>
        </w:rPr>
        <w:t>.</w:t>
      </w:r>
    </w:p>
    <w:p w:rsidR="000A5016" w:rsidRPr="00A246CD" w:rsidRDefault="00E75458" w:rsidP="003C3FB6">
      <w:pPr>
        <w:jc w:val="both"/>
        <w:rPr>
          <w:rFonts w:ascii="Times New Roman" w:hAnsi="Times New Roman" w:cs="Times New Roman"/>
          <w:sz w:val="24"/>
          <w:szCs w:val="24"/>
        </w:rPr>
      </w:pPr>
      <w:r w:rsidRPr="00A246CD">
        <w:rPr>
          <w:rFonts w:ascii="Times New Roman" w:hAnsi="Times New Roman" w:cs="Times New Roman"/>
          <w:sz w:val="24"/>
          <w:szCs w:val="24"/>
        </w:rPr>
        <w:t xml:space="preserve">The Pillared building is located next to the Hurrian Temple but is considerably bigger. </w:t>
      </w:r>
      <w:r w:rsidR="00667D4A" w:rsidRPr="00A246CD">
        <w:rPr>
          <w:rFonts w:ascii="Times New Roman" w:hAnsi="Times New Roman" w:cs="Times New Roman"/>
          <w:sz w:val="24"/>
          <w:szCs w:val="24"/>
        </w:rPr>
        <w:t>It was built in the 13</w:t>
      </w:r>
      <w:r w:rsidR="00667D4A" w:rsidRPr="00A246CD">
        <w:rPr>
          <w:rFonts w:ascii="Times New Roman" w:hAnsi="Times New Roman" w:cs="Times New Roman"/>
          <w:sz w:val="24"/>
          <w:szCs w:val="24"/>
          <w:vertAlign w:val="superscript"/>
        </w:rPr>
        <w:t>th</w:t>
      </w:r>
      <w:r w:rsidR="00667D4A" w:rsidRPr="00A246CD">
        <w:rPr>
          <w:rFonts w:ascii="Times New Roman" w:hAnsi="Times New Roman" w:cs="Times New Roman"/>
          <w:sz w:val="24"/>
          <w:szCs w:val="24"/>
        </w:rPr>
        <w:t xml:space="preserve"> century BC</w:t>
      </w:r>
      <w:r w:rsidR="00667D4A" w:rsidRPr="00A246CD">
        <w:rPr>
          <w:rFonts w:ascii="Times New Roman" w:hAnsi="Times New Roman" w:cs="Times New Roman"/>
          <w:sz w:val="24"/>
          <w:szCs w:val="24"/>
          <w:vertAlign w:val="superscript"/>
        </w:rPr>
        <w:footnoteReference w:id="25"/>
      </w:r>
      <w:r w:rsidRPr="00A246CD">
        <w:rPr>
          <w:rFonts w:ascii="Times New Roman" w:hAnsi="Times New Roman" w:cs="Times New Roman"/>
          <w:sz w:val="24"/>
          <w:szCs w:val="24"/>
        </w:rPr>
        <w:t xml:space="preserve"> and so was probably designed to fit around the older temple. There is a southern entrance into two chambers separated by pillars which then leads through </w:t>
      </w:r>
      <w:r w:rsidRPr="00A246CD">
        <w:rPr>
          <w:rFonts w:ascii="Times New Roman" w:hAnsi="Times New Roman" w:cs="Times New Roman"/>
          <w:sz w:val="24"/>
          <w:szCs w:val="24"/>
        </w:rPr>
        <w:lastRenderedPageBreak/>
        <w:t>towards a ramp and a stairway. Both of these lead into the pillared hall. The eastern end of the hall is where the staircase comes out and is separated off from the rest of the hall by a doorway. The whole of the pillared hall is paved and a line of pillars run</w:t>
      </w:r>
      <w:r w:rsidR="00322FA3">
        <w:rPr>
          <w:rFonts w:ascii="Times New Roman" w:hAnsi="Times New Roman" w:cs="Times New Roman"/>
          <w:sz w:val="24"/>
          <w:szCs w:val="24"/>
        </w:rPr>
        <w:t>s</w:t>
      </w:r>
      <w:r w:rsidRPr="00A246CD">
        <w:rPr>
          <w:rFonts w:ascii="Times New Roman" w:hAnsi="Times New Roman" w:cs="Times New Roman"/>
          <w:sz w:val="24"/>
          <w:szCs w:val="24"/>
        </w:rPr>
        <w:t xml:space="preserve"> through the centre of it. </w:t>
      </w:r>
      <w:r w:rsidR="008F2A6C" w:rsidRPr="00A246CD">
        <w:rPr>
          <w:rFonts w:ascii="Times New Roman" w:hAnsi="Times New Roman" w:cs="Times New Roman"/>
          <w:sz w:val="24"/>
          <w:szCs w:val="24"/>
        </w:rPr>
        <w:t xml:space="preserve">An early interpretation of this building was that it was the Royal stables but this is now not considered to be the case. </w:t>
      </w:r>
      <w:r w:rsidR="00667D4A" w:rsidRPr="00A246CD">
        <w:rPr>
          <w:rFonts w:ascii="Times New Roman" w:hAnsi="Times New Roman" w:cs="Times New Roman"/>
          <w:sz w:val="24"/>
          <w:szCs w:val="24"/>
        </w:rPr>
        <w:t xml:space="preserve">The floor of the Pillared Building is completely paved and so is unlikely to have been used as a stable. </w:t>
      </w:r>
      <w:r w:rsidR="005352ED" w:rsidRPr="00A246CD">
        <w:rPr>
          <w:rFonts w:ascii="Times New Roman" w:hAnsi="Times New Roman" w:cs="Times New Roman"/>
          <w:sz w:val="24"/>
          <w:szCs w:val="24"/>
        </w:rPr>
        <w:t>Yon puts forward the idea that the Pillared Building was more probably used for ‘assemblies and banquets related to the ceremonies held in the temple’</w:t>
      </w:r>
      <w:r w:rsidR="005352ED" w:rsidRPr="00A246CD">
        <w:rPr>
          <w:rFonts w:ascii="Times New Roman" w:hAnsi="Times New Roman" w:cs="Times New Roman"/>
          <w:sz w:val="24"/>
          <w:szCs w:val="24"/>
          <w:vertAlign w:val="superscript"/>
        </w:rPr>
        <w:footnoteReference w:id="26"/>
      </w:r>
      <w:r w:rsidR="005352ED" w:rsidRPr="00A246CD">
        <w:rPr>
          <w:rFonts w:ascii="Times New Roman" w:hAnsi="Times New Roman" w:cs="Times New Roman"/>
          <w:sz w:val="24"/>
          <w:szCs w:val="24"/>
        </w:rPr>
        <w:t xml:space="preserve">. </w:t>
      </w:r>
    </w:p>
    <w:p w:rsidR="003674D0" w:rsidRPr="00A246CD" w:rsidRDefault="003674D0" w:rsidP="00A1376F">
      <w:pPr>
        <w:jc w:val="both"/>
        <w:rPr>
          <w:rFonts w:ascii="Times New Roman" w:hAnsi="Times New Roman" w:cs="Times New Roman"/>
          <w:sz w:val="24"/>
          <w:szCs w:val="24"/>
        </w:rPr>
      </w:pPr>
      <w:r w:rsidRPr="00A246CD">
        <w:rPr>
          <w:rFonts w:ascii="Times New Roman" w:hAnsi="Times New Roman" w:cs="Times New Roman"/>
          <w:sz w:val="24"/>
          <w:szCs w:val="24"/>
        </w:rPr>
        <w:t>Feasts are important activities within a community because they have great political significance. This is because they reinforce and promote social hierar</w:t>
      </w:r>
      <w:r w:rsidR="00DC3ED0" w:rsidRPr="00A246CD">
        <w:rPr>
          <w:rFonts w:ascii="Times New Roman" w:hAnsi="Times New Roman" w:cs="Times New Roman"/>
          <w:sz w:val="24"/>
          <w:szCs w:val="24"/>
        </w:rPr>
        <w:t>chy and bonds</w:t>
      </w:r>
      <w:r w:rsidR="00DC3ED0" w:rsidRPr="00A246CD">
        <w:rPr>
          <w:rStyle w:val="FootnoteReference"/>
          <w:rFonts w:ascii="Times New Roman" w:hAnsi="Times New Roman" w:cs="Times New Roman"/>
          <w:sz w:val="24"/>
          <w:szCs w:val="24"/>
        </w:rPr>
        <w:footnoteReference w:id="27"/>
      </w:r>
      <w:r w:rsidR="00DC3ED0" w:rsidRPr="00A246CD">
        <w:rPr>
          <w:rFonts w:ascii="Times New Roman" w:hAnsi="Times New Roman" w:cs="Times New Roman"/>
          <w:sz w:val="24"/>
          <w:szCs w:val="24"/>
        </w:rPr>
        <w:t>.</w:t>
      </w:r>
      <w:r w:rsidRPr="00A246CD">
        <w:rPr>
          <w:rFonts w:ascii="Times New Roman" w:hAnsi="Times New Roman" w:cs="Times New Roman"/>
          <w:sz w:val="24"/>
          <w:szCs w:val="24"/>
        </w:rPr>
        <w:t xml:space="preserve"> Many aspects of feasting have the</w:t>
      </w:r>
      <w:r w:rsidR="00A14103" w:rsidRPr="00A246CD">
        <w:rPr>
          <w:rFonts w:ascii="Times New Roman" w:hAnsi="Times New Roman" w:cs="Times New Roman"/>
          <w:sz w:val="24"/>
          <w:szCs w:val="24"/>
        </w:rPr>
        <w:t xml:space="preserve"> underlying purpose of legitimis</w:t>
      </w:r>
      <w:r w:rsidRPr="00A246CD">
        <w:rPr>
          <w:rFonts w:ascii="Times New Roman" w:hAnsi="Times New Roman" w:cs="Times New Roman"/>
          <w:sz w:val="24"/>
          <w:szCs w:val="24"/>
        </w:rPr>
        <w:t>ing social positions such as the type of food consumed and the specialised materials used in its consumption. The location of the feast may a</w:t>
      </w:r>
      <w:r w:rsidR="00A14103" w:rsidRPr="00A246CD">
        <w:rPr>
          <w:rFonts w:ascii="Times New Roman" w:hAnsi="Times New Roman" w:cs="Times New Roman"/>
          <w:sz w:val="24"/>
          <w:szCs w:val="24"/>
        </w:rPr>
        <w:t>lso play a part in the legitimis</w:t>
      </w:r>
      <w:r w:rsidRPr="00A246CD">
        <w:rPr>
          <w:rFonts w:ascii="Times New Roman" w:hAnsi="Times New Roman" w:cs="Times New Roman"/>
          <w:sz w:val="24"/>
          <w:szCs w:val="24"/>
        </w:rPr>
        <w:t xml:space="preserve">ation of authority within a society. For example, if a feast was hosted by the Royal family of Ugarit in the Pillared Building it would enforce their authority though the way the atmosphere and setting impacted those attending. The grandeur and space of the Pillared building, combined with the presumably high value food and material objects would have produced a sense of awe on the part of the guest and a projection of </w:t>
      </w:r>
      <w:r w:rsidR="008078D5" w:rsidRPr="00A246CD">
        <w:rPr>
          <w:rFonts w:ascii="Times New Roman" w:hAnsi="Times New Roman" w:cs="Times New Roman"/>
          <w:sz w:val="24"/>
          <w:szCs w:val="24"/>
        </w:rPr>
        <w:t>affluence</w:t>
      </w:r>
      <w:r w:rsidRPr="00A246CD">
        <w:rPr>
          <w:rFonts w:ascii="Times New Roman" w:hAnsi="Times New Roman" w:cs="Times New Roman"/>
          <w:sz w:val="24"/>
          <w:szCs w:val="24"/>
        </w:rPr>
        <w:t xml:space="preserve"> and power from the hosts.</w:t>
      </w:r>
    </w:p>
    <w:p w:rsidR="008B29F8" w:rsidRPr="00A246CD" w:rsidRDefault="008B29F8" w:rsidP="00C352AD">
      <w:pPr>
        <w:jc w:val="both"/>
        <w:rPr>
          <w:rFonts w:ascii="Times New Roman" w:hAnsi="Times New Roman" w:cs="Times New Roman"/>
          <w:sz w:val="24"/>
          <w:szCs w:val="24"/>
        </w:rPr>
      </w:pPr>
      <w:r w:rsidRPr="00A246CD">
        <w:rPr>
          <w:rFonts w:ascii="Times New Roman" w:hAnsi="Times New Roman" w:cs="Times New Roman"/>
          <w:sz w:val="24"/>
          <w:szCs w:val="24"/>
        </w:rPr>
        <w:t>The Palace at Ugarit can be seen as a</w:t>
      </w:r>
      <w:r w:rsidR="00D6147F" w:rsidRPr="00A246CD">
        <w:rPr>
          <w:rFonts w:ascii="Times New Roman" w:hAnsi="Times New Roman" w:cs="Times New Roman"/>
          <w:sz w:val="24"/>
          <w:szCs w:val="24"/>
        </w:rPr>
        <w:t>n important</w:t>
      </w:r>
      <w:r w:rsidRPr="00A246CD">
        <w:rPr>
          <w:rFonts w:ascii="Times New Roman" w:hAnsi="Times New Roman" w:cs="Times New Roman"/>
          <w:sz w:val="24"/>
          <w:szCs w:val="24"/>
        </w:rPr>
        <w:t xml:space="preserve"> centre for ceremonial religious activity. </w:t>
      </w:r>
      <w:r w:rsidR="00D6147F" w:rsidRPr="00A246CD">
        <w:rPr>
          <w:rFonts w:ascii="Times New Roman" w:hAnsi="Times New Roman" w:cs="Times New Roman"/>
          <w:sz w:val="24"/>
          <w:szCs w:val="24"/>
        </w:rPr>
        <w:t xml:space="preserve">It may not have been the religious centre in the sense that it was the most concentrated area of religious activity </w:t>
      </w:r>
      <w:r w:rsidR="00C352AD" w:rsidRPr="00A246CD">
        <w:rPr>
          <w:rFonts w:ascii="Times New Roman" w:hAnsi="Times New Roman" w:cs="Times New Roman"/>
          <w:sz w:val="24"/>
          <w:szCs w:val="24"/>
        </w:rPr>
        <w:t xml:space="preserve">in the kingdom </w:t>
      </w:r>
      <w:r w:rsidR="00D6147F" w:rsidRPr="00A246CD">
        <w:rPr>
          <w:rFonts w:ascii="Times New Roman" w:hAnsi="Times New Roman" w:cs="Times New Roman"/>
          <w:sz w:val="24"/>
          <w:szCs w:val="24"/>
        </w:rPr>
        <w:t xml:space="preserve">because of the two large temples to Baal and Dagan on the acropolis. </w:t>
      </w:r>
      <w:r w:rsidR="00B655E8" w:rsidRPr="00A246CD">
        <w:rPr>
          <w:rFonts w:ascii="Times New Roman" w:hAnsi="Times New Roman" w:cs="Times New Roman"/>
          <w:sz w:val="24"/>
          <w:szCs w:val="24"/>
        </w:rPr>
        <w:t>However, it may have been the Royal centre of religious activity while t</w:t>
      </w:r>
      <w:r w:rsidR="00AA6E03" w:rsidRPr="00A246CD">
        <w:rPr>
          <w:rFonts w:ascii="Times New Roman" w:hAnsi="Times New Roman" w:cs="Times New Roman"/>
          <w:sz w:val="24"/>
          <w:szCs w:val="24"/>
        </w:rPr>
        <w:t>he temples of Baal and Dagan were possibly</w:t>
      </w:r>
      <w:r w:rsidR="00B655E8" w:rsidRPr="00A246CD">
        <w:rPr>
          <w:rFonts w:ascii="Times New Roman" w:hAnsi="Times New Roman" w:cs="Times New Roman"/>
          <w:sz w:val="24"/>
          <w:szCs w:val="24"/>
        </w:rPr>
        <w:t xml:space="preserve"> the more publically accessible. </w:t>
      </w:r>
      <w:r w:rsidR="00EE22BB" w:rsidRPr="00A246CD">
        <w:rPr>
          <w:rFonts w:ascii="Times New Roman" w:hAnsi="Times New Roman" w:cs="Times New Roman"/>
          <w:sz w:val="24"/>
          <w:szCs w:val="24"/>
        </w:rPr>
        <w:t xml:space="preserve">In this way, the ceremonies taking place within the palatial structure could have been exclusively for the elite and therefore the ritual actions and ceremonial practices reflected and reinforced the power and authority of those participating. </w:t>
      </w:r>
      <w:r w:rsidR="00320669" w:rsidRPr="00A246CD">
        <w:rPr>
          <w:rFonts w:ascii="Times New Roman" w:hAnsi="Times New Roman" w:cs="Times New Roman"/>
          <w:sz w:val="24"/>
          <w:szCs w:val="24"/>
        </w:rPr>
        <w:t>In Canaanite religion the King would often be the one to have the role of High Priest</w:t>
      </w:r>
      <w:r w:rsidR="00317B2D" w:rsidRPr="00A246CD">
        <w:rPr>
          <w:rStyle w:val="FootnoteReference"/>
          <w:rFonts w:ascii="Times New Roman" w:hAnsi="Times New Roman" w:cs="Times New Roman"/>
          <w:sz w:val="24"/>
          <w:szCs w:val="24"/>
        </w:rPr>
        <w:footnoteReference w:id="28"/>
      </w:r>
      <w:r w:rsidR="00320669" w:rsidRPr="00A246CD">
        <w:rPr>
          <w:rFonts w:ascii="Times New Roman" w:hAnsi="Times New Roman" w:cs="Times New Roman"/>
          <w:sz w:val="24"/>
          <w:szCs w:val="24"/>
        </w:rPr>
        <w:t xml:space="preserve"> so perhaps the inclusion of a small temple into the house of the King indi</w:t>
      </w:r>
      <w:r w:rsidR="004C0774">
        <w:rPr>
          <w:rFonts w:ascii="Times New Roman" w:hAnsi="Times New Roman" w:cs="Times New Roman"/>
          <w:sz w:val="24"/>
          <w:szCs w:val="24"/>
        </w:rPr>
        <w:t>cated the connection between</w:t>
      </w:r>
      <w:r w:rsidR="00320669" w:rsidRPr="00A246CD">
        <w:rPr>
          <w:rFonts w:ascii="Times New Roman" w:hAnsi="Times New Roman" w:cs="Times New Roman"/>
          <w:sz w:val="24"/>
          <w:szCs w:val="24"/>
        </w:rPr>
        <w:t xml:space="preserve"> him and the gods. </w:t>
      </w:r>
    </w:p>
    <w:p w:rsidR="00621EED" w:rsidRPr="00A246CD" w:rsidRDefault="00621EED" w:rsidP="004D56C7">
      <w:pPr>
        <w:jc w:val="both"/>
        <w:rPr>
          <w:rFonts w:ascii="Times New Roman" w:hAnsi="Times New Roman" w:cs="Times New Roman"/>
          <w:sz w:val="24"/>
          <w:szCs w:val="24"/>
        </w:rPr>
      </w:pPr>
      <w:r w:rsidRPr="00A246CD">
        <w:rPr>
          <w:rFonts w:ascii="Times New Roman" w:hAnsi="Times New Roman" w:cs="Times New Roman"/>
          <w:sz w:val="24"/>
          <w:szCs w:val="24"/>
        </w:rPr>
        <w:t>There is clear evidence for the use of space to enhance ritual and ceremonies in the temple and the Pillared Building. One example is the passageway that runs down the eastern edge of the temple to another obscured entrance to the Pillared Building</w:t>
      </w:r>
      <w:r w:rsidR="009A275E" w:rsidRPr="009A275E">
        <w:rPr>
          <w:rFonts w:ascii="Times New Roman" w:hAnsi="Times New Roman" w:cs="Times New Roman"/>
          <w:sz w:val="24"/>
          <w:szCs w:val="24"/>
          <w:vertAlign w:val="superscript"/>
        </w:rPr>
        <w:footnoteReference w:id="29"/>
      </w:r>
      <w:r w:rsidRPr="00A246CD">
        <w:rPr>
          <w:rFonts w:ascii="Times New Roman" w:hAnsi="Times New Roman" w:cs="Times New Roman"/>
          <w:sz w:val="24"/>
          <w:szCs w:val="24"/>
        </w:rPr>
        <w:t xml:space="preserve">. </w:t>
      </w:r>
      <w:r w:rsidR="00CF4B1D" w:rsidRPr="00A246CD">
        <w:rPr>
          <w:rFonts w:ascii="Times New Roman" w:hAnsi="Times New Roman" w:cs="Times New Roman"/>
          <w:sz w:val="24"/>
          <w:szCs w:val="24"/>
        </w:rPr>
        <w:t xml:space="preserve">This shows that there was an important connection between the two buildings, even more so in that the Pillared Building was constructed much later than the temple and so would have be designed to allow quick and easy movement from one structure to the other. </w:t>
      </w:r>
      <w:r w:rsidR="00C352AD" w:rsidRPr="00A246CD">
        <w:rPr>
          <w:rFonts w:ascii="Times New Roman" w:hAnsi="Times New Roman" w:cs="Times New Roman"/>
          <w:sz w:val="24"/>
          <w:szCs w:val="24"/>
        </w:rPr>
        <w:t>The</w:t>
      </w:r>
      <w:r w:rsidRPr="00A246CD">
        <w:rPr>
          <w:rFonts w:ascii="Times New Roman" w:hAnsi="Times New Roman" w:cs="Times New Roman"/>
          <w:sz w:val="24"/>
          <w:szCs w:val="24"/>
        </w:rPr>
        <w:t xml:space="preserve"> passage could have been used for many different purposes but one possible</w:t>
      </w:r>
      <w:r w:rsidR="008A6FDC" w:rsidRPr="00A246CD">
        <w:rPr>
          <w:rFonts w:ascii="Times New Roman" w:hAnsi="Times New Roman" w:cs="Times New Roman"/>
          <w:sz w:val="24"/>
          <w:szCs w:val="24"/>
        </w:rPr>
        <w:t xml:space="preserve"> explanation is that the King as the High Priest left the temple via the passage while at the same time all other attendants left through the main entrance. By doing this the King could be set up in a position of authority before everyone else entered. </w:t>
      </w:r>
    </w:p>
    <w:p w:rsidR="00C41716" w:rsidRDefault="00C41716" w:rsidP="004D56C7">
      <w:pPr>
        <w:jc w:val="both"/>
        <w:rPr>
          <w:rFonts w:ascii="Times New Roman" w:hAnsi="Times New Roman" w:cs="Times New Roman"/>
          <w:sz w:val="24"/>
          <w:szCs w:val="24"/>
        </w:rPr>
      </w:pPr>
      <w:r w:rsidRPr="00A246CD">
        <w:rPr>
          <w:rFonts w:ascii="Times New Roman" w:hAnsi="Times New Roman" w:cs="Times New Roman"/>
          <w:sz w:val="24"/>
          <w:szCs w:val="24"/>
        </w:rPr>
        <w:lastRenderedPageBreak/>
        <w:t xml:space="preserve">If this interpretation is examined through a phenomenological lens then we can see how this use of space by the King would present to the other participants his authority and perhaps his status as closer to the divine. </w:t>
      </w:r>
      <w:r w:rsidR="00D939A3" w:rsidRPr="00A246CD">
        <w:rPr>
          <w:rFonts w:ascii="Times New Roman" w:hAnsi="Times New Roman" w:cs="Times New Roman"/>
          <w:sz w:val="24"/>
          <w:szCs w:val="24"/>
        </w:rPr>
        <w:t xml:space="preserve">The action of a group of people walking through the two entrance chambers, up </w:t>
      </w:r>
      <w:r w:rsidR="00C352AD" w:rsidRPr="00A246CD">
        <w:rPr>
          <w:rFonts w:ascii="Times New Roman" w:hAnsi="Times New Roman" w:cs="Times New Roman"/>
          <w:sz w:val="24"/>
          <w:szCs w:val="24"/>
        </w:rPr>
        <w:t>the monumental stairway and</w:t>
      </w:r>
      <w:r w:rsidR="00D939A3" w:rsidRPr="00A246CD">
        <w:rPr>
          <w:rFonts w:ascii="Times New Roman" w:hAnsi="Times New Roman" w:cs="Times New Roman"/>
          <w:sz w:val="24"/>
          <w:szCs w:val="24"/>
        </w:rPr>
        <w:t xml:space="preserve"> through the hall</w:t>
      </w:r>
      <w:r w:rsidR="00C352AD" w:rsidRPr="00A246CD">
        <w:rPr>
          <w:rFonts w:ascii="Times New Roman" w:hAnsi="Times New Roman" w:cs="Times New Roman"/>
          <w:sz w:val="24"/>
          <w:szCs w:val="24"/>
        </w:rPr>
        <w:t>’</w:t>
      </w:r>
      <w:r w:rsidR="00D939A3" w:rsidRPr="00A246CD">
        <w:rPr>
          <w:rFonts w:ascii="Times New Roman" w:hAnsi="Times New Roman" w:cs="Times New Roman"/>
          <w:sz w:val="24"/>
          <w:szCs w:val="24"/>
        </w:rPr>
        <w:t xml:space="preserve">s eastern vestibule to then emerge into the pillared hall and see the King already in place would make the King feel distinct and wholly different to the audience. </w:t>
      </w:r>
    </w:p>
    <w:p w:rsidR="00B91860" w:rsidRDefault="00B91860" w:rsidP="004D56C7">
      <w:pPr>
        <w:jc w:val="both"/>
        <w:rPr>
          <w:rFonts w:ascii="Times New Roman" w:hAnsi="Times New Roman" w:cs="Times New Roman"/>
          <w:sz w:val="24"/>
          <w:szCs w:val="24"/>
        </w:rPr>
      </w:pPr>
      <w:r>
        <w:rPr>
          <w:rFonts w:ascii="Times New Roman" w:hAnsi="Times New Roman" w:cs="Times New Roman"/>
          <w:sz w:val="24"/>
          <w:szCs w:val="24"/>
        </w:rPr>
        <w:t xml:space="preserve">In contrast, another possible interpretation of this passage is that the participants in the ceremony took this passage directly into the hall while the King </w:t>
      </w:r>
      <w:r w:rsidR="00B74678">
        <w:rPr>
          <w:rFonts w:ascii="Times New Roman" w:hAnsi="Times New Roman" w:cs="Times New Roman"/>
          <w:sz w:val="24"/>
          <w:szCs w:val="24"/>
        </w:rPr>
        <w:t xml:space="preserve">went through the monumental entrance. </w:t>
      </w:r>
      <w:r w:rsidR="0054530F">
        <w:rPr>
          <w:rFonts w:ascii="Times New Roman" w:hAnsi="Times New Roman" w:cs="Times New Roman"/>
          <w:sz w:val="24"/>
          <w:szCs w:val="24"/>
        </w:rPr>
        <w:t xml:space="preserve">This would mean that the King passed through all of the doorways and through the vestibule before entering the hall. </w:t>
      </w:r>
      <w:r w:rsidR="000368A0">
        <w:rPr>
          <w:rFonts w:ascii="Times New Roman" w:hAnsi="Times New Roman" w:cs="Times New Roman"/>
          <w:sz w:val="24"/>
          <w:szCs w:val="24"/>
        </w:rPr>
        <w:t xml:space="preserve">Arguably this interpretation is more likely than the previous one because it would mean that the King is engaging in the ritual practice of passing through </w:t>
      </w:r>
      <w:r w:rsidR="004E71B9">
        <w:rPr>
          <w:rFonts w:ascii="Times New Roman" w:hAnsi="Times New Roman" w:cs="Times New Roman"/>
          <w:sz w:val="24"/>
          <w:szCs w:val="24"/>
        </w:rPr>
        <w:t xml:space="preserve">the </w:t>
      </w:r>
      <w:r w:rsidR="000368A0">
        <w:rPr>
          <w:rFonts w:ascii="Times New Roman" w:hAnsi="Times New Roman" w:cs="Times New Roman"/>
          <w:sz w:val="24"/>
          <w:szCs w:val="24"/>
        </w:rPr>
        <w:t xml:space="preserve">monumental entrance. There could also have been many ritual elements involved within this ceremonial movement from one building to another. </w:t>
      </w:r>
    </w:p>
    <w:p w:rsidR="008A5D36" w:rsidRPr="00A246CD" w:rsidRDefault="008A5D36" w:rsidP="004D56C7">
      <w:pPr>
        <w:jc w:val="both"/>
        <w:rPr>
          <w:rFonts w:ascii="Times New Roman" w:hAnsi="Times New Roman" w:cs="Times New Roman"/>
          <w:sz w:val="24"/>
          <w:szCs w:val="24"/>
        </w:rPr>
      </w:pPr>
      <w:r>
        <w:rPr>
          <w:rFonts w:ascii="Times New Roman" w:hAnsi="Times New Roman" w:cs="Times New Roman"/>
          <w:sz w:val="24"/>
          <w:szCs w:val="24"/>
        </w:rPr>
        <w:t xml:space="preserve">A final interpretation of the use of this passage is that it was simply for the fast movement of essential ritual objects from the temple to the pillared hall. </w:t>
      </w:r>
      <w:r w:rsidR="00097286">
        <w:rPr>
          <w:rFonts w:ascii="Times New Roman" w:hAnsi="Times New Roman" w:cs="Times New Roman"/>
          <w:sz w:val="24"/>
          <w:szCs w:val="24"/>
        </w:rPr>
        <w:t xml:space="preserve">In this way, as the King headed a ceremonial procession from one building into the next the essential ritual items could be quickly set up in whichever building they were needed before the procession reached their destination. </w:t>
      </w:r>
      <w:r w:rsidR="00D64D1E">
        <w:rPr>
          <w:rFonts w:ascii="Times New Roman" w:hAnsi="Times New Roman" w:cs="Times New Roman"/>
          <w:sz w:val="24"/>
          <w:szCs w:val="24"/>
        </w:rPr>
        <w:t>This interpretation is probably more likely than the above two because the ceremonial process</w:t>
      </w:r>
      <w:r w:rsidR="004F010F">
        <w:rPr>
          <w:rFonts w:ascii="Times New Roman" w:hAnsi="Times New Roman" w:cs="Times New Roman"/>
          <w:sz w:val="24"/>
          <w:szCs w:val="24"/>
        </w:rPr>
        <w:t>ion of the King would have carried</w:t>
      </w:r>
      <w:r w:rsidR="00D64D1E">
        <w:rPr>
          <w:rFonts w:ascii="Times New Roman" w:hAnsi="Times New Roman" w:cs="Times New Roman"/>
          <w:sz w:val="24"/>
          <w:szCs w:val="24"/>
        </w:rPr>
        <w:t xml:space="preserve"> more weight if it were viewed by an audience the whole way.</w:t>
      </w:r>
      <w:r w:rsidR="00171CC9">
        <w:rPr>
          <w:rFonts w:ascii="Times New Roman" w:hAnsi="Times New Roman" w:cs="Times New Roman"/>
          <w:sz w:val="24"/>
          <w:szCs w:val="24"/>
        </w:rPr>
        <w:t xml:space="preserve"> Early versions of this ritual may have been in honour of a past or perhaps mytho</w:t>
      </w:r>
      <w:r w:rsidR="00F97525">
        <w:rPr>
          <w:rFonts w:ascii="Times New Roman" w:hAnsi="Times New Roman" w:cs="Times New Roman"/>
          <w:sz w:val="24"/>
          <w:szCs w:val="24"/>
        </w:rPr>
        <w:t>logical event and so became</w:t>
      </w:r>
      <w:r w:rsidR="00171CC9">
        <w:rPr>
          <w:rFonts w:ascii="Times New Roman" w:hAnsi="Times New Roman" w:cs="Times New Roman"/>
          <w:sz w:val="24"/>
          <w:szCs w:val="24"/>
        </w:rPr>
        <w:t xml:space="preserve"> a commemorative ceremony of both the event it honours and of the past</w:t>
      </w:r>
      <w:r w:rsidR="00A42094">
        <w:rPr>
          <w:rFonts w:ascii="Times New Roman" w:hAnsi="Times New Roman" w:cs="Times New Roman"/>
          <w:sz w:val="24"/>
          <w:szCs w:val="24"/>
        </w:rPr>
        <w:t xml:space="preserve"> enactments of the same ritual.</w:t>
      </w:r>
      <w:r w:rsidR="00D64D1E">
        <w:rPr>
          <w:rFonts w:ascii="Times New Roman" w:hAnsi="Times New Roman" w:cs="Times New Roman"/>
          <w:sz w:val="24"/>
          <w:szCs w:val="24"/>
        </w:rPr>
        <w:t xml:space="preserve"> </w:t>
      </w:r>
      <w:r w:rsidR="005C337D">
        <w:rPr>
          <w:rFonts w:ascii="Times New Roman" w:hAnsi="Times New Roman" w:cs="Times New Roman"/>
          <w:sz w:val="24"/>
          <w:szCs w:val="24"/>
        </w:rPr>
        <w:t xml:space="preserve">This is an example of </w:t>
      </w:r>
      <w:r w:rsidR="0057264B">
        <w:rPr>
          <w:rFonts w:ascii="Times New Roman" w:hAnsi="Times New Roman" w:cs="Times New Roman"/>
          <w:sz w:val="24"/>
          <w:szCs w:val="24"/>
        </w:rPr>
        <w:t xml:space="preserve">Connerton’s ideas </w:t>
      </w:r>
      <w:r w:rsidR="0047040F">
        <w:rPr>
          <w:rFonts w:ascii="Times New Roman" w:hAnsi="Times New Roman" w:cs="Times New Roman"/>
          <w:sz w:val="24"/>
          <w:szCs w:val="24"/>
        </w:rPr>
        <w:t xml:space="preserve">of </w:t>
      </w:r>
      <w:r w:rsidR="005C337D">
        <w:rPr>
          <w:rFonts w:ascii="Times New Roman" w:hAnsi="Times New Roman" w:cs="Times New Roman"/>
          <w:sz w:val="24"/>
          <w:szCs w:val="24"/>
        </w:rPr>
        <w:t xml:space="preserve">social memory </w:t>
      </w:r>
      <w:r w:rsidR="0047040F">
        <w:rPr>
          <w:rFonts w:ascii="Times New Roman" w:hAnsi="Times New Roman" w:cs="Times New Roman"/>
          <w:sz w:val="24"/>
          <w:szCs w:val="24"/>
        </w:rPr>
        <w:t xml:space="preserve">and incorporated practices, </w:t>
      </w:r>
      <w:r w:rsidR="005C337D">
        <w:rPr>
          <w:rFonts w:ascii="Times New Roman" w:hAnsi="Times New Roman" w:cs="Times New Roman"/>
          <w:sz w:val="24"/>
          <w:szCs w:val="24"/>
        </w:rPr>
        <w:t xml:space="preserve">displayed through a </w:t>
      </w:r>
      <w:r w:rsidR="00F97525">
        <w:rPr>
          <w:rFonts w:ascii="Times New Roman" w:hAnsi="Times New Roman" w:cs="Times New Roman"/>
          <w:sz w:val="24"/>
          <w:szCs w:val="24"/>
        </w:rPr>
        <w:t xml:space="preserve">repeated </w:t>
      </w:r>
      <w:r w:rsidR="0057264B">
        <w:rPr>
          <w:rFonts w:ascii="Times New Roman" w:hAnsi="Times New Roman" w:cs="Times New Roman"/>
          <w:sz w:val="24"/>
          <w:szCs w:val="24"/>
        </w:rPr>
        <w:t>commemorative</w:t>
      </w:r>
      <w:r w:rsidR="005C337D">
        <w:rPr>
          <w:rFonts w:ascii="Times New Roman" w:hAnsi="Times New Roman" w:cs="Times New Roman"/>
          <w:sz w:val="24"/>
          <w:szCs w:val="24"/>
        </w:rPr>
        <w:t xml:space="preserve"> ceremony. </w:t>
      </w:r>
    </w:p>
    <w:p w:rsidR="0026619B" w:rsidRDefault="005F52FA" w:rsidP="00B91860">
      <w:pPr>
        <w:jc w:val="both"/>
        <w:rPr>
          <w:rFonts w:ascii="Times New Roman" w:hAnsi="Times New Roman" w:cs="Times New Roman"/>
          <w:sz w:val="24"/>
          <w:szCs w:val="24"/>
        </w:rPr>
      </w:pPr>
      <w:r w:rsidRPr="00A246CD">
        <w:rPr>
          <w:rFonts w:ascii="Times New Roman" w:hAnsi="Times New Roman" w:cs="Times New Roman"/>
          <w:sz w:val="24"/>
          <w:szCs w:val="24"/>
        </w:rPr>
        <w:t xml:space="preserve">Connerton’s ideas of ‘inscribing practices’ can be clearly seen in the extensive records found in the Palace of Ugarit. It demonstrates how people who lived in Ugarit throughout its history were engaging in the process of </w:t>
      </w:r>
      <w:r w:rsidR="00B85AB1" w:rsidRPr="00A246CD">
        <w:rPr>
          <w:rFonts w:ascii="Times New Roman" w:hAnsi="Times New Roman" w:cs="Times New Roman"/>
          <w:sz w:val="24"/>
          <w:szCs w:val="24"/>
        </w:rPr>
        <w:t xml:space="preserve">consciously preserving social memories. </w:t>
      </w:r>
      <w:r w:rsidR="00A40EF1" w:rsidRPr="00A246CD">
        <w:rPr>
          <w:rFonts w:ascii="Times New Roman" w:hAnsi="Times New Roman" w:cs="Times New Roman"/>
          <w:sz w:val="24"/>
          <w:szCs w:val="24"/>
        </w:rPr>
        <w:t>Many tablets were found stored within archives in the Palace. There was possibly also an oven in which the tablets that required p</w:t>
      </w:r>
      <w:r w:rsidR="00A00E83">
        <w:rPr>
          <w:rFonts w:ascii="Times New Roman" w:hAnsi="Times New Roman" w:cs="Times New Roman"/>
          <w:sz w:val="24"/>
          <w:szCs w:val="24"/>
        </w:rPr>
        <w:t>ermanent storage in the archive</w:t>
      </w:r>
      <w:r w:rsidR="00A40EF1" w:rsidRPr="00A246CD">
        <w:rPr>
          <w:rFonts w:ascii="Times New Roman" w:hAnsi="Times New Roman" w:cs="Times New Roman"/>
          <w:sz w:val="24"/>
          <w:szCs w:val="24"/>
        </w:rPr>
        <w:t>s were fired</w:t>
      </w:r>
      <w:r w:rsidR="00A40EF1" w:rsidRPr="00A246CD">
        <w:rPr>
          <w:rStyle w:val="FootnoteReference"/>
          <w:rFonts w:ascii="Times New Roman" w:hAnsi="Times New Roman" w:cs="Times New Roman"/>
          <w:sz w:val="24"/>
          <w:szCs w:val="24"/>
        </w:rPr>
        <w:footnoteReference w:id="30"/>
      </w:r>
      <w:r w:rsidR="00A753D2" w:rsidRPr="00A246CD">
        <w:rPr>
          <w:rFonts w:ascii="Times New Roman" w:hAnsi="Times New Roman" w:cs="Times New Roman"/>
          <w:sz w:val="24"/>
          <w:szCs w:val="24"/>
        </w:rPr>
        <w:t xml:space="preserve">. Tablets and archives like these support Connerton’s </w:t>
      </w:r>
      <w:r w:rsidR="006E19B1" w:rsidRPr="00A246CD">
        <w:rPr>
          <w:rFonts w:ascii="Times New Roman" w:hAnsi="Times New Roman" w:cs="Times New Roman"/>
          <w:sz w:val="24"/>
          <w:szCs w:val="24"/>
        </w:rPr>
        <w:t>categorisation of inscribed practices as a form of preserving socially important cultural memories.</w:t>
      </w:r>
    </w:p>
    <w:p w:rsidR="00116BBC" w:rsidRPr="00B91860" w:rsidRDefault="006E19B1" w:rsidP="00B91860">
      <w:pPr>
        <w:jc w:val="both"/>
        <w:rPr>
          <w:rFonts w:ascii="Times New Roman" w:hAnsi="Times New Roman" w:cs="Times New Roman"/>
          <w:sz w:val="24"/>
          <w:szCs w:val="24"/>
        </w:rPr>
      </w:pPr>
      <w:r w:rsidRPr="00A246CD">
        <w:rPr>
          <w:rFonts w:ascii="Times New Roman" w:hAnsi="Times New Roman" w:cs="Times New Roman"/>
          <w:sz w:val="24"/>
          <w:szCs w:val="24"/>
        </w:rPr>
        <w:t xml:space="preserve"> </w:t>
      </w:r>
      <w:r w:rsidR="00A62BE8" w:rsidRPr="00A246CD">
        <w:rPr>
          <w:rFonts w:ascii="Times New Roman" w:hAnsi="Times New Roman" w:cs="Times New Roman"/>
          <w:sz w:val="24"/>
          <w:szCs w:val="24"/>
        </w:rPr>
        <w:t xml:space="preserve">Inscribed practices in the form of archives such as the ones in Ugarit may also have an effect upon the ritualistic actions and ceremonies that may have taken place. </w:t>
      </w:r>
      <w:r w:rsidR="00441D64" w:rsidRPr="00A246CD">
        <w:rPr>
          <w:rFonts w:ascii="Times New Roman" w:hAnsi="Times New Roman" w:cs="Times New Roman"/>
          <w:sz w:val="24"/>
          <w:szCs w:val="24"/>
        </w:rPr>
        <w:t xml:space="preserve">The reason this could have been the case is that the </w:t>
      </w:r>
      <w:r w:rsidR="00EE4133" w:rsidRPr="00A246CD">
        <w:rPr>
          <w:rFonts w:ascii="Times New Roman" w:hAnsi="Times New Roman" w:cs="Times New Roman"/>
          <w:sz w:val="24"/>
          <w:szCs w:val="24"/>
        </w:rPr>
        <w:t xml:space="preserve">records preserve historical events in more </w:t>
      </w:r>
      <w:r w:rsidR="000F0C9F">
        <w:rPr>
          <w:rFonts w:ascii="Times New Roman" w:hAnsi="Times New Roman" w:cs="Times New Roman"/>
          <w:sz w:val="24"/>
          <w:szCs w:val="24"/>
        </w:rPr>
        <w:t>detail than incorporated practices on their own do</w:t>
      </w:r>
      <w:r w:rsidR="00307DF2">
        <w:rPr>
          <w:rFonts w:ascii="Times New Roman" w:hAnsi="Times New Roman" w:cs="Times New Roman"/>
          <w:sz w:val="24"/>
          <w:szCs w:val="24"/>
        </w:rPr>
        <w:t>, therefore</w:t>
      </w:r>
      <w:r w:rsidR="00EE4133" w:rsidRPr="00A246CD">
        <w:rPr>
          <w:rFonts w:ascii="Times New Roman" w:hAnsi="Times New Roman" w:cs="Times New Roman"/>
          <w:sz w:val="24"/>
          <w:szCs w:val="24"/>
        </w:rPr>
        <w:t xml:space="preserve"> a ruler could access these records and have knowledge of these past events. If the King wanted to send a certain message during a ceremony then he could add in a ritu</w:t>
      </w:r>
      <w:r w:rsidR="00556BA4">
        <w:rPr>
          <w:rFonts w:ascii="Times New Roman" w:hAnsi="Times New Roman" w:cs="Times New Roman"/>
          <w:sz w:val="24"/>
          <w:szCs w:val="24"/>
        </w:rPr>
        <w:t>alistic feature which represented</w:t>
      </w:r>
      <w:r w:rsidR="00EE4133" w:rsidRPr="00A246CD">
        <w:rPr>
          <w:rFonts w:ascii="Times New Roman" w:hAnsi="Times New Roman" w:cs="Times New Roman"/>
          <w:sz w:val="24"/>
          <w:szCs w:val="24"/>
        </w:rPr>
        <w:t xml:space="preserve"> a historical event or figure. </w:t>
      </w:r>
      <w:r w:rsidR="003D2EC2" w:rsidRPr="00A246CD">
        <w:rPr>
          <w:rFonts w:ascii="Times New Roman" w:hAnsi="Times New Roman" w:cs="Times New Roman"/>
          <w:sz w:val="24"/>
          <w:szCs w:val="24"/>
        </w:rPr>
        <w:t xml:space="preserve">Similarly, </w:t>
      </w:r>
      <w:r w:rsidR="00A43AB6" w:rsidRPr="00A246CD">
        <w:rPr>
          <w:rFonts w:ascii="Times New Roman" w:hAnsi="Times New Roman" w:cs="Times New Roman"/>
          <w:sz w:val="24"/>
          <w:szCs w:val="24"/>
        </w:rPr>
        <w:t>the King could portray himself in a certain way by evoking the memory of historical figures or events. This memory could be evoked through the use of a certain</w:t>
      </w:r>
      <w:r w:rsidR="00A80144" w:rsidRPr="00A246CD">
        <w:rPr>
          <w:rFonts w:ascii="Times New Roman" w:hAnsi="Times New Roman" w:cs="Times New Roman"/>
          <w:sz w:val="24"/>
          <w:szCs w:val="24"/>
        </w:rPr>
        <w:t xml:space="preserve"> </w:t>
      </w:r>
      <w:r w:rsidR="00A80144" w:rsidRPr="00A246CD">
        <w:rPr>
          <w:rFonts w:ascii="Times New Roman" w:hAnsi="Times New Roman" w:cs="Times New Roman"/>
          <w:sz w:val="24"/>
          <w:szCs w:val="24"/>
        </w:rPr>
        <w:lastRenderedPageBreak/>
        <w:t xml:space="preserve">gesture, </w:t>
      </w:r>
      <w:r w:rsidR="00A43AB6" w:rsidRPr="00A246CD">
        <w:rPr>
          <w:rFonts w:ascii="Times New Roman" w:hAnsi="Times New Roman" w:cs="Times New Roman"/>
          <w:sz w:val="24"/>
          <w:szCs w:val="24"/>
        </w:rPr>
        <w:t xml:space="preserve">the </w:t>
      </w:r>
      <w:r w:rsidR="00A80144" w:rsidRPr="00A246CD">
        <w:rPr>
          <w:rFonts w:ascii="Times New Roman" w:hAnsi="Times New Roman" w:cs="Times New Roman"/>
          <w:sz w:val="24"/>
          <w:szCs w:val="24"/>
        </w:rPr>
        <w:t xml:space="preserve">wearing of particular garments or personal adornment. </w:t>
      </w:r>
      <w:r w:rsidR="00BF4CD5" w:rsidRPr="00A246CD">
        <w:rPr>
          <w:rFonts w:ascii="Times New Roman" w:hAnsi="Times New Roman" w:cs="Times New Roman"/>
          <w:sz w:val="24"/>
          <w:szCs w:val="24"/>
        </w:rPr>
        <w:t xml:space="preserve">Just as in modern society today, if a figure of authority or high position begins to wear certain things or act in a certain way, their influence will spread down through the different levels of society and people will copy them. </w:t>
      </w:r>
      <w:r w:rsidR="00EE4133" w:rsidRPr="00A246CD">
        <w:rPr>
          <w:rFonts w:ascii="Times New Roman" w:hAnsi="Times New Roman" w:cs="Times New Roman"/>
          <w:sz w:val="24"/>
          <w:szCs w:val="24"/>
        </w:rPr>
        <w:t xml:space="preserve">In this way, the access to written records allows him to manipulate the inscribed element of social memory and in turn influence the incorporated practices of society. </w:t>
      </w:r>
    </w:p>
    <w:p w:rsidR="00DE1AD4" w:rsidRDefault="0026619B" w:rsidP="003C3FB6">
      <w:pPr>
        <w:jc w:val="both"/>
        <w:rPr>
          <w:rFonts w:ascii="Times New Roman" w:hAnsi="Times New Roman" w:cs="Times New Roman"/>
          <w:sz w:val="24"/>
          <w:szCs w:val="24"/>
        </w:rPr>
      </w:pPr>
      <w:r>
        <w:rPr>
          <w:rFonts w:ascii="Times New Roman" w:hAnsi="Times New Roman" w:cs="Times New Roman"/>
          <w:sz w:val="24"/>
          <w:szCs w:val="24"/>
        </w:rPr>
        <w:t xml:space="preserve">Another feature in the Palace which would have been heavily involved with ritual and social memory is the Royal tombs underneath the Palace. </w:t>
      </w:r>
      <w:r w:rsidR="00DE1AD4" w:rsidRPr="00DE1AD4">
        <w:rPr>
          <w:rFonts w:ascii="Times New Roman" w:hAnsi="Times New Roman" w:cs="Times New Roman"/>
          <w:sz w:val="24"/>
          <w:szCs w:val="24"/>
        </w:rPr>
        <w:t>The family tombs of the Royal family were located underneath the Palace consisting of ‘three large stone-lined chambers with corbelled vaults’</w:t>
      </w:r>
      <w:r w:rsidR="00DE1AD4" w:rsidRPr="00DE1AD4">
        <w:rPr>
          <w:rFonts w:ascii="Times New Roman" w:hAnsi="Times New Roman" w:cs="Times New Roman"/>
          <w:sz w:val="24"/>
          <w:szCs w:val="24"/>
          <w:vertAlign w:val="superscript"/>
        </w:rPr>
        <w:footnoteReference w:id="31"/>
      </w:r>
      <w:r w:rsidR="00DE1AD4" w:rsidRPr="00DE1AD4">
        <w:rPr>
          <w:rFonts w:ascii="Times New Roman" w:hAnsi="Times New Roman" w:cs="Times New Roman"/>
          <w:sz w:val="24"/>
          <w:szCs w:val="24"/>
        </w:rPr>
        <w:t>.</w:t>
      </w:r>
      <w:r w:rsidR="00FD1714">
        <w:rPr>
          <w:rFonts w:ascii="Times New Roman" w:hAnsi="Times New Roman" w:cs="Times New Roman"/>
          <w:sz w:val="24"/>
          <w:szCs w:val="24"/>
        </w:rPr>
        <w:t xml:space="preserve"> The use of the highly complex architectural feature of corbelled vaulting within these chambers indicates that they were of great importance. We cannot say with any certainty what kind of activity took place in these tombs because there were no</w:t>
      </w:r>
      <w:r w:rsidR="00DE1AD4" w:rsidRPr="00DE1AD4">
        <w:rPr>
          <w:rFonts w:ascii="Times New Roman" w:hAnsi="Times New Roman" w:cs="Times New Roman"/>
          <w:sz w:val="24"/>
          <w:szCs w:val="24"/>
        </w:rPr>
        <w:t xml:space="preserve"> obj</w:t>
      </w:r>
      <w:r w:rsidR="00FD1714">
        <w:rPr>
          <w:rFonts w:ascii="Times New Roman" w:hAnsi="Times New Roman" w:cs="Times New Roman"/>
          <w:sz w:val="24"/>
          <w:szCs w:val="24"/>
        </w:rPr>
        <w:t xml:space="preserve">ects found inside them when they were excavated. </w:t>
      </w:r>
      <w:r w:rsidR="00201BCC">
        <w:rPr>
          <w:rFonts w:ascii="Times New Roman" w:hAnsi="Times New Roman" w:cs="Times New Roman"/>
          <w:sz w:val="24"/>
          <w:szCs w:val="24"/>
        </w:rPr>
        <w:t>Due to this lack of evidence it is p</w:t>
      </w:r>
      <w:r w:rsidR="001D5D55">
        <w:rPr>
          <w:rFonts w:ascii="Times New Roman" w:hAnsi="Times New Roman" w:cs="Times New Roman"/>
          <w:sz w:val="24"/>
          <w:szCs w:val="24"/>
        </w:rPr>
        <w:t>ure speculation as to whether a</w:t>
      </w:r>
      <w:r w:rsidR="00201BCC">
        <w:rPr>
          <w:rFonts w:ascii="Times New Roman" w:hAnsi="Times New Roman" w:cs="Times New Roman"/>
          <w:sz w:val="24"/>
          <w:szCs w:val="24"/>
        </w:rPr>
        <w:t xml:space="preserve"> funerary or ancestor cult took place here or not. </w:t>
      </w:r>
    </w:p>
    <w:p w:rsidR="00BA28C7" w:rsidRDefault="001D5D55" w:rsidP="00377B81">
      <w:pPr>
        <w:jc w:val="both"/>
        <w:rPr>
          <w:rFonts w:ascii="Times New Roman" w:hAnsi="Times New Roman" w:cs="Times New Roman"/>
          <w:sz w:val="24"/>
          <w:szCs w:val="24"/>
        </w:rPr>
      </w:pPr>
      <w:r>
        <w:rPr>
          <w:rFonts w:ascii="Times New Roman" w:hAnsi="Times New Roman" w:cs="Times New Roman"/>
          <w:sz w:val="24"/>
          <w:szCs w:val="24"/>
        </w:rPr>
        <w:t xml:space="preserve">However, the placement of the tombs directly beneath the Palace suggests some continued connection between the dead and the ruling family. </w:t>
      </w:r>
      <w:r w:rsidR="007C5D73">
        <w:rPr>
          <w:rFonts w:ascii="Times New Roman" w:hAnsi="Times New Roman" w:cs="Times New Roman"/>
          <w:sz w:val="24"/>
          <w:szCs w:val="24"/>
        </w:rPr>
        <w:t xml:space="preserve">Combined with the high level of architecture within these tombs it is possible to suggest that some form of cultic or ritual activity may have taken place there. </w:t>
      </w:r>
      <w:r w:rsidR="00377B81">
        <w:rPr>
          <w:rFonts w:ascii="Times New Roman" w:hAnsi="Times New Roman" w:cs="Times New Roman"/>
          <w:sz w:val="24"/>
          <w:szCs w:val="24"/>
        </w:rPr>
        <w:t xml:space="preserve">The placement of the tombs may have had the effect of making the people living in the palace feel closer to the ancestors. In this way, the memory of the people before them would be continually preserved because of their continual presence within the palatial context. </w:t>
      </w:r>
      <w:r w:rsidR="00FC0982" w:rsidRPr="00FC0982">
        <w:rPr>
          <w:rFonts w:ascii="Times New Roman" w:hAnsi="Times New Roman" w:cs="Times New Roman"/>
          <w:sz w:val="24"/>
          <w:szCs w:val="24"/>
        </w:rPr>
        <w:t>Using a phenomenological approach to explore whether the placement of the tombs had an effect on the people living, visiting or working in the palace in this way, we can gain more of an insight into why the tombs were placed under the Palace.</w:t>
      </w:r>
    </w:p>
    <w:p w:rsidR="001D5D55" w:rsidRPr="00DE1AD4" w:rsidRDefault="00363AB4" w:rsidP="00377B81">
      <w:pPr>
        <w:jc w:val="both"/>
        <w:rPr>
          <w:rFonts w:ascii="Times New Roman" w:hAnsi="Times New Roman" w:cs="Times New Roman"/>
          <w:sz w:val="24"/>
          <w:szCs w:val="24"/>
        </w:rPr>
      </w:pPr>
      <w:r>
        <w:rPr>
          <w:rFonts w:ascii="Times New Roman" w:hAnsi="Times New Roman" w:cs="Times New Roman"/>
          <w:sz w:val="24"/>
          <w:szCs w:val="24"/>
        </w:rPr>
        <w:t xml:space="preserve">There are many other questions about how these tombs may have been incorporated into ritual and ceremonial performances within the palace such as; where did the funerary cult take place if there was one? Were the rituals enacted publically viewed or were they private for the Royal family and other elites? </w:t>
      </w:r>
    </w:p>
    <w:p w:rsidR="00CB14E4" w:rsidRDefault="00CB14E4" w:rsidP="00B05A25">
      <w:pPr>
        <w:jc w:val="both"/>
        <w:rPr>
          <w:rFonts w:ascii="Times New Roman" w:hAnsi="Times New Roman" w:cs="Times New Roman"/>
          <w:sz w:val="24"/>
          <w:szCs w:val="24"/>
        </w:rPr>
      </w:pPr>
      <w:r w:rsidRPr="005556FD">
        <w:rPr>
          <w:rFonts w:ascii="Times New Roman" w:hAnsi="Times New Roman" w:cs="Times New Roman"/>
          <w:sz w:val="24"/>
          <w:szCs w:val="24"/>
        </w:rPr>
        <w:t xml:space="preserve"> </w:t>
      </w:r>
      <w:r w:rsidR="003D5592">
        <w:rPr>
          <w:rFonts w:ascii="Times New Roman" w:hAnsi="Times New Roman" w:cs="Times New Roman"/>
          <w:sz w:val="24"/>
          <w:szCs w:val="24"/>
        </w:rPr>
        <w:t xml:space="preserve">In conclusion, theoretical perspectives such as phenomenology and social memory are useful when interpreting ritual and ceremony in palatial contexts because they offer various ways of looking at a site. This means that each theory will produce a different interpretation even when applied to the same archaeological structure or object. </w:t>
      </w:r>
      <w:r w:rsidR="00B05A25">
        <w:rPr>
          <w:rFonts w:ascii="Times New Roman" w:hAnsi="Times New Roman" w:cs="Times New Roman"/>
          <w:sz w:val="24"/>
          <w:szCs w:val="24"/>
        </w:rPr>
        <w:t xml:space="preserve">Human society has always been complex and we cannot be limited to a single theoretical approach when exploring the practices of ancient societies. </w:t>
      </w:r>
      <w:r w:rsidR="00501613">
        <w:rPr>
          <w:rFonts w:ascii="Times New Roman" w:hAnsi="Times New Roman" w:cs="Times New Roman"/>
          <w:sz w:val="24"/>
          <w:szCs w:val="24"/>
        </w:rPr>
        <w:t xml:space="preserve">The danger with theories is that archaeological evidence </w:t>
      </w:r>
      <w:r w:rsidR="009A5F7C">
        <w:rPr>
          <w:rFonts w:ascii="Times New Roman" w:hAnsi="Times New Roman" w:cs="Times New Roman"/>
          <w:sz w:val="24"/>
          <w:szCs w:val="24"/>
        </w:rPr>
        <w:t>is viewed in a way which fits it</w:t>
      </w:r>
      <w:r w:rsidR="00501613">
        <w:rPr>
          <w:rFonts w:ascii="Times New Roman" w:hAnsi="Times New Roman" w:cs="Times New Roman"/>
          <w:sz w:val="24"/>
          <w:szCs w:val="24"/>
        </w:rPr>
        <w:t xml:space="preserve"> into a theoretical outline rather than the theoretical approach being flexibly tailored to the specific civilisation and site. </w:t>
      </w:r>
      <w:r w:rsidR="00752FEA">
        <w:rPr>
          <w:rFonts w:ascii="Times New Roman" w:hAnsi="Times New Roman" w:cs="Times New Roman"/>
          <w:sz w:val="24"/>
          <w:szCs w:val="24"/>
        </w:rPr>
        <w:t>Despite this, theories are important because they create useful framework</w:t>
      </w:r>
      <w:r w:rsidR="009F73D6">
        <w:rPr>
          <w:rFonts w:ascii="Times New Roman" w:hAnsi="Times New Roman" w:cs="Times New Roman"/>
          <w:sz w:val="24"/>
          <w:szCs w:val="24"/>
        </w:rPr>
        <w:t>s</w:t>
      </w:r>
      <w:bookmarkStart w:id="0" w:name="_GoBack"/>
      <w:bookmarkEnd w:id="0"/>
      <w:r w:rsidR="00752FEA">
        <w:rPr>
          <w:rFonts w:ascii="Times New Roman" w:hAnsi="Times New Roman" w:cs="Times New Roman"/>
          <w:sz w:val="24"/>
          <w:szCs w:val="24"/>
        </w:rPr>
        <w:t xml:space="preserve"> which</w:t>
      </w:r>
      <w:r w:rsidR="00621E25">
        <w:rPr>
          <w:rFonts w:ascii="Times New Roman" w:hAnsi="Times New Roman" w:cs="Times New Roman"/>
          <w:sz w:val="24"/>
          <w:szCs w:val="24"/>
        </w:rPr>
        <w:t xml:space="preserve"> aid the</w:t>
      </w:r>
      <w:r w:rsidR="003D79FB">
        <w:rPr>
          <w:rFonts w:ascii="Times New Roman" w:hAnsi="Times New Roman" w:cs="Times New Roman"/>
          <w:sz w:val="24"/>
          <w:szCs w:val="24"/>
        </w:rPr>
        <w:t xml:space="preserve"> </w:t>
      </w:r>
      <w:r w:rsidR="00752FEA">
        <w:rPr>
          <w:rFonts w:ascii="Times New Roman" w:hAnsi="Times New Roman" w:cs="Times New Roman"/>
          <w:sz w:val="24"/>
          <w:szCs w:val="24"/>
        </w:rPr>
        <w:t xml:space="preserve">study </w:t>
      </w:r>
      <w:r w:rsidR="00621E25">
        <w:rPr>
          <w:rFonts w:ascii="Times New Roman" w:hAnsi="Times New Roman" w:cs="Times New Roman"/>
          <w:sz w:val="24"/>
          <w:szCs w:val="24"/>
        </w:rPr>
        <w:t xml:space="preserve">of </w:t>
      </w:r>
      <w:r w:rsidR="00FD2140">
        <w:rPr>
          <w:rFonts w:ascii="Times New Roman" w:hAnsi="Times New Roman" w:cs="Times New Roman"/>
          <w:sz w:val="24"/>
          <w:szCs w:val="24"/>
        </w:rPr>
        <w:t xml:space="preserve">ancient civilisations. </w:t>
      </w:r>
      <w:r w:rsidR="00A26F88">
        <w:rPr>
          <w:rFonts w:ascii="Times New Roman" w:hAnsi="Times New Roman" w:cs="Times New Roman"/>
          <w:sz w:val="24"/>
          <w:szCs w:val="24"/>
        </w:rPr>
        <w:t>The example of Ugarit shows how theoretical frameworks can be used to gain an insight into the activities car</w:t>
      </w:r>
      <w:r w:rsidR="00EE3E1E">
        <w:rPr>
          <w:rFonts w:ascii="Times New Roman" w:hAnsi="Times New Roman" w:cs="Times New Roman"/>
          <w:sz w:val="24"/>
          <w:szCs w:val="24"/>
        </w:rPr>
        <w:t xml:space="preserve">ried out within certain spaces however, it also demonstrates how these two theories are limited if taken on their own. </w:t>
      </w:r>
    </w:p>
    <w:p w:rsidR="00B22D7F" w:rsidRDefault="00B22D7F" w:rsidP="00B05A25">
      <w:pPr>
        <w:jc w:val="both"/>
        <w:rPr>
          <w:rFonts w:ascii="Times New Roman" w:hAnsi="Times New Roman" w:cs="Times New Roman"/>
          <w:sz w:val="24"/>
          <w:szCs w:val="24"/>
        </w:rPr>
      </w:pPr>
    </w:p>
    <w:p w:rsidR="00B22D7F" w:rsidRDefault="00B22D7F" w:rsidP="00B05A25">
      <w:pPr>
        <w:jc w:val="both"/>
        <w:rPr>
          <w:rFonts w:ascii="Times New Roman" w:hAnsi="Times New Roman" w:cs="Times New Roman"/>
          <w:b/>
          <w:sz w:val="24"/>
          <w:szCs w:val="24"/>
        </w:rPr>
      </w:pPr>
      <w:r>
        <w:rPr>
          <w:rFonts w:ascii="Times New Roman" w:hAnsi="Times New Roman" w:cs="Times New Roman"/>
          <w:b/>
          <w:sz w:val="24"/>
          <w:szCs w:val="24"/>
        </w:rPr>
        <w:lastRenderedPageBreak/>
        <w:t>Bibliography</w:t>
      </w:r>
    </w:p>
    <w:p w:rsidR="00AB3E97" w:rsidRPr="004F22E7" w:rsidRDefault="00AB3E97" w:rsidP="00591034">
      <w:pPr>
        <w:jc w:val="both"/>
        <w:rPr>
          <w:rFonts w:ascii="Times New Roman" w:hAnsi="Times New Roman" w:cs="Times New Roman"/>
          <w:sz w:val="24"/>
          <w:szCs w:val="24"/>
        </w:rPr>
      </w:pPr>
      <w:r>
        <w:rPr>
          <w:rFonts w:ascii="Times New Roman" w:hAnsi="Times New Roman" w:cs="Times New Roman"/>
          <w:sz w:val="24"/>
          <w:szCs w:val="24"/>
        </w:rPr>
        <w:t>Casey, E.S. (1996) ‘</w:t>
      </w:r>
      <w:r w:rsidRPr="004F22E7">
        <w:rPr>
          <w:rFonts w:ascii="Times New Roman" w:hAnsi="Times New Roman" w:cs="Times New Roman"/>
          <w:sz w:val="24"/>
          <w:szCs w:val="24"/>
        </w:rPr>
        <w:t>How to get from space to place in a fairly short stretch of time: phenomenological prolegomena</w:t>
      </w:r>
      <w:r>
        <w:rPr>
          <w:rFonts w:ascii="Times New Roman" w:hAnsi="Times New Roman" w:cs="Times New Roman"/>
          <w:sz w:val="24"/>
          <w:szCs w:val="24"/>
        </w:rPr>
        <w:t xml:space="preserve">’. In: </w:t>
      </w:r>
      <w:r>
        <w:rPr>
          <w:rFonts w:ascii="Times New Roman" w:hAnsi="Times New Roman" w:cs="Times New Roman"/>
          <w:i/>
          <w:sz w:val="24"/>
          <w:szCs w:val="24"/>
        </w:rPr>
        <w:t xml:space="preserve">Senses of Place. </w:t>
      </w:r>
      <w:r>
        <w:rPr>
          <w:rFonts w:ascii="Times New Roman" w:hAnsi="Times New Roman" w:cs="Times New Roman"/>
          <w:sz w:val="24"/>
          <w:szCs w:val="24"/>
        </w:rPr>
        <w:t xml:space="preserve">Ed: Feld, S. Basso, K.H. School of American Research Press. Santa Fe. </w:t>
      </w:r>
    </w:p>
    <w:p w:rsidR="00AB3E97" w:rsidRDefault="00AB3E97" w:rsidP="00591034">
      <w:pPr>
        <w:jc w:val="both"/>
        <w:rPr>
          <w:rFonts w:ascii="Times New Roman" w:hAnsi="Times New Roman" w:cs="Times New Roman"/>
          <w:sz w:val="24"/>
          <w:szCs w:val="24"/>
        </w:rPr>
      </w:pPr>
      <w:r>
        <w:rPr>
          <w:rFonts w:ascii="Times New Roman" w:hAnsi="Times New Roman" w:cs="Times New Roman"/>
          <w:sz w:val="24"/>
          <w:szCs w:val="24"/>
        </w:rPr>
        <w:t xml:space="preserve">Connerton, P. (1989) </w:t>
      </w:r>
      <w:r>
        <w:rPr>
          <w:rFonts w:ascii="Times New Roman" w:hAnsi="Times New Roman" w:cs="Times New Roman"/>
          <w:i/>
          <w:sz w:val="24"/>
          <w:szCs w:val="24"/>
        </w:rPr>
        <w:t xml:space="preserve">How Societies Remember. </w:t>
      </w:r>
      <w:r>
        <w:rPr>
          <w:rFonts w:ascii="Times New Roman" w:hAnsi="Times New Roman" w:cs="Times New Roman"/>
          <w:sz w:val="24"/>
          <w:szCs w:val="24"/>
        </w:rPr>
        <w:t xml:space="preserve">Cambridge University Press. Cambridge. </w:t>
      </w:r>
    </w:p>
    <w:p w:rsidR="00AB3E97" w:rsidRDefault="00AB3E97" w:rsidP="00591034">
      <w:pPr>
        <w:jc w:val="both"/>
        <w:rPr>
          <w:rFonts w:ascii="Times New Roman" w:hAnsi="Times New Roman" w:cs="Times New Roman"/>
          <w:bCs/>
          <w:sz w:val="24"/>
          <w:szCs w:val="24"/>
        </w:rPr>
      </w:pPr>
      <w:r>
        <w:rPr>
          <w:rFonts w:ascii="Times New Roman" w:hAnsi="Times New Roman" w:cs="Times New Roman"/>
          <w:sz w:val="24"/>
          <w:szCs w:val="24"/>
        </w:rPr>
        <w:t>Driessen, J. (2001) ‘</w:t>
      </w:r>
      <w:r w:rsidRPr="00591034">
        <w:rPr>
          <w:rFonts w:ascii="Times New Roman" w:hAnsi="Times New Roman" w:cs="Times New Roman"/>
          <w:bCs/>
          <w:sz w:val="24"/>
          <w:szCs w:val="24"/>
        </w:rPr>
        <w:t>‘The King Must Die’. Some observations on the use of Minoan Court</w:t>
      </w:r>
      <w:r>
        <w:rPr>
          <w:rFonts w:ascii="Times New Roman" w:hAnsi="Times New Roman" w:cs="Times New Roman"/>
          <w:b/>
          <w:bCs/>
          <w:sz w:val="24"/>
          <w:szCs w:val="24"/>
        </w:rPr>
        <w:t xml:space="preserve"> </w:t>
      </w:r>
      <w:r w:rsidRPr="00591034">
        <w:rPr>
          <w:rFonts w:ascii="Times New Roman" w:hAnsi="Times New Roman" w:cs="Times New Roman"/>
          <w:bCs/>
          <w:sz w:val="24"/>
          <w:szCs w:val="24"/>
        </w:rPr>
        <w:t>Compounds</w:t>
      </w:r>
      <w:r>
        <w:rPr>
          <w:rFonts w:ascii="Times New Roman" w:hAnsi="Times New Roman" w:cs="Times New Roman"/>
          <w:sz w:val="24"/>
          <w:szCs w:val="24"/>
        </w:rPr>
        <w:t>’.</w:t>
      </w:r>
      <w:r w:rsidRPr="00591034">
        <w:rPr>
          <w:rFonts w:ascii="Times New Roman" w:hAnsi="Times New Roman" w:cs="Times New Roman"/>
          <w:sz w:val="24"/>
          <w:szCs w:val="24"/>
        </w:rPr>
        <w:t xml:space="preserve"> </w:t>
      </w:r>
      <w:r>
        <w:rPr>
          <w:rFonts w:ascii="Times New Roman" w:hAnsi="Times New Roman" w:cs="Times New Roman"/>
          <w:bCs/>
          <w:sz w:val="24"/>
          <w:szCs w:val="24"/>
        </w:rPr>
        <w:t xml:space="preserve">In: </w:t>
      </w:r>
      <w:r w:rsidRPr="00591034">
        <w:rPr>
          <w:rFonts w:ascii="Times New Roman" w:hAnsi="Times New Roman" w:cs="Times New Roman"/>
          <w:bCs/>
          <w:i/>
          <w:sz w:val="24"/>
          <w:szCs w:val="24"/>
        </w:rPr>
        <w:t>Monuments of Minos. Rethinking the Minoan Palaces</w:t>
      </w:r>
      <w:r w:rsidRPr="00591034">
        <w:rPr>
          <w:rFonts w:ascii="Times New Roman" w:hAnsi="Times New Roman" w:cs="Times New Roman"/>
          <w:bCs/>
          <w:sz w:val="24"/>
          <w:szCs w:val="24"/>
        </w:rPr>
        <w:t xml:space="preserve">. </w:t>
      </w:r>
      <w:r>
        <w:rPr>
          <w:rFonts w:ascii="Times New Roman" w:hAnsi="Times New Roman" w:cs="Times New Roman"/>
          <w:bCs/>
          <w:sz w:val="24"/>
          <w:szCs w:val="24"/>
        </w:rPr>
        <w:t xml:space="preserve">Ed: </w:t>
      </w:r>
      <w:r w:rsidRPr="004E6AA7">
        <w:rPr>
          <w:rFonts w:ascii="Times New Roman" w:hAnsi="Times New Roman" w:cs="Times New Roman"/>
          <w:bCs/>
          <w:sz w:val="24"/>
          <w:szCs w:val="24"/>
        </w:rPr>
        <w:t>Driessen, J. Schoep, I. &amp; Laffineur, R.</w:t>
      </w:r>
      <w:r>
        <w:rPr>
          <w:rFonts w:ascii="Times New Roman" w:hAnsi="Times New Roman" w:cs="Times New Roman"/>
          <w:bCs/>
          <w:sz w:val="24"/>
          <w:szCs w:val="24"/>
        </w:rPr>
        <w:t xml:space="preserve"> </w:t>
      </w:r>
    </w:p>
    <w:p w:rsidR="00AB3E97" w:rsidRDefault="00AB3E97" w:rsidP="00B05A25">
      <w:pPr>
        <w:jc w:val="both"/>
        <w:rPr>
          <w:rFonts w:ascii="Times New Roman" w:hAnsi="Times New Roman" w:cs="Times New Roman"/>
          <w:sz w:val="24"/>
          <w:szCs w:val="24"/>
        </w:rPr>
      </w:pPr>
      <w:r>
        <w:rPr>
          <w:rFonts w:ascii="Times New Roman" w:hAnsi="Times New Roman" w:cs="Times New Roman"/>
          <w:sz w:val="24"/>
          <w:szCs w:val="24"/>
        </w:rPr>
        <w:t xml:space="preserve">Gates, C. (2003) </w:t>
      </w:r>
      <w:r>
        <w:rPr>
          <w:rFonts w:ascii="Times New Roman" w:hAnsi="Times New Roman" w:cs="Times New Roman"/>
          <w:i/>
          <w:sz w:val="24"/>
          <w:szCs w:val="24"/>
        </w:rPr>
        <w:t xml:space="preserve">Ancient Cities: The Archaeology of Urban Life in the Ancient Near East and Egypt, Greece, and Rome. </w:t>
      </w:r>
      <w:r>
        <w:rPr>
          <w:rFonts w:ascii="Times New Roman" w:hAnsi="Times New Roman" w:cs="Times New Roman"/>
          <w:sz w:val="24"/>
          <w:szCs w:val="24"/>
        </w:rPr>
        <w:t xml:space="preserve">Routledge, Taylor &amp; Francis Group. New York. </w:t>
      </w:r>
    </w:p>
    <w:p w:rsidR="00AB3E97" w:rsidRDefault="00AB3E97" w:rsidP="00591034">
      <w:pPr>
        <w:jc w:val="both"/>
        <w:rPr>
          <w:rFonts w:ascii="Times New Roman" w:hAnsi="Times New Roman" w:cs="Times New Roman"/>
          <w:iCs/>
          <w:sz w:val="24"/>
          <w:szCs w:val="24"/>
        </w:rPr>
      </w:pPr>
      <w:r>
        <w:rPr>
          <w:rFonts w:ascii="Times New Roman" w:hAnsi="Times New Roman" w:cs="Times New Roman"/>
          <w:sz w:val="24"/>
          <w:szCs w:val="24"/>
        </w:rPr>
        <w:t>Hamilakis, Y. Sherratt, S. (2012) ‘</w:t>
      </w:r>
      <w:r w:rsidRPr="00E45572">
        <w:rPr>
          <w:rFonts w:ascii="Times New Roman" w:hAnsi="Times New Roman" w:cs="Times New Roman"/>
          <w:sz w:val="24"/>
          <w:szCs w:val="24"/>
        </w:rPr>
        <w:t>Feasting and the consuming body in Bronze Age Crete and Early Iron Age Cyprus</w:t>
      </w:r>
      <w:r>
        <w:rPr>
          <w:rFonts w:ascii="Times New Roman" w:hAnsi="Times New Roman" w:cs="Times New Roman"/>
          <w:sz w:val="24"/>
          <w:szCs w:val="24"/>
        </w:rPr>
        <w:t xml:space="preserve">’. In: </w:t>
      </w:r>
      <w:r w:rsidRPr="00E45572">
        <w:rPr>
          <w:rFonts w:ascii="Times New Roman" w:hAnsi="Times New Roman" w:cs="Times New Roman"/>
          <w:i/>
          <w:iCs/>
          <w:sz w:val="24"/>
          <w:szCs w:val="24"/>
        </w:rPr>
        <w:t>British School at Athens Studies</w:t>
      </w:r>
      <w:r>
        <w:rPr>
          <w:rFonts w:ascii="Times New Roman" w:hAnsi="Times New Roman" w:cs="Times New Roman"/>
          <w:i/>
          <w:iCs/>
          <w:sz w:val="24"/>
          <w:szCs w:val="24"/>
        </w:rPr>
        <w:t xml:space="preserve">. </w:t>
      </w:r>
      <w:r>
        <w:rPr>
          <w:rFonts w:ascii="Times New Roman" w:hAnsi="Times New Roman" w:cs="Times New Roman"/>
          <w:iCs/>
          <w:sz w:val="24"/>
          <w:szCs w:val="24"/>
        </w:rPr>
        <w:t xml:space="preserve">Vol. 20. British School at Athens. </w:t>
      </w:r>
    </w:p>
    <w:p w:rsidR="00AB3E97" w:rsidRDefault="00AB3E97" w:rsidP="00591034">
      <w:pPr>
        <w:jc w:val="both"/>
        <w:rPr>
          <w:rFonts w:ascii="Times New Roman" w:hAnsi="Times New Roman" w:cs="Times New Roman"/>
          <w:bCs/>
          <w:sz w:val="24"/>
          <w:szCs w:val="24"/>
        </w:rPr>
      </w:pPr>
      <w:r>
        <w:rPr>
          <w:rFonts w:ascii="Times New Roman" w:hAnsi="Times New Roman" w:cs="Times New Roman"/>
          <w:bCs/>
          <w:sz w:val="24"/>
          <w:szCs w:val="24"/>
        </w:rPr>
        <w:t xml:space="preserve">Margueron, J.C. (2000) ‘A Stroll through the Palace’. In: </w:t>
      </w:r>
      <w:r>
        <w:rPr>
          <w:rFonts w:ascii="Times New Roman" w:hAnsi="Times New Roman" w:cs="Times New Roman"/>
          <w:bCs/>
          <w:i/>
          <w:sz w:val="24"/>
          <w:szCs w:val="24"/>
        </w:rPr>
        <w:t xml:space="preserve">Near Eastern Archaeology. </w:t>
      </w:r>
      <w:r>
        <w:rPr>
          <w:rFonts w:ascii="Times New Roman" w:hAnsi="Times New Roman" w:cs="Times New Roman"/>
          <w:bCs/>
          <w:sz w:val="24"/>
          <w:szCs w:val="24"/>
        </w:rPr>
        <w:t xml:space="preserve">Vol. 63. No. 4. The American Schools of Oriental Research. </w:t>
      </w:r>
    </w:p>
    <w:p w:rsidR="00AB3E97" w:rsidRPr="00B22D7F" w:rsidRDefault="00AB3E97" w:rsidP="00B22D7F">
      <w:pPr>
        <w:jc w:val="both"/>
        <w:rPr>
          <w:rFonts w:ascii="Times New Roman" w:hAnsi="Times New Roman" w:cs="Times New Roman"/>
          <w:sz w:val="24"/>
          <w:szCs w:val="24"/>
        </w:rPr>
      </w:pPr>
      <w:r>
        <w:rPr>
          <w:rFonts w:ascii="Times New Roman" w:hAnsi="Times New Roman" w:cs="Times New Roman"/>
          <w:sz w:val="24"/>
          <w:szCs w:val="24"/>
        </w:rPr>
        <w:t>Steel, L.</w:t>
      </w:r>
      <w:r w:rsidRPr="00B22D7F">
        <w:rPr>
          <w:rFonts w:ascii="Times New Roman" w:hAnsi="Times New Roman" w:cs="Times New Roman"/>
          <w:sz w:val="24"/>
          <w:szCs w:val="24"/>
        </w:rPr>
        <w:t> (2016) </w:t>
      </w:r>
      <w:r>
        <w:rPr>
          <w:rFonts w:ascii="Times New Roman" w:hAnsi="Times New Roman" w:cs="Times New Roman"/>
          <w:sz w:val="24"/>
          <w:szCs w:val="24"/>
        </w:rPr>
        <w:t>‘</w:t>
      </w:r>
      <w:r w:rsidRPr="002E7A1D">
        <w:rPr>
          <w:rFonts w:ascii="Times New Roman" w:hAnsi="Times New Roman" w:cs="Times New Roman"/>
          <w:iCs/>
          <w:sz w:val="24"/>
          <w:szCs w:val="24"/>
        </w:rPr>
        <w:t>Sumptuous feasting in the ancient Near East: Exploring the materiality of the Royal Tombs of Ur</w:t>
      </w:r>
      <w:r>
        <w:rPr>
          <w:rFonts w:ascii="Times New Roman" w:hAnsi="Times New Roman" w:cs="Times New Roman"/>
          <w:iCs/>
          <w:sz w:val="24"/>
          <w:szCs w:val="24"/>
        </w:rPr>
        <w:t>’</w:t>
      </w:r>
      <w:r w:rsidRPr="002E7A1D">
        <w:rPr>
          <w:rFonts w:ascii="Times New Roman" w:hAnsi="Times New Roman" w:cs="Times New Roman"/>
          <w:iCs/>
          <w:sz w:val="24"/>
          <w:szCs w:val="24"/>
        </w:rPr>
        <w:t>.</w:t>
      </w:r>
      <w:r w:rsidRPr="00B22D7F">
        <w:rPr>
          <w:rFonts w:ascii="Times New Roman" w:hAnsi="Times New Roman" w:cs="Times New Roman"/>
          <w:sz w:val="24"/>
          <w:szCs w:val="24"/>
        </w:rPr>
        <w:t xml:space="preserve"> In: </w:t>
      </w:r>
      <w:r w:rsidRPr="002E7A1D">
        <w:rPr>
          <w:rFonts w:ascii="Times New Roman" w:hAnsi="Times New Roman" w:cs="Times New Roman"/>
          <w:i/>
          <w:sz w:val="24"/>
          <w:szCs w:val="24"/>
        </w:rPr>
        <w:t>Exploring the materiality of food 'stuffs': transforma</w:t>
      </w:r>
      <w:r>
        <w:rPr>
          <w:rFonts w:ascii="Times New Roman" w:hAnsi="Times New Roman" w:cs="Times New Roman"/>
          <w:i/>
          <w:sz w:val="24"/>
          <w:szCs w:val="24"/>
        </w:rPr>
        <w:t>tions, symbolic consumptions and</w:t>
      </w:r>
      <w:r w:rsidRPr="002E7A1D">
        <w:rPr>
          <w:rFonts w:ascii="Times New Roman" w:hAnsi="Times New Roman" w:cs="Times New Roman"/>
          <w:i/>
          <w:sz w:val="24"/>
          <w:szCs w:val="24"/>
        </w:rPr>
        <w:t xml:space="preserve"> embodiments.</w:t>
      </w:r>
      <w:r w:rsidRPr="00B22D7F">
        <w:rPr>
          <w:rFonts w:ascii="Times New Roman" w:hAnsi="Times New Roman" w:cs="Times New Roman"/>
          <w:sz w:val="24"/>
          <w:szCs w:val="24"/>
        </w:rPr>
        <w:t xml:space="preserve"> Routledge Series in </w:t>
      </w:r>
      <w:r>
        <w:rPr>
          <w:rFonts w:ascii="Times New Roman" w:hAnsi="Times New Roman" w:cs="Times New Roman"/>
          <w:sz w:val="24"/>
          <w:szCs w:val="24"/>
        </w:rPr>
        <w:t xml:space="preserve">Archaeology. Routledge, New York. </w:t>
      </w:r>
    </w:p>
    <w:p w:rsidR="00AB3E97" w:rsidRPr="00B22D7F" w:rsidRDefault="00AB3E97" w:rsidP="00B22D7F">
      <w:pPr>
        <w:jc w:val="both"/>
        <w:rPr>
          <w:rFonts w:ascii="Times New Roman" w:hAnsi="Times New Roman" w:cs="Times New Roman"/>
          <w:sz w:val="24"/>
          <w:szCs w:val="24"/>
        </w:rPr>
      </w:pPr>
      <w:r w:rsidRPr="00B22D7F">
        <w:rPr>
          <w:rFonts w:ascii="Times New Roman" w:hAnsi="Times New Roman" w:cs="Times New Roman"/>
          <w:sz w:val="24"/>
          <w:szCs w:val="24"/>
        </w:rPr>
        <w:t xml:space="preserve">Tilley, C. (1996) ‘The Power of Rocks: Topography and Monument Construction on Bodmin Moor.’ In: </w:t>
      </w:r>
      <w:r w:rsidRPr="00B22D7F">
        <w:rPr>
          <w:rFonts w:ascii="Times New Roman" w:hAnsi="Times New Roman" w:cs="Times New Roman"/>
          <w:i/>
          <w:sz w:val="24"/>
          <w:szCs w:val="24"/>
        </w:rPr>
        <w:t xml:space="preserve">World Archaeology. </w:t>
      </w:r>
      <w:r w:rsidRPr="00B22D7F">
        <w:rPr>
          <w:rFonts w:ascii="Times New Roman" w:hAnsi="Times New Roman" w:cs="Times New Roman"/>
          <w:sz w:val="24"/>
          <w:szCs w:val="24"/>
        </w:rPr>
        <w:t xml:space="preserve">Vol. 28. Routledge. </w:t>
      </w:r>
    </w:p>
    <w:p w:rsidR="00AB3E97" w:rsidRDefault="00AB3E97" w:rsidP="00B05A25">
      <w:pPr>
        <w:jc w:val="both"/>
        <w:rPr>
          <w:rFonts w:ascii="Times New Roman" w:hAnsi="Times New Roman" w:cs="Times New Roman"/>
          <w:sz w:val="24"/>
          <w:szCs w:val="24"/>
        </w:rPr>
      </w:pPr>
      <w:r>
        <w:rPr>
          <w:rFonts w:ascii="Times New Roman" w:hAnsi="Times New Roman" w:cs="Times New Roman"/>
          <w:sz w:val="24"/>
          <w:szCs w:val="24"/>
        </w:rPr>
        <w:t xml:space="preserve">Yon, M. (2006) </w:t>
      </w:r>
      <w:r>
        <w:rPr>
          <w:rFonts w:ascii="Times New Roman" w:hAnsi="Times New Roman" w:cs="Times New Roman"/>
          <w:i/>
          <w:sz w:val="24"/>
          <w:szCs w:val="24"/>
        </w:rPr>
        <w:t xml:space="preserve">The City of Ugarit at Tell Ras Shamra. </w:t>
      </w:r>
      <w:r>
        <w:rPr>
          <w:rFonts w:ascii="Times New Roman" w:hAnsi="Times New Roman" w:cs="Times New Roman"/>
          <w:sz w:val="24"/>
          <w:szCs w:val="24"/>
        </w:rPr>
        <w:t xml:space="preserve">Eisenbrauns. Indiana. </w:t>
      </w:r>
    </w:p>
    <w:sectPr w:rsidR="00AB3E9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575A9" w:rsidRDefault="003575A9" w:rsidP="002B7143">
      <w:pPr>
        <w:spacing w:after="0" w:line="240" w:lineRule="auto"/>
      </w:pPr>
      <w:r>
        <w:separator/>
      </w:r>
    </w:p>
  </w:endnote>
  <w:endnote w:type="continuationSeparator" w:id="0">
    <w:p w:rsidR="003575A9" w:rsidRDefault="003575A9" w:rsidP="002B71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575A9" w:rsidRDefault="003575A9" w:rsidP="002B7143">
      <w:pPr>
        <w:spacing w:after="0" w:line="240" w:lineRule="auto"/>
      </w:pPr>
      <w:r>
        <w:separator/>
      </w:r>
    </w:p>
  </w:footnote>
  <w:footnote w:type="continuationSeparator" w:id="0">
    <w:p w:rsidR="003575A9" w:rsidRDefault="003575A9" w:rsidP="002B7143">
      <w:pPr>
        <w:spacing w:after="0" w:line="240" w:lineRule="auto"/>
      </w:pPr>
      <w:r>
        <w:continuationSeparator/>
      </w:r>
    </w:p>
  </w:footnote>
  <w:footnote w:id="1">
    <w:p w:rsidR="00F17EE8" w:rsidRDefault="00F17EE8">
      <w:pPr>
        <w:pStyle w:val="FootnoteText"/>
      </w:pPr>
      <w:r>
        <w:rPr>
          <w:rStyle w:val="FootnoteReference"/>
        </w:rPr>
        <w:footnoteRef/>
      </w:r>
      <w:r>
        <w:t xml:space="preserve"> Yon 2006: 9. </w:t>
      </w:r>
    </w:p>
  </w:footnote>
  <w:footnote w:id="2">
    <w:p w:rsidR="007075E0" w:rsidRDefault="007075E0">
      <w:pPr>
        <w:pStyle w:val="FootnoteText"/>
      </w:pPr>
      <w:r>
        <w:rPr>
          <w:rStyle w:val="FootnoteReference"/>
        </w:rPr>
        <w:footnoteRef/>
      </w:r>
      <w:r>
        <w:t xml:space="preserve"> Yon</w:t>
      </w:r>
      <w:r w:rsidR="00EE2FC0">
        <w:t xml:space="preserve"> 2006:</w:t>
      </w:r>
      <w:r>
        <w:t xml:space="preserve"> 36. </w:t>
      </w:r>
    </w:p>
  </w:footnote>
  <w:footnote w:id="3">
    <w:p w:rsidR="002B7143" w:rsidRDefault="002B7143">
      <w:pPr>
        <w:pStyle w:val="FootnoteText"/>
      </w:pPr>
      <w:r>
        <w:rPr>
          <w:rStyle w:val="FootnoteReference"/>
        </w:rPr>
        <w:footnoteRef/>
      </w:r>
      <w:r>
        <w:t xml:space="preserve"> Yon</w:t>
      </w:r>
      <w:r w:rsidR="00EE2FC0">
        <w:t xml:space="preserve"> 2006: </w:t>
      </w:r>
      <w:r>
        <w:t xml:space="preserve">27. </w:t>
      </w:r>
    </w:p>
  </w:footnote>
  <w:footnote w:id="4">
    <w:p w:rsidR="00B7034B" w:rsidRDefault="00B7034B" w:rsidP="00B7034B">
      <w:pPr>
        <w:pStyle w:val="FootnoteText"/>
      </w:pPr>
      <w:r>
        <w:rPr>
          <w:rStyle w:val="FootnoteReference"/>
        </w:rPr>
        <w:footnoteRef/>
      </w:r>
      <w:r>
        <w:t xml:space="preserve"> Yon 2006: 36. </w:t>
      </w:r>
    </w:p>
  </w:footnote>
  <w:footnote w:id="5">
    <w:p w:rsidR="00275E55" w:rsidRDefault="00275E55">
      <w:pPr>
        <w:pStyle w:val="FootnoteText"/>
      </w:pPr>
      <w:r>
        <w:rPr>
          <w:rStyle w:val="FootnoteReference"/>
        </w:rPr>
        <w:footnoteRef/>
      </w:r>
      <w:r w:rsidR="00AD04A2">
        <w:t xml:space="preserve"> Connerton 1989: 6</w:t>
      </w:r>
      <w:r>
        <w:t xml:space="preserve">. </w:t>
      </w:r>
    </w:p>
  </w:footnote>
  <w:footnote w:id="6">
    <w:p w:rsidR="00AE3AF9" w:rsidRDefault="00AE3AF9">
      <w:pPr>
        <w:pStyle w:val="FootnoteText"/>
      </w:pPr>
      <w:r>
        <w:rPr>
          <w:rStyle w:val="FootnoteReference"/>
        </w:rPr>
        <w:footnoteRef/>
      </w:r>
      <w:r>
        <w:t xml:space="preserve"> Connerton 1989: 7. </w:t>
      </w:r>
    </w:p>
  </w:footnote>
  <w:footnote w:id="7">
    <w:p w:rsidR="00435251" w:rsidRDefault="00435251">
      <w:pPr>
        <w:pStyle w:val="FootnoteText"/>
      </w:pPr>
      <w:r>
        <w:rPr>
          <w:rStyle w:val="FootnoteReference"/>
        </w:rPr>
        <w:footnoteRef/>
      </w:r>
      <w:r>
        <w:t xml:space="preserve"> Connerton 1989: 7. </w:t>
      </w:r>
    </w:p>
  </w:footnote>
  <w:footnote w:id="8">
    <w:p w:rsidR="00143CB4" w:rsidRDefault="00143CB4">
      <w:pPr>
        <w:pStyle w:val="FootnoteText"/>
      </w:pPr>
      <w:r>
        <w:rPr>
          <w:rStyle w:val="FootnoteReference"/>
        </w:rPr>
        <w:footnoteRef/>
      </w:r>
      <w:r>
        <w:t xml:space="preserve"> Connerton 1989: 7. </w:t>
      </w:r>
    </w:p>
  </w:footnote>
  <w:footnote w:id="9">
    <w:p w:rsidR="008E2F68" w:rsidRDefault="008E2F68">
      <w:pPr>
        <w:pStyle w:val="FootnoteText"/>
      </w:pPr>
      <w:r>
        <w:rPr>
          <w:rStyle w:val="FootnoteReference"/>
        </w:rPr>
        <w:footnoteRef/>
      </w:r>
      <w:r>
        <w:t xml:space="preserve"> Connerton 1989: 7. </w:t>
      </w:r>
    </w:p>
  </w:footnote>
  <w:footnote w:id="10">
    <w:p w:rsidR="00BB487A" w:rsidRDefault="00BB487A">
      <w:pPr>
        <w:pStyle w:val="FootnoteText"/>
      </w:pPr>
      <w:r>
        <w:rPr>
          <w:rStyle w:val="FootnoteReference"/>
        </w:rPr>
        <w:footnoteRef/>
      </w:r>
      <w:r>
        <w:t xml:space="preserve"> Connerton 1989: 35. </w:t>
      </w:r>
    </w:p>
  </w:footnote>
  <w:footnote w:id="11">
    <w:p w:rsidR="00B30E9B" w:rsidRDefault="00B30E9B">
      <w:pPr>
        <w:pStyle w:val="FootnoteText"/>
      </w:pPr>
      <w:r>
        <w:rPr>
          <w:rStyle w:val="FootnoteReference"/>
        </w:rPr>
        <w:footnoteRef/>
      </w:r>
      <w:r>
        <w:t xml:space="preserve"> Connerton 1989: 72.</w:t>
      </w:r>
    </w:p>
  </w:footnote>
  <w:footnote w:id="12">
    <w:p w:rsidR="00B30E9B" w:rsidRDefault="00B30E9B">
      <w:pPr>
        <w:pStyle w:val="FootnoteText"/>
      </w:pPr>
      <w:r>
        <w:rPr>
          <w:rStyle w:val="FootnoteReference"/>
        </w:rPr>
        <w:footnoteRef/>
      </w:r>
      <w:r>
        <w:t xml:space="preserve"> Connerton 1989: 73. </w:t>
      </w:r>
    </w:p>
  </w:footnote>
  <w:footnote w:id="13">
    <w:p w:rsidR="000E13A6" w:rsidRDefault="000E13A6" w:rsidP="000E13A6">
      <w:pPr>
        <w:pStyle w:val="FootnoteText"/>
      </w:pPr>
      <w:r>
        <w:rPr>
          <w:rStyle w:val="FootnoteReference"/>
        </w:rPr>
        <w:footnoteRef/>
      </w:r>
      <w:r>
        <w:t xml:space="preserve"> Connerton 1989: 12. </w:t>
      </w:r>
    </w:p>
  </w:footnote>
  <w:footnote w:id="14">
    <w:p w:rsidR="005A37E3" w:rsidRDefault="005A37E3">
      <w:pPr>
        <w:pStyle w:val="FootnoteText"/>
      </w:pPr>
      <w:r>
        <w:rPr>
          <w:rStyle w:val="FootnoteReference"/>
        </w:rPr>
        <w:footnoteRef/>
      </w:r>
      <w:r>
        <w:t xml:space="preserve"> Tilley 1996. </w:t>
      </w:r>
      <w:r w:rsidR="00130F63">
        <w:t xml:space="preserve">161-176. </w:t>
      </w:r>
    </w:p>
  </w:footnote>
  <w:footnote w:id="15">
    <w:p w:rsidR="00D35793" w:rsidRDefault="00D35793" w:rsidP="00D35793">
      <w:pPr>
        <w:pStyle w:val="FootnoteText"/>
      </w:pPr>
      <w:r>
        <w:rPr>
          <w:rStyle w:val="FootnoteReference"/>
        </w:rPr>
        <w:footnoteRef/>
      </w:r>
      <w:r w:rsidR="002C3286">
        <w:t xml:space="preserve"> Casey 199</w:t>
      </w:r>
      <w:r>
        <w:t xml:space="preserve">6: 18. </w:t>
      </w:r>
    </w:p>
  </w:footnote>
  <w:footnote w:id="16">
    <w:p w:rsidR="00C62605" w:rsidRDefault="00C62605">
      <w:pPr>
        <w:pStyle w:val="FootnoteText"/>
      </w:pPr>
      <w:r>
        <w:rPr>
          <w:rStyle w:val="FootnoteReference"/>
        </w:rPr>
        <w:footnoteRef/>
      </w:r>
      <w:r>
        <w:t xml:space="preserve"> Steel 2016: 189. </w:t>
      </w:r>
    </w:p>
  </w:footnote>
  <w:footnote w:id="17">
    <w:p w:rsidR="00A14103" w:rsidRDefault="00A14103">
      <w:pPr>
        <w:pStyle w:val="FootnoteText"/>
      </w:pPr>
      <w:r>
        <w:rPr>
          <w:rStyle w:val="FootnoteReference"/>
        </w:rPr>
        <w:footnoteRef/>
      </w:r>
      <w:r>
        <w:t xml:space="preserve"> Hamilakis and Sherratt 2012: 187. </w:t>
      </w:r>
    </w:p>
  </w:footnote>
  <w:footnote w:id="18">
    <w:p w:rsidR="00B66C48" w:rsidRDefault="00B66C48">
      <w:pPr>
        <w:pStyle w:val="FootnoteText"/>
      </w:pPr>
      <w:r>
        <w:rPr>
          <w:rStyle w:val="FootnoteReference"/>
        </w:rPr>
        <w:footnoteRef/>
      </w:r>
      <w:r>
        <w:t xml:space="preserve"> Hamilakis and Sherratt 2012: 187. </w:t>
      </w:r>
    </w:p>
  </w:footnote>
  <w:footnote w:id="19">
    <w:p w:rsidR="003D0FB7" w:rsidRDefault="003D0FB7">
      <w:pPr>
        <w:pStyle w:val="FootnoteText"/>
      </w:pPr>
      <w:r>
        <w:rPr>
          <w:rStyle w:val="FootnoteReference"/>
        </w:rPr>
        <w:footnoteRef/>
      </w:r>
      <w:r>
        <w:t xml:space="preserve"> Hamilakis and Sherratt 2012: 187. </w:t>
      </w:r>
    </w:p>
  </w:footnote>
  <w:footnote w:id="20">
    <w:p w:rsidR="008D105A" w:rsidRDefault="008D105A">
      <w:pPr>
        <w:pStyle w:val="FootnoteText"/>
      </w:pPr>
      <w:r>
        <w:rPr>
          <w:rStyle w:val="FootnoteReference"/>
        </w:rPr>
        <w:footnoteRef/>
      </w:r>
      <w:r>
        <w:t xml:space="preserve"> Hamilakis and Sherratt 2012: 189. </w:t>
      </w:r>
    </w:p>
  </w:footnote>
  <w:footnote w:id="21">
    <w:p w:rsidR="00ED07FD" w:rsidRDefault="00ED07FD" w:rsidP="00ED07FD">
      <w:pPr>
        <w:pStyle w:val="FootnoteText"/>
      </w:pPr>
      <w:r>
        <w:rPr>
          <w:rStyle w:val="FootnoteReference"/>
        </w:rPr>
        <w:footnoteRef/>
      </w:r>
      <w:r>
        <w:t xml:space="preserve"> Yon 2006: 49. </w:t>
      </w:r>
    </w:p>
  </w:footnote>
  <w:footnote w:id="22">
    <w:p w:rsidR="00ED07FD" w:rsidRDefault="00ED07FD" w:rsidP="00ED07FD">
      <w:pPr>
        <w:pStyle w:val="FootnoteText"/>
      </w:pPr>
      <w:r>
        <w:rPr>
          <w:rStyle w:val="FootnoteReference"/>
        </w:rPr>
        <w:footnoteRef/>
      </w:r>
      <w:r>
        <w:t xml:space="preserve"> Yon 2006: 49. </w:t>
      </w:r>
    </w:p>
  </w:footnote>
  <w:footnote w:id="23">
    <w:p w:rsidR="00ED07FD" w:rsidRDefault="00ED07FD" w:rsidP="00ED07FD">
      <w:pPr>
        <w:pStyle w:val="FootnoteText"/>
      </w:pPr>
      <w:r>
        <w:rPr>
          <w:rStyle w:val="FootnoteReference"/>
        </w:rPr>
        <w:footnoteRef/>
      </w:r>
      <w:r>
        <w:t xml:space="preserve"> Yon 2006: 49. </w:t>
      </w:r>
    </w:p>
  </w:footnote>
  <w:footnote w:id="24">
    <w:p w:rsidR="00ED07FD" w:rsidRDefault="00ED07FD" w:rsidP="00ED07FD">
      <w:pPr>
        <w:pStyle w:val="FootnoteText"/>
      </w:pPr>
      <w:r>
        <w:rPr>
          <w:rStyle w:val="FootnoteReference"/>
        </w:rPr>
        <w:footnoteRef/>
      </w:r>
      <w:r>
        <w:t xml:space="preserve"> Yon 2006: 49. </w:t>
      </w:r>
    </w:p>
  </w:footnote>
  <w:footnote w:id="25">
    <w:p w:rsidR="00E75458" w:rsidRDefault="00E75458" w:rsidP="00E75458">
      <w:pPr>
        <w:pStyle w:val="FootnoteText"/>
      </w:pPr>
      <w:r>
        <w:rPr>
          <w:rStyle w:val="FootnoteReference"/>
        </w:rPr>
        <w:footnoteRef/>
      </w:r>
      <w:r>
        <w:t xml:space="preserve"> Yon 2006: 48.</w:t>
      </w:r>
    </w:p>
  </w:footnote>
  <w:footnote w:id="26">
    <w:p w:rsidR="00E75458" w:rsidRDefault="00E75458" w:rsidP="00E75458">
      <w:pPr>
        <w:pStyle w:val="FootnoteText"/>
      </w:pPr>
      <w:r>
        <w:rPr>
          <w:rStyle w:val="FootnoteReference"/>
        </w:rPr>
        <w:footnoteRef/>
      </w:r>
      <w:r>
        <w:t xml:space="preserve"> Yon 2006: 49. </w:t>
      </w:r>
    </w:p>
  </w:footnote>
  <w:footnote w:id="27">
    <w:p w:rsidR="00DC3ED0" w:rsidRDefault="00DC3ED0">
      <w:pPr>
        <w:pStyle w:val="FootnoteText"/>
      </w:pPr>
      <w:r>
        <w:rPr>
          <w:rStyle w:val="FootnoteReference"/>
        </w:rPr>
        <w:footnoteRef/>
      </w:r>
      <w:r>
        <w:t xml:space="preserve"> Steel 2016: 190. </w:t>
      </w:r>
    </w:p>
  </w:footnote>
  <w:footnote w:id="28">
    <w:p w:rsidR="00317B2D" w:rsidRDefault="00317B2D">
      <w:pPr>
        <w:pStyle w:val="FootnoteText"/>
      </w:pPr>
      <w:r>
        <w:rPr>
          <w:rStyle w:val="FootnoteReference"/>
        </w:rPr>
        <w:footnoteRef/>
      </w:r>
      <w:r>
        <w:t xml:space="preserve"> Margueron 2000: 205-207. </w:t>
      </w:r>
    </w:p>
  </w:footnote>
  <w:footnote w:id="29">
    <w:p w:rsidR="009A275E" w:rsidRDefault="009A275E" w:rsidP="009A275E">
      <w:pPr>
        <w:pStyle w:val="FootnoteText"/>
      </w:pPr>
      <w:r>
        <w:rPr>
          <w:rStyle w:val="FootnoteReference"/>
        </w:rPr>
        <w:footnoteRef/>
      </w:r>
      <w:r>
        <w:t xml:space="preserve"> Yon 2006: 49. </w:t>
      </w:r>
    </w:p>
  </w:footnote>
  <w:footnote w:id="30">
    <w:p w:rsidR="00A40EF1" w:rsidRDefault="00A40EF1">
      <w:pPr>
        <w:pStyle w:val="FootnoteText"/>
      </w:pPr>
      <w:r>
        <w:rPr>
          <w:rStyle w:val="FootnoteReference"/>
        </w:rPr>
        <w:footnoteRef/>
      </w:r>
      <w:r>
        <w:t xml:space="preserve"> Gates 2003: 162. </w:t>
      </w:r>
    </w:p>
  </w:footnote>
  <w:footnote w:id="31">
    <w:p w:rsidR="00DE1AD4" w:rsidRDefault="00DE1AD4" w:rsidP="00DE1AD4">
      <w:pPr>
        <w:pStyle w:val="FootnoteText"/>
      </w:pPr>
      <w:r>
        <w:rPr>
          <w:rStyle w:val="FootnoteReference"/>
        </w:rPr>
        <w:footnoteRef/>
      </w:r>
      <w:r>
        <w:t xml:space="preserve"> Gates 2003: 160. </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86B23" w:rsidRDefault="00186B23">
    <w:pPr>
      <w:pStyle w:val="Header"/>
    </w:pPr>
    <w:r>
      <w:t>Michelle Parker 1500472</w:t>
    </w:r>
  </w:p>
  <w:p w:rsidR="00186B23" w:rsidRDefault="00186B2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768775D"/>
    <w:multiLevelType w:val="hybridMultilevel"/>
    <w:tmpl w:val="1910F9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B70E64"/>
    <w:multiLevelType w:val="hybridMultilevel"/>
    <w:tmpl w:val="8C225D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207D36"/>
    <w:multiLevelType w:val="multilevel"/>
    <w:tmpl w:val="9D44E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74D5B"/>
    <w:rsid w:val="0001488D"/>
    <w:rsid w:val="0001755E"/>
    <w:rsid w:val="00036070"/>
    <w:rsid w:val="000368A0"/>
    <w:rsid w:val="00041A5A"/>
    <w:rsid w:val="000626B6"/>
    <w:rsid w:val="000634FE"/>
    <w:rsid w:val="000667D4"/>
    <w:rsid w:val="00097286"/>
    <w:rsid w:val="000A5016"/>
    <w:rsid w:val="000D524E"/>
    <w:rsid w:val="000E13A6"/>
    <w:rsid w:val="000E13DB"/>
    <w:rsid w:val="000F0C9F"/>
    <w:rsid w:val="00115E53"/>
    <w:rsid w:val="00116BBC"/>
    <w:rsid w:val="00130F63"/>
    <w:rsid w:val="001403B9"/>
    <w:rsid w:val="00143CB4"/>
    <w:rsid w:val="00166AFC"/>
    <w:rsid w:val="00171CC9"/>
    <w:rsid w:val="00172738"/>
    <w:rsid w:val="00177704"/>
    <w:rsid w:val="00186B23"/>
    <w:rsid w:val="00192AC5"/>
    <w:rsid w:val="001B6CAD"/>
    <w:rsid w:val="001C0B12"/>
    <w:rsid w:val="001C22E8"/>
    <w:rsid w:val="001D5D55"/>
    <w:rsid w:val="00201BCC"/>
    <w:rsid w:val="00205115"/>
    <w:rsid w:val="00213E37"/>
    <w:rsid w:val="0026529D"/>
    <w:rsid w:val="0026619B"/>
    <w:rsid w:val="00267A92"/>
    <w:rsid w:val="00275E55"/>
    <w:rsid w:val="002877E2"/>
    <w:rsid w:val="002979FE"/>
    <w:rsid w:val="002B7143"/>
    <w:rsid w:val="002C3286"/>
    <w:rsid w:val="002D0115"/>
    <w:rsid w:val="002D2F98"/>
    <w:rsid w:val="002E7A1D"/>
    <w:rsid w:val="00307DF2"/>
    <w:rsid w:val="00317B2D"/>
    <w:rsid w:val="00320669"/>
    <w:rsid w:val="00321A78"/>
    <w:rsid w:val="00321ECE"/>
    <w:rsid w:val="00322FA3"/>
    <w:rsid w:val="00355940"/>
    <w:rsid w:val="003575A9"/>
    <w:rsid w:val="00363AB4"/>
    <w:rsid w:val="003674D0"/>
    <w:rsid w:val="00377B81"/>
    <w:rsid w:val="00387F2C"/>
    <w:rsid w:val="003B71AC"/>
    <w:rsid w:val="003C1B49"/>
    <w:rsid w:val="003C2621"/>
    <w:rsid w:val="003C3FB6"/>
    <w:rsid w:val="003C4DF6"/>
    <w:rsid w:val="003D024E"/>
    <w:rsid w:val="003D0FB7"/>
    <w:rsid w:val="003D2EC2"/>
    <w:rsid w:val="003D5592"/>
    <w:rsid w:val="003D574A"/>
    <w:rsid w:val="003D79FB"/>
    <w:rsid w:val="003F0CF5"/>
    <w:rsid w:val="003F66B6"/>
    <w:rsid w:val="00435251"/>
    <w:rsid w:val="00441D64"/>
    <w:rsid w:val="00462044"/>
    <w:rsid w:val="0047040F"/>
    <w:rsid w:val="00476692"/>
    <w:rsid w:val="004B0639"/>
    <w:rsid w:val="004B68F7"/>
    <w:rsid w:val="004C00D9"/>
    <w:rsid w:val="004C0774"/>
    <w:rsid w:val="004D4D73"/>
    <w:rsid w:val="004D56C7"/>
    <w:rsid w:val="004D7AE9"/>
    <w:rsid w:val="004E48BA"/>
    <w:rsid w:val="004E6AA7"/>
    <w:rsid w:val="004E71B9"/>
    <w:rsid w:val="004F010F"/>
    <w:rsid w:val="004F22E7"/>
    <w:rsid w:val="004F5A4C"/>
    <w:rsid w:val="00501613"/>
    <w:rsid w:val="00502EAC"/>
    <w:rsid w:val="005352ED"/>
    <w:rsid w:val="0054042A"/>
    <w:rsid w:val="0054530F"/>
    <w:rsid w:val="00546C65"/>
    <w:rsid w:val="005556FD"/>
    <w:rsid w:val="00555C27"/>
    <w:rsid w:val="00556BA4"/>
    <w:rsid w:val="00564566"/>
    <w:rsid w:val="0057264B"/>
    <w:rsid w:val="005807C8"/>
    <w:rsid w:val="00583789"/>
    <w:rsid w:val="00591034"/>
    <w:rsid w:val="00597203"/>
    <w:rsid w:val="005A37E3"/>
    <w:rsid w:val="005A7DE2"/>
    <w:rsid w:val="005C337D"/>
    <w:rsid w:val="005D71B0"/>
    <w:rsid w:val="005E1A8B"/>
    <w:rsid w:val="005F52FA"/>
    <w:rsid w:val="0060605F"/>
    <w:rsid w:val="006213CB"/>
    <w:rsid w:val="00621E25"/>
    <w:rsid w:val="00621EED"/>
    <w:rsid w:val="00627616"/>
    <w:rsid w:val="0064269D"/>
    <w:rsid w:val="0065629E"/>
    <w:rsid w:val="00667D4A"/>
    <w:rsid w:val="006C0342"/>
    <w:rsid w:val="006D0EFA"/>
    <w:rsid w:val="006E19B1"/>
    <w:rsid w:val="007039CB"/>
    <w:rsid w:val="007075E0"/>
    <w:rsid w:val="00717F23"/>
    <w:rsid w:val="00752FEA"/>
    <w:rsid w:val="0077487D"/>
    <w:rsid w:val="00774D5B"/>
    <w:rsid w:val="00774ED3"/>
    <w:rsid w:val="00787EA1"/>
    <w:rsid w:val="00793871"/>
    <w:rsid w:val="007B1634"/>
    <w:rsid w:val="007C5D73"/>
    <w:rsid w:val="007E41BC"/>
    <w:rsid w:val="007E55E2"/>
    <w:rsid w:val="007F0400"/>
    <w:rsid w:val="008078D5"/>
    <w:rsid w:val="0084666E"/>
    <w:rsid w:val="008506E0"/>
    <w:rsid w:val="00851EFE"/>
    <w:rsid w:val="00865A39"/>
    <w:rsid w:val="0086766D"/>
    <w:rsid w:val="00890BD6"/>
    <w:rsid w:val="00896C58"/>
    <w:rsid w:val="008A5D36"/>
    <w:rsid w:val="008A6FDC"/>
    <w:rsid w:val="008B29F8"/>
    <w:rsid w:val="008D105A"/>
    <w:rsid w:val="008E2F68"/>
    <w:rsid w:val="008F2A6C"/>
    <w:rsid w:val="00910766"/>
    <w:rsid w:val="00925AAA"/>
    <w:rsid w:val="00932F39"/>
    <w:rsid w:val="0096206B"/>
    <w:rsid w:val="009771D0"/>
    <w:rsid w:val="009810D6"/>
    <w:rsid w:val="00981B3E"/>
    <w:rsid w:val="0098356D"/>
    <w:rsid w:val="009849DC"/>
    <w:rsid w:val="009A275E"/>
    <w:rsid w:val="009A5F7C"/>
    <w:rsid w:val="009B509F"/>
    <w:rsid w:val="009F09CD"/>
    <w:rsid w:val="009F73D6"/>
    <w:rsid w:val="00A00E83"/>
    <w:rsid w:val="00A1376F"/>
    <w:rsid w:val="00A14103"/>
    <w:rsid w:val="00A16A4F"/>
    <w:rsid w:val="00A23F4C"/>
    <w:rsid w:val="00A246CD"/>
    <w:rsid w:val="00A26F88"/>
    <w:rsid w:val="00A40EF1"/>
    <w:rsid w:val="00A42094"/>
    <w:rsid w:val="00A43AB6"/>
    <w:rsid w:val="00A47374"/>
    <w:rsid w:val="00A62BE8"/>
    <w:rsid w:val="00A753D2"/>
    <w:rsid w:val="00A80144"/>
    <w:rsid w:val="00AA6E03"/>
    <w:rsid w:val="00AB094A"/>
    <w:rsid w:val="00AB3E97"/>
    <w:rsid w:val="00AD04A2"/>
    <w:rsid w:val="00AE3AF9"/>
    <w:rsid w:val="00AF48BD"/>
    <w:rsid w:val="00B05A25"/>
    <w:rsid w:val="00B063D2"/>
    <w:rsid w:val="00B10EF5"/>
    <w:rsid w:val="00B11B5B"/>
    <w:rsid w:val="00B1255C"/>
    <w:rsid w:val="00B15E55"/>
    <w:rsid w:val="00B22D7F"/>
    <w:rsid w:val="00B23B82"/>
    <w:rsid w:val="00B244EE"/>
    <w:rsid w:val="00B2660D"/>
    <w:rsid w:val="00B30E9B"/>
    <w:rsid w:val="00B601B6"/>
    <w:rsid w:val="00B655E8"/>
    <w:rsid w:val="00B667A9"/>
    <w:rsid w:val="00B66C48"/>
    <w:rsid w:val="00B7034B"/>
    <w:rsid w:val="00B72415"/>
    <w:rsid w:val="00B73A8A"/>
    <w:rsid w:val="00B74678"/>
    <w:rsid w:val="00B84778"/>
    <w:rsid w:val="00B85AB1"/>
    <w:rsid w:val="00B91860"/>
    <w:rsid w:val="00BA28C7"/>
    <w:rsid w:val="00BA6827"/>
    <w:rsid w:val="00BA6A05"/>
    <w:rsid w:val="00BB46AA"/>
    <w:rsid w:val="00BB487A"/>
    <w:rsid w:val="00BC2845"/>
    <w:rsid w:val="00BE5B3D"/>
    <w:rsid w:val="00BF49CC"/>
    <w:rsid w:val="00BF4CD5"/>
    <w:rsid w:val="00C352AD"/>
    <w:rsid w:val="00C41716"/>
    <w:rsid w:val="00C45024"/>
    <w:rsid w:val="00C502E3"/>
    <w:rsid w:val="00C62605"/>
    <w:rsid w:val="00C66F9A"/>
    <w:rsid w:val="00C96847"/>
    <w:rsid w:val="00CB14E4"/>
    <w:rsid w:val="00CC2C53"/>
    <w:rsid w:val="00CF4B1D"/>
    <w:rsid w:val="00CF4FB4"/>
    <w:rsid w:val="00CF5850"/>
    <w:rsid w:val="00D0320F"/>
    <w:rsid w:val="00D302C1"/>
    <w:rsid w:val="00D30F90"/>
    <w:rsid w:val="00D35793"/>
    <w:rsid w:val="00D405B1"/>
    <w:rsid w:val="00D6147F"/>
    <w:rsid w:val="00D64D1E"/>
    <w:rsid w:val="00D92DA5"/>
    <w:rsid w:val="00D939A3"/>
    <w:rsid w:val="00D9639E"/>
    <w:rsid w:val="00DA27FA"/>
    <w:rsid w:val="00DB3153"/>
    <w:rsid w:val="00DB6DC7"/>
    <w:rsid w:val="00DC3ED0"/>
    <w:rsid w:val="00DE1AD4"/>
    <w:rsid w:val="00E45572"/>
    <w:rsid w:val="00E57282"/>
    <w:rsid w:val="00E701C3"/>
    <w:rsid w:val="00E74AFE"/>
    <w:rsid w:val="00E75458"/>
    <w:rsid w:val="00E8256C"/>
    <w:rsid w:val="00EA32DC"/>
    <w:rsid w:val="00EB2E93"/>
    <w:rsid w:val="00EB6D24"/>
    <w:rsid w:val="00ED07FD"/>
    <w:rsid w:val="00EE22BB"/>
    <w:rsid w:val="00EE2FC0"/>
    <w:rsid w:val="00EE3E1E"/>
    <w:rsid w:val="00EE4133"/>
    <w:rsid w:val="00EE687A"/>
    <w:rsid w:val="00EF6A84"/>
    <w:rsid w:val="00EF7AC6"/>
    <w:rsid w:val="00F06BA6"/>
    <w:rsid w:val="00F17EE8"/>
    <w:rsid w:val="00F20546"/>
    <w:rsid w:val="00F240C9"/>
    <w:rsid w:val="00F45B78"/>
    <w:rsid w:val="00F73271"/>
    <w:rsid w:val="00F771AD"/>
    <w:rsid w:val="00F82FB3"/>
    <w:rsid w:val="00F97525"/>
    <w:rsid w:val="00FA2416"/>
    <w:rsid w:val="00FC0982"/>
    <w:rsid w:val="00FD1714"/>
    <w:rsid w:val="00FD2140"/>
    <w:rsid w:val="00FE1623"/>
    <w:rsid w:val="00FE3B8A"/>
    <w:rsid w:val="00FE563C"/>
    <w:rsid w:val="00FF08E5"/>
    <w:rsid w:val="00FF0D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01D8F31-DDE9-41A0-AD29-208A4C420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71B0"/>
    <w:pPr>
      <w:ind w:left="720"/>
      <w:contextualSpacing/>
    </w:pPr>
  </w:style>
  <w:style w:type="paragraph" w:styleId="FootnoteText">
    <w:name w:val="footnote text"/>
    <w:basedOn w:val="Normal"/>
    <w:link w:val="FootnoteTextChar"/>
    <w:uiPriority w:val="99"/>
    <w:semiHidden/>
    <w:unhideWhenUsed/>
    <w:rsid w:val="002B714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B7143"/>
    <w:rPr>
      <w:sz w:val="20"/>
      <w:szCs w:val="20"/>
    </w:rPr>
  </w:style>
  <w:style w:type="character" w:styleId="FootnoteReference">
    <w:name w:val="footnote reference"/>
    <w:basedOn w:val="DefaultParagraphFont"/>
    <w:uiPriority w:val="99"/>
    <w:semiHidden/>
    <w:unhideWhenUsed/>
    <w:rsid w:val="002B7143"/>
    <w:rPr>
      <w:vertAlign w:val="superscript"/>
    </w:rPr>
  </w:style>
  <w:style w:type="paragraph" w:styleId="Header">
    <w:name w:val="header"/>
    <w:basedOn w:val="Normal"/>
    <w:link w:val="HeaderChar"/>
    <w:uiPriority w:val="99"/>
    <w:unhideWhenUsed/>
    <w:rsid w:val="00186B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6B23"/>
  </w:style>
  <w:style w:type="paragraph" w:styleId="Footer">
    <w:name w:val="footer"/>
    <w:basedOn w:val="Normal"/>
    <w:link w:val="FooterChar"/>
    <w:uiPriority w:val="99"/>
    <w:unhideWhenUsed/>
    <w:rsid w:val="00186B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6B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9786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E738D2-4868-485F-B028-1DFBF8C82A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1490</TotalTime>
  <Pages>7</Pages>
  <Words>3017</Words>
  <Characters>17199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20176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Jack</dc:creator>
  <cp:lastModifiedBy>Gothmog x</cp:lastModifiedBy>
  <cp:revision>224</cp:revision>
  <dcterms:created xsi:type="dcterms:W3CDTF">2017-11-23T17:36:00Z</dcterms:created>
  <dcterms:modified xsi:type="dcterms:W3CDTF">2017-12-14T21:44:00Z</dcterms:modified>
</cp:coreProperties>
</file>