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698A3" w14:textId="0B872EAB" w:rsidR="00F71AEB" w:rsidRPr="00C63B1C" w:rsidRDefault="00F71AEB" w:rsidP="00C63B1C">
      <w:pPr>
        <w:pStyle w:val="NoSpacing"/>
        <w:jc w:val="center"/>
        <w:rPr>
          <w:color w:val="auto"/>
          <w:sz w:val="24"/>
          <w:szCs w:val="24"/>
        </w:rPr>
      </w:pPr>
      <w:r w:rsidRPr="00C63B1C">
        <w:rPr>
          <w:color w:val="auto"/>
          <w:sz w:val="24"/>
          <w:szCs w:val="24"/>
        </w:rPr>
        <w:t xml:space="preserve">Developing </w:t>
      </w:r>
      <w:r w:rsidR="00C63B1C" w:rsidRPr="00C63B1C">
        <w:rPr>
          <w:color w:val="auto"/>
          <w:sz w:val="24"/>
          <w:szCs w:val="24"/>
        </w:rPr>
        <w:t>E</w:t>
      </w:r>
      <w:r w:rsidRPr="00C63B1C">
        <w:rPr>
          <w:color w:val="auto"/>
          <w:sz w:val="24"/>
          <w:szCs w:val="24"/>
        </w:rPr>
        <w:t>motional Intelligence</w:t>
      </w:r>
    </w:p>
    <w:p w14:paraId="7561DD8F" w14:textId="421CA0A5" w:rsidR="00C63B1C" w:rsidRPr="00C63B1C" w:rsidRDefault="00C63B1C" w:rsidP="00C63B1C">
      <w:pPr>
        <w:pStyle w:val="NoSpacing"/>
        <w:jc w:val="center"/>
        <w:rPr>
          <w:color w:val="auto"/>
          <w:sz w:val="24"/>
          <w:szCs w:val="24"/>
        </w:rPr>
      </w:pPr>
      <w:r w:rsidRPr="00C63B1C">
        <w:rPr>
          <w:color w:val="auto"/>
          <w:sz w:val="24"/>
          <w:szCs w:val="24"/>
        </w:rPr>
        <w:t>LCLM5006</w:t>
      </w:r>
    </w:p>
    <w:p w14:paraId="103B3FB1" w14:textId="78374A61" w:rsidR="00F71AEB" w:rsidRPr="00C63B1C" w:rsidRDefault="00F71AEB" w:rsidP="00C63B1C">
      <w:pPr>
        <w:pStyle w:val="NoSpacing"/>
        <w:jc w:val="center"/>
        <w:rPr>
          <w:color w:val="auto"/>
          <w:sz w:val="24"/>
          <w:szCs w:val="24"/>
        </w:rPr>
      </w:pPr>
      <w:r w:rsidRPr="00C63B1C">
        <w:rPr>
          <w:color w:val="auto"/>
          <w:sz w:val="24"/>
          <w:szCs w:val="24"/>
        </w:rPr>
        <w:t>Component 2 – Individual Written Report</w:t>
      </w:r>
    </w:p>
    <w:p w14:paraId="748B4ADD" w14:textId="009D46A7" w:rsidR="00F71AEB" w:rsidRPr="00C63B1C" w:rsidRDefault="00C63B1C" w:rsidP="00C63B1C">
      <w:pPr>
        <w:pStyle w:val="NoSpacing"/>
        <w:jc w:val="center"/>
        <w:rPr>
          <w:color w:val="auto"/>
          <w:sz w:val="24"/>
          <w:szCs w:val="24"/>
        </w:rPr>
      </w:pPr>
      <w:r>
        <w:rPr>
          <w:color w:val="auto"/>
          <w:sz w:val="24"/>
          <w:szCs w:val="24"/>
        </w:rPr>
        <w:t xml:space="preserve">Name: </w:t>
      </w:r>
      <w:r w:rsidR="00F71AEB" w:rsidRPr="00C63B1C">
        <w:rPr>
          <w:color w:val="auto"/>
          <w:sz w:val="24"/>
          <w:szCs w:val="24"/>
        </w:rPr>
        <w:t>Rosemary Jordao</w:t>
      </w:r>
    </w:p>
    <w:p w14:paraId="35D1EAA1" w14:textId="73616A88" w:rsidR="00F71AEB" w:rsidRDefault="00C63B1C" w:rsidP="00C63B1C">
      <w:pPr>
        <w:pStyle w:val="NoSpacing"/>
        <w:jc w:val="center"/>
        <w:rPr>
          <w:color w:val="auto"/>
          <w:sz w:val="24"/>
          <w:szCs w:val="24"/>
        </w:rPr>
      </w:pPr>
      <w:r w:rsidRPr="00C63B1C">
        <w:rPr>
          <w:color w:val="auto"/>
          <w:sz w:val="24"/>
          <w:szCs w:val="24"/>
        </w:rPr>
        <w:t>Lecturer</w:t>
      </w:r>
      <w:r w:rsidR="00F71AEB" w:rsidRPr="00C63B1C">
        <w:rPr>
          <w:color w:val="auto"/>
          <w:sz w:val="24"/>
          <w:szCs w:val="24"/>
        </w:rPr>
        <w:t>:</w:t>
      </w:r>
      <w:r w:rsidRPr="00C63B1C">
        <w:rPr>
          <w:color w:val="auto"/>
          <w:sz w:val="24"/>
          <w:szCs w:val="24"/>
        </w:rPr>
        <w:t xml:space="preserve"> Dr Nishi Ramsurrun</w:t>
      </w:r>
    </w:p>
    <w:p w14:paraId="46AA11E2" w14:textId="1B665782" w:rsidR="00C63B1C" w:rsidRPr="00C63B1C" w:rsidRDefault="00C63B1C" w:rsidP="00C63B1C">
      <w:pPr>
        <w:pStyle w:val="NoSpacing"/>
        <w:jc w:val="center"/>
        <w:rPr>
          <w:color w:val="auto"/>
          <w:sz w:val="24"/>
          <w:szCs w:val="24"/>
        </w:rPr>
      </w:pPr>
      <w:r>
        <w:rPr>
          <w:color w:val="auto"/>
          <w:sz w:val="24"/>
          <w:szCs w:val="24"/>
        </w:rPr>
        <w:t>Date: 1 May 2026</w:t>
      </w:r>
    </w:p>
    <w:p w14:paraId="7DBA0AD7" w14:textId="77777777" w:rsidR="00F71AEB" w:rsidRDefault="00F71AEB">
      <w:r>
        <w:br w:type="page"/>
      </w:r>
    </w:p>
    <w:sdt>
      <w:sdtPr>
        <w:id w:val="-500498253"/>
        <w:docPartObj>
          <w:docPartGallery w:val="Table of Contents"/>
          <w:docPartUnique/>
        </w:docPartObj>
      </w:sdtPr>
      <w:sdtEndPr>
        <w:rPr>
          <w:rFonts w:ascii="Calibri" w:eastAsia="Calibri" w:hAnsi="Calibri" w:cs="Calibri"/>
          <w:b/>
          <w:bCs/>
          <w:color w:val="auto"/>
          <w:sz w:val="24"/>
          <w:szCs w:val="24"/>
        </w:rPr>
      </w:sdtEndPr>
      <w:sdtContent>
        <w:p w14:paraId="724B2240" w14:textId="0F48A609" w:rsidR="00C63B1C" w:rsidRDefault="00C63B1C">
          <w:pPr>
            <w:pStyle w:val="TOCHeading"/>
          </w:pPr>
          <w:r>
            <w:t>Contents</w:t>
          </w:r>
        </w:p>
        <w:p w14:paraId="4BF28992" w14:textId="6718456D" w:rsidR="005E5C1A" w:rsidRDefault="00C63B1C">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504637" w:history="1">
            <w:r w:rsidR="005E5C1A" w:rsidRPr="00DE4B42">
              <w:rPr>
                <w:rStyle w:val="Hyperlink"/>
                <w:rFonts w:ascii="Arial" w:hAnsi="Arial" w:cs="Arial"/>
                <w:noProof/>
              </w:rPr>
              <w:t>Introduction</w:t>
            </w:r>
            <w:r w:rsidR="005E5C1A">
              <w:rPr>
                <w:noProof/>
                <w:webHidden/>
              </w:rPr>
              <w:tab/>
            </w:r>
            <w:r w:rsidR="005E5C1A">
              <w:rPr>
                <w:noProof/>
                <w:webHidden/>
              </w:rPr>
              <w:fldChar w:fldCharType="begin"/>
            </w:r>
            <w:r w:rsidR="005E5C1A">
              <w:rPr>
                <w:noProof/>
                <w:webHidden/>
              </w:rPr>
              <w:instrText xml:space="preserve"> PAGEREF _Toc227504637 \h </w:instrText>
            </w:r>
            <w:r w:rsidR="005E5C1A">
              <w:rPr>
                <w:noProof/>
                <w:webHidden/>
              </w:rPr>
            </w:r>
            <w:r w:rsidR="005E5C1A">
              <w:rPr>
                <w:noProof/>
                <w:webHidden/>
              </w:rPr>
              <w:fldChar w:fldCharType="separate"/>
            </w:r>
            <w:r w:rsidR="005E5C1A">
              <w:rPr>
                <w:noProof/>
                <w:webHidden/>
              </w:rPr>
              <w:t>2</w:t>
            </w:r>
            <w:r w:rsidR="005E5C1A">
              <w:rPr>
                <w:noProof/>
                <w:webHidden/>
              </w:rPr>
              <w:fldChar w:fldCharType="end"/>
            </w:r>
          </w:hyperlink>
        </w:p>
        <w:p w14:paraId="32948AE5" w14:textId="277C17A1" w:rsidR="005E5C1A" w:rsidRDefault="005E5C1A">
          <w:pPr>
            <w:pStyle w:val="TOC1"/>
            <w:tabs>
              <w:tab w:val="right" w:leader="dot" w:pos="9016"/>
            </w:tabs>
            <w:rPr>
              <w:rFonts w:asciiTheme="minorHAnsi" w:eastAsiaTheme="minorEastAsia" w:hAnsiTheme="minorHAnsi" w:cstheme="minorBidi"/>
              <w:noProof/>
              <w:kern w:val="2"/>
              <w14:ligatures w14:val="standardContextual"/>
            </w:rPr>
          </w:pPr>
          <w:hyperlink w:anchor="_Toc227504638" w:history="1">
            <w:r w:rsidRPr="00DE4B42">
              <w:rPr>
                <w:rStyle w:val="Hyperlink"/>
                <w:rFonts w:ascii="Arial" w:hAnsi="Arial" w:cs="Arial"/>
                <w:noProof/>
              </w:rPr>
              <w:t>How Employees Use Emotional Intelligence in Practice</w:t>
            </w:r>
            <w:r>
              <w:rPr>
                <w:noProof/>
                <w:webHidden/>
              </w:rPr>
              <w:tab/>
            </w:r>
            <w:r>
              <w:rPr>
                <w:noProof/>
                <w:webHidden/>
              </w:rPr>
              <w:fldChar w:fldCharType="begin"/>
            </w:r>
            <w:r>
              <w:rPr>
                <w:noProof/>
                <w:webHidden/>
              </w:rPr>
              <w:instrText xml:space="preserve"> PAGEREF _Toc227504638 \h </w:instrText>
            </w:r>
            <w:r>
              <w:rPr>
                <w:noProof/>
                <w:webHidden/>
              </w:rPr>
            </w:r>
            <w:r>
              <w:rPr>
                <w:noProof/>
                <w:webHidden/>
              </w:rPr>
              <w:fldChar w:fldCharType="separate"/>
            </w:r>
            <w:r>
              <w:rPr>
                <w:noProof/>
                <w:webHidden/>
              </w:rPr>
              <w:t>2</w:t>
            </w:r>
            <w:r>
              <w:rPr>
                <w:noProof/>
                <w:webHidden/>
              </w:rPr>
              <w:fldChar w:fldCharType="end"/>
            </w:r>
          </w:hyperlink>
        </w:p>
        <w:p w14:paraId="07A13967" w14:textId="3883A66A" w:rsidR="005E5C1A" w:rsidRDefault="005E5C1A">
          <w:pPr>
            <w:pStyle w:val="TOC1"/>
            <w:tabs>
              <w:tab w:val="right" w:leader="dot" w:pos="9016"/>
            </w:tabs>
            <w:rPr>
              <w:rFonts w:asciiTheme="minorHAnsi" w:eastAsiaTheme="minorEastAsia" w:hAnsiTheme="minorHAnsi" w:cstheme="minorBidi"/>
              <w:noProof/>
              <w:kern w:val="2"/>
              <w14:ligatures w14:val="standardContextual"/>
            </w:rPr>
          </w:pPr>
          <w:hyperlink w:anchor="_Toc227504639" w:history="1">
            <w:r w:rsidRPr="00DE4B42">
              <w:rPr>
                <w:rStyle w:val="Hyperlink"/>
                <w:rFonts w:ascii="Arial" w:hAnsi="Arial" w:cs="Arial"/>
                <w:noProof/>
              </w:rPr>
              <w:t>Motivation impact on behaviour</w:t>
            </w:r>
            <w:r>
              <w:rPr>
                <w:noProof/>
                <w:webHidden/>
              </w:rPr>
              <w:tab/>
            </w:r>
            <w:r>
              <w:rPr>
                <w:noProof/>
                <w:webHidden/>
              </w:rPr>
              <w:fldChar w:fldCharType="begin"/>
            </w:r>
            <w:r>
              <w:rPr>
                <w:noProof/>
                <w:webHidden/>
              </w:rPr>
              <w:instrText xml:space="preserve"> PAGEREF _Toc227504639 \h </w:instrText>
            </w:r>
            <w:r>
              <w:rPr>
                <w:noProof/>
                <w:webHidden/>
              </w:rPr>
            </w:r>
            <w:r>
              <w:rPr>
                <w:noProof/>
                <w:webHidden/>
              </w:rPr>
              <w:fldChar w:fldCharType="separate"/>
            </w:r>
            <w:r>
              <w:rPr>
                <w:noProof/>
                <w:webHidden/>
              </w:rPr>
              <w:t>5</w:t>
            </w:r>
            <w:r>
              <w:rPr>
                <w:noProof/>
                <w:webHidden/>
              </w:rPr>
              <w:fldChar w:fldCharType="end"/>
            </w:r>
          </w:hyperlink>
        </w:p>
        <w:p w14:paraId="4F23DF76" w14:textId="24E4B86B" w:rsidR="005E5C1A" w:rsidRDefault="005E5C1A">
          <w:pPr>
            <w:pStyle w:val="TOC1"/>
            <w:tabs>
              <w:tab w:val="right" w:leader="dot" w:pos="9016"/>
            </w:tabs>
            <w:rPr>
              <w:rFonts w:asciiTheme="minorHAnsi" w:eastAsiaTheme="minorEastAsia" w:hAnsiTheme="minorHAnsi" w:cstheme="minorBidi"/>
              <w:noProof/>
              <w:kern w:val="2"/>
              <w14:ligatures w14:val="standardContextual"/>
            </w:rPr>
          </w:pPr>
          <w:hyperlink w:anchor="_Toc227504640" w:history="1">
            <w:r w:rsidRPr="00DE4B42">
              <w:rPr>
                <w:rStyle w:val="Hyperlink"/>
                <w:rFonts w:ascii="Arial" w:hAnsi="Arial" w:cs="Arial"/>
                <w:noProof/>
              </w:rPr>
              <w:t>Generational Characteristics and Recruitment</w:t>
            </w:r>
            <w:r>
              <w:rPr>
                <w:noProof/>
                <w:webHidden/>
              </w:rPr>
              <w:tab/>
            </w:r>
            <w:r>
              <w:rPr>
                <w:noProof/>
                <w:webHidden/>
              </w:rPr>
              <w:fldChar w:fldCharType="begin"/>
            </w:r>
            <w:r>
              <w:rPr>
                <w:noProof/>
                <w:webHidden/>
              </w:rPr>
              <w:instrText xml:space="preserve"> PAGEREF _Toc227504640 \h </w:instrText>
            </w:r>
            <w:r>
              <w:rPr>
                <w:noProof/>
                <w:webHidden/>
              </w:rPr>
            </w:r>
            <w:r>
              <w:rPr>
                <w:noProof/>
                <w:webHidden/>
              </w:rPr>
              <w:fldChar w:fldCharType="separate"/>
            </w:r>
            <w:r>
              <w:rPr>
                <w:noProof/>
                <w:webHidden/>
              </w:rPr>
              <w:t>6</w:t>
            </w:r>
            <w:r>
              <w:rPr>
                <w:noProof/>
                <w:webHidden/>
              </w:rPr>
              <w:fldChar w:fldCharType="end"/>
            </w:r>
          </w:hyperlink>
        </w:p>
        <w:p w14:paraId="2E4090CE" w14:textId="560C92EA" w:rsidR="005E5C1A" w:rsidRDefault="005E5C1A">
          <w:pPr>
            <w:pStyle w:val="TOC1"/>
            <w:tabs>
              <w:tab w:val="right" w:leader="dot" w:pos="9016"/>
            </w:tabs>
            <w:rPr>
              <w:rFonts w:asciiTheme="minorHAnsi" w:eastAsiaTheme="minorEastAsia" w:hAnsiTheme="minorHAnsi" w:cstheme="minorBidi"/>
              <w:noProof/>
              <w:kern w:val="2"/>
              <w14:ligatures w14:val="standardContextual"/>
            </w:rPr>
          </w:pPr>
          <w:hyperlink w:anchor="_Toc227504641" w:history="1">
            <w:r w:rsidRPr="00DE4B42">
              <w:rPr>
                <w:rStyle w:val="Hyperlink"/>
                <w:rFonts w:ascii="Arial" w:hAnsi="Arial" w:cs="Arial"/>
                <w:noProof/>
              </w:rPr>
              <w:t>Generation X</w:t>
            </w:r>
            <w:r>
              <w:rPr>
                <w:noProof/>
                <w:webHidden/>
              </w:rPr>
              <w:tab/>
            </w:r>
            <w:r>
              <w:rPr>
                <w:noProof/>
                <w:webHidden/>
              </w:rPr>
              <w:fldChar w:fldCharType="begin"/>
            </w:r>
            <w:r>
              <w:rPr>
                <w:noProof/>
                <w:webHidden/>
              </w:rPr>
              <w:instrText xml:space="preserve"> PAGEREF _Toc227504641 \h </w:instrText>
            </w:r>
            <w:r>
              <w:rPr>
                <w:noProof/>
                <w:webHidden/>
              </w:rPr>
            </w:r>
            <w:r>
              <w:rPr>
                <w:noProof/>
                <w:webHidden/>
              </w:rPr>
              <w:fldChar w:fldCharType="separate"/>
            </w:r>
            <w:r>
              <w:rPr>
                <w:noProof/>
                <w:webHidden/>
              </w:rPr>
              <w:t>6</w:t>
            </w:r>
            <w:r>
              <w:rPr>
                <w:noProof/>
                <w:webHidden/>
              </w:rPr>
              <w:fldChar w:fldCharType="end"/>
            </w:r>
          </w:hyperlink>
        </w:p>
        <w:p w14:paraId="7DFFE7A1" w14:textId="5ED470AC" w:rsidR="005E5C1A" w:rsidRDefault="005E5C1A">
          <w:pPr>
            <w:pStyle w:val="TOC1"/>
            <w:tabs>
              <w:tab w:val="right" w:leader="dot" w:pos="9016"/>
            </w:tabs>
            <w:rPr>
              <w:rFonts w:asciiTheme="minorHAnsi" w:eastAsiaTheme="minorEastAsia" w:hAnsiTheme="minorHAnsi" w:cstheme="minorBidi"/>
              <w:noProof/>
              <w:kern w:val="2"/>
              <w14:ligatures w14:val="standardContextual"/>
            </w:rPr>
          </w:pPr>
          <w:hyperlink w:anchor="_Toc227504642" w:history="1">
            <w:r w:rsidRPr="00DE4B42">
              <w:rPr>
                <w:rStyle w:val="Hyperlink"/>
                <w:rFonts w:ascii="Arial" w:hAnsi="Arial" w:cs="Arial"/>
                <w:noProof/>
              </w:rPr>
              <w:t>Millennials</w:t>
            </w:r>
            <w:r>
              <w:rPr>
                <w:noProof/>
                <w:webHidden/>
              </w:rPr>
              <w:tab/>
            </w:r>
            <w:r>
              <w:rPr>
                <w:noProof/>
                <w:webHidden/>
              </w:rPr>
              <w:fldChar w:fldCharType="begin"/>
            </w:r>
            <w:r>
              <w:rPr>
                <w:noProof/>
                <w:webHidden/>
              </w:rPr>
              <w:instrText xml:space="preserve"> PAGEREF _Toc227504642 \h </w:instrText>
            </w:r>
            <w:r>
              <w:rPr>
                <w:noProof/>
                <w:webHidden/>
              </w:rPr>
            </w:r>
            <w:r>
              <w:rPr>
                <w:noProof/>
                <w:webHidden/>
              </w:rPr>
              <w:fldChar w:fldCharType="separate"/>
            </w:r>
            <w:r>
              <w:rPr>
                <w:noProof/>
                <w:webHidden/>
              </w:rPr>
              <w:t>7</w:t>
            </w:r>
            <w:r>
              <w:rPr>
                <w:noProof/>
                <w:webHidden/>
              </w:rPr>
              <w:fldChar w:fldCharType="end"/>
            </w:r>
          </w:hyperlink>
        </w:p>
        <w:p w14:paraId="476DDAF9" w14:textId="5D65FF8D" w:rsidR="00C63B1C" w:rsidRDefault="00C63B1C">
          <w:r>
            <w:rPr>
              <w:b/>
              <w:bCs/>
            </w:rPr>
            <w:fldChar w:fldCharType="end"/>
          </w:r>
        </w:p>
      </w:sdtContent>
    </w:sdt>
    <w:p w14:paraId="0057CC23" w14:textId="6FFAA5DD" w:rsidR="00BE224A" w:rsidRDefault="00BE224A">
      <w:pPr>
        <w:rPr>
          <w:b/>
          <w:color w:val="000000" w:themeColor="text1"/>
          <w:sz w:val="28"/>
          <w:szCs w:val="40"/>
        </w:rPr>
      </w:pPr>
      <w:r>
        <w:br w:type="page"/>
      </w:r>
    </w:p>
    <w:p w14:paraId="00000001" w14:textId="61F147AE" w:rsidR="00C7259F" w:rsidRPr="00F71AEB" w:rsidRDefault="00000000" w:rsidP="00B435BE">
      <w:pPr>
        <w:pStyle w:val="Heading1"/>
        <w:rPr>
          <w:rFonts w:ascii="Arial" w:hAnsi="Arial" w:cs="Arial"/>
          <w:b w:val="0"/>
          <w:sz w:val="22"/>
          <w:szCs w:val="22"/>
        </w:rPr>
      </w:pPr>
      <w:bookmarkStart w:id="0" w:name="_Toc227504637"/>
      <w:r w:rsidRPr="00F71AEB">
        <w:rPr>
          <w:rFonts w:ascii="Arial" w:hAnsi="Arial" w:cs="Arial"/>
          <w:sz w:val="22"/>
          <w:szCs w:val="22"/>
        </w:rPr>
        <w:t>Introduction</w:t>
      </w:r>
      <w:bookmarkEnd w:id="0"/>
    </w:p>
    <w:p w14:paraId="00000002" w14:textId="445B2301"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Emotional Intelligence (EI) has gained prominence as a defining attribute of effective leadership in the 21</w:t>
      </w:r>
      <w:r w:rsidRPr="00F71AEB">
        <w:rPr>
          <w:rFonts w:ascii="Arial" w:eastAsia="Times New Roman" w:hAnsi="Arial" w:cs="Arial"/>
          <w:sz w:val="22"/>
          <w:szCs w:val="22"/>
          <w:vertAlign w:val="superscript"/>
        </w:rPr>
        <w:t>st</w:t>
      </w:r>
      <w:r w:rsidRPr="00F71AEB">
        <w:rPr>
          <w:rFonts w:ascii="Arial" w:eastAsia="Times New Roman" w:hAnsi="Arial" w:cs="Arial"/>
          <w:sz w:val="22"/>
          <w:szCs w:val="22"/>
        </w:rPr>
        <w:t xml:space="preserve"> century. Sharma et al., (2023) argue that as organisation</w:t>
      </w:r>
      <w:r w:rsidR="001F5D36" w:rsidRPr="00F71AEB">
        <w:rPr>
          <w:rFonts w:ascii="Arial" w:eastAsia="Times New Roman" w:hAnsi="Arial" w:cs="Arial"/>
          <w:sz w:val="22"/>
          <w:szCs w:val="22"/>
        </w:rPr>
        <w:t>s</w:t>
      </w:r>
      <w:r w:rsidRPr="00F71AEB">
        <w:rPr>
          <w:rFonts w:ascii="Arial" w:eastAsia="Times New Roman" w:hAnsi="Arial" w:cs="Arial"/>
          <w:sz w:val="22"/>
          <w:szCs w:val="22"/>
        </w:rPr>
        <w:t xml:space="preserve"> operate in diverse, high pressure and intergenerational environments, the capacity to recognise, regulate and constructively utilise emotions is no longer a peripheral but rather a strategic factor in inspiring teams and driving sustainable organisational success. Even so, the concept still remains theoretically contented, with competing models framing it as an ability, personality trait, or set of competencies (Chaidi and Drigas, 2022). The </w:t>
      </w:r>
      <w:r w:rsidR="00B435BE" w:rsidRPr="00F71AEB">
        <w:rPr>
          <w:rFonts w:ascii="Arial" w:eastAsia="Times New Roman" w:hAnsi="Arial" w:cs="Arial"/>
          <w:sz w:val="22"/>
          <w:szCs w:val="22"/>
        </w:rPr>
        <w:t>cohort</w:t>
      </w:r>
      <w:r w:rsidRPr="00F71AEB">
        <w:rPr>
          <w:rFonts w:ascii="Arial" w:eastAsia="Times New Roman" w:hAnsi="Arial" w:cs="Arial"/>
          <w:sz w:val="22"/>
          <w:szCs w:val="22"/>
        </w:rPr>
        <w:t xml:space="preserve"> differences across generations X, Y and Z also complicates the expression and interpretation of emotional competencies in the modern workplace. The following report critically analyses the application of emotional intelligence components in organisational settings and how the generational differences influence recruitment, management and emotional intelligence practice in the contemporary workplace. </w:t>
      </w:r>
    </w:p>
    <w:p w14:paraId="00000003" w14:textId="25B6C578" w:rsidR="00C7259F" w:rsidRPr="00F71AEB" w:rsidRDefault="00000000" w:rsidP="00B435BE">
      <w:pPr>
        <w:pStyle w:val="Heading1"/>
        <w:rPr>
          <w:rFonts w:ascii="Arial" w:hAnsi="Arial" w:cs="Arial"/>
          <w:b w:val="0"/>
          <w:sz w:val="22"/>
          <w:szCs w:val="22"/>
        </w:rPr>
      </w:pPr>
      <w:bookmarkStart w:id="1" w:name="_Toc227504638"/>
      <w:r w:rsidRPr="00F71AEB">
        <w:rPr>
          <w:rFonts w:ascii="Arial" w:hAnsi="Arial" w:cs="Arial"/>
          <w:sz w:val="22"/>
          <w:szCs w:val="22"/>
        </w:rPr>
        <w:t xml:space="preserve">How </w:t>
      </w:r>
      <w:r w:rsidR="005E5C1A">
        <w:rPr>
          <w:rFonts w:ascii="Arial" w:hAnsi="Arial" w:cs="Arial"/>
          <w:sz w:val="22"/>
          <w:szCs w:val="22"/>
        </w:rPr>
        <w:t>E</w:t>
      </w:r>
      <w:r w:rsidRPr="00F71AEB">
        <w:rPr>
          <w:rFonts w:ascii="Arial" w:hAnsi="Arial" w:cs="Arial"/>
          <w:sz w:val="22"/>
          <w:szCs w:val="22"/>
        </w:rPr>
        <w:t xml:space="preserve">mployees </w:t>
      </w:r>
      <w:r w:rsidR="005E5C1A">
        <w:rPr>
          <w:rFonts w:ascii="Arial" w:hAnsi="Arial" w:cs="Arial"/>
          <w:sz w:val="22"/>
          <w:szCs w:val="22"/>
        </w:rPr>
        <w:t>U</w:t>
      </w:r>
      <w:r w:rsidRPr="00F71AEB">
        <w:rPr>
          <w:rFonts w:ascii="Arial" w:hAnsi="Arial" w:cs="Arial"/>
          <w:sz w:val="22"/>
          <w:szCs w:val="22"/>
        </w:rPr>
        <w:t xml:space="preserve">se Emotional Intelligence in </w:t>
      </w:r>
      <w:r w:rsidR="005E5C1A">
        <w:rPr>
          <w:rFonts w:ascii="Arial" w:hAnsi="Arial" w:cs="Arial"/>
          <w:sz w:val="22"/>
          <w:szCs w:val="22"/>
        </w:rPr>
        <w:t>P</w:t>
      </w:r>
      <w:r w:rsidRPr="00F71AEB">
        <w:rPr>
          <w:rFonts w:ascii="Arial" w:hAnsi="Arial" w:cs="Arial"/>
          <w:sz w:val="22"/>
          <w:szCs w:val="22"/>
        </w:rPr>
        <w:t>ractice</w:t>
      </w:r>
      <w:bookmarkEnd w:id="1"/>
    </w:p>
    <w:p w14:paraId="00000004" w14:textId="0DB950E9"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The evolution of emotional intelligence as a psychological construct has been shaped by three theoretical standpoints, in an attempt to comprehend the role of emotions in human functioning and leadership effectiveness. The Ability model by Mayer and Salove (1997) perceived EI as a set of cognitive abilities applied in perception, use, understanding and management of emotions. Therefore, EI is treated as a cognitive capacity that is measurable through performance-based assessments such as Mayer-Salovey-Caruso Emotional Intelligence Test (MSCEIT). While the theoretical perspective is acknowledged for the theoretical precision and distinction from personality traits, Mathew et al., (2007) critiqued the model, noting that isolating EI as purely cognitive skills overlooks the influences of personality and motivation. Moreover, emotional perception cannot guarantee ethical or constructive use, because employees can accurately read the emotional cues and still deploy them manipulatively. Daniel Goleman (1995) introduced the Mixed Model by reframing EI as a competency-based leadership construct with four dominant behavioural skills namely; self-awareness, self-regulation, motivation, empathy and social skill. Due to the pragmatic orientation and direct linkage to leadership performance, Goleman’s model has dominated organisational training and use (Jain, 2021). Still, Joseph and Newman (2010) caution that mixed frameworks excessively overlap with personality dimensions such as conscientiousness and agreeableness, leading to construct validity problems. Bar-On’s model similarly conceptualises EI as a constellation of emotional and social competencies that impact adaptation and coping (Bar-On, 2006). According to Sharma et al., (2023) the distinction between ability and mixed models fundamentally mediates how EI is understood and measured in practice. Ability-based approaches increasingly prioritise performance testing while treating EI as a form of intelligence comparable to cognitive ability (Mayer and Salove, 1997). Mixed models still incorporate the broader dispositional characteristics and are often measured through self-report inventories (Joseph and Newman, 2010).</w:t>
      </w:r>
    </w:p>
    <w:p w14:paraId="00000005" w14:textId="77777777"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Self-awareness is the first foundational component of EI and is defined by Antonopoulou (2024) as the capacity to recognise one’s emotional state and comprehend the impact on cognition and behaviour. Due to the modern workplace demands that are characterised by performance demands and time pressures, self-awareness is critical in promoting the identification of stress triggers before they manifest as counterproductive behaviours (Ashley and Reiter- Palmon, 2012). The concept has been found to also play a role in mitigating unconscious bias and strengthening inclusive leadership. Lan (2024) added that since emotional reactions commonly precede conscious reasoning, unexamined discomfort towards divergent viewpoints can subconsciously influence emotions. The metacognitive perspective also affirms that self-awareness is a catalyst for emotional labelling, which neurological research suggests decreases the reactivity of amygdala and improves prefrontal regulation. The research is consistent with mindfulness studies influenced by Kabat-Zinn (1990) who proposed that non-judgemental awareness strengthens emotional differentiation. In workplaces, employees who are more receptive to feedback due to self-awareness, exhibit stronger job performances because of the efficacy in aligning behaviour to situational demands (Lan, 2024). Leaders who are attentive to affective dynamics, also create space for thoughtful and deliberate decision-making processes, which is important in intergenerational teams, where communication norms and expectations differ. Still, self-awareness alone does not guarantee effective behaviour. Ehring (2021) argued that too much self-focus or introspection without regulatory competence can cause rumination and emotional paralysis. Self-report measures of self-awareness can also be inflated because of impression management, leading to reduced reliability of findings. Self-awareness is also dependent on the organisational settings. Hierarchical cultures have been associated with limited emotional transparency that restricts the capacity of employees to express authentic emotional state without reputational risk (Lan, 2024). </w:t>
      </w:r>
    </w:p>
    <w:p w14:paraId="00000006" w14:textId="60DB5B79"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Self-regulation is another essential component which Goleman (1995) defined as the management of emotional impulses and responding proportionately within professional contexts. Employees in modern organisations frequently face emotionally charged situations such as conflict, customer dissatisfaction, performance appraisal and organisational change. The role of self-regulation in differentiating between reactive behaviour from composed leadership means that employees with strong regulatory capacity have a higher likelihood of sustaining professionalism under pressure (Salameh-Ayanian et al., 2025). Gross process model states that employees can respond to difficult situations through either cognitive reappraisal or expressive suppression (Kelley et al., 2019). Employees with high levels of EI engage in reappraisal reinterpret stressful situations in less threatening ways, culminating in lower burnout and improved wellbeing, while low EI is associated with suppression</w:t>
      </w:r>
      <w:r w:rsidR="00B435BE" w:rsidRPr="00F71AEB">
        <w:rPr>
          <w:rFonts w:ascii="Arial" w:eastAsia="Times New Roman" w:hAnsi="Arial" w:cs="Arial"/>
          <w:sz w:val="22"/>
          <w:szCs w:val="22"/>
        </w:rPr>
        <w:t xml:space="preserve"> and other issues related to poor performance</w:t>
      </w:r>
      <w:r w:rsidRPr="00F71AEB">
        <w:rPr>
          <w:rFonts w:ascii="Arial" w:eastAsia="Times New Roman" w:hAnsi="Arial" w:cs="Arial"/>
          <w:sz w:val="22"/>
          <w:szCs w:val="22"/>
        </w:rPr>
        <w:t xml:space="preserve">. Exhibited through concealing the outward emotional expression, suppression can lead to short-term composure but increases the risks of long-term emotional exhaustion and depersonalisation (Kelley et al., 2019). Hochschild (1983) explains that certain jobs require employees to regulate and display specific emotions as part of their work roles, even when those emotions differ from what they genuinely feel. High EI employees are more excellent in engaging in “deep acting” rather than “surface acting”. However, repeated regulation of authentic emotions is associated with higher risks of psychological strain. In the bid to sustain emotional composure for maximum productivity, organisations can also suppress legitimate dissent or distress, making EI a mechanism of control or tool of oppression (Kadović et al., 2022). Organisations and leaders should understand that the </w:t>
      </w:r>
      <w:r w:rsidR="001F5D36" w:rsidRPr="00F71AEB">
        <w:rPr>
          <w:rFonts w:ascii="Arial" w:eastAsia="Times New Roman" w:hAnsi="Arial" w:cs="Arial"/>
          <w:sz w:val="22"/>
          <w:szCs w:val="22"/>
        </w:rPr>
        <w:t>benefit</w:t>
      </w:r>
      <w:r w:rsidRPr="00F71AEB">
        <w:rPr>
          <w:rFonts w:ascii="Arial" w:eastAsia="Times New Roman" w:hAnsi="Arial" w:cs="Arial"/>
          <w:sz w:val="22"/>
          <w:szCs w:val="22"/>
        </w:rPr>
        <w:t xml:space="preserve"> of self-regulation is contingent upon the strategies employed and the unit culture within which the regulation occurs. </w:t>
      </w:r>
    </w:p>
    <w:p w14:paraId="368C9E51" w14:textId="77777777" w:rsidR="009D0FC5" w:rsidRPr="00F71AEB" w:rsidRDefault="009D0FC5" w:rsidP="009D0FC5">
      <w:pPr>
        <w:spacing w:line="360" w:lineRule="auto"/>
        <w:ind w:firstLine="720"/>
        <w:jc w:val="both"/>
        <w:rPr>
          <w:rFonts w:ascii="Arial" w:eastAsia="Times New Roman" w:hAnsi="Arial" w:cs="Arial"/>
          <w:sz w:val="22"/>
          <w:szCs w:val="22"/>
        </w:rPr>
      </w:pPr>
    </w:p>
    <w:p w14:paraId="2CD2FB64" w14:textId="77777777" w:rsidR="009D0FC5" w:rsidRPr="00F71AEB" w:rsidRDefault="009D0FC5" w:rsidP="009D0FC5">
      <w:pPr>
        <w:spacing w:line="360" w:lineRule="auto"/>
        <w:ind w:firstLine="720"/>
        <w:jc w:val="both"/>
        <w:rPr>
          <w:rFonts w:ascii="Arial" w:eastAsia="Times New Roman" w:hAnsi="Arial" w:cs="Arial"/>
          <w:sz w:val="22"/>
          <w:szCs w:val="22"/>
        </w:rPr>
      </w:pPr>
    </w:p>
    <w:p w14:paraId="4B8BE69A" w14:textId="77777777" w:rsidR="009D0FC5" w:rsidRPr="00F71AEB" w:rsidRDefault="009D0FC5" w:rsidP="009D0FC5">
      <w:pPr>
        <w:spacing w:line="360" w:lineRule="auto"/>
        <w:ind w:firstLine="720"/>
        <w:jc w:val="both"/>
        <w:rPr>
          <w:rFonts w:ascii="Arial" w:eastAsia="Times New Roman" w:hAnsi="Arial" w:cs="Arial"/>
          <w:sz w:val="22"/>
          <w:szCs w:val="22"/>
        </w:rPr>
      </w:pPr>
    </w:p>
    <w:p w14:paraId="00000007" w14:textId="77777777"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Coronado-Maldonado and Benítez-Márquez (2023) perceive empathy as the ability to understand the emotional perspectives of other people, as a core dimension of emotionally intelligent behaviour. The intentional practice of empathy is very beneficial to teamwork and leadership, because it facilitates trust, decreases interpersonal conflict, besides strengthening the quality of communications. Jun and Lee (2023) also associated empathy with transformational leadership behaviours, stating that leaders who can comprehend the emotional needs of the followers, inspire motivation and commitment. Moreover, Edmondson (2018) found that shared emotional awareness creates a psychologically safe workplace environment. Employees in such settings feel comfortable expressing their concerns without fear of retribution. Still the concept has limitations. Excessive emotional attunement  can hinder objectivity when leaders refrain from the difficult conversations in favour of preserving harmony. Cassels et al., (2010) also warned that cultural variation in the display of empathy can lead to misinterpretation within multicultural teams. Sustained emotional engagement in  professions such as nursing is associated with high levels of compassion fatigue.  </w:t>
      </w:r>
    </w:p>
    <w:p w14:paraId="00000008" w14:textId="2B78FE92"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Moving forward, social skills such as communication, collaboration, negotiation and conflict management are</w:t>
      </w:r>
      <w:r w:rsidR="00D925A1" w:rsidRPr="00F71AEB">
        <w:rPr>
          <w:rFonts w:ascii="Arial" w:eastAsia="Times New Roman" w:hAnsi="Arial" w:cs="Arial"/>
          <w:sz w:val="22"/>
          <w:szCs w:val="22"/>
        </w:rPr>
        <w:t xml:space="preserve"> as mentioned by </w:t>
      </w:r>
      <w:r w:rsidR="00D925A1" w:rsidRPr="00F71AEB">
        <w:rPr>
          <w:rFonts w:ascii="Arial" w:eastAsia="Times New Roman" w:hAnsi="Arial" w:cs="Arial"/>
          <w:sz w:val="22"/>
          <w:szCs w:val="22"/>
        </w:rPr>
        <w:t xml:space="preserve">Sharma et al. (2023) </w:t>
      </w:r>
      <w:r w:rsidR="00D925A1" w:rsidRPr="00F71AEB">
        <w:rPr>
          <w:rFonts w:ascii="Arial" w:eastAsia="Times New Roman" w:hAnsi="Arial" w:cs="Arial"/>
          <w:sz w:val="22"/>
          <w:szCs w:val="22"/>
        </w:rPr>
        <w:t>essential</w:t>
      </w:r>
      <w:r w:rsidRPr="00F71AEB">
        <w:rPr>
          <w:rFonts w:ascii="Arial" w:eastAsia="Times New Roman" w:hAnsi="Arial" w:cs="Arial"/>
          <w:sz w:val="22"/>
          <w:szCs w:val="22"/>
        </w:rPr>
        <w:t xml:space="preserve"> outward manifestations of emotional intelligence. Aquino et al., (2025) conducted a study and reported that employees who exhibited strong social skills were more effective in networking, persuasion and networking. The competencies also culminated in better career progression and organisational effectiveness through promoting cross-department collaboration. Positive associations have also been found between social skills and leadership emergence as well as team performance. </w:t>
      </w:r>
      <w:r w:rsidR="00EF4272" w:rsidRPr="00F71AEB">
        <w:rPr>
          <w:rFonts w:ascii="Arial" w:eastAsia="Times New Roman" w:hAnsi="Arial" w:cs="Arial"/>
          <w:sz w:val="22"/>
          <w:szCs w:val="22"/>
        </w:rPr>
        <w:t>The core themes of transformational leadership, as Jun and Lee (2023) observe, closely align with the social skill components of emotional intelligence.</w:t>
      </w:r>
      <w:r w:rsidRPr="00F71AEB">
        <w:rPr>
          <w:rFonts w:ascii="Arial" w:eastAsia="Times New Roman" w:hAnsi="Arial" w:cs="Arial"/>
          <w:sz w:val="22"/>
          <w:szCs w:val="22"/>
        </w:rPr>
        <w:t xml:space="preserve"> Leaders with high levels of emotional intelligence are also more likely to inspire employee engagement in change initiatives and organizational practices. Even so, </w:t>
      </w:r>
      <w:bookmarkStart w:id="2" w:name="_Hlk227501542"/>
      <w:r w:rsidRPr="00F71AEB">
        <w:rPr>
          <w:rFonts w:ascii="Arial" w:eastAsia="Times New Roman" w:hAnsi="Arial" w:cs="Arial"/>
          <w:sz w:val="22"/>
          <w:szCs w:val="22"/>
        </w:rPr>
        <w:t xml:space="preserve">Pareke et al., (2024) </w:t>
      </w:r>
      <w:bookmarkEnd w:id="2"/>
      <w:r w:rsidRPr="00F71AEB">
        <w:rPr>
          <w:rFonts w:ascii="Arial" w:eastAsia="Times New Roman" w:hAnsi="Arial" w:cs="Arial"/>
          <w:sz w:val="22"/>
          <w:szCs w:val="22"/>
        </w:rPr>
        <w:t xml:space="preserve">critiques that high social skills can sometimes catalyse political manoeuvring instead of ethical collaboration. Socially perceptive and emotionally sensitive employees can also strategically manage impressions to achieve self-interests, </w:t>
      </w:r>
      <w:r w:rsidR="00EF4272" w:rsidRPr="00F71AEB">
        <w:rPr>
          <w:rFonts w:ascii="Arial" w:eastAsia="Times New Roman" w:hAnsi="Arial" w:cs="Arial"/>
          <w:sz w:val="22"/>
          <w:szCs w:val="22"/>
        </w:rPr>
        <w:t xml:space="preserve">as noted by </w:t>
      </w:r>
      <w:r w:rsidR="00EF4272" w:rsidRPr="00F71AEB">
        <w:rPr>
          <w:rFonts w:ascii="Arial" w:eastAsia="Times New Roman" w:hAnsi="Arial" w:cs="Arial"/>
          <w:sz w:val="22"/>
          <w:szCs w:val="22"/>
        </w:rPr>
        <w:t>Pareke et al., (2024)</w:t>
      </w:r>
      <w:r w:rsidR="00EF4272" w:rsidRPr="00F71AEB">
        <w:rPr>
          <w:rFonts w:ascii="Arial" w:eastAsia="Times New Roman" w:hAnsi="Arial" w:cs="Arial"/>
          <w:sz w:val="22"/>
          <w:szCs w:val="22"/>
        </w:rPr>
        <w:t xml:space="preserve">, </w:t>
      </w:r>
      <w:r w:rsidRPr="00F71AEB">
        <w:rPr>
          <w:rFonts w:ascii="Arial" w:eastAsia="Times New Roman" w:hAnsi="Arial" w:cs="Arial"/>
          <w:sz w:val="22"/>
          <w:szCs w:val="22"/>
        </w:rPr>
        <w:t>hence raising ethical concerns pertaining to the instrumental use of emotional intelligence</w:t>
      </w:r>
      <w:r w:rsidR="00EF4272" w:rsidRPr="00F71AEB">
        <w:rPr>
          <w:rFonts w:ascii="Arial" w:eastAsia="Times New Roman" w:hAnsi="Arial" w:cs="Arial"/>
          <w:sz w:val="22"/>
          <w:szCs w:val="22"/>
        </w:rPr>
        <w:t xml:space="preserve">. </w:t>
      </w:r>
      <w:r w:rsidRPr="00F71AEB">
        <w:rPr>
          <w:rFonts w:ascii="Arial" w:eastAsia="Times New Roman" w:hAnsi="Arial" w:cs="Arial"/>
          <w:sz w:val="22"/>
          <w:szCs w:val="22"/>
        </w:rPr>
        <w:t xml:space="preserve">Depending on the underlying motivation, EI can be used to fulfil both prosocial and manipulative tendencies or behaviours (Cote, 2014). Therefore, emotional intelligence must be anchored on ethical organisational cultures to prevent manipulation. </w:t>
      </w:r>
    </w:p>
    <w:p w14:paraId="00000009" w14:textId="4E3CAE82"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Though not a foundational component, Goleman’s mixed model also emphasised on motivation. Emotionally intelligent people tend to focus their emotions and energy into goal attainment. Empirical evidence by Collado-Soler et al., (2023) found that persons with high EI exhibited greater levels of resilience in the face of setbacks, partly due to the superiority in regulating discouragement and sustaining a positive </w:t>
      </w:r>
      <w:r w:rsidR="001F5D36" w:rsidRPr="00F71AEB">
        <w:rPr>
          <w:rFonts w:ascii="Arial" w:eastAsia="Times New Roman" w:hAnsi="Arial" w:cs="Arial"/>
          <w:sz w:val="22"/>
          <w:szCs w:val="22"/>
        </w:rPr>
        <w:t>effect</w:t>
      </w:r>
      <w:r w:rsidRPr="00F71AEB">
        <w:rPr>
          <w:rFonts w:ascii="Arial" w:eastAsia="Times New Roman" w:hAnsi="Arial" w:cs="Arial"/>
          <w:sz w:val="22"/>
          <w:szCs w:val="22"/>
        </w:rPr>
        <w:t xml:space="preserve">. Nonetheless, the overlap between motivation and established constructs such as conscientiousness makes it challenging to establish conceptual clarity. Joseph and Newman (2010) also added that when personality and cognitive ability are controlled, the incremental validity of EI in predicting job performance is modest. The cultural </w:t>
      </w:r>
      <w:r w:rsidRPr="00F71AEB">
        <w:rPr>
          <w:rFonts w:ascii="Arial" w:eastAsia="Times New Roman" w:hAnsi="Arial" w:cs="Arial"/>
          <w:b/>
          <w:bCs/>
          <w:sz w:val="22"/>
          <w:szCs w:val="22"/>
        </w:rPr>
        <w:t>specificity of emotional intelligence has also been questioned. The norms of emotional</w:t>
      </w:r>
      <w:r w:rsidRPr="00F71AEB">
        <w:rPr>
          <w:rFonts w:ascii="Arial" w:eastAsia="Times New Roman" w:hAnsi="Arial" w:cs="Arial"/>
          <w:sz w:val="22"/>
          <w:szCs w:val="22"/>
        </w:rPr>
        <w:t xml:space="preserve"> expression differ from one society and behaviours that are deemed emotionally competent in one context can be perceived differently in another setting. According to Hareli et al., (2015) most of the EI research has been conducted in western settings, hence failing to account for cultural differences. For example, assertive emotional expression is valued in individualistic settings but highly discouraged in the collectivist environments (Hareli et al., 2015). When applying the emotional intelligence components in workplace settings, leaders should embrace cultural sensitivity, instead of universally prescribed interventions. </w:t>
      </w:r>
    </w:p>
    <w:p w14:paraId="28B0C282" w14:textId="78455F23" w:rsidR="00767641" w:rsidRPr="00F71AEB" w:rsidRDefault="00767641" w:rsidP="00BE224A">
      <w:pPr>
        <w:pStyle w:val="Heading1"/>
        <w:rPr>
          <w:rFonts w:ascii="Arial" w:hAnsi="Arial" w:cs="Arial"/>
          <w:sz w:val="22"/>
          <w:szCs w:val="22"/>
        </w:rPr>
      </w:pPr>
      <w:bookmarkStart w:id="3" w:name="_Toc227504639"/>
      <w:r w:rsidRPr="00F71AEB">
        <w:rPr>
          <w:rFonts w:ascii="Arial" w:hAnsi="Arial" w:cs="Arial"/>
          <w:sz w:val="22"/>
          <w:szCs w:val="22"/>
        </w:rPr>
        <w:t>Motivation impact on behaviour</w:t>
      </w:r>
      <w:bookmarkEnd w:id="3"/>
    </w:p>
    <w:p w14:paraId="2997090A" w14:textId="0C35C58B" w:rsidR="00767641" w:rsidRPr="00F71AEB" w:rsidRDefault="00767641"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Maslow opined that individuals should go through the hierarchy to achieve self-actualisation, meanwhile the term of self-actualisation differ from one person to another such as a student may achieve a degree for the purpose of getting a promotion at work meanwhile other students would focus on achieving high grades to get a better position in different organisation, therefore the motivation aspect in Emotional intelligence will act more as </w:t>
      </w:r>
      <w:r w:rsidR="00C1255E" w:rsidRPr="00F71AEB">
        <w:rPr>
          <w:rFonts w:ascii="Arial" w:eastAsia="Times New Roman" w:hAnsi="Arial" w:cs="Arial"/>
          <w:sz w:val="22"/>
          <w:szCs w:val="22"/>
        </w:rPr>
        <w:t>an</w:t>
      </w:r>
      <w:r w:rsidRPr="00F71AEB">
        <w:rPr>
          <w:rFonts w:ascii="Arial" w:eastAsia="Times New Roman" w:hAnsi="Arial" w:cs="Arial"/>
          <w:sz w:val="22"/>
          <w:szCs w:val="22"/>
        </w:rPr>
        <w:t xml:space="preserve"> intrinsic factor</w:t>
      </w:r>
      <w:r w:rsidR="00C1255E" w:rsidRPr="00F71AEB">
        <w:rPr>
          <w:rFonts w:ascii="Arial" w:eastAsia="Times New Roman" w:hAnsi="Arial" w:cs="Arial"/>
          <w:sz w:val="22"/>
          <w:szCs w:val="22"/>
        </w:rPr>
        <w:t>.</w:t>
      </w:r>
      <w:r w:rsidRPr="00F71AEB">
        <w:rPr>
          <w:rFonts w:ascii="Arial" w:eastAsia="Times New Roman" w:hAnsi="Arial" w:cs="Arial"/>
          <w:sz w:val="22"/>
          <w:szCs w:val="22"/>
        </w:rPr>
        <w:t xml:space="preserve"> Hence Herzberg identified two different types of motivation, firstly the motivational factors such as what pushes someone to do things better and the pulling factor is what limit a person ability to do better . </w:t>
      </w:r>
    </w:p>
    <w:p w14:paraId="0000000A" w14:textId="77777777" w:rsidR="00C7259F" w:rsidRPr="00F71AEB" w:rsidRDefault="00000000" w:rsidP="00BE224A">
      <w:pPr>
        <w:pStyle w:val="Heading1"/>
        <w:rPr>
          <w:rFonts w:ascii="Arial" w:hAnsi="Arial" w:cs="Arial"/>
          <w:sz w:val="22"/>
          <w:szCs w:val="22"/>
        </w:rPr>
      </w:pPr>
      <w:bookmarkStart w:id="4" w:name="_Toc227504640"/>
      <w:r w:rsidRPr="00F71AEB">
        <w:rPr>
          <w:rFonts w:ascii="Arial" w:hAnsi="Arial" w:cs="Arial"/>
          <w:sz w:val="22"/>
          <w:szCs w:val="22"/>
        </w:rPr>
        <w:t>Generational Characteristics and Recruitment</w:t>
      </w:r>
      <w:bookmarkEnd w:id="4"/>
    </w:p>
    <w:p w14:paraId="0000000B" w14:textId="50A90446"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In modern work environments, effective recruitment is contingent upon managers not only assessing the skills and competencies of a </w:t>
      </w:r>
      <w:r w:rsidR="001F5D36" w:rsidRPr="00F71AEB">
        <w:rPr>
          <w:rFonts w:ascii="Arial" w:eastAsia="Times New Roman" w:hAnsi="Arial" w:cs="Arial"/>
          <w:sz w:val="22"/>
          <w:szCs w:val="22"/>
        </w:rPr>
        <w:t>candidate but</w:t>
      </w:r>
      <w:r w:rsidRPr="00F71AEB">
        <w:rPr>
          <w:rFonts w:ascii="Arial" w:eastAsia="Times New Roman" w:hAnsi="Arial" w:cs="Arial"/>
          <w:sz w:val="22"/>
          <w:szCs w:val="22"/>
        </w:rPr>
        <w:t xml:space="preserve"> also incorporating socio-generational identities that are influenced by historical, technological and economic forces. Strauss and Howe (1991) proposes the Generational theory and argues that persons born within similar historical periods share value orientations that influence workplace behaviour.  Based on the theoretical standpoint, Generation X,Y and Generation Z are commonly treated as distinct workforce categories with unique attributes (Fuchs et al., 2024). Proponents of the viewpoint insist the different cohorts have different and defining characteristics when it comes to technological competence, resilience, communication and expectations of leadership (Fuchs et al., 2024). Even so, the theory is still controversial and heavily debated. According to Rudolph et al., (2021) presuming that the differences in the generations are fixed or predictable is inaccurate. Instead, incorporating factors such as a person’s age, career stage, or socio-economic background can provide a better understanding of each individual, regardless of their generation. Despite the critiques, Strauss and Howe’s theory is still valuable in predicting individual behaviours and socialisation patterns within the workplace (Rudolph et al., 2021). </w:t>
      </w:r>
    </w:p>
    <w:p w14:paraId="0000000C" w14:textId="77777777" w:rsidR="00C7259F" w:rsidRPr="00F71AEB" w:rsidRDefault="00000000" w:rsidP="00BE224A">
      <w:pPr>
        <w:pStyle w:val="Heading1"/>
        <w:rPr>
          <w:rFonts w:ascii="Arial" w:hAnsi="Arial" w:cs="Arial"/>
          <w:sz w:val="22"/>
          <w:szCs w:val="22"/>
        </w:rPr>
      </w:pPr>
      <w:bookmarkStart w:id="5" w:name="_Toc227504641"/>
      <w:r w:rsidRPr="00F71AEB">
        <w:rPr>
          <w:rFonts w:ascii="Arial" w:hAnsi="Arial" w:cs="Arial"/>
          <w:sz w:val="22"/>
          <w:szCs w:val="22"/>
        </w:rPr>
        <w:t>Generation X</w:t>
      </w:r>
      <w:bookmarkEnd w:id="5"/>
    </w:p>
    <w:p w14:paraId="7EC10E8F" w14:textId="148EF576" w:rsidR="009D0FC5" w:rsidRPr="00F71AEB" w:rsidRDefault="00000000" w:rsidP="00BE224A">
      <w:pPr>
        <w:spacing w:line="360" w:lineRule="auto"/>
        <w:jc w:val="both"/>
        <w:rPr>
          <w:rFonts w:ascii="Arial" w:eastAsia="Times New Roman" w:hAnsi="Arial" w:cs="Arial"/>
          <w:sz w:val="22"/>
          <w:szCs w:val="22"/>
        </w:rPr>
      </w:pPr>
      <w:r w:rsidRPr="00F71AEB">
        <w:rPr>
          <w:rFonts w:ascii="Arial" w:eastAsia="Times New Roman" w:hAnsi="Arial" w:cs="Arial"/>
          <w:sz w:val="22"/>
          <w:szCs w:val="22"/>
        </w:rPr>
        <w:t>Born between 1965 and 1980, Generation X employees joined the labour market during economic restructuring and corporate downsizing that occurred in the 1980’s and 1990’s. Fuchs et al., (2024) noted that such experience made the generation pragmatic and independent. They developed scepticism towards organisational loyalty and greatly preferred self-reliance. When recruiting Generation X candidates,  managers will find candidates who  place value on autonomy, work-life balance and transferable skills, instead of long-term loyalty to the organisation. Research conducted by Twenge et al., (2010) found that due to the high value placed on flexibility and role performance expectations, the cohort is more responsive to cultures that are result-oriented compared hierarchical micromanagement. Such findings imply that employers should explicitly declare the opportunities for professional development and flexible work arrangement in a bid to attract and retain this group. Too much promise on advancement could lead to rapid disengagement (Fuchs et al., 2024). However, it is vital not to assume that all members of generation X are cynical or disengaged. Grelle et al., (2023) argued that most persons in the cohort exhibit stronger emotional regulation, resilience and conflict tolerance, partly due to their exposure to less psychologically protective educational environments. High levels of adaptability positions them as effective mediators. It is thus pertinent for recruiters to look beyond the technical competence and also consider the candidate's capacity for cross-cohort collaboration (Twenge et al., 2010). Moreover, Rudolf et al., (2021) cautioned against the tendency of employers to equate Generation X’s preference for autonomy to resisting feedback. Members of the cohort appreciate feedback that is objective and respectful. Hence, employers have a duty to refrain from avoiding binary stereotypes of independence versus relationality.</w:t>
      </w:r>
    </w:p>
    <w:p w14:paraId="0000000E" w14:textId="77777777" w:rsidR="00C7259F" w:rsidRPr="00F71AEB" w:rsidRDefault="00000000" w:rsidP="00BE224A">
      <w:pPr>
        <w:pStyle w:val="Heading1"/>
        <w:rPr>
          <w:rFonts w:ascii="Arial" w:hAnsi="Arial" w:cs="Arial"/>
          <w:sz w:val="22"/>
          <w:szCs w:val="22"/>
        </w:rPr>
      </w:pPr>
      <w:bookmarkStart w:id="6" w:name="_Toc227504642"/>
      <w:r w:rsidRPr="00F71AEB">
        <w:rPr>
          <w:rFonts w:ascii="Arial" w:hAnsi="Arial" w:cs="Arial"/>
          <w:sz w:val="22"/>
          <w:szCs w:val="22"/>
        </w:rPr>
        <w:t>Millennials</w:t>
      </w:r>
      <w:bookmarkEnd w:id="6"/>
    </w:p>
    <w:p w14:paraId="0000000F" w14:textId="2F8DDE09"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Millennials or Generation Y have been described by Ng et al., (2010) as  purpose-driven, collaborative and technologically fluent. The cohort grew during the rapid digital expansion and significant parental engagement, leading to frequent expectations of continuous feedback and meaningful work. Recruiters can apply the attributes by presenting strategies that focus on organisational mission, corporate social responsibility and developmental pathways. The formative years of most millennials were shaped by rapid technological growth, global connectivity, and economic stability, especially following the 2008 financial crisis. High levels of emotional intelligence have also been identified within this cohort, due to relational openness and willingness to discuss wellbeing. Edmondson et al., (2018) further affirmed that Generation Y values inclusive cultures and psychological safety. Managers hiring millennials should embrace leadership styles that focus on idealised vision, teamwork and psychological safety, such as transformational and democratic leadership. In a study conducted by  Krishna and Agrawal (2024), millennials exhibited adaptability and digital </w:t>
      </w:r>
      <w:r w:rsidR="001F5D36" w:rsidRPr="00F71AEB">
        <w:rPr>
          <w:rFonts w:ascii="Arial" w:eastAsia="Times New Roman" w:hAnsi="Arial" w:cs="Arial"/>
          <w:sz w:val="22"/>
          <w:szCs w:val="22"/>
        </w:rPr>
        <w:t>fluency but</w:t>
      </w:r>
      <w:r w:rsidRPr="00F71AEB">
        <w:rPr>
          <w:rFonts w:ascii="Arial" w:eastAsia="Times New Roman" w:hAnsi="Arial" w:cs="Arial"/>
          <w:sz w:val="22"/>
          <w:szCs w:val="22"/>
        </w:rPr>
        <w:t xml:space="preserve"> also exerted very high expectations about organisational transparency and ethical responsibility. The findings imply that hiring managers have a duty to be attentive to employer branding and corporate social responsibility. Deloitte (2022) also conducted a study that found Millennials are more likely than previous cohorts to examine the organisational values and opportunities for development before accepting employment. The preference for constructive feedback over annual performance reviews, mandated organisations to embrace real-time recognition systems and coaching leadership approach. From the standpoint of emotional intelligence, there is a paradox. Millennials have higher levels of empathy and </w:t>
      </w:r>
      <w:r w:rsidR="001F5D36" w:rsidRPr="00F71AEB">
        <w:rPr>
          <w:rFonts w:ascii="Arial" w:eastAsia="Times New Roman" w:hAnsi="Arial" w:cs="Arial"/>
          <w:sz w:val="22"/>
          <w:szCs w:val="22"/>
        </w:rPr>
        <w:t>self-awareness yet</w:t>
      </w:r>
      <w:r w:rsidRPr="00F71AEB">
        <w:rPr>
          <w:rFonts w:ascii="Arial" w:eastAsia="Times New Roman" w:hAnsi="Arial" w:cs="Arial"/>
          <w:sz w:val="22"/>
          <w:szCs w:val="22"/>
        </w:rPr>
        <w:t xml:space="preserve"> still experience a significant burden of burnout and emotional exhaustion. Sugden and Moulson (2015) proposes a solution by encouraging recruiters to broaden the scope of candidate evaluation, to include the capacity for resilience, self-regulation and tolerance for ambiguity. </w:t>
      </w:r>
    </w:p>
    <w:p w14:paraId="00000010" w14:textId="4E1990B0" w:rsidR="00C7259F" w:rsidRPr="00F71AEB" w:rsidRDefault="00C1255E"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G</w:t>
      </w:r>
      <w:r w:rsidR="00000000" w:rsidRPr="00F71AEB">
        <w:rPr>
          <w:rFonts w:ascii="Arial" w:eastAsia="Times New Roman" w:hAnsi="Arial" w:cs="Arial"/>
          <w:sz w:val="22"/>
          <w:szCs w:val="22"/>
        </w:rPr>
        <w:t>eneration Z  are generally defined as individuals born between 1997 and 2012. The cohort is perhaps the most unique because they are joining the workforce at a time of unprecedented global disruptions. According to Dwidienawati et al., (2025) Generation Z have to grapple with economic instability, climate change, political upheavals and Covid-19 pandemic even as they scale to greater heights professionally. Preliminary studies by Živković et al., (2025) found that they portray the highest levels of adaptability, digital fluency and awareness of the mental health discourse. Therefore, managers should provide accessible mental health resources in addition to having skills in non-judgemental and supportive communication. With 90% of Generation Z and the Y counterparts willing to resign immediately from a toxic work culture (Sarava and Nogueiro, 2025), employers must be intentional in promoting psychological safety. Recruiters of the cohort should also acknowledge the expectations of authenticity and transparency. The preference for flexible working arrangement and rapid skill acquisition opportunities also mean that recruitment approaches that prioritise hierarchical progression could compromise engagement. Entrepreneurial  among Gen Z’s is another factor to consider. Boyer et al., (2020) reported that exposure to gig economy and online monetization culture has reduced the long-term organisational loyalty of Gen Zs. Recruiters can respond to such by planning retention strategies that prioritise skill development and career mobility, without depending on the traditional royalty framework</w:t>
      </w:r>
      <w:r w:rsidR="001C0605" w:rsidRPr="00F71AEB">
        <w:rPr>
          <w:rFonts w:ascii="Arial" w:eastAsia="Times New Roman" w:hAnsi="Arial" w:cs="Arial"/>
          <w:sz w:val="22"/>
          <w:szCs w:val="22"/>
        </w:rPr>
        <w:t xml:space="preserve"> (Singh, 2019)</w:t>
      </w:r>
      <w:r w:rsidR="00000000" w:rsidRPr="00F71AEB">
        <w:rPr>
          <w:rFonts w:ascii="Arial" w:eastAsia="Times New Roman" w:hAnsi="Arial" w:cs="Arial"/>
          <w:sz w:val="22"/>
          <w:szCs w:val="22"/>
        </w:rPr>
        <w:t xml:space="preserve">. Gen Zs are also more comfortable with remote and hybrid work </w:t>
      </w:r>
      <w:r w:rsidR="001F5D36" w:rsidRPr="00F71AEB">
        <w:rPr>
          <w:rFonts w:ascii="Arial" w:eastAsia="Times New Roman" w:hAnsi="Arial" w:cs="Arial"/>
          <w:sz w:val="22"/>
          <w:szCs w:val="22"/>
        </w:rPr>
        <w:t>arrangements but</w:t>
      </w:r>
      <w:r w:rsidR="00000000" w:rsidRPr="00F71AEB">
        <w:rPr>
          <w:rFonts w:ascii="Arial" w:eastAsia="Times New Roman" w:hAnsi="Arial" w:cs="Arial"/>
          <w:sz w:val="22"/>
          <w:szCs w:val="22"/>
        </w:rPr>
        <w:t xml:space="preserve"> still need structured mentorship because of the limited professional experience. </w:t>
      </w:r>
    </w:p>
    <w:p w14:paraId="13C9A75C" w14:textId="0DFFCBEC" w:rsidR="009D0FC5" w:rsidRPr="00F71AEB" w:rsidRDefault="00000000" w:rsidP="00BE224A">
      <w:pPr>
        <w:spacing w:line="360" w:lineRule="auto"/>
        <w:jc w:val="both"/>
        <w:rPr>
          <w:rFonts w:ascii="Arial" w:eastAsia="Times New Roman" w:hAnsi="Arial" w:cs="Arial"/>
          <w:sz w:val="22"/>
          <w:szCs w:val="22"/>
        </w:rPr>
      </w:pPr>
      <w:r w:rsidRPr="00F71AEB">
        <w:rPr>
          <w:rFonts w:ascii="Arial" w:eastAsia="Times New Roman" w:hAnsi="Arial" w:cs="Arial"/>
          <w:sz w:val="22"/>
          <w:szCs w:val="22"/>
        </w:rPr>
        <w:t>Upon critical analysis, labelling Gen Z group as attention-deficient or excessively sensitive is wrong because it ignores the structural labour market realities like employment and housing instability (Sarava and Nogueiro, 2025). The management perspective stresses on the need for recruiters to develop sustainable solutions to systemic work challenges instead of purely linking workplace difficulties to generational traits. Across all the cohorts, managers also have a duty to navigate the intergenerational dynamics to nurture effective work environments for all staff members. The Social Identity Theory proposes that visible generational differences can create in-</w:t>
      </w:r>
      <w:r w:rsidRPr="00F71AEB">
        <w:rPr>
          <w:rFonts w:ascii="Arial" w:hAnsi="Arial" w:cs="Arial"/>
          <w:sz w:val="22"/>
          <w:szCs w:val="22"/>
        </w:rPr>
        <w:t xml:space="preserve"> </w:t>
      </w:r>
      <w:r w:rsidRPr="00F71AEB">
        <w:rPr>
          <w:rFonts w:ascii="Arial" w:eastAsia="Times New Roman" w:hAnsi="Arial" w:cs="Arial"/>
          <w:sz w:val="22"/>
          <w:szCs w:val="22"/>
        </w:rPr>
        <w:t>group and out-group biases, leading to conflict or marginalisation (Wang and Duan, 2025). Heavily digitalised recruitment platforms significantly advantages Generation Z applicants while traditional selection methods can fail to engage digitally native applicants</w:t>
      </w:r>
      <w:r w:rsidR="001C0605" w:rsidRPr="00F71AEB">
        <w:rPr>
          <w:rFonts w:ascii="Arial" w:eastAsia="Times New Roman" w:hAnsi="Arial" w:cs="Arial"/>
          <w:sz w:val="22"/>
          <w:szCs w:val="22"/>
        </w:rPr>
        <w:t xml:space="preserve"> (Vieira et al., 2024)</w:t>
      </w:r>
      <w:r w:rsidRPr="00F71AEB">
        <w:rPr>
          <w:rFonts w:ascii="Arial" w:eastAsia="Times New Roman" w:hAnsi="Arial" w:cs="Arial"/>
          <w:sz w:val="22"/>
          <w:szCs w:val="22"/>
        </w:rPr>
        <w:t xml:space="preserve">. Such can be mitigated by ensuring that the hiring process is </w:t>
      </w:r>
      <w:r w:rsidR="001F5D36" w:rsidRPr="00F71AEB">
        <w:rPr>
          <w:rFonts w:ascii="Arial" w:eastAsia="Times New Roman" w:hAnsi="Arial" w:cs="Arial"/>
          <w:sz w:val="22"/>
          <w:szCs w:val="22"/>
        </w:rPr>
        <w:t>inclusive and</w:t>
      </w:r>
      <w:r w:rsidRPr="00F71AEB">
        <w:rPr>
          <w:rFonts w:ascii="Arial" w:eastAsia="Times New Roman" w:hAnsi="Arial" w:cs="Arial"/>
          <w:sz w:val="22"/>
          <w:szCs w:val="22"/>
        </w:rPr>
        <w:t xml:space="preserve"> does not implicitly privilege one cohort’s communication style or technological competence.</w:t>
      </w:r>
    </w:p>
    <w:p w14:paraId="00000012" w14:textId="550F5762" w:rsidR="00C7259F" w:rsidRPr="00F71AEB" w:rsidRDefault="00000000" w:rsidP="009D0FC5">
      <w:pPr>
        <w:spacing w:line="360" w:lineRule="auto"/>
        <w:jc w:val="both"/>
        <w:rPr>
          <w:rFonts w:ascii="Arial" w:eastAsia="Times New Roman" w:hAnsi="Arial" w:cs="Arial"/>
          <w:b/>
          <w:bCs/>
          <w:sz w:val="22"/>
          <w:szCs w:val="22"/>
        </w:rPr>
      </w:pPr>
      <w:r w:rsidRPr="00F71AEB">
        <w:rPr>
          <w:rFonts w:ascii="Arial" w:eastAsia="Times New Roman" w:hAnsi="Arial" w:cs="Arial"/>
          <w:b/>
          <w:bCs/>
          <w:sz w:val="22"/>
          <w:szCs w:val="22"/>
        </w:rPr>
        <w:t>Conclusion</w:t>
      </w:r>
    </w:p>
    <w:p w14:paraId="00000013" w14:textId="77777777"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The report has critically discussed emotional intelligence as an indispensable construct which appeared as both an individual capability and an organisational resource within intergenerational workplaces. Components such as self-awareness, self-regulation, empathy, social skills and motivation were evaluated and found to have a positive correlation with leadership effectiveness, and team cohesion. The report also affirmed that EI is neither conceptually uncontested nor universally beneficial . However, the usefulness is contingent upon ethical grounding, cultural sensitivity and the individual context of the organisation. The generational discourse surrounding Generation X, Y and Z also boosted the understanding of workplace expectations and communication styles. Cohort-based tendencies in autonomy, purpose orientation, digital fluency and psychological safety preferences should be interpreted alongside other factors such as age, career stage and socio-economic situations, to influence recruitment approaches. </w:t>
      </w:r>
    </w:p>
    <w:p w14:paraId="00000014" w14:textId="77777777" w:rsidR="00C7259F" w:rsidRPr="00F71AEB" w:rsidRDefault="00000000" w:rsidP="009D0FC5">
      <w:pPr>
        <w:spacing w:line="360" w:lineRule="auto"/>
        <w:jc w:val="both"/>
        <w:rPr>
          <w:rFonts w:ascii="Arial" w:eastAsia="Times New Roman" w:hAnsi="Arial" w:cs="Arial"/>
          <w:b/>
          <w:bCs/>
          <w:sz w:val="22"/>
          <w:szCs w:val="22"/>
        </w:rPr>
      </w:pPr>
      <w:r w:rsidRPr="00F71AEB">
        <w:rPr>
          <w:rFonts w:ascii="Arial" w:eastAsia="Times New Roman" w:hAnsi="Arial" w:cs="Arial"/>
          <w:b/>
          <w:bCs/>
          <w:sz w:val="22"/>
          <w:szCs w:val="22"/>
        </w:rPr>
        <w:t>Recommendations</w:t>
      </w:r>
    </w:p>
    <w:p w14:paraId="00000015" w14:textId="2E4A4699" w:rsidR="00C7259F" w:rsidRPr="00F71AEB" w:rsidRDefault="00000000" w:rsidP="001F5D36">
      <w:pPr>
        <w:spacing w:line="360" w:lineRule="auto"/>
        <w:jc w:val="both"/>
        <w:rPr>
          <w:rFonts w:ascii="Arial" w:eastAsia="Times New Roman" w:hAnsi="Arial" w:cs="Arial"/>
          <w:sz w:val="22"/>
          <w:szCs w:val="22"/>
        </w:rPr>
      </w:pPr>
      <w:r w:rsidRPr="00F71AEB">
        <w:rPr>
          <w:rFonts w:ascii="Arial" w:eastAsia="Times New Roman" w:hAnsi="Arial" w:cs="Arial"/>
          <w:sz w:val="22"/>
          <w:szCs w:val="22"/>
        </w:rPr>
        <w:t xml:space="preserve">From the practical standpoint, recruitment professionals and managers should embrace a competency-based recruitment process that includes EI assessment while eliminating overreliance on self-report measures. The validity of the assessment is stronger when blended assessment approaches combine behavioural interviews and situational judgement tests. Structured interviews and inclusive digital platforms should also be designed to avoid favouring one’s cohort communication style over another. In addition to that, organisations should be committed to aligning employer branding with authentic organisational culture to avert psychological contract breaches, especially among Millennials and Generation Z who value transparency and ethical responsibility. The development of emotional intelligence initiatives should also be combined with ethical leadership to reduce the risks of manipulative or instrumental misuse of emotional skills. Implementation of the proposed recommendations will put the organisations into a trajectory for sustainable excellence in the midst of generational diversity. </w:t>
      </w:r>
      <w:r w:rsidR="00C1255E" w:rsidRPr="00F71AEB">
        <w:rPr>
          <w:rFonts w:ascii="Arial" w:eastAsia="Times New Roman" w:hAnsi="Arial" w:cs="Arial"/>
          <w:sz w:val="22"/>
          <w:szCs w:val="22"/>
        </w:rPr>
        <w:t xml:space="preserve">Organisations could also think of managing performance through performance review such as managing by objectives, Just In time, Kaizen for continuous improvement . </w:t>
      </w:r>
    </w:p>
    <w:p w14:paraId="6802EFA0" w14:textId="77777777" w:rsidR="009D0FC5" w:rsidRPr="00F71AEB" w:rsidRDefault="009D0FC5" w:rsidP="009D0FC5">
      <w:pPr>
        <w:spacing w:line="360" w:lineRule="auto"/>
        <w:ind w:firstLine="720"/>
        <w:jc w:val="both"/>
        <w:rPr>
          <w:rFonts w:ascii="Arial" w:eastAsia="Times New Roman" w:hAnsi="Arial" w:cs="Arial"/>
          <w:sz w:val="22"/>
          <w:szCs w:val="22"/>
        </w:rPr>
      </w:pPr>
    </w:p>
    <w:p w14:paraId="2EA821C7" w14:textId="77777777" w:rsidR="00C1255E" w:rsidRPr="00F71AEB" w:rsidRDefault="00C1255E" w:rsidP="009D0FC5">
      <w:pPr>
        <w:spacing w:line="360" w:lineRule="auto"/>
        <w:ind w:firstLine="720"/>
        <w:jc w:val="both"/>
        <w:rPr>
          <w:rFonts w:ascii="Arial" w:eastAsia="Times New Roman" w:hAnsi="Arial" w:cs="Arial"/>
          <w:sz w:val="22"/>
          <w:szCs w:val="22"/>
        </w:rPr>
      </w:pPr>
    </w:p>
    <w:p w14:paraId="2FCCD6C9" w14:textId="77777777" w:rsidR="00C1255E" w:rsidRPr="00F71AEB" w:rsidRDefault="00C1255E" w:rsidP="009D0FC5">
      <w:pPr>
        <w:spacing w:line="360" w:lineRule="auto"/>
        <w:ind w:firstLine="720"/>
        <w:jc w:val="both"/>
        <w:rPr>
          <w:rFonts w:ascii="Arial" w:eastAsia="Times New Roman" w:hAnsi="Arial" w:cs="Arial"/>
          <w:sz w:val="22"/>
          <w:szCs w:val="22"/>
        </w:rPr>
      </w:pPr>
    </w:p>
    <w:p w14:paraId="432A641A" w14:textId="77777777" w:rsidR="00C1255E" w:rsidRPr="00F71AEB" w:rsidRDefault="00C1255E" w:rsidP="009D0FC5">
      <w:pPr>
        <w:spacing w:line="360" w:lineRule="auto"/>
        <w:ind w:firstLine="720"/>
        <w:jc w:val="both"/>
        <w:rPr>
          <w:rFonts w:ascii="Arial" w:eastAsia="Times New Roman" w:hAnsi="Arial" w:cs="Arial"/>
          <w:sz w:val="22"/>
          <w:szCs w:val="22"/>
        </w:rPr>
      </w:pPr>
    </w:p>
    <w:p w14:paraId="1016CF88" w14:textId="77777777" w:rsidR="00C1255E" w:rsidRPr="00F71AEB" w:rsidRDefault="00C1255E" w:rsidP="009D0FC5">
      <w:pPr>
        <w:spacing w:line="360" w:lineRule="auto"/>
        <w:ind w:firstLine="720"/>
        <w:jc w:val="both"/>
        <w:rPr>
          <w:rFonts w:ascii="Arial" w:eastAsia="Times New Roman" w:hAnsi="Arial" w:cs="Arial"/>
          <w:sz w:val="22"/>
          <w:szCs w:val="22"/>
        </w:rPr>
      </w:pPr>
    </w:p>
    <w:p w14:paraId="4A594A17" w14:textId="77777777" w:rsidR="00C1255E" w:rsidRPr="00F71AEB" w:rsidRDefault="00C1255E" w:rsidP="009D0FC5">
      <w:pPr>
        <w:spacing w:line="360" w:lineRule="auto"/>
        <w:ind w:firstLine="720"/>
        <w:jc w:val="both"/>
        <w:rPr>
          <w:rFonts w:ascii="Arial" w:eastAsia="Times New Roman" w:hAnsi="Arial" w:cs="Arial"/>
          <w:sz w:val="22"/>
          <w:szCs w:val="22"/>
        </w:rPr>
      </w:pPr>
    </w:p>
    <w:p w14:paraId="5DC59D2B" w14:textId="77777777" w:rsidR="00C1255E" w:rsidRPr="00F71AEB" w:rsidRDefault="00C1255E" w:rsidP="009D0FC5">
      <w:pPr>
        <w:spacing w:line="360" w:lineRule="auto"/>
        <w:ind w:firstLine="720"/>
        <w:jc w:val="both"/>
        <w:rPr>
          <w:rFonts w:ascii="Arial" w:eastAsia="Times New Roman" w:hAnsi="Arial" w:cs="Arial"/>
          <w:sz w:val="22"/>
          <w:szCs w:val="22"/>
        </w:rPr>
      </w:pPr>
    </w:p>
    <w:p w14:paraId="7AE03029" w14:textId="77777777" w:rsidR="00C1255E" w:rsidRPr="00F71AEB" w:rsidRDefault="00C1255E" w:rsidP="009D0FC5">
      <w:pPr>
        <w:spacing w:line="360" w:lineRule="auto"/>
        <w:ind w:firstLine="720"/>
        <w:jc w:val="both"/>
        <w:rPr>
          <w:rFonts w:ascii="Arial" w:eastAsia="Times New Roman" w:hAnsi="Arial" w:cs="Arial"/>
          <w:sz w:val="22"/>
          <w:szCs w:val="22"/>
        </w:rPr>
      </w:pPr>
    </w:p>
    <w:p w14:paraId="12FEFF91" w14:textId="77777777" w:rsidR="00C1255E" w:rsidRPr="00F71AEB" w:rsidRDefault="00C1255E" w:rsidP="009D0FC5">
      <w:pPr>
        <w:spacing w:line="360" w:lineRule="auto"/>
        <w:ind w:firstLine="720"/>
        <w:jc w:val="both"/>
        <w:rPr>
          <w:rFonts w:ascii="Arial" w:eastAsia="Times New Roman" w:hAnsi="Arial" w:cs="Arial"/>
          <w:sz w:val="22"/>
          <w:szCs w:val="22"/>
        </w:rPr>
      </w:pPr>
    </w:p>
    <w:p w14:paraId="02D75A86" w14:textId="77777777" w:rsidR="00C1255E" w:rsidRPr="00F71AEB" w:rsidRDefault="00C1255E" w:rsidP="009D0FC5">
      <w:pPr>
        <w:spacing w:line="360" w:lineRule="auto"/>
        <w:ind w:firstLine="720"/>
        <w:jc w:val="both"/>
        <w:rPr>
          <w:rFonts w:ascii="Arial" w:eastAsia="Times New Roman" w:hAnsi="Arial" w:cs="Arial"/>
          <w:sz w:val="22"/>
          <w:szCs w:val="22"/>
        </w:rPr>
      </w:pPr>
    </w:p>
    <w:p w14:paraId="2F1CA5C5" w14:textId="77777777" w:rsidR="00C1255E" w:rsidRPr="00F71AEB" w:rsidRDefault="00C1255E" w:rsidP="009D0FC5">
      <w:pPr>
        <w:spacing w:line="360" w:lineRule="auto"/>
        <w:ind w:firstLine="720"/>
        <w:jc w:val="both"/>
        <w:rPr>
          <w:rFonts w:ascii="Arial" w:eastAsia="Times New Roman" w:hAnsi="Arial" w:cs="Arial"/>
          <w:sz w:val="22"/>
          <w:szCs w:val="22"/>
        </w:rPr>
      </w:pPr>
    </w:p>
    <w:p w14:paraId="02A72EEC" w14:textId="77777777" w:rsidR="00C1255E" w:rsidRPr="00F71AEB" w:rsidRDefault="00C1255E" w:rsidP="009D0FC5">
      <w:pPr>
        <w:spacing w:line="360" w:lineRule="auto"/>
        <w:ind w:firstLine="720"/>
        <w:jc w:val="both"/>
        <w:rPr>
          <w:rFonts w:ascii="Arial" w:eastAsia="Times New Roman" w:hAnsi="Arial" w:cs="Arial"/>
          <w:sz w:val="22"/>
          <w:szCs w:val="22"/>
        </w:rPr>
      </w:pPr>
    </w:p>
    <w:p w14:paraId="71B4BB03" w14:textId="77777777" w:rsidR="00C1255E" w:rsidRPr="00F71AEB" w:rsidRDefault="00C1255E" w:rsidP="009D0FC5">
      <w:pPr>
        <w:spacing w:line="360" w:lineRule="auto"/>
        <w:ind w:firstLine="720"/>
        <w:jc w:val="both"/>
        <w:rPr>
          <w:rFonts w:ascii="Arial" w:eastAsia="Times New Roman" w:hAnsi="Arial" w:cs="Arial"/>
          <w:sz w:val="22"/>
          <w:szCs w:val="22"/>
        </w:rPr>
      </w:pPr>
    </w:p>
    <w:p w14:paraId="29027D69" w14:textId="77777777" w:rsidR="00C1255E" w:rsidRPr="00F71AEB" w:rsidRDefault="00C1255E" w:rsidP="009D0FC5">
      <w:pPr>
        <w:spacing w:line="360" w:lineRule="auto"/>
        <w:ind w:firstLine="720"/>
        <w:jc w:val="both"/>
        <w:rPr>
          <w:rFonts w:ascii="Arial" w:eastAsia="Times New Roman" w:hAnsi="Arial" w:cs="Arial"/>
          <w:sz w:val="22"/>
          <w:szCs w:val="22"/>
        </w:rPr>
      </w:pPr>
    </w:p>
    <w:p w14:paraId="7BA5A11C" w14:textId="77777777" w:rsidR="00C1255E" w:rsidRPr="00F71AEB" w:rsidRDefault="00C1255E" w:rsidP="009D0FC5">
      <w:pPr>
        <w:spacing w:line="360" w:lineRule="auto"/>
        <w:ind w:firstLine="720"/>
        <w:jc w:val="both"/>
        <w:rPr>
          <w:rFonts w:ascii="Arial" w:eastAsia="Times New Roman" w:hAnsi="Arial" w:cs="Arial"/>
          <w:sz w:val="22"/>
          <w:szCs w:val="22"/>
        </w:rPr>
      </w:pPr>
    </w:p>
    <w:p w14:paraId="18065C7A" w14:textId="77777777" w:rsidR="009D0FC5" w:rsidRPr="00F71AEB" w:rsidRDefault="009D0FC5" w:rsidP="009D0FC5">
      <w:pPr>
        <w:spacing w:line="360" w:lineRule="auto"/>
        <w:ind w:firstLine="720"/>
        <w:jc w:val="both"/>
        <w:rPr>
          <w:rFonts w:ascii="Arial" w:eastAsia="Times New Roman" w:hAnsi="Arial" w:cs="Arial"/>
          <w:sz w:val="22"/>
          <w:szCs w:val="22"/>
        </w:rPr>
      </w:pPr>
    </w:p>
    <w:p w14:paraId="6AC64DC7" w14:textId="77777777" w:rsidR="00BE224A" w:rsidRPr="00F71AEB" w:rsidRDefault="00BE224A" w:rsidP="009D0FC5">
      <w:pPr>
        <w:spacing w:line="360" w:lineRule="auto"/>
        <w:jc w:val="both"/>
        <w:rPr>
          <w:rFonts w:ascii="Arial" w:eastAsia="Times New Roman" w:hAnsi="Arial" w:cs="Arial"/>
          <w:b/>
          <w:bCs/>
          <w:sz w:val="22"/>
          <w:szCs w:val="22"/>
        </w:rPr>
      </w:pPr>
    </w:p>
    <w:p w14:paraId="011B5EDB" w14:textId="77777777" w:rsidR="00BE224A" w:rsidRPr="00F71AEB" w:rsidRDefault="00BE224A" w:rsidP="009D0FC5">
      <w:pPr>
        <w:spacing w:line="360" w:lineRule="auto"/>
        <w:jc w:val="both"/>
        <w:rPr>
          <w:rFonts w:ascii="Arial" w:eastAsia="Times New Roman" w:hAnsi="Arial" w:cs="Arial"/>
          <w:b/>
          <w:bCs/>
          <w:sz w:val="22"/>
          <w:szCs w:val="22"/>
        </w:rPr>
      </w:pPr>
    </w:p>
    <w:p w14:paraId="00000016" w14:textId="54A2B58A" w:rsidR="00C7259F" w:rsidRPr="00F71AEB" w:rsidRDefault="00000000" w:rsidP="009D0FC5">
      <w:pPr>
        <w:spacing w:line="360" w:lineRule="auto"/>
        <w:jc w:val="both"/>
        <w:rPr>
          <w:rFonts w:ascii="Arial" w:eastAsia="Times New Roman" w:hAnsi="Arial" w:cs="Arial"/>
          <w:b/>
          <w:bCs/>
          <w:sz w:val="22"/>
          <w:szCs w:val="22"/>
        </w:rPr>
      </w:pPr>
      <w:r w:rsidRPr="00F71AEB">
        <w:rPr>
          <w:rFonts w:ascii="Arial" w:eastAsia="Times New Roman" w:hAnsi="Arial" w:cs="Arial"/>
          <w:b/>
          <w:bCs/>
          <w:sz w:val="22"/>
          <w:szCs w:val="22"/>
        </w:rPr>
        <w:t>References</w:t>
      </w:r>
    </w:p>
    <w:p w14:paraId="2C673724"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Antonopoulou, H., 2024. The value of emotional intelligence: Self-awareness, self-regulation, motivation, and empathy as key components. </w:t>
      </w:r>
      <w:r w:rsidRPr="00F71AEB">
        <w:rPr>
          <w:rFonts w:ascii="Arial" w:eastAsia="Times New Roman" w:hAnsi="Arial" w:cs="Arial"/>
          <w:i/>
          <w:iCs/>
          <w:sz w:val="22"/>
          <w:szCs w:val="22"/>
        </w:rPr>
        <w:t>Technium Education and Humanities</w:t>
      </w:r>
      <w:r w:rsidRPr="00F71AEB">
        <w:rPr>
          <w:rFonts w:ascii="Arial" w:eastAsia="Times New Roman" w:hAnsi="Arial" w:cs="Arial"/>
          <w:sz w:val="22"/>
          <w:szCs w:val="22"/>
        </w:rPr>
        <w:t>, </w:t>
      </w:r>
      <w:r w:rsidRPr="00F71AEB">
        <w:rPr>
          <w:rFonts w:ascii="Arial" w:eastAsia="Times New Roman" w:hAnsi="Arial" w:cs="Arial"/>
          <w:i/>
          <w:iCs/>
          <w:sz w:val="22"/>
          <w:szCs w:val="22"/>
        </w:rPr>
        <w:t>8</w:t>
      </w:r>
      <w:r w:rsidRPr="00F71AEB">
        <w:rPr>
          <w:rFonts w:ascii="Arial" w:eastAsia="Times New Roman" w:hAnsi="Arial" w:cs="Arial"/>
          <w:sz w:val="22"/>
          <w:szCs w:val="22"/>
        </w:rPr>
        <w:t xml:space="preserve">, pp.78-92. </w:t>
      </w:r>
      <w:hyperlink r:id="rId7">
        <w:r w:rsidRPr="00F71AEB">
          <w:rPr>
            <w:rFonts w:ascii="Arial" w:eastAsia="Times New Roman" w:hAnsi="Arial" w:cs="Arial"/>
            <w:color w:val="0563C1"/>
            <w:sz w:val="22"/>
            <w:szCs w:val="22"/>
            <w:u w:val="single"/>
          </w:rPr>
          <w:t>https://doi.org/10.47577/teh.v8i.9719</w:t>
        </w:r>
      </w:hyperlink>
      <w:r w:rsidRPr="00F71AEB">
        <w:rPr>
          <w:rFonts w:ascii="Arial" w:eastAsia="Times New Roman" w:hAnsi="Arial" w:cs="Arial"/>
          <w:sz w:val="22"/>
          <w:szCs w:val="22"/>
        </w:rPr>
        <w:t xml:space="preserve"> </w:t>
      </w:r>
    </w:p>
    <w:p w14:paraId="0EBB3B45"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Aquino, M.K.A., Bumacod, A.M., Calapine, A.G., Yaco, J.M.T., Dimailig, M.L., Amores, A.P. and Francisco, J., 2025. Interpersonal and intrapersonal leadership competencies: an interpretative phenomenological analysis on effective leadership strategies. </w:t>
      </w:r>
      <w:r w:rsidRPr="00F71AEB">
        <w:rPr>
          <w:rFonts w:ascii="Arial" w:eastAsia="Times New Roman" w:hAnsi="Arial" w:cs="Arial"/>
          <w:i/>
          <w:iCs/>
          <w:sz w:val="22"/>
          <w:szCs w:val="22"/>
        </w:rPr>
        <w:t>Frontiers in Psychology</w:t>
      </w:r>
      <w:r w:rsidRPr="00F71AEB">
        <w:rPr>
          <w:rFonts w:ascii="Arial" w:eastAsia="Times New Roman" w:hAnsi="Arial" w:cs="Arial"/>
          <w:sz w:val="22"/>
          <w:szCs w:val="22"/>
        </w:rPr>
        <w:t>, </w:t>
      </w:r>
      <w:r w:rsidRPr="00F71AEB">
        <w:rPr>
          <w:rFonts w:ascii="Arial" w:eastAsia="Times New Roman" w:hAnsi="Arial" w:cs="Arial"/>
          <w:i/>
          <w:iCs/>
          <w:sz w:val="22"/>
          <w:szCs w:val="22"/>
        </w:rPr>
        <w:t>16</w:t>
      </w:r>
      <w:r w:rsidRPr="00F71AEB">
        <w:rPr>
          <w:rFonts w:ascii="Arial" w:eastAsia="Times New Roman" w:hAnsi="Arial" w:cs="Arial"/>
          <w:sz w:val="22"/>
          <w:szCs w:val="22"/>
        </w:rPr>
        <w:t xml:space="preserve">, p.1553620. </w:t>
      </w:r>
      <w:hyperlink r:id="rId8">
        <w:r w:rsidRPr="00F71AEB">
          <w:rPr>
            <w:rFonts w:ascii="Arial" w:eastAsia="Times New Roman" w:hAnsi="Arial" w:cs="Arial"/>
            <w:color w:val="0563C1"/>
            <w:sz w:val="22"/>
            <w:szCs w:val="22"/>
            <w:u w:val="single"/>
          </w:rPr>
          <w:t>https://doi.org/10.3389/fpsyg.2025.1553620</w:t>
        </w:r>
      </w:hyperlink>
      <w:r w:rsidRPr="00F71AEB">
        <w:rPr>
          <w:rFonts w:ascii="Arial" w:eastAsia="Times New Roman" w:hAnsi="Arial" w:cs="Arial"/>
          <w:sz w:val="22"/>
          <w:szCs w:val="22"/>
        </w:rPr>
        <w:t xml:space="preserve"> </w:t>
      </w:r>
    </w:p>
    <w:p w14:paraId="3FDD7BB7" w14:textId="21D71FF3"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Ashley, G.C. and Reiter-Palmon, R., 2012. Self-awareness and the evolution of leaders: The need for a better measure of self-awareness. </w:t>
      </w:r>
      <w:r w:rsidRPr="00F71AEB">
        <w:rPr>
          <w:rFonts w:ascii="Arial" w:eastAsia="Times New Roman" w:hAnsi="Arial" w:cs="Arial"/>
          <w:i/>
          <w:iCs/>
          <w:sz w:val="22"/>
          <w:szCs w:val="22"/>
        </w:rPr>
        <w:t xml:space="preserve">Journal of </w:t>
      </w:r>
      <w:r w:rsidR="001F5D36" w:rsidRPr="00F71AEB">
        <w:rPr>
          <w:rFonts w:ascii="Arial" w:eastAsia="Times New Roman" w:hAnsi="Arial" w:cs="Arial"/>
          <w:i/>
          <w:iCs/>
          <w:sz w:val="22"/>
          <w:szCs w:val="22"/>
        </w:rPr>
        <w:t>Behavioural</w:t>
      </w:r>
      <w:r w:rsidRPr="00F71AEB">
        <w:rPr>
          <w:rFonts w:ascii="Arial" w:eastAsia="Times New Roman" w:hAnsi="Arial" w:cs="Arial"/>
          <w:i/>
          <w:iCs/>
          <w:sz w:val="22"/>
          <w:szCs w:val="22"/>
        </w:rPr>
        <w:t xml:space="preserve"> and Applied Management</w:t>
      </w:r>
      <w:r w:rsidRPr="00F71AEB">
        <w:rPr>
          <w:rFonts w:ascii="Arial" w:eastAsia="Times New Roman" w:hAnsi="Arial" w:cs="Arial"/>
          <w:sz w:val="22"/>
          <w:szCs w:val="22"/>
        </w:rPr>
        <w:t>, </w:t>
      </w:r>
      <w:r w:rsidRPr="00F71AEB">
        <w:rPr>
          <w:rFonts w:ascii="Arial" w:eastAsia="Times New Roman" w:hAnsi="Arial" w:cs="Arial"/>
          <w:i/>
          <w:iCs/>
          <w:sz w:val="22"/>
          <w:szCs w:val="22"/>
        </w:rPr>
        <w:t>14</w:t>
      </w:r>
      <w:r w:rsidRPr="00F71AEB">
        <w:rPr>
          <w:rFonts w:ascii="Arial" w:eastAsia="Times New Roman" w:hAnsi="Arial" w:cs="Arial"/>
          <w:sz w:val="22"/>
          <w:szCs w:val="22"/>
        </w:rPr>
        <w:t xml:space="preserve">(1). </w:t>
      </w:r>
      <w:hyperlink r:id="rId9">
        <w:r w:rsidRPr="00F71AEB">
          <w:rPr>
            <w:rFonts w:ascii="Arial" w:eastAsia="Times New Roman" w:hAnsi="Arial" w:cs="Arial"/>
            <w:color w:val="0563C1"/>
            <w:sz w:val="22"/>
            <w:szCs w:val="22"/>
            <w:u w:val="single"/>
          </w:rPr>
          <w:t>https://doi.org/10.1037/t29152-000?urlappend=%3Futm_source%3Dresearchgate.net%26utm_medium%3Darticle</w:t>
        </w:r>
      </w:hyperlink>
      <w:r w:rsidRPr="00F71AEB">
        <w:rPr>
          <w:rFonts w:ascii="Arial" w:eastAsia="Times New Roman" w:hAnsi="Arial" w:cs="Arial"/>
          <w:sz w:val="22"/>
          <w:szCs w:val="22"/>
        </w:rPr>
        <w:t xml:space="preserve"> </w:t>
      </w:r>
    </w:p>
    <w:p w14:paraId="2EDFF76B"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Bar-On, R., 2006. The Bar-On model of emotional-social intelligence (ESI). </w:t>
      </w:r>
      <w:r w:rsidRPr="00F71AEB">
        <w:rPr>
          <w:rFonts w:ascii="Arial" w:eastAsia="Times New Roman" w:hAnsi="Arial" w:cs="Arial"/>
          <w:i/>
          <w:iCs/>
          <w:sz w:val="22"/>
          <w:szCs w:val="22"/>
        </w:rPr>
        <w:t>Psicothema</w:t>
      </w:r>
      <w:r w:rsidRPr="00F71AEB">
        <w:rPr>
          <w:rFonts w:ascii="Arial" w:eastAsia="Times New Roman" w:hAnsi="Arial" w:cs="Arial"/>
          <w:sz w:val="22"/>
          <w:szCs w:val="22"/>
        </w:rPr>
        <w:t>, </w:t>
      </w:r>
      <w:r w:rsidRPr="00F71AEB">
        <w:rPr>
          <w:rFonts w:ascii="Arial" w:eastAsia="Times New Roman" w:hAnsi="Arial" w:cs="Arial"/>
          <w:i/>
          <w:iCs/>
          <w:sz w:val="22"/>
          <w:szCs w:val="22"/>
        </w:rPr>
        <w:t>18</w:t>
      </w:r>
      <w:r w:rsidRPr="00F71AEB">
        <w:rPr>
          <w:rFonts w:ascii="Arial" w:eastAsia="Times New Roman" w:hAnsi="Arial" w:cs="Arial"/>
          <w:sz w:val="22"/>
          <w:szCs w:val="22"/>
        </w:rPr>
        <w:t>, pp.13-25.</w:t>
      </w:r>
    </w:p>
    <w:p w14:paraId="612398D7"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Boyer, S., Fleming, D.E., Rodriguez, M. and Cohen, S.R., 2020. Empirical investigations of the impact of entrepreneurial orientation and grit on salesperson turnover for generation Z. </w:t>
      </w:r>
      <w:r w:rsidRPr="00F71AEB">
        <w:rPr>
          <w:rFonts w:ascii="Arial" w:eastAsia="Times New Roman" w:hAnsi="Arial" w:cs="Arial"/>
          <w:i/>
          <w:iCs/>
          <w:sz w:val="22"/>
          <w:szCs w:val="22"/>
        </w:rPr>
        <w:t>Journal of Managerial Issues</w:t>
      </w:r>
      <w:r w:rsidRPr="00F71AEB">
        <w:rPr>
          <w:rFonts w:ascii="Arial" w:eastAsia="Times New Roman" w:hAnsi="Arial" w:cs="Arial"/>
          <w:sz w:val="22"/>
          <w:szCs w:val="22"/>
        </w:rPr>
        <w:t>, </w:t>
      </w:r>
      <w:r w:rsidRPr="00F71AEB">
        <w:rPr>
          <w:rFonts w:ascii="Arial" w:eastAsia="Times New Roman" w:hAnsi="Arial" w:cs="Arial"/>
          <w:i/>
          <w:iCs/>
          <w:sz w:val="22"/>
          <w:szCs w:val="22"/>
        </w:rPr>
        <w:t>32</w:t>
      </w:r>
      <w:r w:rsidRPr="00F71AEB">
        <w:rPr>
          <w:rFonts w:ascii="Arial" w:eastAsia="Times New Roman" w:hAnsi="Arial" w:cs="Arial"/>
          <w:sz w:val="22"/>
          <w:szCs w:val="22"/>
        </w:rPr>
        <w:t>(2), pp.144-161.</w:t>
      </w:r>
      <w:r w:rsidRPr="00F71AEB">
        <w:rPr>
          <w:rFonts w:ascii="Arial" w:eastAsia="Helvetica Neue" w:hAnsi="Arial" w:cs="Arial"/>
          <w:color w:val="343332"/>
          <w:sz w:val="22"/>
          <w:szCs w:val="22"/>
        </w:rPr>
        <w:t xml:space="preserve"> </w:t>
      </w:r>
      <w:hyperlink r:id="rId10">
        <w:r w:rsidRPr="00F71AEB">
          <w:rPr>
            <w:rFonts w:ascii="Arial" w:eastAsia="Times New Roman" w:hAnsi="Arial" w:cs="Arial"/>
            <w:color w:val="0563C1"/>
            <w:sz w:val="22"/>
            <w:szCs w:val="22"/>
            <w:u w:val="single"/>
          </w:rPr>
          <w:t>https://www.jstor.org/stable/48617789</w:t>
        </w:r>
      </w:hyperlink>
      <w:r w:rsidRPr="00F71AEB">
        <w:rPr>
          <w:rFonts w:ascii="Arial" w:eastAsia="Times New Roman" w:hAnsi="Arial" w:cs="Arial"/>
          <w:sz w:val="22"/>
          <w:szCs w:val="22"/>
        </w:rPr>
        <w:t xml:space="preserve"> </w:t>
      </w:r>
    </w:p>
    <w:p w14:paraId="2DAB4932"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Cassels, T.G., Chan, S. and Chung, W., 2010. The role of culture in affective empathy: Cultural and bicultural differences. </w:t>
      </w:r>
      <w:r w:rsidRPr="00F71AEB">
        <w:rPr>
          <w:rFonts w:ascii="Arial" w:eastAsia="Times New Roman" w:hAnsi="Arial" w:cs="Arial"/>
          <w:i/>
          <w:iCs/>
          <w:sz w:val="22"/>
          <w:szCs w:val="22"/>
        </w:rPr>
        <w:t>Journal of Cognition and Culture</w:t>
      </w:r>
      <w:r w:rsidRPr="00F71AEB">
        <w:rPr>
          <w:rFonts w:ascii="Arial" w:eastAsia="Times New Roman" w:hAnsi="Arial" w:cs="Arial"/>
          <w:sz w:val="22"/>
          <w:szCs w:val="22"/>
        </w:rPr>
        <w:t>, </w:t>
      </w:r>
      <w:r w:rsidRPr="00F71AEB">
        <w:rPr>
          <w:rFonts w:ascii="Arial" w:eastAsia="Times New Roman" w:hAnsi="Arial" w:cs="Arial"/>
          <w:i/>
          <w:iCs/>
          <w:sz w:val="22"/>
          <w:szCs w:val="22"/>
        </w:rPr>
        <w:t>10</w:t>
      </w:r>
      <w:r w:rsidRPr="00F71AEB">
        <w:rPr>
          <w:rFonts w:ascii="Arial" w:eastAsia="Times New Roman" w:hAnsi="Arial" w:cs="Arial"/>
          <w:sz w:val="22"/>
          <w:szCs w:val="22"/>
        </w:rPr>
        <w:t xml:space="preserve">(3-4), pp.309-326. </w:t>
      </w:r>
      <w:hyperlink r:id="rId11">
        <w:r w:rsidRPr="00F71AEB">
          <w:rPr>
            <w:rFonts w:ascii="Arial" w:eastAsia="Times New Roman" w:hAnsi="Arial" w:cs="Arial"/>
            <w:color w:val="0563C1"/>
            <w:sz w:val="22"/>
            <w:szCs w:val="22"/>
            <w:u w:val="single"/>
          </w:rPr>
          <w:t>https://doi.org/10.1163/156853710X531203</w:t>
        </w:r>
      </w:hyperlink>
      <w:r w:rsidRPr="00F71AEB">
        <w:rPr>
          <w:rFonts w:ascii="Arial" w:eastAsia="Times New Roman" w:hAnsi="Arial" w:cs="Arial"/>
          <w:sz w:val="22"/>
          <w:szCs w:val="22"/>
        </w:rPr>
        <w:t xml:space="preserve"> </w:t>
      </w:r>
    </w:p>
    <w:p w14:paraId="1F23DBE2"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Chaidi, I. and Drigas, A., 2022. Theories-models of emotional intelligence. </w:t>
      </w:r>
      <w:r w:rsidRPr="00F71AEB">
        <w:rPr>
          <w:rFonts w:ascii="Arial" w:eastAsia="Times New Roman" w:hAnsi="Arial" w:cs="Arial"/>
          <w:i/>
          <w:iCs/>
          <w:sz w:val="22"/>
          <w:szCs w:val="22"/>
        </w:rPr>
        <w:t>Scientific electronic archives</w:t>
      </w:r>
      <w:r w:rsidRPr="00F71AEB">
        <w:rPr>
          <w:rFonts w:ascii="Arial" w:eastAsia="Times New Roman" w:hAnsi="Arial" w:cs="Arial"/>
          <w:sz w:val="22"/>
          <w:szCs w:val="22"/>
        </w:rPr>
        <w:t>, </w:t>
      </w:r>
      <w:r w:rsidRPr="00F71AEB">
        <w:rPr>
          <w:rFonts w:ascii="Arial" w:eastAsia="Times New Roman" w:hAnsi="Arial" w:cs="Arial"/>
          <w:i/>
          <w:iCs/>
          <w:sz w:val="22"/>
          <w:szCs w:val="22"/>
        </w:rPr>
        <w:t>15</w:t>
      </w:r>
      <w:r w:rsidRPr="00F71AEB">
        <w:rPr>
          <w:rFonts w:ascii="Arial" w:eastAsia="Times New Roman" w:hAnsi="Arial" w:cs="Arial"/>
          <w:sz w:val="22"/>
          <w:szCs w:val="22"/>
        </w:rPr>
        <w:t xml:space="preserve">(12). </w:t>
      </w:r>
      <w:hyperlink r:id="rId12">
        <w:r w:rsidRPr="00F71AEB">
          <w:rPr>
            <w:rFonts w:ascii="Arial" w:eastAsia="Times New Roman" w:hAnsi="Arial" w:cs="Arial"/>
            <w:color w:val="0563C1"/>
            <w:sz w:val="22"/>
            <w:szCs w:val="22"/>
            <w:u w:val="single"/>
          </w:rPr>
          <w:t>https://doi.org/10.36560/151220221638</w:t>
        </w:r>
      </w:hyperlink>
      <w:r w:rsidRPr="00F71AEB">
        <w:rPr>
          <w:rFonts w:ascii="Arial" w:eastAsia="Times New Roman" w:hAnsi="Arial" w:cs="Arial"/>
          <w:sz w:val="22"/>
          <w:szCs w:val="22"/>
        </w:rPr>
        <w:t xml:space="preserve"> </w:t>
      </w:r>
    </w:p>
    <w:p w14:paraId="3DB722FA"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Collado-Soler, R., Trigueros, R., Aguilar-Parra, J.M. and Navarro, N., 2023. Emotional intelligence and resilience outcomes in adolescent period, is knowledge really strength?. </w:t>
      </w:r>
      <w:r w:rsidRPr="00F71AEB">
        <w:rPr>
          <w:rFonts w:ascii="Arial" w:eastAsia="Times New Roman" w:hAnsi="Arial" w:cs="Arial"/>
          <w:i/>
          <w:iCs/>
          <w:sz w:val="22"/>
          <w:szCs w:val="22"/>
        </w:rPr>
        <w:t xml:space="preserve">Psychology Research and </w:t>
      </w:r>
      <w:proofErr w:type="spellStart"/>
      <w:r w:rsidRPr="00F71AEB">
        <w:rPr>
          <w:rFonts w:ascii="Arial" w:eastAsia="Times New Roman" w:hAnsi="Arial" w:cs="Arial"/>
          <w:i/>
          <w:iCs/>
          <w:sz w:val="22"/>
          <w:szCs w:val="22"/>
        </w:rPr>
        <w:t>Behavior</w:t>
      </w:r>
      <w:proofErr w:type="spellEnd"/>
      <w:r w:rsidRPr="00F71AEB">
        <w:rPr>
          <w:rFonts w:ascii="Arial" w:eastAsia="Times New Roman" w:hAnsi="Arial" w:cs="Arial"/>
          <w:i/>
          <w:iCs/>
          <w:sz w:val="22"/>
          <w:szCs w:val="22"/>
        </w:rPr>
        <w:t xml:space="preserve"> Management</w:t>
      </w:r>
      <w:r w:rsidRPr="00F71AEB">
        <w:rPr>
          <w:rFonts w:ascii="Arial" w:eastAsia="Times New Roman" w:hAnsi="Arial" w:cs="Arial"/>
          <w:sz w:val="22"/>
          <w:szCs w:val="22"/>
        </w:rPr>
        <w:t xml:space="preserve">, pp.1365-1378. </w:t>
      </w:r>
      <w:hyperlink r:id="rId13">
        <w:r w:rsidRPr="00F71AEB">
          <w:rPr>
            <w:rFonts w:ascii="Arial" w:eastAsia="Times New Roman" w:hAnsi="Arial" w:cs="Arial"/>
            <w:color w:val="0563C1"/>
            <w:sz w:val="22"/>
            <w:szCs w:val="22"/>
            <w:u w:val="single"/>
          </w:rPr>
          <w:t>https://doi.org/10.2147/PRBM.S383296</w:t>
        </w:r>
      </w:hyperlink>
      <w:r w:rsidRPr="00F71AEB">
        <w:rPr>
          <w:rFonts w:ascii="Arial" w:eastAsia="Times New Roman" w:hAnsi="Arial" w:cs="Arial"/>
          <w:sz w:val="22"/>
          <w:szCs w:val="22"/>
        </w:rPr>
        <w:t xml:space="preserve"> </w:t>
      </w:r>
    </w:p>
    <w:p w14:paraId="35C59B4D"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Coronado-Maldonado, I. and Benítez-Márquez, M.D., 2023. Emotional intelligence, leadership, and work teams: A hybrid literature review. </w:t>
      </w:r>
      <w:proofErr w:type="spellStart"/>
      <w:r w:rsidRPr="00F71AEB">
        <w:rPr>
          <w:rFonts w:ascii="Arial" w:eastAsia="Times New Roman" w:hAnsi="Arial" w:cs="Arial"/>
          <w:i/>
          <w:iCs/>
          <w:sz w:val="22"/>
          <w:szCs w:val="22"/>
        </w:rPr>
        <w:t>Heliyon</w:t>
      </w:r>
      <w:proofErr w:type="spellEnd"/>
      <w:r w:rsidRPr="00F71AEB">
        <w:rPr>
          <w:rFonts w:ascii="Arial" w:eastAsia="Times New Roman" w:hAnsi="Arial" w:cs="Arial"/>
          <w:sz w:val="22"/>
          <w:szCs w:val="22"/>
        </w:rPr>
        <w:t>, </w:t>
      </w:r>
      <w:r w:rsidRPr="00F71AEB">
        <w:rPr>
          <w:rFonts w:ascii="Arial" w:eastAsia="Times New Roman" w:hAnsi="Arial" w:cs="Arial"/>
          <w:i/>
          <w:iCs/>
          <w:sz w:val="22"/>
          <w:szCs w:val="22"/>
        </w:rPr>
        <w:t>9</w:t>
      </w:r>
      <w:r w:rsidRPr="00F71AEB">
        <w:rPr>
          <w:rFonts w:ascii="Arial" w:eastAsia="Times New Roman" w:hAnsi="Arial" w:cs="Arial"/>
          <w:sz w:val="22"/>
          <w:szCs w:val="22"/>
        </w:rPr>
        <w:t>(10). https://doi.org/10.1016/j.heliyon.2023.e20356</w:t>
      </w:r>
    </w:p>
    <w:p w14:paraId="78E3A193"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Côté, S., 2014. Emotional intelligence in organizations. </w:t>
      </w:r>
      <w:r w:rsidRPr="00F71AEB">
        <w:rPr>
          <w:rFonts w:ascii="Arial" w:eastAsia="Times New Roman" w:hAnsi="Arial" w:cs="Arial"/>
          <w:i/>
          <w:iCs/>
          <w:sz w:val="22"/>
          <w:szCs w:val="22"/>
        </w:rPr>
        <w:t xml:space="preserve">Annual Review of Organizational Psychology and Organizational </w:t>
      </w:r>
      <w:proofErr w:type="spellStart"/>
      <w:r w:rsidRPr="00F71AEB">
        <w:rPr>
          <w:rFonts w:ascii="Arial" w:eastAsia="Times New Roman" w:hAnsi="Arial" w:cs="Arial"/>
          <w:i/>
          <w:iCs/>
          <w:sz w:val="22"/>
          <w:szCs w:val="22"/>
        </w:rPr>
        <w:t>Behavior</w:t>
      </w:r>
      <w:proofErr w:type="spellEnd"/>
      <w:r w:rsidRPr="00F71AEB">
        <w:rPr>
          <w:rFonts w:ascii="Arial" w:eastAsia="Times New Roman" w:hAnsi="Arial" w:cs="Arial"/>
          <w:sz w:val="22"/>
          <w:szCs w:val="22"/>
        </w:rPr>
        <w:t xml:space="preserve">, 1(1), pp.459–488. </w:t>
      </w:r>
      <w:hyperlink r:id="rId14">
        <w:r w:rsidRPr="00F71AEB">
          <w:rPr>
            <w:rFonts w:ascii="Arial" w:eastAsia="Times New Roman" w:hAnsi="Arial" w:cs="Arial"/>
            <w:color w:val="0563C1"/>
            <w:sz w:val="22"/>
            <w:szCs w:val="22"/>
            <w:u w:val="single"/>
          </w:rPr>
          <w:t>https://doi.org/10.1146/annurev-orgpsych-031413-091233</w:t>
        </w:r>
      </w:hyperlink>
    </w:p>
    <w:p w14:paraId="4FBA84FB"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Deloitte, 2022. </w:t>
      </w:r>
      <w:r w:rsidRPr="00F71AEB">
        <w:rPr>
          <w:rFonts w:ascii="Arial" w:eastAsia="Times New Roman" w:hAnsi="Arial" w:cs="Arial"/>
          <w:i/>
          <w:iCs/>
          <w:sz w:val="22"/>
          <w:szCs w:val="22"/>
        </w:rPr>
        <w:t>Deloitte Global 2022 Gen Z and Millennial Survey</w:t>
      </w:r>
      <w:r w:rsidRPr="00F71AEB">
        <w:rPr>
          <w:rFonts w:ascii="Arial" w:eastAsia="Times New Roman" w:hAnsi="Arial" w:cs="Arial"/>
          <w:sz w:val="22"/>
          <w:szCs w:val="22"/>
        </w:rPr>
        <w:t>. Deloitte Touche Tohmatsu Limited.</w:t>
      </w:r>
      <w:r w:rsidRPr="00F71AEB">
        <w:rPr>
          <w:rFonts w:ascii="Arial" w:hAnsi="Arial" w:cs="Arial"/>
          <w:sz w:val="22"/>
          <w:szCs w:val="22"/>
        </w:rPr>
        <w:t xml:space="preserve"> </w:t>
      </w:r>
      <w:hyperlink r:id="rId15">
        <w:r w:rsidRPr="00F71AEB">
          <w:rPr>
            <w:rFonts w:ascii="Arial" w:eastAsia="Times New Roman" w:hAnsi="Arial" w:cs="Arial"/>
            <w:color w:val="0563C1"/>
            <w:sz w:val="22"/>
            <w:szCs w:val="22"/>
            <w:u w:val="single"/>
          </w:rPr>
          <w:t>https://www.deloitte.com/us/en/insights/topics/talent/deloitte-millennial-survey.html?utm_source=chatgpt.com</w:t>
        </w:r>
      </w:hyperlink>
      <w:r w:rsidRPr="00F71AEB">
        <w:rPr>
          <w:rFonts w:ascii="Arial" w:eastAsia="Times New Roman" w:hAnsi="Arial" w:cs="Arial"/>
          <w:sz w:val="22"/>
          <w:szCs w:val="22"/>
        </w:rPr>
        <w:t xml:space="preserve"> </w:t>
      </w:r>
    </w:p>
    <w:p w14:paraId="418C5F56"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Dwidienawati, D., Pradipto, Y., Indrawati, L. and Gandasari, D., 2025. Internal and external factors influencing Gen Z wellbeing. </w:t>
      </w:r>
      <w:r w:rsidRPr="00F71AEB">
        <w:rPr>
          <w:rFonts w:ascii="Arial" w:eastAsia="Times New Roman" w:hAnsi="Arial" w:cs="Arial"/>
          <w:i/>
          <w:iCs/>
          <w:sz w:val="22"/>
          <w:szCs w:val="22"/>
        </w:rPr>
        <w:t>BMC Public Health</w:t>
      </w:r>
      <w:r w:rsidRPr="00F71AEB">
        <w:rPr>
          <w:rFonts w:ascii="Arial" w:eastAsia="Times New Roman" w:hAnsi="Arial" w:cs="Arial"/>
          <w:sz w:val="22"/>
          <w:szCs w:val="22"/>
        </w:rPr>
        <w:t>, </w:t>
      </w:r>
      <w:r w:rsidRPr="00F71AEB">
        <w:rPr>
          <w:rFonts w:ascii="Arial" w:eastAsia="Times New Roman" w:hAnsi="Arial" w:cs="Arial"/>
          <w:i/>
          <w:iCs/>
          <w:sz w:val="22"/>
          <w:szCs w:val="22"/>
        </w:rPr>
        <w:t>25</w:t>
      </w:r>
      <w:r w:rsidRPr="00F71AEB">
        <w:rPr>
          <w:rFonts w:ascii="Arial" w:eastAsia="Times New Roman" w:hAnsi="Arial" w:cs="Arial"/>
          <w:sz w:val="22"/>
          <w:szCs w:val="22"/>
        </w:rPr>
        <w:t>(1), p.1584.</w:t>
      </w:r>
      <w:r w:rsidRPr="00F71AEB">
        <w:rPr>
          <w:rFonts w:ascii="Arial" w:hAnsi="Arial" w:cs="Arial"/>
          <w:sz w:val="22"/>
          <w:szCs w:val="22"/>
        </w:rPr>
        <w:t xml:space="preserve"> </w:t>
      </w:r>
      <w:hyperlink r:id="rId16">
        <w:r w:rsidRPr="00F71AEB">
          <w:rPr>
            <w:rFonts w:ascii="Arial" w:eastAsia="Times New Roman" w:hAnsi="Arial" w:cs="Arial"/>
            <w:color w:val="0563C1"/>
            <w:sz w:val="22"/>
            <w:szCs w:val="22"/>
            <w:u w:val="single"/>
          </w:rPr>
          <w:t>https://doi.org/10.1186/s12889-025-22124-5</w:t>
        </w:r>
      </w:hyperlink>
      <w:r w:rsidRPr="00F71AEB">
        <w:rPr>
          <w:rFonts w:ascii="Arial" w:eastAsia="Times New Roman" w:hAnsi="Arial" w:cs="Arial"/>
          <w:sz w:val="22"/>
          <w:szCs w:val="22"/>
        </w:rPr>
        <w:t xml:space="preserve"> </w:t>
      </w:r>
    </w:p>
    <w:p w14:paraId="41322B07"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Edmondson, A.C., 2018. </w:t>
      </w:r>
      <w:r w:rsidRPr="00F71AEB">
        <w:rPr>
          <w:rFonts w:ascii="Arial" w:eastAsia="Times New Roman" w:hAnsi="Arial" w:cs="Arial"/>
          <w:i/>
          <w:iCs/>
          <w:sz w:val="22"/>
          <w:szCs w:val="22"/>
        </w:rPr>
        <w:t>The fearless organization: Creating psychological safety in the workplace for learning, innovation, and growth</w:t>
      </w:r>
      <w:r w:rsidRPr="00F71AEB">
        <w:rPr>
          <w:rFonts w:ascii="Arial" w:eastAsia="Times New Roman" w:hAnsi="Arial" w:cs="Arial"/>
          <w:sz w:val="22"/>
          <w:szCs w:val="22"/>
        </w:rPr>
        <w:t>. Hoboken, NJ: John Wiley &amp; Sons.</w:t>
      </w:r>
    </w:p>
    <w:p w14:paraId="3CA97BA4"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Ehring, T., 2021. Thinking too much: rumination and psychopathology. </w:t>
      </w:r>
      <w:r w:rsidRPr="00F71AEB">
        <w:rPr>
          <w:rFonts w:ascii="Arial" w:eastAsia="Times New Roman" w:hAnsi="Arial" w:cs="Arial"/>
          <w:i/>
          <w:iCs/>
          <w:sz w:val="22"/>
          <w:szCs w:val="22"/>
        </w:rPr>
        <w:t>World psychiatry</w:t>
      </w:r>
      <w:r w:rsidRPr="00F71AEB">
        <w:rPr>
          <w:rFonts w:ascii="Arial" w:eastAsia="Times New Roman" w:hAnsi="Arial" w:cs="Arial"/>
          <w:sz w:val="22"/>
          <w:szCs w:val="22"/>
        </w:rPr>
        <w:t>, </w:t>
      </w:r>
      <w:r w:rsidRPr="00F71AEB">
        <w:rPr>
          <w:rFonts w:ascii="Arial" w:eastAsia="Times New Roman" w:hAnsi="Arial" w:cs="Arial"/>
          <w:i/>
          <w:iCs/>
          <w:sz w:val="22"/>
          <w:szCs w:val="22"/>
        </w:rPr>
        <w:t>20</w:t>
      </w:r>
      <w:r w:rsidRPr="00F71AEB">
        <w:rPr>
          <w:rFonts w:ascii="Arial" w:eastAsia="Times New Roman" w:hAnsi="Arial" w:cs="Arial"/>
          <w:sz w:val="22"/>
          <w:szCs w:val="22"/>
        </w:rPr>
        <w:t xml:space="preserve">(3), p.441. </w:t>
      </w:r>
      <w:hyperlink r:id="rId17">
        <w:r w:rsidRPr="00F71AEB">
          <w:rPr>
            <w:rFonts w:ascii="Arial" w:eastAsia="Times New Roman" w:hAnsi="Arial" w:cs="Arial"/>
            <w:color w:val="0563C1"/>
            <w:sz w:val="22"/>
            <w:szCs w:val="22"/>
            <w:u w:val="single"/>
          </w:rPr>
          <w:t>https://doi.org/10.1002/wps.20910</w:t>
        </w:r>
      </w:hyperlink>
      <w:r w:rsidRPr="00F71AEB">
        <w:rPr>
          <w:rFonts w:ascii="Arial" w:eastAsia="Times New Roman" w:hAnsi="Arial" w:cs="Arial"/>
          <w:sz w:val="22"/>
          <w:szCs w:val="22"/>
        </w:rPr>
        <w:t xml:space="preserve"> </w:t>
      </w:r>
    </w:p>
    <w:p w14:paraId="4CF92316"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Fuchs, O., Lorenz, E. and Fuchs, L., 2024. Generational differences in attitudes towards work and career: A systematic literature review on the preferences of generations X, Y and Z. </w:t>
      </w:r>
      <w:r w:rsidRPr="00F71AEB">
        <w:rPr>
          <w:rFonts w:ascii="Arial" w:eastAsia="Times New Roman" w:hAnsi="Arial" w:cs="Arial"/>
          <w:i/>
          <w:iCs/>
          <w:sz w:val="22"/>
          <w:szCs w:val="22"/>
        </w:rPr>
        <w:t>International Journal of Innovative Research and Advanced Studies</w:t>
      </w:r>
      <w:r w:rsidRPr="00F71AEB">
        <w:rPr>
          <w:rFonts w:ascii="Arial" w:eastAsia="Times New Roman" w:hAnsi="Arial" w:cs="Arial"/>
          <w:sz w:val="22"/>
          <w:szCs w:val="22"/>
        </w:rPr>
        <w:t>, </w:t>
      </w:r>
      <w:r w:rsidRPr="00F71AEB">
        <w:rPr>
          <w:rFonts w:ascii="Arial" w:eastAsia="Times New Roman" w:hAnsi="Arial" w:cs="Arial"/>
          <w:i/>
          <w:iCs/>
          <w:sz w:val="22"/>
          <w:szCs w:val="22"/>
        </w:rPr>
        <w:t>11</w:t>
      </w:r>
      <w:r w:rsidRPr="00F71AEB">
        <w:rPr>
          <w:rFonts w:ascii="Arial" w:eastAsia="Times New Roman" w:hAnsi="Arial" w:cs="Arial"/>
          <w:sz w:val="22"/>
          <w:szCs w:val="22"/>
        </w:rPr>
        <w:t>(7), pp.54-71.</w:t>
      </w:r>
    </w:p>
    <w:p w14:paraId="0CC3DB09"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Goleman, D. 1995. </w:t>
      </w:r>
      <w:r w:rsidRPr="00F71AEB">
        <w:rPr>
          <w:rFonts w:ascii="Arial" w:eastAsia="Times New Roman" w:hAnsi="Arial" w:cs="Arial"/>
          <w:i/>
          <w:iCs/>
          <w:sz w:val="22"/>
          <w:szCs w:val="22"/>
        </w:rPr>
        <w:t>Emotional intelligence: Why it can matter more than IQ</w:t>
      </w:r>
      <w:r w:rsidRPr="00F71AEB">
        <w:rPr>
          <w:rFonts w:ascii="Arial" w:eastAsia="Times New Roman" w:hAnsi="Arial" w:cs="Arial"/>
          <w:sz w:val="22"/>
          <w:szCs w:val="22"/>
        </w:rPr>
        <w:t>. Bantam Books.</w:t>
      </w:r>
    </w:p>
    <w:p w14:paraId="50B6AC27"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Goleman, D., 1995. </w:t>
      </w:r>
      <w:r w:rsidRPr="00F71AEB">
        <w:rPr>
          <w:rFonts w:ascii="Arial" w:eastAsia="Times New Roman" w:hAnsi="Arial" w:cs="Arial"/>
          <w:i/>
          <w:iCs/>
          <w:sz w:val="22"/>
          <w:szCs w:val="22"/>
        </w:rPr>
        <w:t>Emotional intelligence: Why it can matter more than IQ</w:t>
      </w:r>
      <w:r w:rsidRPr="00F71AEB">
        <w:rPr>
          <w:rFonts w:ascii="Arial" w:eastAsia="Times New Roman" w:hAnsi="Arial" w:cs="Arial"/>
          <w:sz w:val="22"/>
          <w:szCs w:val="22"/>
        </w:rPr>
        <w:t>. New York: Bantam Books.</w:t>
      </w:r>
    </w:p>
    <w:p w14:paraId="455BC375" w14:textId="77777777" w:rsidR="009D0FC5" w:rsidRPr="00F71AEB" w:rsidRDefault="009D0FC5" w:rsidP="009D0FC5">
      <w:pPr>
        <w:spacing w:line="360" w:lineRule="auto"/>
        <w:ind w:left="720" w:hanging="720"/>
        <w:jc w:val="both"/>
        <w:rPr>
          <w:rFonts w:ascii="Arial" w:eastAsia="Times New Roman" w:hAnsi="Arial" w:cs="Arial"/>
          <w:sz w:val="22"/>
          <w:szCs w:val="22"/>
        </w:rPr>
      </w:pPr>
    </w:p>
    <w:p w14:paraId="28B59683" w14:textId="77777777" w:rsidR="009D0FC5" w:rsidRPr="00F71AEB" w:rsidRDefault="009D0FC5" w:rsidP="009D0FC5">
      <w:pPr>
        <w:spacing w:line="360" w:lineRule="auto"/>
        <w:ind w:left="720" w:hanging="720"/>
        <w:jc w:val="both"/>
        <w:rPr>
          <w:rFonts w:ascii="Arial" w:eastAsia="Times New Roman" w:hAnsi="Arial" w:cs="Arial"/>
          <w:sz w:val="22"/>
          <w:szCs w:val="22"/>
        </w:rPr>
      </w:pPr>
    </w:p>
    <w:p w14:paraId="0AF743BD"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Grelle, K., Shrestha, N., Ximenes, M., Perrotte, J., Cordaro, M., Deason, R.G. and Howard, K., 2023. The generation gap revisited: Generational differences in mental health, maladaptive coping behaviors, and pandemic-related concerns during the initial COVID-19 pandemic. </w:t>
      </w:r>
      <w:r w:rsidRPr="00F71AEB">
        <w:rPr>
          <w:rFonts w:ascii="Arial" w:eastAsia="Times New Roman" w:hAnsi="Arial" w:cs="Arial"/>
          <w:i/>
          <w:iCs/>
          <w:sz w:val="22"/>
          <w:szCs w:val="22"/>
        </w:rPr>
        <w:t>Journal of adult development</w:t>
      </w:r>
      <w:r w:rsidRPr="00F71AEB">
        <w:rPr>
          <w:rFonts w:ascii="Arial" w:eastAsia="Times New Roman" w:hAnsi="Arial" w:cs="Arial"/>
          <w:sz w:val="22"/>
          <w:szCs w:val="22"/>
        </w:rPr>
        <w:t>, </w:t>
      </w:r>
      <w:r w:rsidRPr="00F71AEB">
        <w:rPr>
          <w:rFonts w:ascii="Arial" w:eastAsia="Times New Roman" w:hAnsi="Arial" w:cs="Arial"/>
          <w:i/>
          <w:iCs/>
          <w:sz w:val="22"/>
          <w:szCs w:val="22"/>
        </w:rPr>
        <w:t>30</w:t>
      </w:r>
      <w:r w:rsidRPr="00F71AEB">
        <w:rPr>
          <w:rFonts w:ascii="Arial" w:eastAsia="Times New Roman" w:hAnsi="Arial" w:cs="Arial"/>
          <w:sz w:val="22"/>
          <w:szCs w:val="22"/>
        </w:rPr>
        <w:t>(4), pp.381-392.</w:t>
      </w:r>
      <w:r w:rsidRPr="00F71AEB">
        <w:rPr>
          <w:rFonts w:ascii="Arial" w:hAnsi="Arial" w:cs="Arial"/>
          <w:sz w:val="22"/>
          <w:szCs w:val="22"/>
        </w:rPr>
        <w:t xml:space="preserve"> </w:t>
      </w:r>
      <w:hyperlink r:id="rId18">
        <w:r w:rsidRPr="00F71AEB">
          <w:rPr>
            <w:rFonts w:ascii="Arial" w:eastAsia="Times New Roman" w:hAnsi="Arial" w:cs="Arial"/>
            <w:color w:val="0563C1"/>
            <w:sz w:val="22"/>
            <w:szCs w:val="22"/>
            <w:u w:val="single"/>
          </w:rPr>
          <w:t>https://doi.org/10.1007/s10804-023-09442-x</w:t>
        </w:r>
      </w:hyperlink>
      <w:r w:rsidRPr="00F71AEB">
        <w:rPr>
          <w:rFonts w:ascii="Arial" w:eastAsia="Times New Roman" w:hAnsi="Arial" w:cs="Arial"/>
          <w:sz w:val="22"/>
          <w:szCs w:val="22"/>
        </w:rPr>
        <w:t xml:space="preserve"> </w:t>
      </w:r>
    </w:p>
    <w:p w14:paraId="4AEE6EE5"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Hareli, S., Kafetsios, K. and Hess, U., 2015. A cross-cultural study on emotion expression and the learning of social norms. </w:t>
      </w:r>
      <w:r w:rsidRPr="00F71AEB">
        <w:rPr>
          <w:rFonts w:ascii="Arial" w:eastAsia="Times New Roman" w:hAnsi="Arial" w:cs="Arial"/>
          <w:i/>
          <w:iCs/>
          <w:sz w:val="22"/>
          <w:szCs w:val="22"/>
        </w:rPr>
        <w:t>Frontiers in psychology</w:t>
      </w:r>
      <w:r w:rsidRPr="00F71AEB">
        <w:rPr>
          <w:rFonts w:ascii="Arial" w:eastAsia="Times New Roman" w:hAnsi="Arial" w:cs="Arial"/>
          <w:sz w:val="22"/>
          <w:szCs w:val="22"/>
        </w:rPr>
        <w:t>, </w:t>
      </w:r>
      <w:r w:rsidRPr="00F71AEB">
        <w:rPr>
          <w:rFonts w:ascii="Arial" w:eastAsia="Times New Roman" w:hAnsi="Arial" w:cs="Arial"/>
          <w:i/>
          <w:iCs/>
          <w:sz w:val="22"/>
          <w:szCs w:val="22"/>
        </w:rPr>
        <w:t>6</w:t>
      </w:r>
      <w:r w:rsidRPr="00F71AEB">
        <w:rPr>
          <w:rFonts w:ascii="Arial" w:eastAsia="Times New Roman" w:hAnsi="Arial" w:cs="Arial"/>
          <w:sz w:val="22"/>
          <w:szCs w:val="22"/>
        </w:rPr>
        <w:t xml:space="preserve">, p.1501. </w:t>
      </w:r>
      <w:hyperlink r:id="rId19">
        <w:r w:rsidRPr="00F71AEB">
          <w:rPr>
            <w:rFonts w:ascii="Arial" w:eastAsia="Times New Roman" w:hAnsi="Arial" w:cs="Arial"/>
            <w:color w:val="0563C1"/>
            <w:sz w:val="22"/>
            <w:szCs w:val="22"/>
            <w:u w:val="single"/>
          </w:rPr>
          <w:t>https://doi.org/10.3389/fpsyg.2015.01501</w:t>
        </w:r>
      </w:hyperlink>
      <w:r w:rsidRPr="00F71AEB">
        <w:rPr>
          <w:rFonts w:ascii="Arial" w:eastAsia="Times New Roman" w:hAnsi="Arial" w:cs="Arial"/>
          <w:sz w:val="22"/>
          <w:szCs w:val="22"/>
        </w:rPr>
        <w:t xml:space="preserve"> </w:t>
      </w:r>
    </w:p>
    <w:p w14:paraId="38211ABD"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Hochschild, A. R. (1983). </w:t>
      </w:r>
      <w:r w:rsidRPr="00F71AEB">
        <w:rPr>
          <w:rFonts w:ascii="Arial" w:eastAsia="Times New Roman" w:hAnsi="Arial" w:cs="Arial"/>
          <w:i/>
          <w:iCs/>
          <w:sz w:val="22"/>
          <w:szCs w:val="22"/>
        </w:rPr>
        <w:t>The Managed Heart: Commercialization of Human Feeling</w:t>
      </w:r>
      <w:r w:rsidRPr="00F71AEB">
        <w:rPr>
          <w:rFonts w:ascii="Arial" w:eastAsia="Times New Roman" w:hAnsi="Arial" w:cs="Arial"/>
          <w:sz w:val="22"/>
          <w:szCs w:val="22"/>
        </w:rPr>
        <w:t>. University of California Press.</w:t>
      </w:r>
    </w:p>
    <w:p w14:paraId="690B8C70"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Jain, A.K., 2021. The science and philosophy of emotional intelligence: A pragmatic perspective. </w:t>
      </w:r>
      <w:r w:rsidRPr="00F71AEB">
        <w:rPr>
          <w:rFonts w:ascii="Arial" w:eastAsia="Times New Roman" w:hAnsi="Arial" w:cs="Arial"/>
          <w:i/>
          <w:iCs/>
          <w:sz w:val="22"/>
          <w:szCs w:val="22"/>
        </w:rPr>
        <w:t>The science of emotional intelligence</w:t>
      </w:r>
      <w:r w:rsidRPr="00F71AEB">
        <w:rPr>
          <w:rFonts w:ascii="Arial" w:eastAsia="Times New Roman" w:hAnsi="Arial" w:cs="Arial"/>
          <w:sz w:val="22"/>
          <w:szCs w:val="22"/>
        </w:rPr>
        <w:t>, pp.1-18.</w:t>
      </w:r>
      <w:r w:rsidRPr="00F71AEB">
        <w:rPr>
          <w:rFonts w:ascii="Arial" w:eastAsia="Times New Roman" w:hAnsi="Arial" w:cs="Arial"/>
          <w:color w:val="000000"/>
          <w:sz w:val="22"/>
          <w:szCs w:val="22"/>
          <w:shd w:val="clear" w:color="auto" w:fill="FFFDEA"/>
        </w:rPr>
        <w:t xml:space="preserve"> </w:t>
      </w:r>
      <w:r w:rsidRPr="00F71AEB">
        <w:rPr>
          <w:rFonts w:ascii="Arial" w:eastAsia="Times New Roman" w:hAnsi="Arial" w:cs="Arial"/>
          <w:sz w:val="22"/>
          <w:szCs w:val="22"/>
        </w:rPr>
        <w:t xml:space="preserve">10.5772/intechopen.97837 </w:t>
      </w:r>
    </w:p>
    <w:p w14:paraId="7B17A556"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Joseph, D.L. and Newman, D.A., 2010. Emotional intelligence: an integrative meta-analysis and cascading model. </w:t>
      </w:r>
      <w:r w:rsidRPr="00F71AEB">
        <w:rPr>
          <w:rFonts w:ascii="Arial" w:eastAsia="Times New Roman" w:hAnsi="Arial" w:cs="Arial"/>
          <w:i/>
          <w:iCs/>
          <w:sz w:val="22"/>
          <w:szCs w:val="22"/>
        </w:rPr>
        <w:t>Journal of applied psychology</w:t>
      </w:r>
      <w:r w:rsidRPr="00F71AEB">
        <w:rPr>
          <w:rFonts w:ascii="Arial" w:eastAsia="Times New Roman" w:hAnsi="Arial" w:cs="Arial"/>
          <w:sz w:val="22"/>
          <w:szCs w:val="22"/>
        </w:rPr>
        <w:t>, </w:t>
      </w:r>
      <w:r w:rsidRPr="00F71AEB">
        <w:rPr>
          <w:rFonts w:ascii="Arial" w:eastAsia="Times New Roman" w:hAnsi="Arial" w:cs="Arial"/>
          <w:i/>
          <w:iCs/>
          <w:sz w:val="22"/>
          <w:szCs w:val="22"/>
        </w:rPr>
        <w:t>95</w:t>
      </w:r>
      <w:r w:rsidRPr="00F71AEB">
        <w:rPr>
          <w:rFonts w:ascii="Arial" w:eastAsia="Times New Roman" w:hAnsi="Arial" w:cs="Arial"/>
          <w:sz w:val="22"/>
          <w:szCs w:val="22"/>
        </w:rPr>
        <w:t xml:space="preserve">(1), p.54. </w:t>
      </w:r>
      <w:hyperlink r:id="rId20">
        <w:r w:rsidRPr="00F71AEB">
          <w:rPr>
            <w:rFonts w:ascii="Arial" w:eastAsia="Times New Roman" w:hAnsi="Arial" w:cs="Arial"/>
            <w:color w:val="0563C1"/>
            <w:sz w:val="22"/>
            <w:szCs w:val="22"/>
            <w:u w:val="single"/>
          </w:rPr>
          <w:t>https://doi.org/10.1037/a0017286?urlappend=%3Futm_source%3Dresearchgate.net%26utm_medium%3Darticle</w:t>
        </w:r>
      </w:hyperlink>
      <w:r w:rsidRPr="00F71AEB">
        <w:rPr>
          <w:rFonts w:ascii="Arial" w:eastAsia="Times New Roman" w:hAnsi="Arial" w:cs="Arial"/>
          <w:sz w:val="22"/>
          <w:szCs w:val="22"/>
        </w:rPr>
        <w:t xml:space="preserve"> </w:t>
      </w:r>
    </w:p>
    <w:p w14:paraId="552ECFB9" w14:textId="2576C8A3"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Jun, K. and Lee, J., 2023. Transformational leadership and followers’ innovative </w:t>
      </w:r>
      <w:r w:rsidR="001F5D36" w:rsidRPr="00F71AEB">
        <w:rPr>
          <w:rFonts w:ascii="Arial" w:eastAsia="Times New Roman" w:hAnsi="Arial" w:cs="Arial"/>
          <w:sz w:val="22"/>
          <w:szCs w:val="22"/>
        </w:rPr>
        <w:t>behaviour</w:t>
      </w:r>
      <w:r w:rsidRPr="00F71AEB">
        <w:rPr>
          <w:rFonts w:ascii="Arial" w:eastAsia="Times New Roman" w:hAnsi="Arial" w:cs="Arial"/>
          <w:sz w:val="22"/>
          <w:szCs w:val="22"/>
        </w:rPr>
        <w:t>: Roles of commitment to change and organizational support for creativity. </w:t>
      </w:r>
      <w:r w:rsidR="001F5D36" w:rsidRPr="00F71AEB">
        <w:rPr>
          <w:rFonts w:ascii="Arial" w:eastAsia="Times New Roman" w:hAnsi="Arial" w:cs="Arial"/>
          <w:i/>
          <w:iCs/>
          <w:sz w:val="22"/>
          <w:szCs w:val="22"/>
        </w:rPr>
        <w:t>Behavioural</w:t>
      </w:r>
      <w:r w:rsidRPr="00F71AEB">
        <w:rPr>
          <w:rFonts w:ascii="Arial" w:eastAsia="Times New Roman" w:hAnsi="Arial" w:cs="Arial"/>
          <w:i/>
          <w:iCs/>
          <w:sz w:val="22"/>
          <w:szCs w:val="22"/>
        </w:rPr>
        <w:t xml:space="preserve"> Sciences</w:t>
      </w:r>
      <w:r w:rsidRPr="00F71AEB">
        <w:rPr>
          <w:rFonts w:ascii="Arial" w:eastAsia="Times New Roman" w:hAnsi="Arial" w:cs="Arial"/>
          <w:sz w:val="22"/>
          <w:szCs w:val="22"/>
        </w:rPr>
        <w:t>, </w:t>
      </w:r>
      <w:r w:rsidRPr="00F71AEB">
        <w:rPr>
          <w:rFonts w:ascii="Arial" w:eastAsia="Times New Roman" w:hAnsi="Arial" w:cs="Arial"/>
          <w:i/>
          <w:iCs/>
          <w:sz w:val="22"/>
          <w:szCs w:val="22"/>
        </w:rPr>
        <w:t>13</w:t>
      </w:r>
      <w:r w:rsidRPr="00F71AEB">
        <w:rPr>
          <w:rFonts w:ascii="Arial" w:eastAsia="Times New Roman" w:hAnsi="Arial" w:cs="Arial"/>
          <w:sz w:val="22"/>
          <w:szCs w:val="22"/>
        </w:rPr>
        <w:t xml:space="preserve">(4), p.320. </w:t>
      </w:r>
      <w:hyperlink r:id="rId21">
        <w:r w:rsidRPr="00F71AEB">
          <w:rPr>
            <w:rFonts w:ascii="Arial" w:eastAsia="Times New Roman" w:hAnsi="Arial" w:cs="Arial"/>
            <w:color w:val="0563C1"/>
            <w:sz w:val="22"/>
            <w:szCs w:val="22"/>
            <w:u w:val="single"/>
          </w:rPr>
          <w:t>https://doi.org/10.3390/bs13040320</w:t>
        </w:r>
      </w:hyperlink>
      <w:r w:rsidRPr="00F71AEB">
        <w:rPr>
          <w:rFonts w:ascii="Arial" w:eastAsia="Times New Roman" w:hAnsi="Arial" w:cs="Arial"/>
          <w:sz w:val="22"/>
          <w:szCs w:val="22"/>
        </w:rPr>
        <w:t xml:space="preserve"> </w:t>
      </w:r>
    </w:p>
    <w:p w14:paraId="7FE3D33B" w14:textId="520C34E8"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Kabat-Zinn J. 1990. Full catastrophe living: The program of the stress reduction clinic at the University of Massachusetts Medical </w:t>
      </w:r>
      <w:r w:rsidR="001F5D36" w:rsidRPr="00F71AEB">
        <w:rPr>
          <w:rFonts w:ascii="Arial" w:eastAsia="Times New Roman" w:hAnsi="Arial" w:cs="Arial"/>
          <w:sz w:val="22"/>
          <w:szCs w:val="22"/>
        </w:rPr>
        <w:t>Centre</w:t>
      </w:r>
      <w:r w:rsidRPr="00F71AEB">
        <w:rPr>
          <w:rFonts w:ascii="Arial" w:eastAsia="Times New Roman" w:hAnsi="Arial" w:cs="Arial"/>
          <w:sz w:val="22"/>
          <w:szCs w:val="22"/>
        </w:rPr>
        <w:t>. New York, NY: Dell. </w:t>
      </w:r>
    </w:p>
    <w:p w14:paraId="622B7545"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Kadović, M., Mikšić, Š. and Lovrić, R., 2022. Ability of emotional regulation and control as a stress predictor in healthcare professionals. </w:t>
      </w:r>
      <w:r w:rsidRPr="00F71AEB">
        <w:rPr>
          <w:rFonts w:ascii="Arial" w:eastAsia="Times New Roman" w:hAnsi="Arial" w:cs="Arial"/>
          <w:i/>
          <w:iCs/>
          <w:sz w:val="22"/>
          <w:szCs w:val="22"/>
        </w:rPr>
        <w:t>International journal of environmental research and public health</w:t>
      </w:r>
      <w:r w:rsidRPr="00F71AEB">
        <w:rPr>
          <w:rFonts w:ascii="Arial" w:eastAsia="Times New Roman" w:hAnsi="Arial" w:cs="Arial"/>
          <w:sz w:val="22"/>
          <w:szCs w:val="22"/>
        </w:rPr>
        <w:t>, </w:t>
      </w:r>
      <w:r w:rsidRPr="00F71AEB">
        <w:rPr>
          <w:rFonts w:ascii="Arial" w:eastAsia="Times New Roman" w:hAnsi="Arial" w:cs="Arial"/>
          <w:i/>
          <w:iCs/>
          <w:sz w:val="22"/>
          <w:szCs w:val="22"/>
        </w:rPr>
        <w:t>20</w:t>
      </w:r>
      <w:r w:rsidRPr="00F71AEB">
        <w:rPr>
          <w:rFonts w:ascii="Arial" w:eastAsia="Times New Roman" w:hAnsi="Arial" w:cs="Arial"/>
          <w:sz w:val="22"/>
          <w:szCs w:val="22"/>
        </w:rPr>
        <w:t xml:space="preserve">(1), p.541. </w:t>
      </w:r>
      <w:hyperlink r:id="rId22">
        <w:r w:rsidRPr="00F71AEB">
          <w:rPr>
            <w:rFonts w:ascii="Arial" w:eastAsia="Times New Roman" w:hAnsi="Arial" w:cs="Arial"/>
            <w:color w:val="0563C1"/>
            <w:sz w:val="22"/>
            <w:szCs w:val="22"/>
            <w:u w:val="single"/>
          </w:rPr>
          <w:t>https://doi.org/10.3390/ijerph20010541</w:t>
        </w:r>
      </w:hyperlink>
      <w:r w:rsidRPr="00F71AEB">
        <w:rPr>
          <w:rFonts w:ascii="Arial" w:eastAsia="Times New Roman" w:hAnsi="Arial" w:cs="Arial"/>
          <w:sz w:val="22"/>
          <w:szCs w:val="22"/>
        </w:rPr>
        <w:t xml:space="preserve"> </w:t>
      </w:r>
    </w:p>
    <w:p w14:paraId="37D04A65" w14:textId="77777777" w:rsidR="009D0FC5" w:rsidRPr="00F71AEB" w:rsidRDefault="009D0FC5" w:rsidP="009D0FC5">
      <w:pPr>
        <w:spacing w:line="360" w:lineRule="auto"/>
        <w:ind w:left="720" w:hanging="720"/>
        <w:jc w:val="both"/>
        <w:rPr>
          <w:rFonts w:ascii="Arial" w:eastAsia="Times New Roman" w:hAnsi="Arial" w:cs="Arial"/>
          <w:sz w:val="22"/>
          <w:szCs w:val="22"/>
        </w:rPr>
      </w:pPr>
    </w:p>
    <w:p w14:paraId="679E3E95" w14:textId="77777777" w:rsidR="009D0FC5" w:rsidRPr="00F71AEB" w:rsidRDefault="009D0FC5" w:rsidP="009D0FC5">
      <w:pPr>
        <w:spacing w:line="360" w:lineRule="auto"/>
        <w:ind w:left="720" w:hanging="720"/>
        <w:jc w:val="both"/>
        <w:rPr>
          <w:rFonts w:ascii="Arial" w:eastAsia="Times New Roman" w:hAnsi="Arial" w:cs="Arial"/>
          <w:sz w:val="22"/>
          <w:szCs w:val="22"/>
        </w:rPr>
      </w:pPr>
    </w:p>
    <w:p w14:paraId="383EB534"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Kelley, N.J., Glazer, J.E., Pornpattananangkul, N. and Nusslock, R., 2019. Reappraisal and suppression emotion-regulation tendencies differentially predict reward-responsivity and psychological well-being. </w:t>
      </w:r>
      <w:r w:rsidRPr="00F71AEB">
        <w:rPr>
          <w:rFonts w:ascii="Arial" w:eastAsia="Times New Roman" w:hAnsi="Arial" w:cs="Arial"/>
          <w:i/>
          <w:iCs/>
          <w:sz w:val="22"/>
          <w:szCs w:val="22"/>
        </w:rPr>
        <w:t>Biological psychology</w:t>
      </w:r>
      <w:r w:rsidRPr="00F71AEB">
        <w:rPr>
          <w:rFonts w:ascii="Arial" w:eastAsia="Times New Roman" w:hAnsi="Arial" w:cs="Arial"/>
          <w:sz w:val="22"/>
          <w:szCs w:val="22"/>
        </w:rPr>
        <w:t>, </w:t>
      </w:r>
      <w:r w:rsidRPr="00F71AEB">
        <w:rPr>
          <w:rFonts w:ascii="Arial" w:eastAsia="Times New Roman" w:hAnsi="Arial" w:cs="Arial"/>
          <w:i/>
          <w:iCs/>
          <w:sz w:val="22"/>
          <w:szCs w:val="22"/>
        </w:rPr>
        <w:t>140</w:t>
      </w:r>
      <w:r w:rsidRPr="00F71AEB">
        <w:rPr>
          <w:rFonts w:ascii="Arial" w:eastAsia="Times New Roman" w:hAnsi="Arial" w:cs="Arial"/>
          <w:sz w:val="22"/>
          <w:szCs w:val="22"/>
        </w:rPr>
        <w:t xml:space="preserve">, pp.35-47. </w:t>
      </w:r>
      <w:hyperlink r:id="rId23">
        <w:r w:rsidRPr="00F71AEB">
          <w:rPr>
            <w:rFonts w:ascii="Arial" w:eastAsia="Times New Roman" w:hAnsi="Arial" w:cs="Arial"/>
            <w:color w:val="0563C1"/>
            <w:sz w:val="22"/>
            <w:szCs w:val="22"/>
            <w:u w:val="single"/>
          </w:rPr>
          <w:t>https://doi.org/10.1016/j.biopsycho.2018.11.005</w:t>
        </w:r>
      </w:hyperlink>
      <w:r w:rsidRPr="00F71AEB">
        <w:rPr>
          <w:rFonts w:ascii="Arial" w:eastAsia="Times New Roman" w:hAnsi="Arial" w:cs="Arial"/>
          <w:sz w:val="22"/>
          <w:szCs w:val="22"/>
        </w:rPr>
        <w:t xml:space="preserve"> </w:t>
      </w:r>
    </w:p>
    <w:p w14:paraId="58BA5D43"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Krishna, S.M. and Agrawal, S., 2024. Creative performance of millennials and generation Z: what matters more, intrinsic or extrinsic rewards?. </w:t>
      </w:r>
      <w:r w:rsidRPr="00F71AEB">
        <w:rPr>
          <w:rFonts w:ascii="Arial" w:eastAsia="Times New Roman" w:hAnsi="Arial" w:cs="Arial"/>
          <w:i/>
          <w:iCs/>
          <w:sz w:val="22"/>
          <w:szCs w:val="22"/>
        </w:rPr>
        <w:t>Administrative Sciences</w:t>
      </w:r>
      <w:r w:rsidRPr="00F71AEB">
        <w:rPr>
          <w:rFonts w:ascii="Arial" w:eastAsia="Times New Roman" w:hAnsi="Arial" w:cs="Arial"/>
          <w:sz w:val="22"/>
          <w:szCs w:val="22"/>
        </w:rPr>
        <w:t>, </w:t>
      </w:r>
      <w:r w:rsidRPr="00F71AEB">
        <w:rPr>
          <w:rFonts w:ascii="Arial" w:eastAsia="Times New Roman" w:hAnsi="Arial" w:cs="Arial"/>
          <w:i/>
          <w:iCs/>
          <w:sz w:val="22"/>
          <w:szCs w:val="22"/>
        </w:rPr>
        <w:t>15</w:t>
      </w:r>
      <w:r w:rsidRPr="00F71AEB">
        <w:rPr>
          <w:rFonts w:ascii="Arial" w:eastAsia="Times New Roman" w:hAnsi="Arial" w:cs="Arial"/>
          <w:sz w:val="22"/>
          <w:szCs w:val="22"/>
        </w:rPr>
        <w:t>(1), p.11.</w:t>
      </w:r>
      <w:r w:rsidRPr="00F71AEB">
        <w:rPr>
          <w:rFonts w:ascii="Arial" w:hAnsi="Arial" w:cs="Arial"/>
          <w:sz w:val="22"/>
          <w:szCs w:val="22"/>
        </w:rPr>
        <w:t xml:space="preserve"> </w:t>
      </w:r>
      <w:hyperlink r:id="rId24">
        <w:r w:rsidRPr="00F71AEB">
          <w:rPr>
            <w:rFonts w:ascii="Arial" w:eastAsia="Times New Roman" w:hAnsi="Arial" w:cs="Arial"/>
            <w:color w:val="0563C1"/>
            <w:sz w:val="22"/>
            <w:szCs w:val="22"/>
            <w:u w:val="single"/>
          </w:rPr>
          <w:t>https://doi.org/10.3390/admsci15010011</w:t>
        </w:r>
      </w:hyperlink>
      <w:r w:rsidRPr="00F71AEB">
        <w:rPr>
          <w:rFonts w:ascii="Arial" w:eastAsia="Times New Roman" w:hAnsi="Arial" w:cs="Arial"/>
          <w:sz w:val="22"/>
          <w:szCs w:val="22"/>
        </w:rPr>
        <w:t xml:space="preserve"> </w:t>
      </w:r>
    </w:p>
    <w:p w14:paraId="0098B739"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Lan, J., 2024. Emotional Influences on individual decision-making: A comprehensive literature review. </w:t>
      </w:r>
      <w:r w:rsidRPr="00F71AEB">
        <w:rPr>
          <w:rFonts w:ascii="Arial" w:eastAsia="Times New Roman" w:hAnsi="Arial" w:cs="Arial"/>
          <w:i/>
          <w:iCs/>
          <w:sz w:val="22"/>
          <w:szCs w:val="22"/>
        </w:rPr>
        <w:t>Lecture Notes in Education Psychology and Public Media</w:t>
      </w:r>
      <w:r w:rsidRPr="00F71AEB">
        <w:rPr>
          <w:rFonts w:ascii="Arial" w:eastAsia="Times New Roman" w:hAnsi="Arial" w:cs="Arial"/>
          <w:sz w:val="22"/>
          <w:szCs w:val="22"/>
        </w:rPr>
        <w:t>, </w:t>
      </w:r>
      <w:r w:rsidRPr="00F71AEB">
        <w:rPr>
          <w:rFonts w:ascii="Arial" w:eastAsia="Times New Roman" w:hAnsi="Arial" w:cs="Arial"/>
          <w:i/>
          <w:iCs/>
          <w:sz w:val="22"/>
          <w:szCs w:val="22"/>
        </w:rPr>
        <w:t>49</w:t>
      </w:r>
      <w:r w:rsidRPr="00F71AEB">
        <w:rPr>
          <w:rFonts w:ascii="Arial" w:eastAsia="Times New Roman" w:hAnsi="Arial" w:cs="Arial"/>
          <w:sz w:val="22"/>
          <w:szCs w:val="22"/>
        </w:rPr>
        <w:t xml:space="preserve">(1), pp.142-148. </w:t>
      </w:r>
      <w:hyperlink r:id="rId25">
        <w:r w:rsidRPr="00F71AEB">
          <w:rPr>
            <w:rFonts w:ascii="Arial" w:eastAsia="Times New Roman" w:hAnsi="Arial" w:cs="Arial"/>
            <w:color w:val="0563C1"/>
            <w:sz w:val="22"/>
            <w:szCs w:val="22"/>
            <w:u w:val="single"/>
          </w:rPr>
          <w:t>https://doi.org/10.54254/2753-7048/49/20231925</w:t>
        </w:r>
      </w:hyperlink>
      <w:r w:rsidRPr="00F71AEB">
        <w:rPr>
          <w:rFonts w:ascii="Arial" w:eastAsia="Times New Roman" w:hAnsi="Arial" w:cs="Arial"/>
          <w:sz w:val="22"/>
          <w:szCs w:val="22"/>
        </w:rPr>
        <w:t xml:space="preserve"> </w:t>
      </w:r>
    </w:p>
    <w:p w14:paraId="7DB9BE0D"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Matthews, G., Zeidner, M. and Roberts, R.D., 2007. Emotional intelligence: Consensus, controversies, and questions. </w:t>
      </w:r>
      <w:r w:rsidRPr="00F71AEB">
        <w:rPr>
          <w:rFonts w:ascii="Arial" w:eastAsia="Times New Roman" w:hAnsi="Arial" w:cs="Arial"/>
          <w:i/>
          <w:iCs/>
          <w:sz w:val="22"/>
          <w:szCs w:val="22"/>
        </w:rPr>
        <w:t>The science of emotional intelligence: Knowns and unknowns</w:t>
      </w:r>
      <w:r w:rsidRPr="00F71AEB">
        <w:rPr>
          <w:rFonts w:ascii="Arial" w:eastAsia="Times New Roman" w:hAnsi="Arial" w:cs="Arial"/>
          <w:sz w:val="22"/>
          <w:szCs w:val="22"/>
        </w:rPr>
        <w:t xml:space="preserve">, pp.3-46. </w:t>
      </w:r>
      <w:hyperlink r:id="rId26">
        <w:r w:rsidRPr="00F71AEB">
          <w:rPr>
            <w:rFonts w:ascii="Arial" w:eastAsia="Times New Roman" w:hAnsi="Arial" w:cs="Arial"/>
            <w:color w:val="0563C1"/>
            <w:sz w:val="22"/>
            <w:szCs w:val="22"/>
            <w:u w:val="single"/>
          </w:rPr>
          <w:t>https://www.researchgate.net/publication/313648537_Emotional_intelligence_Consensus_controversies_and_questions</w:t>
        </w:r>
      </w:hyperlink>
      <w:r w:rsidRPr="00F71AEB">
        <w:rPr>
          <w:rFonts w:ascii="Arial" w:eastAsia="Times New Roman" w:hAnsi="Arial" w:cs="Arial"/>
          <w:sz w:val="22"/>
          <w:szCs w:val="22"/>
        </w:rPr>
        <w:t xml:space="preserve"> </w:t>
      </w:r>
    </w:p>
    <w:p w14:paraId="59BCE957"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 xml:space="preserve">Mayer, J.D. and Salovey, P., 1997. What is emotional intelligence? In: P. Salovey and D. Sluyter, eds. </w:t>
      </w:r>
      <w:r w:rsidRPr="00F71AEB">
        <w:rPr>
          <w:rFonts w:ascii="Arial" w:eastAsia="Times New Roman" w:hAnsi="Arial" w:cs="Arial"/>
          <w:i/>
          <w:iCs/>
          <w:sz w:val="22"/>
          <w:szCs w:val="22"/>
        </w:rPr>
        <w:t>Emotional development and emotional intelligence: Educational implications</w:t>
      </w:r>
      <w:r w:rsidRPr="00F71AEB">
        <w:rPr>
          <w:rFonts w:ascii="Arial" w:eastAsia="Times New Roman" w:hAnsi="Arial" w:cs="Arial"/>
          <w:sz w:val="22"/>
          <w:szCs w:val="22"/>
        </w:rPr>
        <w:t>. New York: Basic Books, pp.3–31.</w:t>
      </w:r>
    </w:p>
    <w:p w14:paraId="3F509449"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Ng, E.S., Schweitzer, L. and Lyons, S.T., 2010. New generation, great expectations: A field study of the millennial generation. </w:t>
      </w:r>
      <w:r w:rsidRPr="00F71AEB">
        <w:rPr>
          <w:rFonts w:ascii="Arial" w:eastAsia="Times New Roman" w:hAnsi="Arial" w:cs="Arial"/>
          <w:i/>
          <w:iCs/>
          <w:sz w:val="22"/>
          <w:szCs w:val="22"/>
        </w:rPr>
        <w:t>Journal of business and psychology</w:t>
      </w:r>
      <w:r w:rsidRPr="00F71AEB">
        <w:rPr>
          <w:rFonts w:ascii="Arial" w:eastAsia="Times New Roman" w:hAnsi="Arial" w:cs="Arial"/>
          <w:sz w:val="22"/>
          <w:szCs w:val="22"/>
        </w:rPr>
        <w:t>, </w:t>
      </w:r>
      <w:r w:rsidRPr="00F71AEB">
        <w:rPr>
          <w:rFonts w:ascii="Arial" w:eastAsia="Times New Roman" w:hAnsi="Arial" w:cs="Arial"/>
          <w:i/>
          <w:iCs/>
          <w:sz w:val="22"/>
          <w:szCs w:val="22"/>
        </w:rPr>
        <w:t>25</w:t>
      </w:r>
      <w:r w:rsidRPr="00F71AEB">
        <w:rPr>
          <w:rFonts w:ascii="Arial" w:eastAsia="Times New Roman" w:hAnsi="Arial" w:cs="Arial"/>
          <w:sz w:val="22"/>
          <w:szCs w:val="22"/>
        </w:rPr>
        <w:t>(2), pp.281-292.</w:t>
      </w:r>
    </w:p>
    <w:p w14:paraId="11557AA8"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Pareke, F.J., Suryosukmono, G., Hayadi, I. and Nasution, N., 2024. Impression Management Tactics in the Workplace: Enhancing or Compromising the Employee Performance?. </w:t>
      </w:r>
      <w:r w:rsidRPr="00F71AEB">
        <w:rPr>
          <w:rFonts w:ascii="Arial" w:eastAsia="Times New Roman" w:hAnsi="Arial" w:cs="Arial"/>
          <w:i/>
          <w:iCs/>
          <w:sz w:val="22"/>
          <w:szCs w:val="22"/>
        </w:rPr>
        <w:t>Int. Journal of Business Science and Applied Management</w:t>
      </w:r>
      <w:r w:rsidRPr="00F71AEB">
        <w:rPr>
          <w:rFonts w:ascii="Arial" w:eastAsia="Times New Roman" w:hAnsi="Arial" w:cs="Arial"/>
          <w:sz w:val="22"/>
          <w:szCs w:val="22"/>
        </w:rPr>
        <w:t>, </w:t>
      </w:r>
      <w:r w:rsidRPr="00F71AEB">
        <w:rPr>
          <w:rFonts w:ascii="Arial" w:eastAsia="Times New Roman" w:hAnsi="Arial" w:cs="Arial"/>
          <w:i/>
          <w:iCs/>
          <w:sz w:val="22"/>
          <w:szCs w:val="22"/>
        </w:rPr>
        <w:t>19</w:t>
      </w:r>
      <w:r w:rsidRPr="00F71AEB">
        <w:rPr>
          <w:rFonts w:ascii="Arial" w:eastAsia="Times New Roman" w:hAnsi="Arial" w:cs="Arial"/>
          <w:sz w:val="22"/>
          <w:szCs w:val="22"/>
        </w:rPr>
        <w:t xml:space="preserve">(1). </w:t>
      </w:r>
      <w:hyperlink r:id="rId27">
        <w:r w:rsidRPr="00F71AEB">
          <w:rPr>
            <w:rFonts w:ascii="Arial" w:eastAsia="Times New Roman" w:hAnsi="Arial" w:cs="Arial"/>
            <w:color w:val="0563C1"/>
            <w:sz w:val="22"/>
            <w:szCs w:val="22"/>
            <w:u w:val="single"/>
          </w:rPr>
          <w:t>https://doi.org/10.69864/ijbsam.19-1.183</w:t>
        </w:r>
      </w:hyperlink>
      <w:r w:rsidRPr="00F71AEB">
        <w:rPr>
          <w:rFonts w:ascii="Arial" w:eastAsia="Times New Roman" w:hAnsi="Arial" w:cs="Arial"/>
          <w:sz w:val="22"/>
          <w:szCs w:val="22"/>
        </w:rPr>
        <w:t xml:space="preserve"> </w:t>
      </w:r>
    </w:p>
    <w:p w14:paraId="174F331C"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Rudolph, C.W., Rauvola, R.S., Costanza, D.P. and Zacher, H., 2021. Generations and generational differences: Debunking myths in organizational science and practice and paving new paths forward. </w:t>
      </w:r>
      <w:r w:rsidRPr="00F71AEB">
        <w:rPr>
          <w:rFonts w:ascii="Arial" w:eastAsia="Times New Roman" w:hAnsi="Arial" w:cs="Arial"/>
          <w:i/>
          <w:iCs/>
          <w:sz w:val="22"/>
          <w:szCs w:val="22"/>
        </w:rPr>
        <w:t>Journal of business and psychology</w:t>
      </w:r>
      <w:r w:rsidRPr="00F71AEB">
        <w:rPr>
          <w:rFonts w:ascii="Arial" w:eastAsia="Times New Roman" w:hAnsi="Arial" w:cs="Arial"/>
          <w:sz w:val="22"/>
          <w:szCs w:val="22"/>
        </w:rPr>
        <w:t>, </w:t>
      </w:r>
      <w:r w:rsidRPr="00F71AEB">
        <w:rPr>
          <w:rFonts w:ascii="Arial" w:eastAsia="Times New Roman" w:hAnsi="Arial" w:cs="Arial"/>
          <w:i/>
          <w:iCs/>
          <w:sz w:val="22"/>
          <w:szCs w:val="22"/>
        </w:rPr>
        <w:t>36</w:t>
      </w:r>
      <w:r w:rsidRPr="00F71AEB">
        <w:rPr>
          <w:rFonts w:ascii="Arial" w:eastAsia="Times New Roman" w:hAnsi="Arial" w:cs="Arial"/>
          <w:sz w:val="22"/>
          <w:szCs w:val="22"/>
        </w:rPr>
        <w:t xml:space="preserve">(6), pp.945-967. </w:t>
      </w:r>
      <w:hyperlink r:id="rId28">
        <w:r w:rsidRPr="00F71AEB">
          <w:rPr>
            <w:rFonts w:ascii="Arial" w:eastAsia="Times New Roman" w:hAnsi="Arial" w:cs="Arial"/>
            <w:color w:val="0563C1"/>
            <w:sz w:val="22"/>
            <w:szCs w:val="22"/>
            <w:u w:val="single"/>
          </w:rPr>
          <w:t>https://link.springer.com/article/10.1007/s10869-020-09715-2</w:t>
        </w:r>
      </w:hyperlink>
      <w:r w:rsidRPr="00F71AEB">
        <w:rPr>
          <w:rFonts w:ascii="Arial" w:eastAsia="Times New Roman" w:hAnsi="Arial" w:cs="Arial"/>
          <w:sz w:val="22"/>
          <w:szCs w:val="22"/>
        </w:rPr>
        <w:t xml:space="preserve"> </w:t>
      </w:r>
    </w:p>
    <w:p w14:paraId="546875DD"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Salameh-Ayanian, M., Tamer, N. and Jabbour Al Maalouf, N., 2025. The importance of emotional intelligence in managers and its impact on employee performance amid turbulent times. </w:t>
      </w:r>
      <w:r w:rsidRPr="00F71AEB">
        <w:rPr>
          <w:rFonts w:ascii="Arial" w:eastAsia="Times New Roman" w:hAnsi="Arial" w:cs="Arial"/>
          <w:i/>
          <w:iCs/>
          <w:sz w:val="22"/>
          <w:szCs w:val="22"/>
        </w:rPr>
        <w:t>Administrative Sciences</w:t>
      </w:r>
      <w:r w:rsidRPr="00F71AEB">
        <w:rPr>
          <w:rFonts w:ascii="Arial" w:eastAsia="Times New Roman" w:hAnsi="Arial" w:cs="Arial"/>
          <w:sz w:val="22"/>
          <w:szCs w:val="22"/>
        </w:rPr>
        <w:t>, </w:t>
      </w:r>
      <w:r w:rsidRPr="00F71AEB">
        <w:rPr>
          <w:rFonts w:ascii="Arial" w:eastAsia="Times New Roman" w:hAnsi="Arial" w:cs="Arial"/>
          <w:i/>
          <w:iCs/>
          <w:sz w:val="22"/>
          <w:szCs w:val="22"/>
        </w:rPr>
        <w:t>15</w:t>
      </w:r>
      <w:r w:rsidRPr="00F71AEB">
        <w:rPr>
          <w:rFonts w:ascii="Arial" w:eastAsia="Times New Roman" w:hAnsi="Arial" w:cs="Arial"/>
          <w:sz w:val="22"/>
          <w:szCs w:val="22"/>
        </w:rPr>
        <w:t xml:space="preserve">(8), p.300. </w:t>
      </w:r>
      <w:hyperlink r:id="rId29">
        <w:r w:rsidRPr="00F71AEB">
          <w:rPr>
            <w:rFonts w:ascii="Arial" w:eastAsia="Times New Roman" w:hAnsi="Arial" w:cs="Arial"/>
            <w:color w:val="0563C1"/>
            <w:sz w:val="22"/>
            <w:szCs w:val="22"/>
            <w:u w:val="single"/>
          </w:rPr>
          <w:t>https://doi.org/10.3390/admsci15080300</w:t>
        </w:r>
      </w:hyperlink>
      <w:r w:rsidRPr="00F71AEB">
        <w:rPr>
          <w:rFonts w:ascii="Arial" w:eastAsia="Times New Roman" w:hAnsi="Arial" w:cs="Arial"/>
          <w:sz w:val="22"/>
          <w:szCs w:val="22"/>
        </w:rPr>
        <w:t xml:space="preserve"> </w:t>
      </w:r>
    </w:p>
    <w:p w14:paraId="467E7E12"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Saraiva, M. and Nogueiro, T., 2025. Perspectives and realities of disengagement among younger generation Y and Z workers in contemporary work dynamics. </w:t>
      </w:r>
      <w:r w:rsidRPr="00F71AEB">
        <w:rPr>
          <w:rFonts w:ascii="Arial" w:eastAsia="Times New Roman" w:hAnsi="Arial" w:cs="Arial"/>
          <w:i/>
          <w:iCs/>
          <w:sz w:val="22"/>
          <w:szCs w:val="22"/>
        </w:rPr>
        <w:t>Administrative Sciences</w:t>
      </w:r>
      <w:r w:rsidRPr="00F71AEB">
        <w:rPr>
          <w:rFonts w:ascii="Arial" w:eastAsia="Times New Roman" w:hAnsi="Arial" w:cs="Arial"/>
          <w:sz w:val="22"/>
          <w:szCs w:val="22"/>
        </w:rPr>
        <w:t>, </w:t>
      </w:r>
      <w:r w:rsidRPr="00F71AEB">
        <w:rPr>
          <w:rFonts w:ascii="Arial" w:eastAsia="Times New Roman" w:hAnsi="Arial" w:cs="Arial"/>
          <w:i/>
          <w:iCs/>
          <w:sz w:val="22"/>
          <w:szCs w:val="22"/>
        </w:rPr>
        <w:t>15</w:t>
      </w:r>
      <w:r w:rsidRPr="00F71AEB">
        <w:rPr>
          <w:rFonts w:ascii="Arial" w:eastAsia="Times New Roman" w:hAnsi="Arial" w:cs="Arial"/>
          <w:sz w:val="22"/>
          <w:szCs w:val="22"/>
        </w:rPr>
        <w:t>(4), p.133.</w:t>
      </w:r>
      <w:r w:rsidRPr="00F71AEB">
        <w:rPr>
          <w:rFonts w:ascii="Arial" w:hAnsi="Arial" w:cs="Arial"/>
          <w:sz w:val="22"/>
          <w:szCs w:val="22"/>
        </w:rPr>
        <w:t xml:space="preserve"> </w:t>
      </w:r>
      <w:hyperlink r:id="rId30">
        <w:r w:rsidRPr="00F71AEB">
          <w:rPr>
            <w:rFonts w:ascii="Arial" w:eastAsia="Times New Roman" w:hAnsi="Arial" w:cs="Arial"/>
            <w:color w:val="0563C1"/>
            <w:sz w:val="22"/>
            <w:szCs w:val="22"/>
            <w:u w:val="single"/>
          </w:rPr>
          <w:t>https://doi.org/10.3390/admsci15040133</w:t>
        </w:r>
      </w:hyperlink>
      <w:r w:rsidRPr="00F71AEB">
        <w:rPr>
          <w:rFonts w:ascii="Arial" w:eastAsia="Times New Roman" w:hAnsi="Arial" w:cs="Arial"/>
          <w:sz w:val="22"/>
          <w:szCs w:val="22"/>
        </w:rPr>
        <w:t xml:space="preserve"> </w:t>
      </w:r>
    </w:p>
    <w:p w14:paraId="7DB749C2"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Sharma, R., Dhanta, R. and Solomon, D.D., 2023. The role of emotional intelligence in effective leadership and decision-making in business management. In </w:t>
      </w:r>
      <w:r w:rsidRPr="00F71AEB">
        <w:rPr>
          <w:rFonts w:ascii="Arial" w:eastAsia="Times New Roman" w:hAnsi="Arial" w:cs="Arial"/>
          <w:i/>
          <w:iCs/>
          <w:sz w:val="22"/>
          <w:szCs w:val="22"/>
        </w:rPr>
        <w:t>AI and emotional intelligence for modern business management</w:t>
      </w:r>
      <w:r w:rsidRPr="00F71AEB">
        <w:rPr>
          <w:rFonts w:ascii="Arial" w:eastAsia="Times New Roman" w:hAnsi="Arial" w:cs="Arial"/>
          <w:sz w:val="22"/>
          <w:szCs w:val="22"/>
        </w:rPr>
        <w:t> (pp. 98-112). IGI Global Scientific Publishing.</w:t>
      </w:r>
    </w:p>
    <w:p w14:paraId="7B9593C7"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Singh, D., 2019. A literature review on employee retention with focus on recent trends. </w:t>
      </w:r>
      <w:r w:rsidRPr="00F71AEB">
        <w:rPr>
          <w:rFonts w:ascii="Arial" w:eastAsia="Times New Roman" w:hAnsi="Arial" w:cs="Arial"/>
          <w:i/>
          <w:iCs/>
          <w:sz w:val="22"/>
          <w:szCs w:val="22"/>
        </w:rPr>
        <w:t>International Journal of Scientific Research in Science and Technology</w:t>
      </w:r>
      <w:r w:rsidRPr="00F71AEB">
        <w:rPr>
          <w:rFonts w:ascii="Arial" w:eastAsia="Times New Roman" w:hAnsi="Arial" w:cs="Arial"/>
          <w:sz w:val="22"/>
          <w:szCs w:val="22"/>
        </w:rPr>
        <w:t>, </w:t>
      </w:r>
      <w:r w:rsidRPr="00F71AEB">
        <w:rPr>
          <w:rFonts w:ascii="Arial" w:eastAsia="Times New Roman" w:hAnsi="Arial" w:cs="Arial"/>
          <w:i/>
          <w:iCs/>
          <w:sz w:val="22"/>
          <w:szCs w:val="22"/>
        </w:rPr>
        <w:t>6</w:t>
      </w:r>
      <w:r w:rsidRPr="00F71AEB">
        <w:rPr>
          <w:rFonts w:ascii="Arial" w:eastAsia="Times New Roman" w:hAnsi="Arial" w:cs="Arial"/>
          <w:sz w:val="22"/>
          <w:szCs w:val="22"/>
        </w:rPr>
        <w:t>(1), pp.425-431.</w:t>
      </w:r>
    </w:p>
    <w:p w14:paraId="345346AF"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Sugden, N.A. and Moulson, M.C., 2015. Recruitment strategies should not be randomly selected: empirically improving recruitment success and diversity in developmental psychology research. </w:t>
      </w:r>
      <w:r w:rsidRPr="00F71AEB">
        <w:rPr>
          <w:rFonts w:ascii="Arial" w:eastAsia="Times New Roman" w:hAnsi="Arial" w:cs="Arial"/>
          <w:i/>
          <w:iCs/>
          <w:sz w:val="22"/>
          <w:szCs w:val="22"/>
        </w:rPr>
        <w:t>Frontiers in psychology</w:t>
      </w:r>
      <w:r w:rsidRPr="00F71AEB">
        <w:rPr>
          <w:rFonts w:ascii="Arial" w:eastAsia="Times New Roman" w:hAnsi="Arial" w:cs="Arial"/>
          <w:sz w:val="22"/>
          <w:szCs w:val="22"/>
        </w:rPr>
        <w:t>, </w:t>
      </w:r>
      <w:r w:rsidRPr="00F71AEB">
        <w:rPr>
          <w:rFonts w:ascii="Arial" w:eastAsia="Times New Roman" w:hAnsi="Arial" w:cs="Arial"/>
          <w:i/>
          <w:iCs/>
          <w:sz w:val="22"/>
          <w:szCs w:val="22"/>
        </w:rPr>
        <w:t>6</w:t>
      </w:r>
      <w:r w:rsidRPr="00F71AEB">
        <w:rPr>
          <w:rFonts w:ascii="Arial" w:eastAsia="Times New Roman" w:hAnsi="Arial" w:cs="Arial"/>
          <w:sz w:val="22"/>
          <w:szCs w:val="22"/>
        </w:rPr>
        <w:t>, p.523.</w:t>
      </w:r>
    </w:p>
    <w:p w14:paraId="79CB781E"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Twenge, J.M., Campbell, S.M., Hoffman, B.J. and Lance, C.E., 2010. Generational differences in work values: Leisure and extrinsic values increasing, social and intrinsic values decreasing. </w:t>
      </w:r>
      <w:r w:rsidRPr="00F71AEB">
        <w:rPr>
          <w:rFonts w:ascii="Arial" w:eastAsia="Times New Roman" w:hAnsi="Arial" w:cs="Arial"/>
          <w:i/>
          <w:iCs/>
          <w:sz w:val="22"/>
          <w:szCs w:val="22"/>
        </w:rPr>
        <w:t>Journal of management</w:t>
      </w:r>
      <w:r w:rsidRPr="00F71AEB">
        <w:rPr>
          <w:rFonts w:ascii="Arial" w:eastAsia="Times New Roman" w:hAnsi="Arial" w:cs="Arial"/>
          <w:sz w:val="22"/>
          <w:szCs w:val="22"/>
        </w:rPr>
        <w:t>, </w:t>
      </w:r>
      <w:r w:rsidRPr="00F71AEB">
        <w:rPr>
          <w:rFonts w:ascii="Arial" w:eastAsia="Times New Roman" w:hAnsi="Arial" w:cs="Arial"/>
          <w:i/>
          <w:iCs/>
          <w:sz w:val="22"/>
          <w:szCs w:val="22"/>
        </w:rPr>
        <w:t>36</w:t>
      </w:r>
      <w:r w:rsidRPr="00F71AEB">
        <w:rPr>
          <w:rFonts w:ascii="Arial" w:eastAsia="Times New Roman" w:hAnsi="Arial" w:cs="Arial"/>
          <w:sz w:val="22"/>
          <w:szCs w:val="22"/>
        </w:rPr>
        <w:t>(5), pp.1117-1142.</w:t>
      </w:r>
      <w:r w:rsidRPr="00F71AEB">
        <w:rPr>
          <w:rFonts w:ascii="Arial" w:hAnsi="Arial" w:cs="Arial"/>
          <w:sz w:val="22"/>
          <w:szCs w:val="22"/>
        </w:rPr>
        <w:t xml:space="preserve"> </w:t>
      </w:r>
      <w:hyperlink r:id="rId31">
        <w:r w:rsidRPr="00F71AEB">
          <w:rPr>
            <w:rFonts w:ascii="Arial" w:eastAsia="Times New Roman" w:hAnsi="Arial" w:cs="Arial"/>
            <w:color w:val="0563C1"/>
            <w:sz w:val="22"/>
            <w:szCs w:val="22"/>
            <w:u w:val="single"/>
          </w:rPr>
          <w:t>https://doi.org/10.1177/0149206309352246?urlappend=%3Futm_source%3Dresearchgate.net%26utm_medium%3Darticle</w:t>
        </w:r>
      </w:hyperlink>
      <w:r w:rsidRPr="00F71AEB">
        <w:rPr>
          <w:rFonts w:ascii="Arial" w:eastAsia="Times New Roman" w:hAnsi="Arial" w:cs="Arial"/>
          <w:sz w:val="22"/>
          <w:szCs w:val="22"/>
        </w:rPr>
        <w:t xml:space="preserve"> </w:t>
      </w:r>
    </w:p>
    <w:p w14:paraId="0DCC2138"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Vieira, J., Gomes da Costa, C. and Santos, V., 2024. Talent management and generation Z: A systematic literature review through the lens of employer branding. </w:t>
      </w:r>
      <w:r w:rsidRPr="00F71AEB">
        <w:rPr>
          <w:rFonts w:ascii="Arial" w:eastAsia="Times New Roman" w:hAnsi="Arial" w:cs="Arial"/>
          <w:i/>
          <w:iCs/>
          <w:sz w:val="22"/>
          <w:szCs w:val="22"/>
        </w:rPr>
        <w:t>Administrative sciences</w:t>
      </w:r>
      <w:r w:rsidRPr="00F71AEB">
        <w:rPr>
          <w:rFonts w:ascii="Arial" w:eastAsia="Times New Roman" w:hAnsi="Arial" w:cs="Arial"/>
          <w:sz w:val="22"/>
          <w:szCs w:val="22"/>
        </w:rPr>
        <w:t>, </w:t>
      </w:r>
      <w:r w:rsidRPr="00F71AEB">
        <w:rPr>
          <w:rFonts w:ascii="Arial" w:eastAsia="Times New Roman" w:hAnsi="Arial" w:cs="Arial"/>
          <w:i/>
          <w:iCs/>
          <w:sz w:val="22"/>
          <w:szCs w:val="22"/>
        </w:rPr>
        <w:t>14</w:t>
      </w:r>
      <w:r w:rsidRPr="00F71AEB">
        <w:rPr>
          <w:rFonts w:ascii="Arial" w:eastAsia="Times New Roman" w:hAnsi="Arial" w:cs="Arial"/>
          <w:sz w:val="22"/>
          <w:szCs w:val="22"/>
        </w:rPr>
        <w:t>(3), p.49.</w:t>
      </w:r>
    </w:p>
    <w:p w14:paraId="6B2320CE"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Wang, L. and Duan, X., 2025. Generational diversity and team innovation: the roles of conflict and shared leadership. </w:t>
      </w:r>
      <w:r w:rsidRPr="00F71AEB">
        <w:rPr>
          <w:rFonts w:ascii="Arial" w:eastAsia="Times New Roman" w:hAnsi="Arial" w:cs="Arial"/>
          <w:i/>
          <w:iCs/>
          <w:sz w:val="22"/>
          <w:szCs w:val="22"/>
        </w:rPr>
        <w:t>Frontiers in psychology</w:t>
      </w:r>
      <w:r w:rsidRPr="00F71AEB">
        <w:rPr>
          <w:rFonts w:ascii="Arial" w:eastAsia="Times New Roman" w:hAnsi="Arial" w:cs="Arial"/>
          <w:sz w:val="22"/>
          <w:szCs w:val="22"/>
        </w:rPr>
        <w:t>, </w:t>
      </w:r>
      <w:r w:rsidRPr="00F71AEB">
        <w:rPr>
          <w:rFonts w:ascii="Arial" w:eastAsia="Times New Roman" w:hAnsi="Arial" w:cs="Arial"/>
          <w:i/>
          <w:iCs/>
          <w:sz w:val="22"/>
          <w:szCs w:val="22"/>
        </w:rPr>
        <w:t>15</w:t>
      </w:r>
      <w:r w:rsidRPr="00F71AEB">
        <w:rPr>
          <w:rFonts w:ascii="Arial" w:eastAsia="Times New Roman" w:hAnsi="Arial" w:cs="Arial"/>
          <w:sz w:val="22"/>
          <w:szCs w:val="22"/>
        </w:rPr>
        <w:t>, p.1501633.</w:t>
      </w:r>
      <w:r w:rsidRPr="00F71AEB">
        <w:rPr>
          <w:rFonts w:ascii="Arial" w:hAnsi="Arial" w:cs="Arial"/>
          <w:sz w:val="22"/>
          <w:szCs w:val="22"/>
        </w:rPr>
        <w:t xml:space="preserve"> </w:t>
      </w:r>
      <w:hyperlink r:id="rId32">
        <w:r w:rsidRPr="00F71AEB">
          <w:rPr>
            <w:rFonts w:ascii="Arial" w:eastAsia="Times New Roman" w:hAnsi="Arial" w:cs="Arial"/>
            <w:color w:val="0563C1"/>
            <w:sz w:val="22"/>
            <w:szCs w:val="22"/>
            <w:u w:val="single"/>
          </w:rPr>
          <w:t>https://doi.org/10.3389/fpsyg.2024.1501633</w:t>
        </w:r>
      </w:hyperlink>
      <w:r w:rsidRPr="00F71AEB">
        <w:rPr>
          <w:rFonts w:ascii="Arial" w:eastAsia="Times New Roman" w:hAnsi="Arial" w:cs="Arial"/>
          <w:sz w:val="22"/>
          <w:szCs w:val="22"/>
        </w:rPr>
        <w:t xml:space="preserve"> </w:t>
      </w:r>
    </w:p>
    <w:p w14:paraId="3DAE7945" w14:textId="77777777" w:rsidR="001C0605" w:rsidRPr="00F71AEB" w:rsidRDefault="001C0605" w:rsidP="009D0FC5">
      <w:pPr>
        <w:spacing w:line="360" w:lineRule="auto"/>
        <w:ind w:left="720" w:hanging="720"/>
        <w:jc w:val="both"/>
        <w:rPr>
          <w:rFonts w:ascii="Arial" w:eastAsia="Times New Roman" w:hAnsi="Arial" w:cs="Arial"/>
          <w:sz w:val="22"/>
          <w:szCs w:val="22"/>
        </w:rPr>
      </w:pPr>
      <w:r w:rsidRPr="00F71AEB">
        <w:rPr>
          <w:rFonts w:ascii="Arial" w:eastAsia="Times New Roman" w:hAnsi="Arial" w:cs="Arial"/>
          <w:sz w:val="22"/>
          <w:szCs w:val="22"/>
        </w:rPr>
        <w:t>Živković, A., Adamek, A. and Brkić, A., 2025. Generation Z and the Future of Work: Expectations of a Healthy Workplace. In </w:t>
      </w:r>
      <w:r w:rsidRPr="00F71AEB">
        <w:rPr>
          <w:rFonts w:ascii="Arial" w:eastAsia="Times New Roman" w:hAnsi="Arial" w:cs="Arial"/>
          <w:i/>
          <w:iCs/>
          <w:sz w:val="22"/>
          <w:szCs w:val="22"/>
        </w:rPr>
        <w:t>Proceedings of the 9th International Academic Conference on Management and Economics: Vol. 3 No. 1 (2025)</w:t>
      </w:r>
      <w:r w:rsidRPr="00F71AEB">
        <w:rPr>
          <w:rFonts w:ascii="Arial" w:eastAsia="Times New Roman" w:hAnsi="Arial" w:cs="Arial"/>
          <w:sz w:val="22"/>
          <w:szCs w:val="22"/>
        </w:rPr>
        <w:t> (Vol. 3, No. 1, pp. 1-16). Vilnius: Mokslinės Leidybos Deimantas.</w:t>
      </w:r>
      <w:r w:rsidRPr="00F71AEB">
        <w:rPr>
          <w:rFonts w:ascii="Arial" w:hAnsi="Arial" w:cs="Arial"/>
          <w:sz w:val="22"/>
          <w:szCs w:val="22"/>
        </w:rPr>
        <w:t xml:space="preserve"> </w:t>
      </w:r>
      <w:hyperlink r:id="rId33">
        <w:r w:rsidRPr="00F71AEB">
          <w:rPr>
            <w:rFonts w:ascii="Arial" w:eastAsia="Times New Roman" w:hAnsi="Arial" w:cs="Arial"/>
            <w:color w:val="0563C1"/>
            <w:sz w:val="22"/>
            <w:szCs w:val="22"/>
            <w:u w:val="single"/>
          </w:rPr>
          <w:t>https://doi.org/10.33422/conferenceme.v3i1.1297</w:t>
        </w:r>
      </w:hyperlink>
      <w:r w:rsidRPr="00F71AEB">
        <w:rPr>
          <w:rFonts w:ascii="Arial" w:eastAsia="Times New Roman" w:hAnsi="Arial" w:cs="Arial"/>
          <w:sz w:val="22"/>
          <w:szCs w:val="22"/>
        </w:rPr>
        <w:t xml:space="preserve"> </w:t>
      </w:r>
    </w:p>
    <w:p w14:paraId="0000003F" w14:textId="77777777" w:rsidR="00C7259F" w:rsidRPr="001C0605" w:rsidRDefault="00C7259F" w:rsidP="009D0FC5">
      <w:pPr>
        <w:spacing w:line="360" w:lineRule="auto"/>
        <w:jc w:val="both"/>
        <w:rPr>
          <w:rFonts w:ascii="Arial" w:eastAsia="Times New Roman" w:hAnsi="Arial" w:cs="Arial"/>
        </w:rPr>
      </w:pPr>
    </w:p>
    <w:sectPr w:rsidR="00C7259F" w:rsidRPr="001C0605" w:rsidSect="00F71AEB">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C74A0" w14:textId="77777777" w:rsidR="002C0206" w:rsidRDefault="002C0206" w:rsidP="009D0FC5">
      <w:pPr>
        <w:spacing w:after="0" w:line="240" w:lineRule="auto"/>
      </w:pPr>
      <w:r>
        <w:separator/>
      </w:r>
    </w:p>
  </w:endnote>
  <w:endnote w:type="continuationSeparator" w:id="0">
    <w:p w14:paraId="2A58362B" w14:textId="77777777" w:rsidR="002C0206" w:rsidRDefault="002C0206" w:rsidP="009D0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CF2F7FCF-2EFD-4D58-BDC2-7358F5DD2895}"/>
    <w:embedBold r:id="rId2" w:fontKey="{D6ED5F30-3764-4683-AE17-5967FC379064}"/>
    <w:embedItalic r:id="rId3" w:fontKey="{913CAC37-F61B-47D6-A89D-6B76931987D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C82CD3BE-4A1E-46CE-9426-67970AB8D7F7}"/>
  </w:font>
  <w:font w:name="Helvetica Neue">
    <w:charset w:val="00"/>
    <w:family w:val="auto"/>
    <w:pitch w:val="default"/>
    <w:embedRegular r:id="rId5" w:fontKey="{A4ABDB35-A857-4801-B571-3087A24D43A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01183" w14:textId="77777777" w:rsidR="009D0FC5" w:rsidRDefault="009D0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3979837"/>
      <w:docPartObj>
        <w:docPartGallery w:val="Page Numbers (Bottom of Page)"/>
        <w:docPartUnique/>
      </w:docPartObj>
    </w:sdtPr>
    <w:sdtEndPr>
      <w:rPr>
        <w:noProof/>
      </w:rPr>
    </w:sdtEndPr>
    <w:sdtContent>
      <w:p w14:paraId="679E8AE6" w14:textId="64435B16" w:rsidR="009D0FC5" w:rsidRDefault="009D0F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B67096" w14:textId="77777777" w:rsidR="009D0FC5" w:rsidRDefault="009D0F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FBC10" w14:textId="77777777" w:rsidR="009D0FC5" w:rsidRDefault="009D0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41F4F" w14:textId="77777777" w:rsidR="002C0206" w:rsidRDefault="002C0206" w:rsidP="009D0FC5">
      <w:pPr>
        <w:spacing w:after="0" w:line="240" w:lineRule="auto"/>
      </w:pPr>
      <w:r>
        <w:separator/>
      </w:r>
    </w:p>
  </w:footnote>
  <w:footnote w:type="continuationSeparator" w:id="0">
    <w:p w14:paraId="609AD579" w14:textId="77777777" w:rsidR="002C0206" w:rsidRDefault="002C0206" w:rsidP="009D0F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94B90" w14:textId="77777777" w:rsidR="009D0FC5" w:rsidRDefault="009D0F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0346C6" w14:textId="77777777" w:rsidR="009D0FC5" w:rsidRDefault="009D0F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ECADA9" w14:textId="77777777" w:rsidR="009D0FC5" w:rsidRDefault="009D0F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59F"/>
    <w:rsid w:val="001C0605"/>
    <w:rsid w:val="001F5D36"/>
    <w:rsid w:val="002977AE"/>
    <w:rsid w:val="002C0206"/>
    <w:rsid w:val="00556E91"/>
    <w:rsid w:val="005E5C1A"/>
    <w:rsid w:val="00767641"/>
    <w:rsid w:val="009D0FC5"/>
    <w:rsid w:val="009D722D"/>
    <w:rsid w:val="00B435BE"/>
    <w:rsid w:val="00BB01BA"/>
    <w:rsid w:val="00BE224A"/>
    <w:rsid w:val="00C1255E"/>
    <w:rsid w:val="00C63B1C"/>
    <w:rsid w:val="00C7259F"/>
    <w:rsid w:val="00D925A1"/>
    <w:rsid w:val="00EF4272"/>
    <w:rsid w:val="00EF4650"/>
    <w:rsid w:val="00F71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2F6F0"/>
  <w15:docId w15:val="{1F19CD7F-A35D-4337-8CBD-4F0D1DE96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435BE"/>
    <w:pPr>
      <w:keepNext/>
      <w:keepLines/>
      <w:spacing w:before="360" w:after="80"/>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ascii="Arial" w:eastAsia="Arial" w:hAnsi="Arial" w:cs="Arial"/>
      <w:i/>
      <w:iCs/>
      <w:color w:val="000000"/>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9D0F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0FC5"/>
  </w:style>
  <w:style w:type="paragraph" w:styleId="Footer">
    <w:name w:val="footer"/>
    <w:basedOn w:val="Normal"/>
    <w:link w:val="FooterChar"/>
    <w:uiPriority w:val="99"/>
    <w:unhideWhenUsed/>
    <w:rsid w:val="009D0F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0FC5"/>
  </w:style>
  <w:style w:type="paragraph" w:styleId="NoSpacing">
    <w:name w:val="No Spacing"/>
    <w:link w:val="NoSpacingChar"/>
    <w:uiPriority w:val="1"/>
    <w:qFormat/>
    <w:rsid w:val="00F71AEB"/>
    <w:pPr>
      <w:spacing w:after="0" w:line="240" w:lineRule="auto"/>
    </w:pPr>
    <w:rPr>
      <w:rFonts w:asciiTheme="minorHAnsi" w:eastAsiaTheme="minorHAnsi" w:hAnsiTheme="minorHAnsi" w:cstheme="minorBidi"/>
      <w:color w:val="1F497D" w:themeColor="text2"/>
      <w:sz w:val="20"/>
      <w:szCs w:val="20"/>
      <w:lang w:val="en-US" w:eastAsia="en-US"/>
    </w:rPr>
  </w:style>
  <w:style w:type="character" w:customStyle="1" w:styleId="NoSpacingChar">
    <w:name w:val="No Spacing Char"/>
    <w:basedOn w:val="DefaultParagraphFont"/>
    <w:link w:val="NoSpacing"/>
    <w:uiPriority w:val="1"/>
    <w:rsid w:val="00F71AEB"/>
    <w:rPr>
      <w:rFonts w:asciiTheme="minorHAnsi" w:eastAsiaTheme="minorHAnsi" w:hAnsiTheme="minorHAnsi" w:cstheme="minorBidi"/>
      <w:color w:val="1F497D" w:themeColor="text2"/>
      <w:sz w:val="20"/>
      <w:szCs w:val="20"/>
      <w:lang w:val="en-US" w:eastAsia="en-US"/>
    </w:rPr>
  </w:style>
  <w:style w:type="paragraph" w:styleId="TOCHeading">
    <w:name w:val="TOC Heading"/>
    <w:basedOn w:val="Heading1"/>
    <w:next w:val="Normal"/>
    <w:uiPriority w:val="39"/>
    <w:unhideWhenUsed/>
    <w:qFormat/>
    <w:rsid w:val="00C63B1C"/>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63B1C"/>
    <w:pPr>
      <w:spacing w:after="100"/>
    </w:pPr>
  </w:style>
  <w:style w:type="character" w:styleId="Hyperlink">
    <w:name w:val="Hyperlink"/>
    <w:basedOn w:val="DefaultParagraphFont"/>
    <w:uiPriority w:val="99"/>
    <w:unhideWhenUsed/>
    <w:rsid w:val="00C63B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89/fpsyg.2025.1553620" TargetMode="External"/><Relationship Id="rId13" Type="http://schemas.openxmlformats.org/officeDocument/2006/relationships/hyperlink" Target="https://doi.org/10.2147/PRBM.S383296" TargetMode="External"/><Relationship Id="rId18" Type="http://schemas.openxmlformats.org/officeDocument/2006/relationships/hyperlink" Target="https://doi.org/10.1007/s10804-023-09442-x" TargetMode="External"/><Relationship Id="rId26" Type="http://schemas.openxmlformats.org/officeDocument/2006/relationships/hyperlink" Target="https://www.researchgate.net/publication/313648537_Emotional_intelligence_Consensus_controversies_and_questions" TargetMode="External"/><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s://doi.org/10.3390/bs13040320" TargetMode="External"/><Relationship Id="rId34" Type="http://schemas.openxmlformats.org/officeDocument/2006/relationships/header" Target="header1.xml"/><Relationship Id="rId7" Type="http://schemas.openxmlformats.org/officeDocument/2006/relationships/hyperlink" Target="https://doi.org/10.47577/teh.v8i.9719" TargetMode="External"/><Relationship Id="rId12" Type="http://schemas.openxmlformats.org/officeDocument/2006/relationships/hyperlink" Target="https://doi.org/10.36560/151220221638" TargetMode="External"/><Relationship Id="rId17" Type="http://schemas.openxmlformats.org/officeDocument/2006/relationships/hyperlink" Target="https://doi.org/10.1002/wps.20910" TargetMode="External"/><Relationship Id="rId25" Type="http://schemas.openxmlformats.org/officeDocument/2006/relationships/hyperlink" Target="https://doi.org/10.54254/2753-7048/49/20231925" TargetMode="External"/><Relationship Id="rId33" Type="http://schemas.openxmlformats.org/officeDocument/2006/relationships/hyperlink" Target="https://doi.org/10.33422/conferenceme.v3i1.1297" TargetMode="External"/><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doi.org/10.1186/s12889-025-22124-5" TargetMode="External"/><Relationship Id="rId20" Type="http://schemas.openxmlformats.org/officeDocument/2006/relationships/hyperlink" Target="https://doi.org/10.1037/a0017286?urlappend=%3Futm_source%3Dresearchgate.net%26utm_medium%3Darticle" TargetMode="External"/><Relationship Id="rId29" Type="http://schemas.openxmlformats.org/officeDocument/2006/relationships/hyperlink" Target="https://doi.org/10.3390/admsci1508030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63/156853710X531203" TargetMode="External"/><Relationship Id="rId24" Type="http://schemas.openxmlformats.org/officeDocument/2006/relationships/hyperlink" Target="https://doi.org/10.3390/admsci15010011" TargetMode="External"/><Relationship Id="rId32" Type="http://schemas.openxmlformats.org/officeDocument/2006/relationships/hyperlink" Target="https://doi.org/10.3389/fpsyg.2024.1501633"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eloitte.com/us/en/insights/topics/talent/deloitte-millennial-survey.html?utm_source=chatgpt.com" TargetMode="External"/><Relationship Id="rId23" Type="http://schemas.openxmlformats.org/officeDocument/2006/relationships/hyperlink" Target="https://doi.org/10.1016/j.biopsycho.2018.11.005" TargetMode="External"/><Relationship Id="rId28" Type="http://schemas.openxmlformats.org/officeDocument/2006/relationships/hyperlink" Target="https://link.springer.com/article/10.1007/s10869-020-09715-2" TargetMode="External"/><Relationship Id="rId36" Type="http://schemas.openxmlformats.org/officeDocument/2006/relationships/footer" Target="footer1.xml"/><Relationship Id="rId10" Type="http://schemas.openxmlformats.org/officeDocument/2006/relationships/hyperlink" Target="https://www.jstor.org/stable/48617789" TargetMode="External"/><Relationship Id="rId19" Type="http://schemas.openxmlformats.org/officeDocument/2006/relationships/hyperlink" Target="https://doi.org/10.3389/fpsyg.2015.01501" TargetMode="External"/><Relationship Id="rId31" Type="http://schemas.openxmlformats.org/officeDocument/2006/relationships/hyperlink" Target="https://doi.org/10.1177/0149206309352246?urlappend=%3Futm_source%3Dresearchgate.net%26utm_medium%3Darticle" TargetMode="External"/><Relationship Id="rId4" Type="http://schemas.openxmlformats.org/officeDocument/2006/relationships/webSettings" Target="webSettings.xml"/><Relationship Id="rId9" Type="http://schemas.openxmlformats.org/officeDocument/2006/relationships/hyperlink" Target="https://doi.org/10.1037/t29152-000?urlappend=%3Futm_source%3Dresearchgate.net%26utm_medium%3Darticle" TargetMode="External"/><Relationship Id="rId14" Type="http://schemas.openxmlformats.org/officeDocument/2006/relationships/hyperlink" Target="https://doi.org/10.1146/annurev-orgpsych-031413-091233" TargetMode="External"/><Relationship Id="rId22" Type="http://schemas.openxmlformats.org/officeDocument/2006/relationships/hyperlink" Target="https://doi.org/10.3390/ijerph20010541" TargetMode="External"/><Relationship Id="rId27" Type="http://schemas.openxmlformats.org/officeDocument/2006/relationships/hyperlink" Target="https://doi.org/10.69864/ijbsam.19-1.183" TargetMode="External"/><Relationship Id="rId30" Type="http://schemas.openxmlformats.org/officeDocument/2006/relationships/hyperlink" Target="https://doi.org/10.3390/admsci15040133" TargetMode="External"/><Relationship Id="rId35"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9CBC8-850A-46C1-BDA2-D600E6744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5306</Words>
  <Characters>30248</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dc:title>
  <dc:creator>Jordao, Rosemary</dc:creator>
  <cp:lastModifiedBy>Jordao, Rosemary</cp:lastModifiedBy>
  <cp:revision>4</cp:revision>
  <dcterms:created xsi:type="dcterms:W3CDTF">2026-04-19T14:06:00Z</dcterms:created>
  <dcterms:modified xsi:type="dcterms:W3CDTF">2026-04-19T14:23:00Z</dcterms:modified>
</cp:coreProperties>
</file>