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83072" w14:textId="77777777" w:rsidR="00AA1107" w:rsidRDefault="00AA1107">
      <w:pPr>
        <w:spacing w:line="360" w:lineRule="auto"/>
        <w:rPr>
          <w:b/>
          <w:sz w:val="28"/>
        </w:rPr>
      </w:pPr>
    </w:p>
    <w:p w14:paraId="41012F50" w14:textId="77777777" w:rsidR="00AA1107" w:rsidRDefault="00AA1107">
      <w:pPr>
        <w:spacing w:line="360" w:lineRule="auto"/>
        <w:rPr>
          <w:b/>
          <w:sz w:val="28"/>
        </w:rPr>
      </w:pPr>
    </w:p>
    <w:p w14:paraId="3E25B422" w14:textId="74BAE572" w:rsidR="00417838" w:rsidRPr="00B24588" w:rsidRDefault="00000000">
      <w:pPr>
        <w:spacing w:line="360" w:lineRule="auto"/>
        <w:rPr>
          <w:sz w:val="32"/>
          <w:szCs w:val="32"/>
        </w:rPr>
      </w:pPr>
      <w:r w:rsidRPr="00B24588">
        <w:rPr>
          <w:b/>
          <w:sz w:val="32"/>
          <w:szCs w:val="32"/>
        </w:rPr>
        <w:t>Consumer Perceptions of Contactless Payment among University Students in the UK: A Qualitative Study of Convenience, Trust and Spending Control</w:t>
      </w:r>
    </w:p>
    <w:p w14:paraId="641E00B4" w14:textId="77777777" w:rsidR="00AA1107" w:rsidRPr="00B24588" w:rsidRDefault="00AA1107">
      <w:pPr>
        <w:spacing w:line="360" w:lineRule="auto"/>
        <w:jc w:val="both"/>
        <w:rPr>
          <w:sz w:val="32"/>
          <w:szCs w:val="32"/>
        </w:rPr>
      </w:pPr>
    </w:p>
    <w:p w14:paraId="21992EEC" w14:textId="77777777" w:rsidR="00AA1107" w:rsidRDefault="00AA1107" w:rsidP="00AA1107">
      <w:pPr>
        <w:spacing w:after="200" w:line="276" w:lineRule="auto"/>
        <w:jc w:val="center"/>
        <w:rPr>
          <w:rFonts w:cs="Times New Roman"/>
          <w:b/>
          <w:bCs/>
          <w:szCs w:val="24"/>
        </w:rPr>
      </w:pPr>
    </w:p>
    <w:p w14:paraId="428DD735" w14:textId="77777777" w:rsidR="00B24588" w:rsidRDefault="00B24588" w:rsidP="00B24588">
      <w:pPr>
        <w:spacing w:after="200" w:line="276" w:lineRule="auto"/>
        <w:jc w:val="center"/>
        <w:rPr>
          <w:rFonts w:cs="Times New Roman"/>
          <w:b/>
          <w:bCs/>
          <w:szCs w:val="24"/>
        </w:rPr>
      </w:pPr>
    </w:p>
    <w:p w14:paraId="5685F680" w14:textId="77777777" w:rsidR="00B24588" w:rsidRPr="00C43F98" w:rsidRDefault="00B24588" w:rsidP="00B24588">
      <w:pPr>
        <w:spacing w:after="200" w:line="276" w:lineRule="auto"/>
        <w:jc w:val="center"/>
        <w:rPr>
          <w:rFonts w:cs="Times New Roman"/>
          <w:b/>
          <w:bCs/>
          <w:szCs w:val="24"/>
        </w:rPr>
      </w:pPr>
      <w:r w:rsidRPr="00C43F98">
        <w:rPr>
          <w:rFonts w:cs="Times New Roman"/>
          <w:b/>
          <w:bCs/>
          <w:szCs w:val="24"/>
        </w:rPr>
        <w:t>Name: Katukam Laxmi Krushika</w:t>
      </w:r>
    </w:p>
    <w:p w14:paraId="6C4E7C11" w14:textId="77777777" w:rsidR="00B24588" w:rsidRDefault="00B24588" w:rsidP="00B24588">
      <w:pPr>
        <w:spacing w:after="200" w:line="276" w:lineRule="auto"/>
        <w:jc w:val="center"/>
        <w:rPr>
          <w:rFonts w:cs="Times New Roman"/>
          <w:b/>
          <w:bCs/>
          <w:szCs w:val="24"/>
        </w:rPr>
      </w:pPr>
      <w:r w:rsidRPr="00C43F98">
        <w:rPr>
          <w:rFonts w:cs="Times New Roman"/>
          <w:b/>
          <w:bCs/>
          <w:szCs w:val="24"/>
        </w:rPr>
        <w:t>Student Number: 2510032</w:t>
      </w:r>
    </w:p>
    <w:p w14:paraId="19FA83C7" w14:textId="77777777" w:rsidR="00B24588" w:rsidRDefault="00B24588" w:rsidP="00B24588">
      <w:pPr>
        <w:spacing w:after="200" w:line="276" w:lineRule="auto"/>
        <w:jc w:val="center"/>
        <w:rPr>
          <w:rFonts w:cs="Times New Roman"/>
          <w:b/>
          <w:bCs/>
          <w:szCs w:val="24"/>
        </w:rPr>
      </w:pPr>
      <w:r w:rsidRPr="00C43F98">
        <w:rPr>
          <w:rFonts w:cs="Times New Roman"/>
          <w:b/>
          <w:bCs/>
          <w:szCs w:val="24"/>
        </w:rPr>
        <w:t>Module Code:</w:t>
      </w:r>
      <w:r>
        <w:rPr>
          <w:rFonts w:cs="Times New Roman"/>
          <w:b/>
          <w:bCs/>
          <w:szCs w:val="24"/>
        </w:rPr>
        <w:t xml:space="preserve"> BMMB7028</w:t>
      </w:r>
    </w:p>
    <w:p w14:paraId="3A9E167A" w14:textId="77777777" w:rsidR="00B24588" w:rsidRPr="00C43F98" w:rsidRDefault="00B24588" w:rsidP="00B24588">
      <w:pPr>
        <w:spacing w:after="200" w:line="276" w:lineRule="auto"/>
        <w:jc w:val="center"/>
        <w:rPr>
          <w:rFonts w:cs="Times New Roman"/>
          <w:b/>
          <w:bCs/>
          <w:szCs w:val="24"/>
        </w:rPr>
      </w:pPr>
      <w:r>
        <w:rPr>
          <w:rFonts w:cs="Times New Roman"/>
          <w:b/>
          <w:bCs/>
          <w:szCs w:val="24"/>
        </w:rPr>
        <w:t>Module Name: Business Research</w:t>
      </w:r>
    </w:p>
    <w:p w14:paraId="6B880F0A" w14:textId="77777777" w:rsidR="00AA1107" w:rsidRDefault="00AA1107" w:rsidP="00AA1107">
      <w:pPr>
        <w:spacing w:after="200" w:line="276" w:lineRule="auto"/>
        <w:jc w:val="center"/>
        <w:rPr>
          <w:rFonts w:cs="Times New Roman"/>
          <w:b/>
          <w:bCs/>
          <w:szCs w:val="24"/>
        </w:rPr>
      </w:pPr>
    </w:p>
    <w:p w14:paraId="625CC89E" w14:textId="58AC08E3" w:rsidR="00AA1107" w:rsidRDefault="00AA1107">
      <w:pPr>
        <w:spacing w:line="360" w:lineRule="auto"/>
        <w:jc w:val="both"/>
      </w:pPr>
    </w:p>
    <w:p w14:paraId="508BBA0C" w14:textId="77777777" w:rsidR="00417838" w:rsidRDefault="00000000">
      <w:pPr>
        <w:spacing w:line="360" w:lineRule="auto"/>
      </w:pPr>
      <w:r>
        <w:br w:type="page"/>
      </w:r>
    </w:p>
    <w:p w14:paraId="62D5B7E2" w14:textId="77777777" w:rsidR="005519E6" w:rsidRDefault="005519E6">
      <w:pPr>
        <w:pStyle w:val="Heading1"/>
        <w:rPr>
          <w:rFonts w:ascii="Times New Roman" w:eastAsia="Times New Roman" w:hAnsi="Times New Roman"/>
        </w:rPr>
      </w:pPr>
    </w:p>
    <w:p w14:paraId="57CD5B9B" w14:textId="564C39E3" w:rsidR="005519E6" w:rsidRDefault="005519E6">
      <w:pPr>
        <w:spacing w:after="200" w:line="276" w:lineRule="auto"/>
        <w:rPr>
          <w:rFonts w:cstheme="majorBidi"/>
          <w:b/>
          <w:bCs/>
          <w:color w:val="000000"/>
          <w:sz w:val="28"/>
          <w:szCs w:val="28"/>
        </w:rPr>
      </w:pPr>
    </w:p>
    <w:sdt>
      <w:sdtPr>
        <w:id w:val="-1608105902"/>
        <w:docPartObj>
          <w:docPartGallery w:val="Table of Contents"/>
          <w:docPartUnique/>
        </w:docPartObj>
      </w:sdtPr>
      <w:sdtEndPr>
        <w:rPr>
          <w:rFonts w:ascii="Times New Roman" w:eastAsia="Times New Roman" w:hAnsi="Times New Roman" w:cstheme="minorBidi"/>
          <w:noProof/>
          <w:color w:val="auto"/>
          <w:sz w:val="24"/>
          <w:szCs w:val="22"/>
        </w:rPr>
      </w:sdtEndPr>
      <w:sdtContent>
        <w:p w14:paraId="55629D96" w14:textId="4EEDCE01" w:rsidR="005519E6" w:rsidRDefault="005519E6">
          <w:pPr>
            <w:pStyle w:val="TOCHeading"/>
          </w:pPr>
          <w:r>
            <w:t>Table of Contents</w:t>
          </w:r>
        </w:p>
        <w:p w14:paraId="310BD803" w14:textId="2749A2A4" w:rsidR="005519E6" w:rsidRDefault="005519E6">
          <w:pPr>
            <w:pStyle w:val="TOC1"/>
            <w:tabs>
              <w:tab w:val="right" w:leader="dot" w:pos="9350"/>
            </w:tabs>
            <w:rPr>
              <w:rFonts w:eastAsiaTheme="minorEastAsia"/>
              <w:b w:val="0"/>
              <w:bCs w:val="0"/>
              <w:i w:val="0"/>
              <w:iCs w:val="0"/>
              <w:noProof/>
              <w:kern w:val="2"/>
              <w:lang w:val="en-IN" w:eastAsia="en-GB"/>
              <w14:ligatures w14:val="standardContextual"/>
            </w:rPr>
          </w:pPr>
          <w:r>
            <w:rPr>
              <w:b w:val="0"/>
              <w:bCs w:val="0"/>
            </w:rPr>
            <w:fldChar w:fldCharType="begin"/>
          </w:r>
          <w:r>
            <w:instrText xml:space="preserve"> TOC \o "1-3" \h \z \u </w:instrText>
          </w:r>
          <w:r>
            <w:rPr>
              <w:b w:val="0"/>
              <w:bCs w:val="0"/>
            </w:rPr>
            <w:fldChar w:fldCharType="separate"/>
          </w:r>
          <w:hyperlink w:anchor="_Toc234925663" w:history="1">
            <w:r w:rsidRPr="000825F9">
              <w:rPr>
                <w:rStyle w:val="Hyperlink"/>
                <w:rFonts w:ascii="Times New Roman" w:hAnsi="Times New Roman"/>
                <w:noProof/>
              </w:rPr>
              <w:t>1. Introduction and Research Rationale</w:t>
            </w:r>
            <w:r>
              <w:rPr>
                <w:noProof/>
                <w:webHidden/>
              </w:rPr>
              <w:tab/>
            </w:r>
            <w:r>
              <w:rPr>
                <w:noProof/>
                <w:webHidden/>
              </w:rPr>
              <w:fldChar w:fldCharType="begin"/>
            </w:r>
            <w:r>
              <w:rPr>
                <w:noProof/>
                <w:webHidden/>
              </w:rPr>
              <w:instrText xml:space="preserve"> PAGEREF _Toc234925663 \h </w:instrText>
            </w:r>
            <w:r>
              <w:rPr>
                <w:noProof/>
                <w:webHidden/>
              </w:rPr>
            </w:r>
            <w:r>
              <w:rPr>
                <w:noProof/>
                <w:webHidden/>
              </w:rPr>
              <w:fldChar w:fldCharType="separate"/>
            </w:r>
            <w:r>
              <w:rPr>
                <w:noProof/>
                <w:webHidden/>
              </w:rPr>
              <w:t>4</w:t>
            </w:r>
            <w:r>
              <w:rPr>
                <w:noProof/>
                <w:webHidden/>
              </w:rPr>
              <w:fldChar w:fldCharType="end"/>
            </w:r>
          </w:hyperlink>
        </w:p>
        <w:p w14:paraId="2E6AB81E" w14:textId="145CDE73" w:rsidR="005519E6" w:rsidRDefault="005519E6">
          <w:pPr>
            <w:pStyle w:val="TOC1"/>
            <w:tabs>
              <w:tab w:val="right" w:leader="dot" w:pos="9350"/>
            </w:tabs>
            <w:rPr>
              <w:rFonts w:eastAsiaTheme="minorEastAsia"/>
              <w:b w:val="0"/>
              <w:bCs w:val="0"/>
              <w:i w:val="0"/>
              <w:iCs w:val="0"/>
              <w:noProof/>
              <w:kern w:val="2"/>
              <w:lang w:val="en-IN" w:eastAsia="en-GB"/>
              <w14:ligatures w14:val="standardContextual"/>
            </w:rPr>
          </w:pPr>
          <w:hyperlink w:anchor="_Toc234925664" w:history="1">
            <w:r w:rsidRPr="000825F9">
              <w:rPr>
                <w:rStyle w:val="Hyperlink"/>
                <w:rFonts w:ascii="Times New Roman" w:hAnsi="Times New Roman"/>
                <w:noProof/>
              </w:rPr>
              <w:t>2. Research Aim, Objectives and Questions</w:t>
            </w:r>
            <w:r>
              <w:rPr>
                <w:noProof/>
                <w:webHidden/>
              </w:rPr>
              <w:tab/>
            </w:r>
            <w:r>
              <w:rPr>
                <w:noProof/>
                <w:webHidden/>
              </w:rPr>
              <w:fldChar w:fldCharType="begin"/>
            </w:r>
            <w:r>
              <w:rPr>
                <w:noProof/>
                <w:webHidden/>
              </w:rPr>
              <w:instrText xml:space="preserve"> PAGEREF _Toc234925664 \h </w:instrText>
            </w:r>
            <w:r>
              <w:rPr>
                <w:noProof/>
                <w:webHidden/>
              </w:rPr>
            </w:r>
            <w:r>
              <w:rPr>
                <w:noProof/>
                <w:webHidden/>
              </w:rPr>
              <w:fldChar w:fldCharType="separate"/>
            </w:r>
            <w:r>
              <w:rPr>
                <w:noProof/>
                <w:webHidden/>
              </w:rPr>
              <w:t>6</w:t>
            </w:r>
            <w:r>
              <w:rPr>
                <w:noProof/>
                <w:webHidden/>
              </w:rPr>
              <w:fldChar w:fldCharType="end"/>
            </w:r>
          </w:hyperlink>
        </w:p>
        <w:p w14:paraId="4F26263F" w14:textId="16B65F7A" w:rsidR="005519E6" w:rsidRDefault="005519E6">
          <w:pPr>
            <w:pStyle w:val="TOC1"/>
            <w:tabs>
              <w:tab w:val="right" w:leader="dot" w:pos="9350"/>
            </w:tabs>
            <w:rPr>
              <w:rFonts w:eastAsiaTheme="minorEastAsia"/>
              <w:b w:val="0"/>
              <w:bCs w:val="0"/>
              <w:i w:val="0"/>
              <w:iCs w:val="0"/>
              <w:noProof/>
              <w:kern w:val="2"/>
              <w:lang w:val="en-IN" w:eastAsia="en-GB"/>
              <w14:ligatures w14:val="standardContextual"/>
            </w:rPr>
          </w:pPr>
          <w:hyperlink w:anchor="_Toc234925665" w:history="1">
            <w:r w:rsidRPr="000825F9">
              <w:rPr>
                <w:rStyle w:val="Hyperlink"/>
                <w:rFonts w:ascii="Times New Roman" w:hAnsi="Times New Roman"/>
                <w:noProof/>
              </w:rPr>
              <w:t>3. Literature Review and Research Gap</w:t>
            </w:r>
            <w:r>
              <w:rPr>
                <w:noProof/>
                <w:webHidden/>
              </w:rPr>
              <w:tab/>
            </w:r>
            <w:r>
              <w:rPr>
                <w:noProof/>
                <w:webHidden/>
              </w:rPr>
              <w:fldChar w:fldCharType="begin"/>
            </w:r>
            <w:r>
              <w:rPr>
                <w:noProof/>
                <w:webHidden/>
              </w:rPr>
              <w:instrText xml:space="preserve"> PAGEREF _Toc234925665 \h </w:instrText>
            </w:r>
            <w:r>
              <w:rPr>
                <w:noProof/>
                <w:webHidden/>
              </w:rPr>
            </w:r>
            <w:r>
              <w:rPr>
                <w:noProof/>
                <w:webHidden/>
              </w:rPr>
              <w:fldChar w:fldCharType="separate"/>
            </w:r>
            <w:r>
              <w:rPr>
                <w:noProof/>
                <w:webHidden/>
              </w:rPr>
              <w:t>7</w:t>
            </w:r>
            <w:r>
              <w:rPr>
                <w:noProof/>
                <w:webHidden/>
              </w:rPr>
              <w:fldChar w:fldCharType="end"/>
            </w:r>
          </w:hyperlink>
        </w:p>
        <w:p w14:paraId="05962671" w14:textId="6924A83A" w:rsidR="005519E6" w:rsidRDefault="005519E6">
          <w:pPr>
            <w:pStyle w:val="TOC2"/>
            <w:tabs>
              <w:tab w:val="right" w:leader="dot" w:pos="9350"/>
            </w:tabs>
            <w:rPr>
              <w:rFonts w:eastAsiaTheme="minorEastAsia"/>
              <w:b w:val="0"/>
              <w:bCs w:val="0"/>
              <w:noProof/>
              <w:kern w:val="2"/>
              <w:sz w:val="24"/>
              <w:szCs w:val="24"/>
              <w:lang w:val="en-IN" w:eastAsia="en-GB"/>
              <w14:ligatures w14:val="standardContextual"/>
            </w:rPr>
          </w:pPr>
          <w:hyperlink w:anchor="_Toc234925666" w:history="1">
            <w:r w:rsidRPr="000825F9">
              <w:rPr>
                <w:rStyle w:val="Hyperlink"/>
                <w:rFonts w:ascii="Times New Roman" w:hAnsi="Times New Roman"/>
                <w:noProof/>
              </w:rPr>
              <w:t>3.1 Contactless payment and the UK payment landscape</w:t>
            </w:r>
            <w:r>
              <w:rPr>
                <w:noProof/>
                <w:webHidden/>
              </w:rPr>
              <w:tab/>
            </w:r>
            <w:r>
              <w:rPr>
                <w:noProof/>
                <w:webHidden/>
              </w:rPr>
              <w:fldChar w:fldCharType="begin"/>
            </w:r>
            <w:r>
              <w:rPr>
                <w:noProof/>
                <w:webHidden/>
              </w:rPr>
              <w:instrText xml:space="preserve"> PAGEREF _Toc234925666 \h </w:instrText>
            </w:r>
            <w:r>
              <w:rPr>
                <w:noProof/>
                <w:webHidden/>
              </w:rPr>
            </w:r>
            <w:r>
              <w:rPr>
                <w:noProof/>
                <w:webHidden/>
              </w:rPr>
              <w:fldChar w:fldCharType="separate"/>
            </w:r>
            <w:r>
              <w:rPr>
                <w:noProof/>
                <w:webHidden/>
              </w:rPr>
              <w:t>7</w:t>
            </w:r>
            <w:r>
              <w:rPr>
                <w:noProof/>
                <w:webHidden/>
              </w:rPr>
              <w:fldChar w:fldCharType="end"/>
            </w:r>
          </w:hyperlink>
        </w:p>
        <w:p w14:paraId="6C4D7193" w14:textId="1E53D805" w:rsidR="005519E6" w:rsidRDefault="005519E6">
          <w:pPr>
            <w:pStyle w:val="TOC2"/>
            <w:tabs>
              <w:tab w:val="right" w:leader="dot" w:pos="9350"/>
            </w:tabs>
            <w:rPr>
              <w:rFonts w:eastAsiaTheme="minorEastAsia"/>
              <w:b w:val="0"/>
              <w:bCs w:val="0"/>
              <w:noProof/>
              <w:kern w:val="2"/>
              <w:sz w:val="24"/>
              <w:szCs w:val="24"/>
              <w:lang w:val="en-IN" w:eastAsia="en-GB"/>
              <w14:ligatures w14:val="standardContextual"/>
            </w:rPr>
          </w:pPr>
          <w:hyperlink w:anchor="_Toc234925667" w:history="1">
            <w:r w:rsidRPr="000825F9">
              <w:rPr>
                <w:rStyle w:val="Hyperlink"/>
                <w:rFonts w:ascii="Times New Roman" w:hAnsi="Times New Roman"/>
                <w:noProof/>
              </w:rPr>
              <w:t>3.2 Convenience, friction and everyday consumption</w:t>
            </w:r>
            <w:r>
              <w:rPr>
                <w:noProof/>
                <w:webHidden/>
              </w:rPr>
              <w:tab/>
            </w:r>
            <w:r>
              <w:rPr>
                <w:noProof/>
                <w:webHidden/>
              </w:rPr>
              <w:fldChar w:fldCharType="begin"/>
            </w:r>
            <w:r>
              <w:rPr>
                <w:noProof/>
                <w:webHidden/>
              </w:rPr>
              <w:instrText xml:space="preserve"> PAGEREF _Toc234925667 \h </w:instrText>
            </w:r>
            <w:r>
              <w:rPr>
                <w:noProof/>
                <w:webHidden/>
              </w:rPr>
            </w:r>
            <w:r>
              <w:rPr>
                <w:noProof/>
                <w:webHidden/>
              </w:rPr>
              <w:fldChar w:fldCharType="separate"/>
            </w:r>
            <w:r>
              <w:rPr>
                <w:noProof/>
                <w:webHidden/>
              </w:rPr>
              <w:t>8</w:t>
            </w:r>
            <w:r>
              <w:rPr>
                <w:noProof/>
                <w:webHidden/>
              </w:rPr>
              <w:fldChar w:fldCharType="end"/>
            </w:r>
          </w:hyperlink>
        </w:p>
        <w:p w14:paraId="720AFAE7" w14:textId="4F674ABE" w:rsidR="005519E6" w:rsidRDefault="005519E6">
          <w:pPr>
            <w:pStyle w:val="TOC2"/>
            <w:tabs>
              <w:tab w:val="right" w:leader="dot" w:pos="9350"/>
            </w:tabs>
            <w:rPr>
              <w:rFonts w:eastAsiaTheme="minorEastAsia"/>
              <w:b w:val="0"/>
              <w:bCs w:val="0"/>
              <w:noProof/>
              <w:kern w:val="2"/>
              <w:sz w:val="24"/>
              <w:szCs w:val="24"/>
              <w:lang w:val="en-IN" w:eastAsia="en-GB"/>
              <w14:ligatures w14:val="standardContextual"/>
            </w:rPr>
          </w:pPr>
          <w:hyperlink w:anchor="_Toc234925668" w:history="1">
            <w:r w:rsidRPr="000825F9">
              <w:rPr>
                <w:rStyle w:val="Hyperlink"/>
                <w:rFonts w:ascii="Times New Roman" w:hAnsi="Times New Roman"/>
                <w:noProof/>
              </w:rPr>
              <w:t>3.3 Trust, security and perceived risk</w:t>
            </w:r>
            <w:r>
              <w:rPr>
                <w:noProof/>
                <w:webHidden/>
              </w:rPr>
              <w:tab/>
            </w:r>
            <w:r>
              <w:rPr>
                <w:noProof/>
                <w:webHidden/>
              </w:rPr>
              <w:fldChar w:fldCharType="begin"/>
            </w:r>
            <w:r>
              <w:rPr>
                <w:noProof/>
                <w:webHidden/>
              </w:rPr>
              <w:instrText xml:space="preserve"> PAGEREF _Toc234925668 \h </w:instrText>
            </w:r>
            <w:r>
              <w:rPr>
                <w:noProof/>
                <w:webHidden/>
              </w:rPr>
            </w:r>
            <w:r>
              <w:rPr>
                <w:noProof/>
                <w:webHidden/>
              </w:rPr>
              <w:fldChar w:fldCharType="separate"/>
            </w:r>
            <w:r>
              <w:rPr>
                <w:noProof/>
                <w:webHidden/>
              </w:rPr>
              <w:t>8</w:t>
            </w:r>
            <w:r>
              <w:rPr>
                <w:noProof/>
                <w:webHidden/>
              </w:rPr>
              <w:fldChar w:fldCharType="end"/>
            </w:r>
          </w:hyperlink>
        </w:p>
        <w:p w14:paraId="2A485C57" w14:textId="69C4A337" w:rsidR="005519E6" w:rsidRDefault="005519E6">
          <w:pPr>
            <w:pStyle w:val="TOC2"/>
            <w:tabs>
              <w:tab w:val="right" w:leader="dot" w:pos="9350"/>
            </w:tabs>
            <w:rPr>
              <w:rFonts w:eastAsiaTheme="minorEastAsia"/>
              <w:b w:val="0"/>
              <w:bCs w:val="0"/>
              <w:noProof/>
              <w:kern w:val="2"/>
              <w:sz w:val="24"/>
              <w:szCs w:val="24"/>
              <w:lang w:val="en-IN" w:eastAsia="en-GB"/>
              <w14:ligatures w14:val="standardContextual"/>
            </w:rPr>
          </w:pPr>
          <w:hyperlink w:anchor="_Toc234925669" w:history="1">
            <w:r w:rsidRPr="000825F9">
              <w:rPr>
                <w:rStyle w:val="Hyperlink"/>
                <w:rFonts w:ascii="Times New Roman" w:hAnsi="Times New Roman"/>
                <w:noProof/>
              </w:rPr>
              <w:t>3.4 Spending control, budgeting and the pain of paying</w:t>
            </w:r>
            <w:r>
              <w:rPr>
                <w:noProof/>
                <w:webHidden/>
              </w:rPr>
              <w:tab/>
            </w:r>
            <w:r>
              <w:rPr>
                <w:noProof/>
                <w:webHidden/>
              </w:rPr>
              <w:fldChar w:fldCharType="begin"/>
            </w:r>
            <w:r>
              <w:rPr>
                <w:noProof/>
                <w:webHidden/>
              </w:rPr>
              <w:instrText xml:space="preserve"> PAGEREF _Toc234925669 \h </w:instrText>
            </w:r>
            <w:r>
              <w:rPr>
                <w:noProof/>
                <w:webHidden/>
              </w:rPr>
            </w:r>
            <w:r>
              <w:rPr>
                <w:noProof/>
                <w:webHidden/>
              </w:rPr>
              <w:fldChar w:fldCharType="separate"/>
            </w:r>
            <w:r>
              <w:rPr>
                <w:noProof/>
                <w:webHidden/>
              </w:rPr>
              <w:t>9</w:t>
            </w:r>
            <w:r>
              <w:rPr>
                <w:noProof/>
                <w:webHidden/>
              </w:rPr>
              <w:fldChar w:fldCharType="end"/>
            </w:r>
          </w:hyperlink>
        </w:p>
        <w:p w14:paraId="350B4927" w14:textId="6BCBF3FD" w:rsidR="005519E6" w:rsidRDefault="005519E6">
          <w:pPr>
            <w:pStyle w:val="TOC2"/>
            <w:tabs>
              <w:tab w:val="right" w:leader="dot" w:pos="9350"/>
            </w:tabs>
            <w:rPr>
              <w:rFonts w:eastAsiaTheme="minorEastAsia"/>
              <w:b w:val="0"/>
              <w:bCs w:val="0"/>
              <w:noProof/>
              <w:kern w:val="2"/>
              <w:sz w:val="24"/>
              <w:szCs w:val="24"/>
              <w:lang w:val="en-IN" w:eastAsia="en-GB"/>
              <w14:ligatures w14:val="standardContextual"/>
            </w:rPr>
          </w:pPr>
          <w:hyperlink w:anchor="_Toc234925670" w:history="1">
            <w:r w:rsidRPr="000825F9">
              <w:rPr>
                <w:rStyle w:val="Hyperlink"/>
                <w:rFonts w:ascii="Times New Roman" w:hAnsi="Times New Roman"/>
                <w:noProof/>
              </w:rPr>
              <w:t>3.5 Research gap</w:t>
            </w:r>
            <w:r>
              <w:rPr>
                <w:noProof/>
                <w:webHidden/>
              </w:rPr>
              <w:tab/>
            </w:r>
            <w:r>
              <w:rPr>
                <w:noProof/>
                <w:webHidden/>
              </w:rPr>
              <w:fldChar w:fldCharType="begin"/>
            </w:r>
            <w:r>
              <w:rPr>
                <w:noProof/>
                <w:webHidden/>
              </w:rPr>
              <w:instrText xml:space="preserve"> PAGEREF _Toc234925670 \h </w:instrText>
            </w:r>
            <w:r>
              <w:rPr>
                <w:noProof/>
                <w:webHidden/>
              </w:rPr>
            </w:r>
            <w:r>
              <w:rPr>
                <w:noProof/>
                <w:webHidden/>
              </w:rPr>
              <w:fldChar w:fldCharType="separate"/>
            </w:r>
            <w:r>
              <w:rPr>
                <w:noProof/>
                <w:webHidden/>
              </w:rPr>
              <w:t>10</w:t>
            </w:r>
            <w:r>
              <w:rPr>
                <w:noProof/>
                <w:webHidden/>
              </w:rPr>
              <w:fldChar w:fldCharType="end"/>
            </w:r>
          </w:hyperlink>
        </w:p>
        <w:p w14:paraId="0D0224F4" w14:textId="0AC15AB9" w:rsidR="005519E6" w:rsidRDefault="005519E6">
          <w:pPr>
            <w:pStyle w:val="TOC1"/>
            <w:tabs>
              <w:tab w:val="right" w:leader="dot" w:pos="9350"/>
            </w:tabs>
            <w:rPr>
              <w:rFonts w:eastAsiaTheme="minorEastAsia"/>
              <w:b w:val="0"/>
              <w:bCs w:val="0"/>
              <w:i w:val="0"/>
              <w:iCs w:val="0"/>
              <w:noProof/>
              <w:kern w:val="2"/>
              <w:lang w:val="en-IN" w:eastAsia="en-GB"/>
              <w14:ligatures w14:val="standardContextual"/>
            </w:rPr>
          </w:pPr>
          <w:hyperlink w:anchor="_Toc234925671" w:history="1">
            <w:r w:rsidRPr="000825F9">
              <w:rPr>
                <w:rStyle w:val="Hyperlink"/>
                <w:rFonts w:ascii="Times New Roman" w:hAnsi="Times New Roman"/>
                <w:noProof/>
              </w:rPr>
              <w:t>4. Proposed Methodology</w:t>
            </w:r>
            <w:r>
              <w:rPr>
                <w:noProof/>
                <w:webHidden/>
              </w:rPr>
              <w:tab/>
            </w:r>
            <w:r>
              <w:rPr>
                <w:noProof/>
                <w:webHidden/>
              </w:rPr>
              <w:fldChar w:fldCharType="begin"/>
            </w:r>
            <w:r>
              <w:rPr>
                <w:noProof/>
                <w:webHidden/>
              </w:rPr>
              <w:instrText xml:space="preserve"> PAGEREF _Toc234925671 \h </w:instrText>
            </w:r>
            <w:r>
              <w:rPr>
                <w:noProof/>
                <w:webHidden/>
              </w:rPr>
            </w:r>
            <w:r>
              <w:rPr>
                <w:noProof/>
                <w:webHidden/>
              </w:rPr>
              <w:fldChar w:fldCharType="separate"/>
            </w:r>
            <w:r>
              <w:rPr>
                <w:noProof/>
                <w:webHidden/>
              </w:rPr>
              <w:t>12</w:t>
            </w:r>
            <w:r>
              <w:rPr>
                <w:noProof/>
                <w:webHidden/>
              </w:rPr>
              <w:fldChar w:fldCharType="end"/>
            </w:r>
          </w:hyperlink>
        </w:p>
        <w:p w14:paraId="26505891" w14:textId="4DD86B80" w:rsidR="005519E6" w:rsidRDefault="005519E6">
          <w:pPr>
            <w:pStyle w:val="TOC2"/>
            <w:tabs>
              <w:tab w:val="right" w:leader="dot" w:pos="9350"/>
            </w:tabs>
            <w:rPr>
              <w:rFonts w:eastAsiaTheme="minorEastAsia"/>
              <w:b w:val="0"/>
              <w:bCs w:val="0"/>
              <w:noProof/>
              <w:kern w:val="2"/>
              <w:sz w:val="24"/>
              <w:szCs w:val="24"/>
              <w:lang w:val="en-IN" w:eastAsia="en-GB"/>
              <w14:ligatures w14:val="standardContextual"/>
            </w:rPr>
          </w:pPr>
          <w:hyperlink w:anchor="_Toc234925672" w:history="1">
            <w:r w:rsidRPr="000825F9">
              <w:rPr>
                <w:rStyle w:val="Hyperlink"/>
                <w:rFonts w:ascii="Times New Roman" w:hAnsi="Times New Roman"/>
                <w:noProof/>
              </w:rPr>
              <w:t>4.1 Research philosophy</w:t>
            </w:r>
            <w:r>
              <w:rPr>
                <w:noProof/>
                <w:webHidden/>
              </w:rPr>
              <w:tab/>
            </w:r>
            <w:r>
              <w:rPr>
                <w:noProof/>
                <w:webHidden/>
              </w:rPr>
              <w:fldChar w:fldCharType="begin"/>
            </w:r>
            <w:r>
              <w:rPr>
                <w:noProof/>
                <w:webHidden/>
              </w:rPr>
              <w:instrText xml:space="preserve"> PAGEREF _Toc234925672 \h </w:instrText>
            </w:r>
            <w:r>
              <w:rPr>
                <w:noProof/>
                <w:webHidden/>
              </w:rPr>
            </w:r>
            <w:r>
              <w:rPr>
                <w:noProof/>
                <w:webHidden/>
              </w:rPr>
              <w:fldChar w:fldCharType="separate"/>
            </w:r>
            <w:r>
              <w:rPr>
                <w:noProof/>
                <w:webHidden/>
              </w:rPr>
              <w:t>12</w:t>
            </w:r>
            <w:r>
              <w:rPr>
                <w:noProof/>
                <w:webHidden/>
              </w:rPr>
              <w:fldChar w:fldCharType="end"/>
            </w:r>
          </w:hyperlink>
        </w:p>
        <w:p w14:paraId="736287CB" w14:textId="70A9F3DB" w:rsidR="005519E6" w:rsidRDefault="005519E6">
          <w:pPr>
            <w:pStyle w:val="TOC2"/>
            <w:tabs>
              <w:tab w:val="right" w:leader="dot" w:pos="9350"/>
            </w:tabs>
            <w:rPr>
              <w:rFonts w:eastAsiaTheme="minorEastAsia"/>
              <w:b w:val="0"/>
              <w:bCs w:val="0"/>
              <w:noProof/>
              <w:kern w:val="2"/>
              <w:sz w:val="24"/>
              <w:szCs w:val="24"/>
              <w:lang w:val="en-IN" w:eastAsia="en-GB"/>
              <w14:ligatures w14:val="standardContextual"/>
            </w:rPr>
          </w:pPr>
          <w:hyperlink w:anchor="_Toc234925673" w:history="1">
            <w:r w:rsidRPr="000825F9">
              <w:rPr>
                <w:rStyle w:val="Hyperlink"/>
                <w:rFonts w:ascii="Times New Roman" w:hAnsi="Times New Roman"/>
                <w:noProof/>
              </w:rPr>
              <w:t>4.2 Research approach and methodological choice</w:t>
            </w:r>
            <w:r>
              <w:rPr>
                <w:noProof/>
                <w:webHidden/>
              </w:rPr>
              <w:tab/>
            </w:r>
            <w:r>
              <w:rPr>
                <w:noProof/>
                <w:webHidden/>
              </w:rPr>
              <w:fldChar w:fldCharType="begin"/>
            </w:r>
            <w:r>
              <w:rPr>
                <w:noProof/>
                <w:webHidden/>
              </w:rPr>
              <w:instrText xml:space="preserve"> PAGEREF _Toc234925673 \h </w:instrText>
            </w:r>
            <w:r>
              <w:rPr>
                <w:noProof/>
                <w:webHidden/>
              </w:rPr>
            </w:r>
            <w:r>
              <w:rPr>
                <w:noProof/>
                <w:webHidden/>
              </w:rPr>
              <w:fldChar w:fldCharType="separate"/>
            </w:r>
            <w:r>
              <w:rPr>
                <w:noProof/>
                <w:webHidden/>
              </w:rPr>
              <w:t>13</w:t>
            </w:r>
            <w:r>
              <w:rPr>
                <w:noProof/>
                <w:webHidden/>
              </w:rPr>
              <w:fldChar w:fldCharType="end"/>
            </w:r>
          </w:hyperlink>
        </w:p>
        <w:p w14:paraId="26005DC6" w14:textId="7E75E9EF" w:rsidR="005519E6" w:rsidRDefault="005519E6">
          <w:pPr>
            <w:pStyle w:val="TOC2"/>
            <w:tabs>
              <w:tab w:val="right" w:leader="dot" w:pos="9350"/>
            </w:tabs>
            <w:rPr>
              <w:rFonts w:eastAsiaTheme="minorEastAsia"/>
              <w:b w:val="0"/>
              <w:bCs w:val="0"/>
              <w:noProof/>
              <w:kern w:val="2"/>
              <w:sz w:val="24"/>
              <w:szCs w:val="24"/>
              <w:lang w:val="en-IN" w:eastAsia="en-GB"/>
              <w14:ligatures w14:val="standardContextual"/>
            </w:rPr>
          </w:pPr>
          <w:hyperlink w:anchor="_Toc234925674" w:history="1">
            <w:r w:rsidRPr="000825F9">
              <w:rPr>
                <w:rStyle w:val="Hyperlink"/>
                <w:rFonts w:ascii="Times New Roman" w:hAnsi="Times New Roman"/>
                <w:noProof/>
              </w:rPr>
              <w:t>4.3 Research strategy and sampling</w:t>
            </w:r>
            <w:r>
              <w:rPr>
                <w:noProof/>
                <w:webHidden/>
              </w:rPr>
              <w:tab/>
            </w:r>
            <w:r>
              <w:rPr>
                <w:noProof/>
                <w:webHidden/>
              </w:rPr>
              <w:fldChar w:fldCharType="begin"/>
            </w:r>
            <w:r>
              <w:rPr>
                <w:noProof/>
                <w:webHidden/>
              </w:rPr>
              <w:instrText xml:space="preserve"> PAGEREF _Toc234925674 \h </w:instrText>
            </w:r>
            <w:r>
              <w:rPr>
                <w:noProof/>
                <w:webHidden/>
              </w:rPr>
            </w:r>
            <w:r>
              <w:rPr>
                <w:noProof/>
                <w:webHidden/>
              </w:rPr>
              <w:fldChar w:fldCharType="separate"/>
            </w:r>
            <w:r>
              <w:rPr>
                <w:noProof/>
                <w:webHidden/>
              </w:rPr>
              <w:t>13</w:t>
            </w:r>
            <w:r>
              <w:rPr>
                <w:noProof/>
                <w:webHidden/>
              </w:rPr>
              <w:fldChar w:fldCharType="end"/>
            </w:r>
          </w:hyperlink>
        </w:p>
        <w:p w14:paraId="771A4579" w14:textId="689125E9" w:rsidR="005519E6" w:rsidRDefault="005519E6">
          <w:pPr>
            <w:pStyle w:val="TOC2"/>
            <w:tabs>
              <w:tab w:val="right" w:leader="dot" w:pos="9350"/>
            </w:tabs>
            <w:rPr>
              <w:rFonts w:eastAsiaTheme="minorEastAsia"/>
              <w:b w:val="0"/>
              <w:bCs w:val="0"/>
              <w:noProof/>
              <w:kern w:val="2"/>
              <w:sz w:val="24"/>
              <w:szCs w:val="24"/>
              <w:lang w:val="en-IN" w:eastAsia="en-GB"/>
              <w14:ligatures w14:val="standardContextual"/>
            </w:rPr>
          </w:pPr>
          <w:hyperlink w:anchor="_Toc234925675" w:history="1">
            <w:r w:rsidRPr="000825F9">
              <w:rPr>
                <w:rStyle w:val="Hyperlink"/>
                <w:rFonts w:ascii="Times New Roman" w:hAnsi="Times New Roman"/>
                <w:noProof/>
              </w:rPr>
              <w:t>4.4 Evaluation of the chosen method</w:t>
            </w:r>
            <w:r>
              <w:rPr>
                <w:noProof/>
                <w:webHidden/>
              </w:rPr>
              <w:tab/>
            </w:r>
            <w:r>
              <w:rPr>
                <w:noProof/>
                <w:webHidden/>
              </w:rPr>
              <w:fldChar w:fldCharType="begin"/>
            </w:r>
            <w:r>
              <w:rPr>
                <w:noProof/>
                <w:webHidden/>
              </w:rPr>
              <w:instrText xml:space="preserve"> PAGEREF _Toc234925675 \h </w:instrText>
            </w:r>
            <w:r>
              <w:rPr>
                <w:noProof/>
                <w:webHidden/>
              </w:rPr>
            </w:r>
            <w:r>
              <w:rPr>
                <w:noProof/>
                <w:webHidden/>
              </w:rPr>
              <w:fldChar w:fldCharType="separate"/>
            </w:r>
            <w:r>
              <w:rPr>
                <w:noProof/>
                <w:webHidden/>
              </w:rPr>
              <w:t>14</w:t>
            </w:r>
            <w:r>
              <w:rPr>
                <w:noProof/>
                <w:webHidden/>
              </w:rPr>
              <w:fldChar w:fldCharType="end"/>
            </w:r>
          </w:hyperlink>
        </w:p>
        <w:p w14:paraId="45E83D46" w14:textId="75DA8287" w:rsidR="005519E6" w:rsidRDefault="005519E6">
          <w:pPr>
            <w:pStyle w:val="TOC1"/>
            <w:tabs>
              <w:tab w:val="right" w:leader="dot" w:pos="9350"/>
            </w:tabs>
            <w:rPr>
              <w:rFonts w:eastAsiaTheme="minorEastAsia"/>
              <w:b w:val="0"/>
              <w:bCs w:val="0"/>
              <w:i w:val="0"/>
              <w:iCs w:val="0"/>
              <w:noProof/>
              <w:kern w:val="2"/>
              <w:lang w:val="en-IN" w:eastAsia="en-GB"/>
              <w14:ligatures w14:val="standardContextual"/>
            </w:rPr>
          </w:pPr>
          <w:hyperlink w:anchor="_Toc234925676" w:history="1">
            <w:r w:rsidRPr="000825F9">
              <w:rPr>
                <w:rStyle w:val="Hyperlink"/>
                <w:rFonts w:ascii="Times New Roman" w:hAnsi="Times New Roman"/>
                <w:noProof/>
              </w:rPr>
              <w:t>5. Data Collection and Data Analysis Plan</w:t>
            </w:r>
            <w:r>
              <w:rPr>
                <w:noProof/>
                <w:webHidden/>
              </w:rPr>
              <w:tab/>
            </w:r>
            <w:r>
              <w:rPr>
                <w:noProof/>
                <w:webHidden/>
              </w:rPr>
              <w:fldChar w:fldCharType="begin"/>
            </w:r>
            <w:r>
              <w:rPr>
                <w:noProof/>
                <w:webHidden/>
              </w:rPr>
              <w:instrText xml:space="preserve"> PAGEREF _Toc234925676 \h </w:instrText>
            </w:r>
            <w:r>
              <w:rPr>
                <w:noProof/>
                <w:webHidden/>
              </w:rPr>
            </w:r>
            <w:r>
              <w:rPr>
                <w:noProof/>
                <w:webHidden/>
              </w:rPr>
              <w:fldChar w:fldCharType="separate"/>
            </w:r>
            <w:r>
              <w:rPr>
                <w:noProof/>
                <w:webHidden/>
              </w:rPr>
              <w:t>15</w:t>
            </w:r>
            <w:r>
              <w:rPr>
                <w:noProof/>
                <w:webHidden/>
              </w:rPr>
              <w:fldChar w:fldCharType="end"/>
            </w:r>
          </w:hyperlink>
        </w:p>
        <w:p w14:paraId="79838C1B" w14:textId="3AAEC381" w:rsidR="005519E6" w:rsidRDefault="005519E6">
          <w:pPr>
            <w:pStyle w:val="TOC2"/>
            <w:tabs>
              <w:tab w:val="right" w:leader="dot" w:pos="9350"/>
            </w:tabs>
            <w:rPr>
              <w:rFonts w:eastAsiaTheme="minorEastAsia"/>
              <w:b w:val="0"/>
              <w:bCs w:val="0"/>
              <w:noProof/>
              <w:kern w:val="2"/>
              <w:sz w:val="24"/>
              <w:szCs w:val="24"/>
              <w:lang w:val="en-IN" w:eastAsia="en-GB"/>
              <w14:ligatures w14:val="standardContextual"/>
            </w:rPr>
          </w:pPr>
          <w:hyperlink w:anchor="_Toc234925677" w:history="1">
            <w:r w:rsidRPr="000825F9">
              <w:rPr>
                <w:rStyle w:val="Hyperlink"/>
                <w:rFonts w:ascii="Times New Roman" w:hAnsi="Times New Roman"/>
                <w:noProof/>
              </w:rPr>
              <w:t>5.1 Data collection method</w:t>
            </w:r>
            <w:r>
              <w:rPr>
                <w:noProof/>
                <w:webHidden/>
              </w:rPr>
              <w:tab/>
            </w:r>
            <w:r>
              <w:rPr>
                <w:noProof/>
                <w:webHidden/>
              </w:rPr>
              <w:fldChar w:fldCharType="begin"/>
            </w:r>
            <w:r>
              <w:rPr>
                <w:noProof/>
                <w:webHidden/>
              </w:rPr>
              <w:instrText xml:space="preserve"> PAGEREF _Toc234925677 \h </w:instrText>
            </w:r>
            <w:r>
              <w:rPr>
                <w:noProof/>
                <w:webHidden/>
              </w:rPr>
            </w:r>
            <w:r>
              <w:rPr>
                <w:noProof/>
                <w:webHidden/>
              </w:rPr>
              <w:fldChar w:fldCharType="separate"/>
            </w:r>
            <w:r>
              <w:rPr>
                <w:noProof/>
                <w:webHidden/>
              </w:rPr>
              <w:t>15</w:t>
            </w:r>
            <w:r>
              <w:rPr>
                <w:noProof/>
                <w:webHidden/>
              </w:rPr>
              <w:fldChar w:fldCharType="end"/>
            </w:r>
          </w:hyperlink>
        </w:p>
        <w:p w14:paraId="46A2D44E" w14:textId="501A5BBF" w:rsidR="005519E6" w:rsidRDefault="005519E6">
          <w:pPr>
            <w:pStyle w:val="TOC2"/>
            <w:tabs>
              <w:tab w:val="right" w:leader="dot" w:pos="9350"/>
            </w:tabs>
            <w:rPr>
              <w:rFonts w:eastAsiaTheme="minorEastAsia"/>
              <w:b w:val="0"/>
              <w:bCs w:val="0"/>
              <w:noProof/>
              <w:kern w:val="2"/>
              <w:sz w:val="24"/>
              <w:szCs w:val="24"/>
              <w:lang w:val="en-IN" w:eastAsia="en-GB"/>
              <w14:ligatures w14:val="standardContextual"/>
            </w:rPr>
          </w:pPr>
          <w:hyperlink w:anchor="_Toc234925678" w:history="1">
            <w:r w:rsidRPr="000825F9">
              <w:rPr>
                <w:rStyle w:val="Hyperlink"/>
                <w:rFonts w:ascii="Times New Roman" w:hAnsi="Times New Roman"/>
                <w:noProof/>
              </w:rPr>
              <w:t>5.2 Data analysis method</w:t>
            </w:r>
            <w:r>
              <w:rPr>
                <w:noProof/>
                <w:webHidden/>
              </w:rPr>
              <w:tab/>
            </w:r>
            <w:r>
              <w:rPr>
                <w:noProof/>
                <w:webHidden/>
              </w:rPr>
              <w:fldChar w:fldCharType="begin"/>
            </w:r>
            <w:r>
              <w:rPr>
                <w:noProof/>
                <w:webHidden/>
              </w:rPr>
              <w:instrText xml:space="preserve"> PAGEREF _Toc234925678 \h </w:instrText>
            </w:r>
            <w:r>
              <w:rPr>
                <w:noProof/>
                <w:webHidden/>
              </w:rPr>
            </w:r>
            <w:r>
              <w:rPr>
                <w:noProof/>
                <w:webHidden/>
              </w:rPr>
              <w:fldChar w:fldCharType="separate"/>
            </w:r>
            <w:r>
              <w:rPr>
                <w:noProof/>
                <w:webHidden/>
              </w:rPr>
              <w:t>16</w:t>
            </w:r>
            <w:r>
              <w:rPr>
                <w:noProof/>
                <w:webHidden/>
              </w:rPr>
              <w:fldChar w:fldCharType="end"/>
            </w:r>
          </w:hyperlink>
        </w:p>
        <w:p w14:paraId="6FB78EC6" w14:textId="61C03670" w:rsidR="005519E6" w:rsidRDefault="005519E6">
          <w:pPr>
            <w:pStyle w:val="TOC2"/>
            <w:tabs>
              <w:tab w:val="right" w:leader="dot" w:pos="9350"/>
            </w:tabs>
            <w:rPr>
              <w:rFonts w:eastAsiaTheme="minorEastAsia"/>
              <w:b w:val="0"/>
              <w:bCs w:val="0"/>
              <w:noProof/>
              <w:kern w:val="2"/>
              <w:sz w:val="24"/>
              <w:szCs w:val="24"/>
              <w:lang w:val="en-IN" w:eastAsia="en-GB"/>
              <w14:ligatures w14:val="standardContextual"/>
            </w:rPr>
          </w:pPr>
          <w:hyperlink w:anchor="_Toc234925679" w:history="1">
            <w:r w:rsidRPr="000825F9">
              <w:rPr>
                <w:rStyle w:val="Hyperlink"/>
                <w:rFonts w:ascii="Times New Roman" w:hAnsi="Times New Roman"/>
                <w:noProof/>
              </w:rPr>
              <w:t>5.3 Ensuring qualitative research quality</w:t>
            </w:r>
            <w:r>
              <w:rPr>
                <w:noProof/>
                <w:webHidden/>
              </w:rPr>
              <w:tab/>
            </w:r>
            <w:r>
              <w:rPr>
                <w:noProof/>
                <w:webHidden/>
              </w:rPr>
              <w:fldChar w:fldCharType="begin"/>
            </w:r>
            <w:r>
              <w:rPr>
                <w:noProof/>
                <w:webHidden/>
              </w:rPr>
              <w:instrText xml:space="preserve"> PAGEREF _Toc234925679 \h </w:instrText>
            </w:r>
            <w:r>
              <w:rPr>
                <w:noProof/>
                <w:webHidden/>
              </w:rPr>
            </w:r>
            <w:r>
              <w:rPr>
                <w:noProof/>
                <w:webHidden/>
              </w:rPr>
              <w:fldChar w:fldCharType="separate"/>
            </w:r>
            <w:r>
              <w:rPr>
                <w:noProof/>
                <w:webHidden/>
              </w:rPr>
              <w:t>17</w:t>
            </w:r>
            <w:r>
              <w:rPr>
                <w:noProof/>
                <w:webHidden/>
              </w:rPr>
              <w:fldChar w:fldCharType="end"/>
            </w:r>
          </w:hyperlink>
        </w:p>
        <w:p w14:paraId="6FED24FB" w14:textId="4D6E6491" w:rsidR="005519E6" w:rsidRDefault="005519E6">
          <w:pPr>
            <w:pStyle w:val="TOC1"/>
            <w:tabs>
              <w:tab w:val="right" w:leader="dot" w:pos="9350"/>
            </w:tabs>
            <w:rPr>
              <w:rFonts w:eastAsiaTheme="minorEastAsia"/>
              <w:b w:val="0"/>
              <w:bCs w:val="0"/>
              <w:i w:val="0"/>
              <w:iCs w:val="0"/>
              <w:noProof/>
              <w:kern w:val="2"/>
              <w:lang w:val="en-IN" w:eastAsia="en-GB"/>
              <w14:ligatures w14:val="standardContextual"/>
            </w:rPr>
          </w:pPr>
          <w:hyperlink w:anchor="_Toc234925680" w:history="1">
            <w:r w:rsidRPr="000825F9">
              <w:rPr>
                <w:rStyle w:val="Hyperlink"/>
                <w:rFonts w:ascii="Times New Roman" w:hAnsi="Times New Roman"/>
                <w:noProof/>
              </w:rPr>
              <w:t>6. Ethical Considerations</w:t>
            </w:r>
            <w:r>
              <w:rPr>
                <w:noProof/>
                <w:webHidden/>
              </w:rPr>
              <w:tab/>
            </w:r>
            <w:r>
              <w:rPr>
                <w:noProof/>
                <w:webHidden/>
              </w:rPr>
              <w:fldChar w:fldCharType="begin"/>
            </w:r>
            <w:r>
              <w:rPr>
                <w:noProof/>
                <w:webHidden/>
              </w:rPr>
              <w:instrText xml:space="preserve"> PAGEREF _Toc234925680 \h </w:instrText>
            </w:r>
            <w:r>
              <w:rPr>
                <w:noProof/>
                <w:webHidden/>
              </w:rPr>
            </w:r>
            <w:r>
              <w:rPr>
                <w:noProof/>
                <w:webHidden/>
              </w:rPr>
              <w:fldChar w:fldCharType="separate"/>
            </w:r>
            <w:r>
              <w:rPr>
                <w:noProof/>
                <w:webHidden/>
              </w:rPr>
              <w:t>18</w:t>
            </w:r>
            <w:r>
              <w:rPr>
                <w:noProof/>
                <w:webHidden/>
              </w:rPr>
              <w:fldChar w:fldCharType="end"/>
            </w:r>
          </w:hyperlink>
        </w:p>
        <w:p w14:paraId="77B0B654" w14:textId="016DB304" w:rsidR="005519E6" w:rsidRDefault="005519E6">
          <w:pPr>
            <w:pStyle w:val="TOC1"/>
            <w:tabs>
              <w:tab w:val="right" w:leader="dot" w:pos="9350"/>
            </w:tabs>
            <w:rPr>
              <w:rFonts w:eastAsiaTheme="minorEastAsia"/>
              <w:b w:val="0"/>
              <w:bCs w:val="0"/>
              <w:i w:val="0"/>
              <w:iCs w:val="0"/>
              <w:noProof/>
              <w:kern w:val="2"/>
              <w:lang w:val="en-IN" w:eastAsia="en-GB"/>
              <w14:ligatures w14:val="standardContextual"/>
            </w:rPr>
          </w:pPr>
          <w:hyperlink w:anchor="_Toc234925681" w:history="1">
            <w:r w:rsidRPr="000825F9">
              <w:rPr>
                <w:rStyle w:val="Hyperlink"/>
                <w:rFonts w:ascii="Times New Roman" w:hAnsi="Times New Roman"/>
                <w:noProof/>
              </w:rPr>
              <w:t>7. Resource Implications, Feasibility and Time Plan</w:t>
            </w:r>
            <w:r>
              <w:rPr>
                <w:noProof/>
                <w:webHidden/>
              </w:rPr>
              <w:tab/>
            </w:r>
            <w:r>
              <w:rPr>
                <w:noProof/>
                <w:webHidden/>
              </w:rPr>
              <w:fldChar w:fldCharType="begin"/>
            </w:r>
            <w:r>
              <w:rPr>
                <w:noProof/>
                <w:webHidden/>
              </w:rPr>
              <w:instrText xml:space="preserve"> PAGEREF _Toc234925681 \h </w:instrText>
            </w:r>
            <w:r>
              <w:rPr>
                <w:noProof/>
                <w:webHidden/>
              </w:rPr>
            </w:r>
            <w:r>
              <w:rPr>
                <w:noProof/>
                <w:webHidden/>
              </w:rPr>
              <w:fldChar w:fldCharType="separate"/>
            </w:r>
            <w:r>
              <w:rPr>
                <w:noProof/>
                <w:webHidden/>
              </w:rPr>
              <w:t>19</w:t>
            </w:r>
            <w:r>
              <w:rPr>
                <w:noProof/>
                <w:webHidden/>
              </w:rPr>
              <w:fldChar w:fldCharType="end"/>
            </w:r>
          </w:hyperlink>
        </w:p>
        <w:p w14:paraId="514FAC2D" w14:textId="10B84D18" w:rsidR="005519E6" w:rsidRDefault="005519E6">
          <w:pPr>
            <w:pStyle w:val="TOC1"/>
            <w:tabs>
              <w:tab w:val="right" w:leader="dot" w:pos="9350"/>
            </w:tabs>
            <w:rPr>
              <w:rFonts w:eastAsiaTheme="minorEastAsia"/>
              <w:b w:val="0"/>
              <w:bCs w:val="0"/>
              <w:i w:val="0"/>
              <w:iCs w:val="0"/>
              <w:noProof/>
              <w:kern w:val="2"/>
              <w:lang w:val="en-IN" w:eastAsia="en-GB"/>
              <w14:ligatures w14:val="standardContextual"/>
            </w:rPr>
          </w:pPr>
          <w:hyperlink w:anchor="_Toc234925682" w:history="1">
            <w:r w:rsidRPr="000825F9">
              <w:rPr>
                <w:rStyle w:val="Hyperlink"/>
                <w:rFonts w:ascii="Times New Roman" w:hAnsi="Times New Roman"/>
                <w:noProof/>
              </w:rPr>
              <w:t>8. Limitations and Delimitations</w:t>
            </w:r>
            <w:r>
              <w:rPr>
                <w:noProof/>
                <w:webHidden/>
              </w:rPr>
              <w:tab/>
            </w:r>
            <w:r>
              <w:rPr>
                <w:noProof/>
                <w:webHidden/>
              </w:rPr>
              <w:fldChar w:fldCharType="begin"/>
            </w:r>
            <w:r>
              <w:rPr>
                <w:noProof/>
                <w:webHidden/>
              </w:rPr>
              <w:instrText xml:space="preserve"> PAGEREF _Toc234925682 \h </w:instrText>
            </w:r>
            <w:r>
              <w:rPr>
                <w:noProof/>
                <w:webHidden/>
              </w:rPr>
            </w:r>
            <w:r>
              <w:rPr>
                <w:noProof/>
                <w:webHidden/>
              </w:rPr>
              <w:fldChar w:fldCharType="separate"/>
            </w:r>
            <w:r>
              <w:rPr>
                <w:noProof/>
                <w:webHidden/>
              </w:rPr>
              <w:t>20</w:t>
            </w:r>
            <w:r>
              <w:rPr>
                <w:noProof/>
                <w:webHidden/>
              </w:rPr>
              <w:fldChar w:fldCharType="end"/>
            </w:r>
          </w:hyperlink>
        </w:p>
        <w:p w14:paraId="788D1755" w14:textId="030B7BDA" w:rsidR="005519E6" w:rsidRDefault="005519E6">
          <w:pPr>
            <w:pStyle w:val="TOC1"/>
            <w:tabs>
              <w:tab w:val="right" w:leader="dot" w:pos="9350"/>
            </w:tabs>
            <w:rPr>
              <w:rFonts w:eastAsiaTheme="minorEastAsia"/>
              <w:b w:val="0"/>
              <w:bCs w:val="0"/>
              <w:i w:val="0"/>
              <w:iCs w:val="0"/>
              <w:noProof/>
              <w:kern w:val="2"/>
              <w:lang w:val="en-IN" w:eastAsia="en-GB"/>
              <w14:ligatures w14:val="standardContextual"/>
            </w:rPr>
          </w:pPr>
          <w:hyperlink w:anchor="_Toc234925683" w:history="1">
            <w:r w:rsidRPr="000825F9">
              <w:rPr>
                <w:rStyle w:val="Hyperlink"/>
                <w:rFonts w:ascii="Times New Roman" w:hAnsi="Times New Roman"/>
                <w:noProof/>
              </w:rPr>
              <w:t>9. Expected Contribution and Conclusion</w:t>
            </w:r>
            <w:r>
              <w:rPr>
                <w:noProof/>
                <w:webHidden/>
              </w:rPr>
              <w:tab/>
            </w:r>
            <w:r>
              <w:rPr>
                <w:noProof/>
                <w:webHidden/>
              </w:rPr>
              <w:fldChar w:fldCharType="begin"/>
            </w:r>
            <w:r>
              <w:rPr>
                <w:noProof/>
                <w:webHidden/>
              </w:rPr>
              <w:instrText xml:space="preserve"> PAGEREF _Toc234925683 \h </w:instrText>
            </w:r>
            <w:r>
              <w:rPr>
                <w:noProof/>
                <w:webHidden/>
              </w:rPr>
            </w:r>
            <w:r>
              <w:rPr>
                <w:noProof/>
                <w:webHidden/>
              </w:rPr>
              <w:fldChar w:fldCharType="separate"/>
            </w:r>
            <w:r>
              <w:rPr>
                <w:noProof/>
                <w:webHidden/>
              </w:rPr>
              <w:t>21</w:t>
            </w:r>
            <w:r>
              <w:rPr>
                <w:noProof/>
                <w:webHidden/>
              </w:rPr>
              <w:fldChar w:fldCharType="end"/>
            </w:r>
          </w:hyperlink>
        </w:p>
        <w:p w14:paraId="57C501AD" w14:textId="5AEF3F92" w:rsidR="005519E6" w:rsidRDefault="005519E6">
          <w:pPr>
            <w:pStyle w:val="TOC1"/>
            <w:tabs>
              <w:tab w:val="right" w:leader="dot" w:pos="9350"/>
            </w:tabs>
            <w:rPr>
              <w:rFonts w:eastAsiaTheme="minorEastAsia"/>
              <w:b w:val="0"/>
              <w:bCs w:val="0"/>
              <w:i w:val="0"/>
              <w:iCs w:val="0"/>
              <w:noProof/>
              <w:kern w:val="2"/>
              <w:lang w:val="en-IN" w:eastAsia="en-GB"/>
              <w14:ligatures w14:val="standardContextual"/>
            </w:rPr>
          </w:pPr>
          <w:hyperlink w:anchor="_Toc234925684" w:history="1">
            <w:r w:rsidRPr="000825F9">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_Toc234925684 \h </w:instrText>
            </w:r>
            <w:r>
              <w:rPr>
                <w:noProof/>
                <w:webHidden/>
              </w:rPr>
            </w:r>
            <w:r>
              <w:rPr>
                <w:noProof/>
                <w:webHidden/>
              </w:rPr>
              <w:fldChar w:fldCharType="separate"/>
            </w:r>
            <w:r>
              <w:rPr>
                <w:noProof/>
                <w:webHidden/>
              </w:rPr>
              <w:t>22</w:t>
            </w:r>
            <w:r>
              <w:rPr>
                <w:noProof/>
                <w:webHidden/>
              </w:rPr>
              <w:fldChar w:fldCharType="end"/>
            </w:r>
          </w:hyperlink>
        </w:p>
        <w:p w14:paraId="3BDE35F8" w14:textId="26A3F3D6" w:rsidR="005519E6" w:rsidRDefault="005519E6">
          <w:pPr>
            <w:pStyle w:val="TOC1"/>
            <w:tabs>
              <w:tab w:val="right" w:leader="dot" w:pos="9350"/>
            </w:tabs>
            <w:rPr>
              <w:rFonts w:eastAsiaTheme="minorEastAsia"/>
              <w:b w:val="0"/>
              <w:bCs w:val="0"/>
              <w:i w:val="0"/>
              <w:iCs w:val="0"/>
              <w:noProof/>
              <w:kern w:val="2"/>
              <w:lang w:val="en-IN" w:eastAsia="en-GB"/>
              <w14:ligatures w14:val="standardContextual"/>
            </w:rPr>
          </w:pPr>
          <w:hyperlink w:anchor="_Toc234925685" w:history="1">
            <w:r w:rsidRPr="000825F9">
              <w:rPr>
                <w:rStyle w:val="Hyperlink"/>
                <w:rFonts w:ascii="Times New Roman" w:hAnsi="Times New Roman"/>
                <w:noProof/>
              </w:rPr>
              <w:t>Appendix A: Draft Semi-structured Interview Guide</w:t>
            </w:r>
            <w:r>
              <w:rPr>
                <w:noProof/>
                <w:webHidden/>
              </w:rPr>
              <w:tab/>
            </w:r>
            <w:r>
              <w:rPr>
                <w:noProof/>
                <w:webHidden/>
              </w:rPr>
              <w:fldChar w:fldCharType="begin"/>
            </w:r>
            <w:r>
              <w:rPr>
                <w:noProof/>
                <w:webHidden/>
              </w:rPr>
              <w:instrText xml:space="preserve"> PAGEREF _Toc234925685 \h </w:instrText>
            </w:r>
            <w:r>
              <w:rPr>
                <w:noProof/>
                <w:webHidden/>
              </w:rPr>
            </w:r>
            <w:r>
              <w:rPr>
                <w:noProof/>
                <w:webHidden/>
              </w:rPr>
              <w:fldChar w:fldCharType="separate"/>
            </w:r>
            <w:r>
              <w:rPr>
                <w:noProof/>
                <w:webHidden/>
              </w:rPr>
              <w:t>30</w:t>
            </w:r>
            <w:r>
              <w:rPr>
                <w:noProof/>
                <w:webHidden/>
              </w:rPr>
              <w:fldChar w:fldCharType="end"/>
            </w:r>
          </w:hyperlink>
        </w:p>
        <w:p w14:paraId="56C9490E" w14:textId="4EB1A6C4" w:rsidR="005519E6" w:rsidRDefault="005519E6">
          <w:pPr>
            <w:pStyle w:val="TOC1"/>
            <w:tabs>
              <w:tab w:val="right" w:leader="dot" w:pos="9350"/>
            </w:tabs>
            <w:rPr>
              <w:rFonts w:eastAsiaTheme="minorEastAsia"/>
              <w:b w:val="0"/>
              <w:bCs w:val="0"/>
              <w:i w:val="0"/>
              <w:iCs w:val="0"/>
              <w:noProof/>
              <w:kern w:val="2"/>
              <w:lang w:val="en-IN" w:eastAsia="en-GB"/>
              <w14:ligatures w14:val="standardContextual"/>
            </w:rPr>
          </w:pPr>
          <w:hyperlink w:anchor="_Toc234925686" w:history="1">
            <w:r w:rsidRPr="000825F9">
              <w:rPr>
                <w:rStyle w:val="Hyperlink"/>
                <w:rFonts w:ascii="Times New Roman" w:hAnsi="Times New Roman"/>
                <w:noProof/>
              </w:rPr>
              <w:t>Appendix B: Participant Eligibility and Recruitment Statement</w:t>
            </w:r>
            <w:r>
              <w:rPr>
                <w:noProof/>
                <w:webHidden/>
              </w:rPr>
              <w:tab/>
            </w:r>
            <w:r>
              <w:rPr>
                <w:noProof/>
                <w:webHidden/>
              </w:rPr>
              <w:fldChar w:fldCharType="begin"/>
            </w:r>
            <w:r>
              <w:rPr>
                <w:noProof/>
                <w:webHidden/>
              </w:rPr>
              <w:instrText xml:space="preserve"> PAGEREF _Toc234925686 \h </w:instrText>
            </w:r>
            <w:r>
              <w:rPr>
                <w:noProof/>
                <w:webHidden/>
              </w:rPr>
            </w:r>
            <w:r>
              <w:rPr>
                <w:noProof/>
                <w:webHidden/>
              </w:rPr>
              <w:fldChar w:fldCharType="separate"/>
            </w:r>
            <w:r>
              <w:rPr>
                <w:noProof/>
                <w:webHidden/>
              </w:rPr>
              <w:t>31</w:t>
            </w:r>
            <w:r>
              <w:rPr>
                <w:noProof/>
                <w:webHidden/>
              </w:rPr>
              <w:fldChar w:fldCharType="end"/>
            </w:r>
          </w:hyperlink>
        </w:p>
        <w:p w14:paraId="03046F63" w14:textId="06D95A36" w:rsidR="005519E6" w:rsidRDefault="005519E6">
          <w:pPr>
            <w:pStyle w:val="TOC1"/>
            <w:tabs>
              <w:tab w:val="right" w:leader="dot" w:pos="9350"/>
            </w:tabs>
            <w:rPr>
              <w:rFonts w:eastAsiaTheme="minorEastAsia"/>
              <w:b w:val="0"/>
              <w:bCs w:val="0"/>
              <w:i w:val="0"/>
              <w:iCs w:val="0"/>
              <w:noProof/>
              <w:kern w:val="2"/>
              <w:lang w:val="en-IN" w:eastAsia="en-GB"/>
              <w14:ligatures w14:val="standardContextual"/>
            </w:rPr>
          </w:pPr>
          <w:hyperlink w:anchor="_Toc234925687" w:history="1">
            <w:r w:rsidRPr="000825F9">
              <w:rPr>
                <w:rStyle w:val="Hyperlink"/>
                <w:rFonts w:ascii="Times New Roman" w:hAnsi="Times New Roman"/>
                <w:noProof/>
              </w:rPr>
              <w:t>Appendix C: Initial Coding Framework</w:t>
            </w:r>
            <w:r>
              <w:rPr>
                <w:noProof/>
                <w:webHidden/>
              </w:rPr>
              <w:tab/>
            </w:r>
            <w:r>
              <w:rPr>
                <w:noProof/>
                <w:webHidden/>
              </w:rPr>
              <w:fldChar w:fldCharType="begin"/>
            </w:r>
            <w:r>
              <w:rPr>
                <w:noProof/>
                <w:webHidden/>
              </w:rPr>
              <w:instrText xml:space="preserve"> PAGEREF _Toc234925687 \h </w:instrText>
            </w:r>
            <w:r>
              <w:rPr>
                <w:noProof/>
                <w:webHidden/>
              </w:rPr>
            </w:r>
            <w:r>
              <w:rPr>
                <w:noProof/>
                <w:webHidden/>
              </w:rPr>
              <w:fldChar w:fldCharType="separate"/>
            </w:r>
            <w:r>
              <w:rPr>
                <w:noProof/>
                <w:webHidden/>
              </w:rPr>
              <w:t>32</w:t>
            </w:r>
            <w:r>
              <w:rPr>
                <w:noProof/>
                <w:webHidden/>
              </w:rPr>
              <w:fldChar w:fldCharType="end"/>
            </w:r>
          </w:hyperlink>
        </w:p>
        <w:p w14:paraId="5C31DF83" w14:textId="033371EA" w:rsidR="005519E6" w:rsidRDefault="005519E6">
          <w:pPr>
            <w:pStyle w:val="TOC1"/>
            <w:tabs>
              <w:tab w:val="right" w:leader="dot" w:pos="9350"/>
            </w:tabs>
            <w:rPr>
              <w:rFonts w:eastAsiaTheme="minorEastAsia"/>
              <w:b w:val="0"/>
              <w:bCs w:val="0"/>
              <w:i w:val="0"/>
              <w:iCs w:val="0"/>
              <w:noProof/>
              <w:kern w:val="2"/>
              <w:lang w:val="en-IN" w:eastAsia="en-GB"/>
              <w14:ligatures w14:val="standardContextual"/>
            </w:rPr>
          </w:pPr>
          <w:hyperlink w:anchor="_Toc234925688" w:history="1">
            <w:r w:rsidRPr="000825F9">
              <w:rPr>
                <w:rStyle w:val="Hyperlink"/>
                <w:rFonts w:ascii="Times New Roman" w:hAnsi="Times New Roman"/>
                <w:noProof/>
              </w:rPr>
              <w:t>Appendix D: Research Question and Method Alignment</w:t>
            </w:r>
            <w:r>
              <w:rPr>
                <w:noProof/>
                <w:webHidden/>
              </w:rPr>
              <w:tab/>
            </w:r>
            <w:r>
              <w:rPr>
                <w:noProof/>
                <w:webHidden/>
              </w:rPr>
              <w:fldChar w:fldCharType="begin"/>
            </w:r>
            <w:r>
              <w:rPr>
                <w:noProof/>
                <w:webHidden/>
              </w:rPr>
              <w:instrText xml:space="preserve"> PAGEREF _Toc234925688 \h </w:instrText>
            </w:r>
            <w:r>
              <w:rPr>
                <w:noProof/>
                <w:webHidden/>
              </w:rPr>
            </w:r>
            <w:r>
              <w:rPr>
                <w:noProof/>
                <w:webHidden/>
              </w:rPr>
              <w:fldChar w:fldCharType="separate"/>
            </w:r>
            <w:r>
              <w:rPr>
                <w:noProof/>
                <w:webHidden/>
              </w:rPr>
              <w:t>32</w:t>
            </w:r>
            <w:r>
              <w:rPr>
                <w:noProof/>
                <w:webHidden/>
              </w:rPr>
              <w:fldChar w:fldCharType="end"/>
            </w:r>
          </w:hyperlink>
        </w:p>
        <w:p w14:paraId="43446F64" w14:textId="0058876D" w:rsidR="005519E6" w:rsidRDefault="005519E6">
          <w:r>
            <w:rPr>
              <w:b/>
              <w:bCs/>
              <w:noProof/>
            </w:rPr>
            <w:fldChar w:fldCharType="end"/>
          </w:r>
        </w:p>
      </w:sdtContent>
    </w:sdt>
    <w:p w14:paraId="5DD2A034" w14:textId="77777777" w:rsidR="005519E6" w:rsidRDefault="005519E6">
      <w:pPr>
        <w:spacing w:after="200" w:line="276" w:lineRule="auto"/>
        <w:rPr>
          <w:rFonts w:cstheme="majorBidi"/>
          <w:b/>
          <w:bCs/>
          <w:color w:val="000000"/>
          <w:sz w:val="28"/>
          <w:szCs w:val="28"/>
        </w:rPr>
      </w:pPr>
      <w:r>
        <w:rPr>
          <w:rFonts w:cstheme="majorBidi"/>
          <w:b/>
          <w:bCs/>
          <w:color w:val="000000"/>
          <w:sz w:val="28"/>
          <w:szCs w:val="28"/>
        </w:rPr>
        <w:br w:type="page"/>
      </w:r>
    </w:p>
    <w:p w14:paraId="7458D5F6" w14:textId="77777777" w:rsidR="005519E6" w:rsidRDefault="005519E6" w:rsidP="005519E6">
      <w:pPr>
        <w:pStyle w:val="Heading1"/>
      </w:pPr>
      <w:bookmarkStart w:id="0" w:name="_Toc234925663"/>
      <w:r>
        <w:rPr>
          <w:rFonts w:ascii="Times New Roman" w:eastAsia="Times New Roman" w:hAnsi="Times New Roman"/>
        </w:rPr>
        <w:lastRenderedPageBreak/>
        <w:t>1. Introduction and Research Rationale</w:t>
      </w:r>
      <w:bookmarkEnd w:id="0"/>
    </w:p>
    <w:p w14:paraId="0F152DDD" w14:textId="77777777" w:rsidR="005519E6" w:rsidRDefault="005519E6" w:rsidP="005519E6">
      <w:pPr>
        <w:jc w:val="both"/>
      </w:pPr>
      <w:r>
        <w:t xml:space="preserve">Contactless payment has become an ordinary part of everyday consumption in the United Kingdom. Students pay for groceries, coffee, public transport, takeaway food, printing, social activities and small retail purchases by tapping a debit card, credit card, phone or smartwatch. What appears to be a simple payment action is also a meaningful consumer </w:t>
      </w:r>
      <w:proofErr w:type="spellStart"/>
      <w:r>
        <w:t>behaviour</w:t>
      </w:r>
      <w:proofErr w:type="spellEnd"/>
      <w:r>
        <w:t xml:space="preserve"> issue. Contactless payment reduces friction at the point of sale, but it may also reshape how students notice, evaluate and control their spending. This proposal therefore examines contactless payment not only as a financial technology, but as part of students’ everyday money management and consumption experience.</w:t>
      </w:r>
    </w:p>
    <w:p w14:paraId="0CFDBD9D" w14:textId="3A8D358D" w:rsidR="00417838" w:rsidRDefault="005519E6" w:rsidP="005519E6">
      <w:pPr>
        <w:jc w:val="both"/>
      </w:pPr>
      <w:r>
        <w:t xml:space="preserve">The UK provides a timely setting for this research. UK Finance reports that 48.8 billion payments were made in the UK in 2024, with debit cards remaining the most frequently used payment method and contactless debit and credit card payments reaching 18.9 billion (UK Finance, 2025a). Contactless methods accounted for 39% of all UK payments in 2024, while </w:t>
      </w:r>
      <w:r w:rsidR="00000000">
        <w:t>57% of UK adults were registered for at least one mobile payment service such as Apple Pay or Google Pay (UK Finance, 2025a; UK Finance, 2025b). These figures show that contactless payment has moved from novelty to infrastructure. It is now embedded in the routines of retailers, banks, transport systems and consumers.</w:t>
      </w:r>
    </w:p>
    <w:p w14:paraId="7D5FDABE" w14:textId="77777777" w:rsidR="00417838" w:rsidRDefault="00000000">
      <w:pPr>
        <w:jc w:val="both"/>
      </w:pPr>
      <w:r>
        <w:t xml:space="preserve">Regulatory change also makes the topic current. From 19 March 2026, banks and payment providers with strong fraud controls have been given flexibility to amend contactless card limits, although many consumers may not see immediate changes and existing limits of £100 per transaction and background limits up to £300 remain common in practice (FCA, 2025a; UK Finance, 2026a). This policy context raises questions about trust and risk: consumers benefit from faster payment, yet they may also worry about stolen cards, accidental taps, mobile wallet </w:t>
      </w:r>
      <w:r>
        <w:lastRenderedPageBreak/>
        <w:t>security and loss of control over small everyday transactions. Fraud data adds nuance. UK Finance’s Half Year Fraud Report 2025 reported that the contactless card fraud rate was 1.2p per £100 of transactions, lower than the overall card fraud rate, but contactless fraud still increased in the first half of 2025 (UK Finance, 2025c). For students, perceived security may not always reflect objective fraud rates, making qualitative research especially useful.</w:t>
      </w:r>
    </w:p>
    <w:p w14:paraId="61579964" w14:textId="77777777" w:rsidR="00417838" w:rsidRDefault="00000000">
      <w:pPr>
        <w:jc w:val="both"/>
      </w:pPr>
      <w:r>
        <w:t>University students are a particularly valuable group to study. They are often active users of digital payment technologies, but many also operate under tight budgets and unstable income. Save the Student (2025) reported average student living costs of £1,142 per month and an average monthly shortfall of £502 between maintenance loan income and living costs. NatWest Group (2025) similarly highlights intensifying student financial pressure, while HEPI’s Minimum Income Standard work shows that student budgets involve more than basic survival; they also support social participation, mobility and university life (Hill and Padley, 2025). In this context, a payment method that makes spending quick and almost invisible may have complex consequences. It may support convenience and independence, but may also weaken budgeting awareness or increase the temptation to make small unplanned purchases.</w:t>
      </w:r>
    </w:p>
    <w:p w14:paraId="78A48098" w14:textId="77777777" w:rsidR="00417838" w:rsidRDefault="00000000">
      <w:pPr>
        <w:jc w:val="both"/>
      </w:pPr>
      <w:r>
        <w:t xml:space="preserve">Existing payment research has often focused on technology adoption, perceived usefulness, perceived ease of use, trust and risk through quantitative models such as the Technology Acceptance Model, UTAUT and perceived risk frameworks (Davis, 1989; Venkatesh et al., 2003; Pavlou, 2003; Oliveira et al., 2016). These studies are valuable, but they may not fully explain how students describe the lived experience of tapping a card or phone in daily life, how they compare cards with mobile wallets, or how they connect payment convenience with budgeting discipline. This proposal therefore adopts a qualitative approach to explore how UK </w:t>
      </w:r>
      <w:r>
        <w:lastRenderedPageBreak/>
        <w:t>university students make sense of contactless payment in their own words. The study is designed to provide rich insight into the balance between convenience, trust and spending control.</w:t>
      </w:r>
    </w:p>
    <w:p w14:paraId="59E63D4E" w14:textId="77777777" w:rsidR="00417838" w:rsidRDefault="00000000">
      <w:pPr>
        <w:pStyle w:val="Heading1"/>
      </w:pPr>
      <w:bookmarkStart w:id="1" w:name="_Toc234925664"/>
      <w:r>
        <w:rPr>
          <w:rFonts w:ascii="Times New Roman" w:eastAsia="Times New Roman" w:hAnsi="Times New Roman"/>
        </w:rPr>
        <w:t>2. Research Aim, Objectives and Questions</w:t>
      </w:r>
      <w:bookmarkEnd w:id="1"/>
    </w:p>
    <w:p w14:paraId="70CABD5D" w14:textId="77777777" w:rsidR="00417838" w:rsidRDefault="00000000">
      <w:pPr>
        <w:jc w:val="both"/>
      </w:pPr>
      <w:r>
        <w:t>The aim of this research is to explore how university students in the UK perceive and use contactless payment, with particular attention to convenience, trust, perceived security and spending control.</w:t>
      </w:r>
    </w:p>
    <w:p w14:paraId="2CCF856F" w14:textId="77777777" w:rsidR="00417838" w:rsidRDefault="00000000">
      <w:pPr>
        <w:jc w:val="both"/>
      </w:pPr>
      <w:r>
        <w:t>The study is guided by four research objectives. First, it seeks to explore how university students in the UK use contactless payment in everyday retail, transport and service settings. Second, it examines how students perceive the convenience, usefulness and normality of contactless payment. Third, it investigates how trust, perceived security and fraud concerns shape students’ willingness to use contactless cards and mobile wallets. Fourth, it explores how contactless payment affects students’ awareness of spending and their ability to control personal budgets.</w:t>
      </w:r>
    </w:p>
    <w:p w14:paraId="303EB556" w14:textId="77777777" w:rsidR="00417838" w:rsidRDefault="00000000">
      <w:pPr>
        <w:jc w:val="both"/>
      </w:pPr>
      <w:r>
        <w:t>The central research question is: How do university students in the UK perceive the use of contactless payment in everyday consumption? The supporting research questions are: (1) How do students describe the convenience and everyday usefulness of contactless payment? (2) How do trust and perceived security shape students’ attitudes towards contactless payment? (3) How do students perceive the relationship between contactless payment and spending control? (4) How do students compare contactless cards with mobile wallet payments such as Apple Pay and Google Pay?</w:t>
      </w:r>
    </w:p>
    <w:p w14:paraId="70BF7F0D" w14:textId="77777777" w:rsidR="00417838" w:rsidRDefault="00000000">
      <w:pPr>
        <w:jc w:val="both"/>
      </w:pPr>
      <w:r>
        <w:t xml:space="preserve">These questions are exploratory rather than hypothesis-driven. This distinction is important because the proposal adopts a qualitative design. The purpose is not to measure the statistical relationship between fixed variables, but to understand students’ interpretations, experiences and </w:t>
      </w:r>
      <w:r>
        <w:lastRenderedPageBreak/>
        <w:t>tensions. For example, a student may say that contactless payment helps them move through a supermarket quickly, but also that it makes daily spending harder to remember. Such ambivalence is difficult to capture through a simple survey scale, but it can be explored through semi-structured interviews.</w:t>
      </w:r>
    </w:p>
    <w:p w14:paraId="7D7A1B9E" w14:textId="77777777" w:rsidR="00417838" w:rsidRPr="00DF591A" w:rsidRDefault="00000000">
      <w:pPr>
        <w:pStyle w:val="Heading1"/>
      </w:pPr>
      <w:bookmarkStart w:id="2" w:name="_Toc234925665"/>
      <w:r w:rsidRPr="00DF591A">
        <w:rPr>
          <w:rFonts w:ascii="Times New Roman" w:eastAsia="Times New Roman" w:hAnsi="Times New Roman"/>
        </w:rPr>
        <w:t>3. Literature Review and Research Gap</w:t>
      </w:r>
      <w:bookmarkEnd w:id="2"/>
    </w:p>
    <w:p w14:paraId="50826D04" w14:textId="77777777" w:rsidR="00417838" w:rsidRPr="00DF591A" w:rsidRDefault="00000000">
      <w:pPr>
        <w:pStyle w:val="Heading2"/>
        <w:rPr>
          <w:sz w:val="28"/>
          <w:szCs w:val="28"/>
        </w:rPr>
      </w:pPr>
      <w:bookmarkStart w:id="3" w:name="_Toc234925666"/>
      <w:r w:rsidRPr="00DF591A">
        <w:rPr>
          <w:rFonts w:ascii="Times New Roman" w:eastAsia="Times New Roman" w:hAnsi="Times New Roman"/>
          <w:sz w:val="28"/>
          <w:szCs w:val="28"/>
        </w:rPr>
        <w:t>3.1 Contactless payment and the UK payment landscape</w:t>
      </w:r>
      <w:bookmarkEnd w:id="3"/>
    </w:p>
    <w:p w14:paraId="369D0C98" w14:textId="77777777" w:rsidR="00417838" w:rsidRDefault="00000000">
      <w:pPr>
        <w:jc w:val="both"/>
      </w:pPr>
      <w:r>
        <w:t>Contactless payment refers to payment transactions made by placing a payment card or enabled device near a payment terminal, usually using near-field communication technology. In consumer terms, it is valued because it is fast, familiar and widely accepted. The UK payment landscape has changed rapidly over the past decade, with cash declining and card-based and mobile payment methods becoming more dominant (Bank of England, 2024; UK Finance, 2025a). UK Finance (2025a) reports that cash fell to 9% of UK payments in 2024, while card payments accounted for 64% of transactions. This shift matters because payment methods are not neutral channels. They influence the speed, visibility and psychological experience of spending.</w:t>
      </w:r>
    </w:p>
    <w:p w14:paraId="41F8EA67" w14:textId="77777777" w:rsidR="00417838" w:rsidRDefault="00000000">
      <w:pPr>
        <w:jc w:val="both"/>
      </w:pPr>
      <w:r>
        <w:t>The growth of mobile wallets makes the topic more complex. Contactless card payments and mobile wallet payments are similar at the terminal, but consumers may perceive them differently. Mobile wallets often require biometric or passcode authentication, and they are linked to the smartphone, which many students use for banking, budgeting and communication. Research on mobile payment adoption suggests that perceived usefulness, ease of use, trust, compatibility, security and social influence can shape adoption and continued use (Dahlberg, Guo and Ondrus, 2015; Slade et al., 2015; Oliveira et al., 2016; de Luna et al., 2019). However, adoption is only part of the issue. Once contactless payment becomes habitual, the more critical question is how it affects consumer awareness and control.</w:t>
      </w:r>
    </w:p>
    <w:p w14:paraId="05453A54" w14:textId="77777777" w:rsidR="00417838" w:rsidRPr="00DF591A" w:rsidRDefault="00000000">
      <w:pPr>
        <w:pStyle w:val="Heading2"/>
        <w:rPr>
          <w:sz w:val="28"/>
          <w:szCs w:val="28"/>
        </w:rPr>
      </w:pPr>
      <w:bookmarkStart w:id="4" w:name="_Toc234925667"/>
      <w:r w:rsidRPr="00DF591A">
        <w:rPr>
          <w:rFonts w:ascii="Times New Roman" w:eastAsia="Times New Roman" w:hAnsi="Times New Roman"/>
          <w:sz w:val="28"/>
          <w:szCs w:val="28"/>
        </w:rPr>
        <w:lastRenderedPageBreak/>
        <w:t>3.2 Convenience, friction and everyday consumption</w:t>
      </w:r>
      <w:bookmarkEnd w:id="4"/>
    </w:p>
    <w:p w14:paraId="4BDB51E0" w14:textId="77777777" w:rsidR="00417838" w:rsidRDefault="00000000">
      <w:pPr>
        <w:jc w:val="both"/>
      </w:pPr>
      <w:r>
        <w:t>Convenience is central to contactless payment. Consumer convenience can be understood as the reduction of time, effort and cognitive burden in accessing and using a service (Berry, Seiders and Grewal, 2002). Contactless payment reduces transaction friction because consumers do not need to count cash, enter a PIN for every small purchase or wait for lengthy verification. In retail settings, this can improve flow, reduce queues and create a sense of efficiency. The Technology Acceptance Model argues that perceived usefulness and perceived ease of use influence technology acceptance (Davis, 1989), while UTAUT and UTAUT2 extend this with factors such as effort expectancy, facilitating conditions, habit and hedonic motivation (Venkatesh et al., 2003; Venkatesh, Thong and Xu, 2012).</w:t>
      </w:r>
    </w:p>
    <w:p w14:paraId="37E0E268" w14:textId="77777777" w:rsidR="00417838" w:rsidRDefault="00000000">
      <w:pPr>
        <w:jc w:val="both"/>
      </w:pPr>
      <w:r>
        <w:t>For students, convenience may have specific meanings. It may mean catching a bus without buying a ticket, quickly paying between lectures, splitting activities with friends or avoiding the need to carry cash. Yet convenience can also be double-edged. Behavioural research on payment methods suggests that when payment becomes less visible or less painful, consumers may spend more easily (Soman, 2001; Prelec and Simester, 2001; Raghubir and Srivastava, 2008). Contactless payment may therefore be experienced as both helpful and risky: helpful because it saves time, risky because it lowers the moment of reflection before purchase.</w:t>
      </w:r>
    </w:p>
    <w:p w14:paraId="495A7610" w14:textId="77777777" w:rsidR="00417838" w:rsidRPr="00DF591A" w:rsidRDefault="00000000">
      <w:pPr>
        <w:pStyle w:val="Heading2"/>
        <w:rPr>
          <w:sz w:val="28"/>
          <w:szCs w:val="28"/>
        </w:rPr>
      </w:pPr>
      <w:bookmarkStart w:id="5" w:name="_Toc234925668"/>
      <w:r w:rsidRPr="00DF591A">
        <w:rPr>
          <w:rFonts w:ascii="Times New Roman" w:eastAsia="Times New Roman" w:hAnsi="Times New Roman"/>
          <w:sz w:val="28"/>
          <w:szCs w:val="28"/>
        </w:rPr>
        <w:t>3.3 Trust, security and perceived risk</w:t>
      </w:r>
      <w:bookmarkEnd w:id="5"/>
    </w:p>
    <w:p w14:paraId="2E702C30" w14:textId="77777777" w:rsidR="00417838" w:rsidRDefault="00000000">
      <w:pPr>
        <w:jc w:val="both"/>
      </w:pPr>
      <w:r>
        <w:t xml:space="preserve">Trust is essential in digital and electronic payment environments. E-commerce and digital finance literature shows that trust reduces uncertainty and increases willingness to transact (Gefen, 2000; McKnight, Choudhury and Kacmar, 2002; Pavlou, 2003). In contactless payment, trust may involve several objects: trust in the bank, the card scheme, the mobile wallet provider, the retailer’s terminal, the phone’s biometric security and the wider regulatory system. A student </w:t>
      </w:r>
      <w:r>
        <w:lastRenderedPageBreak/>
        <w:t>may trust Apple Pay more than a physical card because it requires Face ID, while another may trust a physical card more because it feels less dependent on battery, signal or phone security.</w:t>
      </w:r>
    </w:p>
    <w:p w14:paraId="205C0841" w14:textId="77777777" w:rsidR="00417838" w:rsidRDefault="00000000">
      <w:pPr>
        <w:jc w:val="both"/>
      </w:pPr>
      <w:r>
        <w:t>Perceived risk is also important. Featherman and Pavlou (2003) distinguish risk dimensions such as financial, performance, privacy and time risk. In contactless payment, perceived risks may include unauthorised use after card loss, accidental duplicate payment, uncertainty about refunds, phone theft or the feeling that the payment process is too fast to check the amount. UK regulatory and industry data complicate these perceptions. The FCA has emphasised strong fraud controls and personal limit options as part of greater flexibility over contactless payment limits (FCA, 2025a). UK Finance (2025c) reports low contactless fraud rates compared with overall card fraud, yet wider payment fraud remains a major public concern, with UK Finance (2026b) reporting £1.28 billion stolen through payment fraud in 2025. This creates a research opportunity: students may treat contactless payment as safe in practice while still feeling anxious about particular scenarios.</w:t>
      </w:r>
    </w:p>
    <w:p w14:paraId="05B55ECA" w14:textId="77777777" w:rsidR="00417838" w:rsidRDefault="00000000">
      <w:pPr>
        <w:pStyle w:val="Heading2"/>
      </w:pPr>
      <w:bookmarkStart w:id="6" w:name="_Toc234925669"/>
      <w:r>
        <w:rPr>
          <w:rFonts w:ascii="Times New Roman" w:eastAsia="Times New Roman" w:hAnsi="Times New Roman"/>
        </w:rPr>
        <w:t>3.4 Spending control, budgeting and the pain of paying</w:t>
      </w:r>
      <w:bookmarkEnd w:id="6"/>
    </w:p>
    <w:p w14:paraId="1A020F34" w14:textId="77777777" w:rsidR="00417838" w:rsidRDefault="00000000">
      <w:pPr>
        <w:jc w:val="both"/>
      </w:pPr>
      <w:r>
        <w:t>Spending control is the main conceptual contribution of this proposal. Traditional cash payment is tangible: consumers see money leave their wallet. Digital and card payments are less visible, which can weaken the connection between payment and consumption. The ‘pain of paying’ literature argues that payment methods differ in salience and psychological discomfort (Prelec and Loewenstein, 1998; Soman, 2001). Credit cards and other frictionless payment methods can reduce payment salience and increase willingness to spend (Hirschman, 1979; Prelec and Simester, 2001; Thomas, Desai and Seenivasan, 2011). Although contactless debit cards are not identical to credit cards, they share a friction-reducing quality that may make small purchases feel less consequential.</w:t>
      </w:r>
    </w:p>
    <w:p w14:paraId="5C0DEA9F" w14:textId="77777777" w:rsidR="00417838" w:rsidRDefault="00000000">
      <w:pPr>
        <w:jc w:val="both"/>
      </w:pPr>
      <w:r>
        <w:lastRenderedPageBreak/>
        <w:t>Student budgeting makes this issue particularly important. Many students manage limited income across rent, food, transport, bills, course materials and social life. Save the Student (2025) and House of Commons Library (2025) show that living costs and rent are major pressures for UK students. Payment method may therefore affect not only consumer convenience but also financial self-management. Some students may use banking apps and notifications to monitor spending closely, while others may avoid checking balances because it causes anxiety. Contactless payment may support budgeting if it creates digital records, but it may also undermine budgeting if students treat each small transaction as insignificant. A qualitative approach can explore these contradictory experiences.</w:t>
      </w:r>
    </w:p>
    <w:p w14:paraId="1CEEC076" w14:textId="77777777" w:rsidR="00417838" w:rsidRPr="00DF591A" w:rsidRDefault="00000000">
      <w:pPr>
        <w:pStyle w:val="Heading2"/>
        <w:rPr>
          <w:sz w:val="28"/>
          <w:szCs w:val="28"/>
        </w:rPr>
      </w:pPr>
      <w:bookmarkStart w:id="7" w:name="_Toc234925670"/>
      <w:r w:rsidRPr="00DF591A">
        <w:rPr>
          <w:rFonts w:ascii="Times New Roman" w:eastAsia="Times New Roman" w:hAnsi="Times New Roman"/>
          <w:sz w:val="28"/>
          <w:szCs w:val="28"/>
        </w:rPr>
        <w:t>3.5 Research gap</w:t>
      </w:r>
      <w:bookmarkEnd w:id="7"/>
    </w:p>
    <w:p w14:paraId="0E5A3B86" w14:textId="77777777" w:rsidR="00417838" w:rsidRDefault="00000000">
      <w:pPr>
        <w:jc w:val="both"/>
      </w:pPr>
      <w:r>
        <w:t>The literature suggests three gaps. First, many payment studies examine adoption rather than everyday use. Once contactless payment is widely adopted, researchers need to understand how users interpret its role in routines, habits and financial control. Second, existing research often uses quantitative models to test technology acceptance, trust or perceived risk, which can underplay contradiction and context. Third, student-specific research tends to focus on income, rent and living costs, while less attention is paid to how payment technologies shape students’ budgeting practices and spending awareness.</w:t>
      </w:r>
    </w:p>
    <w:p w14:paraId="36AA3030" w14:textId="77777777" w:rsidR="00417838" w:rsidRDefault="00000000">
      <w:pPr>
        <w:jc w:val="both"/>
      </w:pPr>
      <w:r>
        <w:t xml:space="preserve">This study responds to these gaps by exploring how university students in the UK narrate their experiences of contactless payment. It links financial technology adoption literature with behavioural research on payment salience and student budgeting. The study does not aim to claim that contactless payment causes overspending. Instead, it investigates how students perceive the relationship between convenience, trust and spending control in their own lives. This focus is timely because contactless and mobile wallet usage is growing, fraud and limit </w:t>
      </w:r>
      <w:r>
        <w:lastRenderedPageBreak/>
        <w:t>regulation remain active policy issues, and student financial pressure continues to be visible in UK higher education.</w:t>
      </w:r>
    </w:p>
    <w:p w14:paraId="3A07773B" w14:textId="77777777" w:rsidR="00417838" w:rsidRDefault="00000000">
      <w:pPr>
        <w:jc w:val="both"/>
      </w:pPr>
      <w:r>
        <w:t>A further issue is that contactless payment sits between two forms of control. On one hand, it can increase control because it produces digital records that can be checked through mobile banking, spending categories and instant notifications. Some challenger banks and mobile wallet ecosystems make spending more visible after the transaction than cash would. On the other hand, control may be delayed rather than present at the moment of payment. The student may only recognise the cumulative effect of spending later, when checking a banking app or noticing a low balance. This distinction between point-of-sale awareness and post-purchase visibility is important because it shows why contactless payment should not be treated as automatically careless or automatically empowering.</w:t>
      </w:r>
    </w:p>
    <w:p w14:paraId="4B75EB73" w14:textId="77777777" w:rsidR="00417838" w:rsidRDefault="00000000">
      <w:pPr>
        <w:jc w:val="both"/>
      </w:pPr>
      <w:r>
        <w:t>The comparison between physical contactless cards and mobile wallets also deserves attention. Both are contactless at the terminal, yet they can carry different meanings. A physical card may feel simple and reliable, but it may also feel vulnerable if lost because low-value transactions can be made before the card is blocked. A mobile wallet may feel safer because it often uses biometric authentication, but it may also deepen dependence on the smartphone and make payment part of a wider digital routine. This matters for students because the smartphone is not only a payment tool; it is also used for banking, budgeting, transport, messaging and social consumption. The interview design will therefore avoid treating all contactless payment as one identical experience.</w:t>
      </w:r>
    </w:p>
    <w:p w14:paraId="05D66C87" w14:textId="77777777" w:rsidR="00417838" w:rsidRDefault="00000000">
      <w:pPr>
        <w:jc w:val="both"/>
      </w:pPr>
      <w:r>
        <w:t xml:space="preserve">Finally, the student context adds a critical dimension to mainstream payment adoption theory. Models such as TAM and UTAUT explain why consumers accept a technology, but they do not fully address whether acceptance improves financial wellbeing. For financially pressured </w:t>
      </w:r>
      <w:r>
        <w:lastRenderedPageBreak/>
        <w:t>students, the most convenient payment method may not always be the most helpful method for budgeting. This proposal therefore positions spending control as a central interpretive theme rather than a secondary outcome. The research gap is not simply that students use contactless payment, but that their everyday reflections on speed, trust and self-control remain under-explored within the UK higher education context.</w:t>
      </w:r>
    </w:p>
    <w:p w14:paraId="0E0E310A" w14:textId="77777777" w:rsidR="00417838" w:rsidRDefault="00000000">
      <w:pPr>
        <w:pStyle w:val="Heading1"/>
      </w:pPr>
      <w:bookmarkStart w:id="8" w:name="_Toc234925671"/>
      <w:r>
        <w:rPr>
          <w:rFonts w:ascii="Times New Roman" w:eastAsia="Times New Roman" w:hAnsi="Times New Roman"/>
        </w:rPr>
        <w:t>4. Proposed Methodology</w:t>
      </w:r>
      <w:bookmarkEnd w:id="8"/>
    </w:p>
    <w:p w14:paraId="517C16BC" w14:textId="77777777" w:rsidR="00417838" w:rsidRPr="00DF591A" w:rsidRDefault="00000000">
      <w:pPr>
        <w:pStyle w:val="Heading2"/>
        <w:rPr>
          <w:sz w:val="28"/>
          <w:szCs w:val="28"/>
        </w:rPr>
      </w:pPr>
      <w:bookmarkStart w:id="9" w:name="_Toc234925672"/>
      <w:r w:rsidRPr="00DF591A">
        <w:rPr>
          <w:rFonts w:ascii="Times New Roman" w:eastAsia="Times New Roman" w:hAnsi="Times New Roman"/>
          <w:sz w:val="28"/>
          <w:szCs w:val="28"/>
        </w:rPr>
        <w:t>4.1 Research philosophy</w:t>
      </w:r>
      <w:bookmarkEnd w:id="9"/>
    </w:p>
    <w:p w14:paraId="20811CCA" w14:textId="77777777" w:rsidR="00417838" w:rsidRDefault="00000000">
      <w:pPr>
        <w:jc w:val="both"/>
      </w:pPr>
      <w:r>
        <w:t>This study will adopt an interpretivist research philosophy. Interpretivism is appropriate because the research focuses on meanings, perceptions and lived experiences rather than objective measurement of fixed relationships. Students do not all experience contactless payment in the same way. For one student, contactless payment may symbolise independence and efficiency; for another, it may represent financial anxiety because money leaves the account too quickly. An interpretivist position allows the researcher to explore these subjective meanings and the social context in which they are produced (Saunders, Lewis and Thornhill, 2019; Easterby-Smith et al., 2018).</w:t>
      </w:r>
    </w:p>
    <w:p w14:paraId="143A39D7" w14:textId="77777777" w:rsidR="00417838" w:rsidRDefault="00000000">
      <w:pPr>
        <w:jc w:val="both"/>
      </w:pPr>
      <w:r>
        <w:t>The ontological assumption is that students’ payment experiences are socially constructed. The meaning of a contactless tap is shaped by personal budget, peer norms, retailer settings, banking app design and wider trust in financial institutions. The epistemological assumption is that knowledge can be developed by interpreting participants’ accounts of their experiences. The axiological position recognises that the researcher may have personal experience of contactless payment and student budgeting. Reflexivity will therefore be used to identify assumptions and reduce unexamined bias during interview design and analysis.</w:t>
      </w:r>
    </w:p>
    <w:p w14:paraId="18C9B963" w14:textId="77777777" w:rsidR="00417838" w:rsidRPr="00DF591A" w:rsidRDefault="00000000">
      <w:pPr>
        <w:pStyle w:val="Heading2"/>
        <w:rPr>
          <w:sz w:val="28"/>
          <w:szCs w:val="28"/>
        </w:rPr>
      </w:pPr>
      <w:bookmarkStart w:id="10" w:name="_Toc234925673"/>
      <w:r w:rsidRPr="00DF591A">
        <w:rPr>
          <w:rFonts w:ascii="Times New Roman" w:eastAsia="Times New Roman" w:hAnsi="Times New Roman"/>
          <w:sz w:val="28"/>
          <w:szCs w:val="28"/>
        </w:rPr>
        <w:lastRenderedPageBreak/>
        <w:t>4.2 Research approach and methodological choice</w:t>
      </w:r>
      <w:bookmarkEnd w:id="10"/>
    </w:p>
    <w:p w14:paraId="0DD9BAFF" w14:textId="77777777" w:rsidR="00417838" w:rsidRDefault="00000000">
      <w:pPr>
        <w:jc w:val="both"/>
      </w:pPr>
      <w:r>
        <w:t>The research will use an inductive approach. Rather than testing hypotheses such as whether convenience predicts use or whether risk reduces trust, the study will develop insights from interview data. This is suitable because the research questions ask how students describe and interpret contactless payment. An inductive approach is also appropriate because spending control may not be experienced in a simple positive or negative way. Participants may describe contactless payment as both convenient and difficult to control, or as safer than cash but easier to overuse.</w:t>
      </w:r>
    </w:p>
    <w:p w14:paraId="74E78CAB" w14:textId="77777777" w:rsidR="00417838" w:rsidRDefault="00000000">
      <w:pPr>
        <w:jc w:val="both"/>
      </w:pPr>
      <w:r>
        <w:t>The methodological choice will be qualitative mono-method. A quantitative survey could measure the prevalence of attitudes, but it would be less effective for exploring students’ nuanced explanations, contradictions and examples. A mixed-method design would provide broader coverage, but it would exceed the time and resource limits of this module. A qualitative mono-method design is therefore justified because it supports depth, feasibility and alignment with the exploratory research aim (Leavy, 2020; Bryman, 2016). The study will not aim for statistical generalisability; instead, it will pursue analytical depth and conceptual relevance.</w:t>
      </w:r>
    </w:p>
    <w:p w14:paraId="720C79A0" w14:textId="77777777" w:rsidR="00417838" w:rsidRPr="00DF591A" w:rsidRDefault="00000000">
      <w:pPr>
        <w:pStyle w:val="Heading2"/>
        <w:rPr>
          <w:sz w:val="28"/>
          <w:szCs w:val="28"/>
        </w:rPr>
      </w:pPr>
      <w:bookmarkStart w:id="11" w:name="_Toc234925674"/>
      <w:r w:rsidRPr="00DF591A">
        <w:rPr>
          <w:rFonts w:ascii="Times New Roman" w:eastAsia="Times New Roman" w:hAnsi="Times New Roman"/>
          <w:sz w:val="28"/>
          <w:szCs w:val="28"/>
        </w:rPr>
        <w:t>4.3 Research strategy and sampling</w:t>
      </w:r>
      <w:bookmarkEnd w:id="11"/>
    </w:p>
    <w:p w14:paraId="63A2D28E" w14:textId="77777777" w:rsidR="00417838" w:rsidRDefault="00000000">
      <w:pPr>
        <w:jc w:val="both"/>
      </w:pPr>
      <w:r>
        <w:t xml:space="preserve">The research strategy will be an exploratory qualitative study using semi-structured interviews. This strategy is suitable because it allows the researcher to ask common core questions while giving participants space to describe individual experiences. A case study of one bank or payment provider was considered, but it would shift the focus away from student perceptions and would require organisational access. Netnography was also considered, but online discussions about payment may not reveal how students actually manage payment choices in daily retail </w:t>
      </w:r>
      <w:r>
        <w:lastRenderedPageBreak/>
        <w:t>settings. Interviews are therefore more appropriate for exploring meaning, memory, comparison and self-reflection.</w:t>
      </w:r>
    </w:p>
    <w:p w14:paraId="78746CEC" w14:textId="77777777" w:rsidR="00417838" w:rsidRDefault="00000000">
      <w:pPr>
        <w:jc w:val="both"/>
      </w:pPr>
      <w:r>
        <w:t>The target population will be university students in the UK aged 18 or above who have used contactless payment within the past three months. This includes contactless debit or credit cards and mobile wallets such as Apple Pay, Google Pay or Samsung Wallet. A purposive sampling strategy will be used because participants need direct experience of the phenomenon. Snowball sampling may also be used if initial participants recommend other eligible students. The proposed sample size is 10 to 15 participants. This is suitable for a small-scale qualitative project because it allows detailed interviews and manageable analysis while still giving enough variation in experience.</w:t>
      </w:r>
    </w:p>
    <w:tbl>
      <w:tblPr>
        <w:tblStyle w:val="TableGrid"/>
        <w:tblW w:w="0" w:type="auto"/>
        <w:jc w:val="center"/>
        <w:tblLook w:val="04A0" w:firstRow="1" w:lastRow="0" w:firstColumn="1" w:lastColumn="0" w:noHBand="0" w:noVBand="1"/>
      </w:tblPr>
      <w:tblGrid>
        <w:gridCol w:w="3120"/>
        <w:gridCol w:w="3120"/>
        <w:gridCol w:w="3120"/>
      </w:tblGrid>
      <w:tr w:rsidR="00417838" w14:paraId="2F49B111" w14:textId="77777777">
        <w:trPr>
          <w:jc w:val="center"/>
        </w:trPr>
        <w:tc>
          <w:tcPr>
            <w:tcW w:w="3120" w:type="dxa"/>
            <w:shd w:val="clear" w:color="auto" w:fill="EAF2F8"/>
          </w:tcPr>
          <w:p w14:paraId="258383AF" w14:textId="77777777" w:rsidR="00417838" w:rsidRDefault="00000000">
            <w:pPr>
              <w:spacing w:after="0" w:line="240" w:lineRule="auto"/>
            </w:pPr>
            <w:r>
              <w:rPr>
                <w:b/>
                <w:sz w:val="21"/>
              </w:rPr>
              <w:t>Criterion</w:t>
            </w:r>
          </w:p>
        </w:tc>
        <w:tc>
          <w:tcPr>
            <w:tcW w:w="3120" w:type="dxa"/>
            <w:shd w:val="clear" w:color="auto" w:fill="EAF2F8"/>
          </w:tcPr>
          <w:p w14:paraId="415FA445" w14:textId="77777777" w:rsidR="00417838" w:rsidRDefault="00000000">
            <w:pPr>
              <w:spacing w:after="0" w:line="240" w:lineRule="auto"/>
            </w:pPr>
            <w:r>
              <w:rPr>
                <w:b/>
                <w:sz w:val="21"/>
              </w:rPr>
              <w:t>Inclusion / exclusion decision</w:t>
            </w:r>
          </w:p>
        </w:tc>
        <w:tc>
          <w:tcPr>
            <w:tcW w:w="3120" w:type="dxa"/>
            <w:shd w:val="clear" w:color="auto" w:fill="EAF2F8"/>
          </w:tcPr>
          <w:p w14:paraId="0D2DC0CA" w14:textId="77777777" w:rsidR="00417838" w:rsidRDefault="00000000">
            <w:pPr>
              <w:spacing w:after="0" w:line="240" w:lineRule="auto"/>
            </w:pPr>
            <w:r>
              <w:rPr>
                <w:b/>
                <w:sz w:val="21"/>
              </w:rPr>
              <w:t>Rationale</w:t>
            </w:r>
          </w:p>
        </w:tc>
      </w:tr>
      <w:tr w:rsidR="00417838" w14:paraId="5D0D3FEE" w14:textId="77777777">
        <w:trPr>
          <w:jc w:val="center"/>
        </w:trPr>
        <w:tc>
          <w:tcPr>
            <w:tcW w:w="3120" w:type="dxa"/>
          </w:tcPr>
          <w:p w14:paraId="391AAF0B" w14:textId="77777777" w:rsidR="00417838" w:rsidRDefault="00000000">
            <w:pPr>
              <w:spacing w:after="0" w:line="240" w:lineRule="auto"/>
            </w:pPr>
            <w:r>
              <w:rPr>
                <w:sz w:val="21"/>
              </w:rPr>
              <w:t>Age</w:t>
            </w:r>
          </w:p>
        </w:tc>
        <w:tc>
          <w:tcPr>
            <w:tcW w:w="3120" w:type="dxa"/>
          </w:tcPr>
          <w:p w14:paraId="4FBA18FB" w14:textId="77777777" w:rsidR="00417838" w:rsidRDefault="00000000">
            <w:pPr>
              <w:spacing w:after="0" w:line="240" w:lineRule="auto"/>
            </w:pPr>
            <w:r>
              <w:rPr>
                <w:sz w:val="21"/>
              </w:rPr>
              <w:t>Participants must be 18 or above.</w:t>
            </w:r>
          </w:p>
        </w:tc>
        <w:tc>
          <w:tcPr>
            <w:tcW w:w="3120" w:type="dxa"/>
          </w:tcPr>
          <w:p w14:paraId="315D22CF" w14:textId="77777777" w:rsidR="00417838" w:rsidRDefault="00000000">
            <w:pPr>
              <w:spacing w:after="0" w:line="240" w:lineRule="auto"/>
            </w:pPr>
            <w:r>
              <w:rPr>
                <w:sz w:val="21"/>
              </w:rPr>
              <w:t>Ensures adult consent and avoids additional ethical complexity involving minors.</w:t>
            </w:r>
          </w:p>
        </w:tc>
      </w:tr>
      <w:tr w:rsidR="00417838" w14:paraId="62204BCF" w14:textId="77777777">
        <w:trPr>
          <w:jc w:val="center"/>
        </w:trPr>
        <w:tc>
          <w:tcPr>
            <w:tcW w:w="3120" w:type="dxa"/>
          </w:tcPr>
          <w:p w14:paraId="605A7A68" w14:textId="77777777" w:rsidR="00417838" w:rsidRDefault="00000000">
            <w:pPr>
              <w:spacing w:after="0" w:line="240" w:lineRule="auto"/>
            </w:pPr>
            <w:r>
              <w:rPr>
                <w:sz w:val="21"/>
              </w:rPr>
              <w:t>Student status</w:t>
            </w:r>
          </w:p>
        </w:tc>
        <w:tc>
          <w:tcPr>
            <w:tcW w:w="3120" w:type="dxa"/>
          </w:tcPr>
          <w:p w14:paraId="0A16C5AC" w14:textId="77777777" w:rsidR="00417838" w:rsidRDefault="00000000">
            <w:pPr>
              <w:spacing w:after="0" w:line="240" w:lineRule="auto"/>
            </w:pPr>
            <w:r>
              <w:rPr>
                <w:sz w:val="21"/>
              </w:rPr>
              <w:t>Participants must currently study at a UK higher education institution.</w:t>
            </w:r>
          </w:p>
        </w:tc>
        <w:tc>
          <w:tcPr>
            <w:tcW w:w="3120" w:type="dxa"/>
          </w:tcPr>
          <w:p w14:paraId="26A9FB74" w14:textId="77777777" w:rsidR="00417838" w:rsidRDefault="00000000">
            <w:pPr>
              <w:spacing w:after="0" w:line="240" w:lineRule="auto"/>
            </w:pPr>
            <w:r>
              <w:rPr>
                <w:sz w:val="21"/>
              </w:rPr>
              <w:t>Keeps the research focused on university student experiences.</w:t>
            </w:r>
          </w:p>
        </w:tc>
      </w:tr>
      <w:tr w:rsidR="00417838" w14:paraId="6758A91D" w14:textId="77777777">
        <w:trPr>
          <w:jc w:val="center"/>
        </w:trPr>
        <w:tc>
          <w:tcPr>
            <w:tcW w:w="3120" w:type="dxa"/>
          </w:tcPr>
          <w:p w14:paraId="0C0926A9" w14:textId="77777777" w:rsidR="00417838" w:rsidRDefault="00000000">
            <w:pPr>
              <w:spacing w:after="0" w:line="240" w:lineRule="auto"/>
            </w:pPr>
            <w:r>
              <w:rPr>
                <w:sz w:val="21"/>
              </w:rPr>
              <w:t>Payment experience</w:t>
            </w:r>
          </w:p>
        </w:tc>
        <w:tc>
          <w:tcPr>
            <w:tcW w:w="3120" w:type="dxa"/>
          </w:tcPr>
          <w:p w14:paraId="561CC86E" w14:textId="77777777" w:rsidR="00417838" w:rsidRDefault="00000000">
            <w:pPr>
              <w:spacing w:after="0" w:line="240" w:lineRule="auto"/>
            </w:pPr>
            <w:r>
              <w:rPr>
                <w:sz w:val="21"/>
              </w:rPr>
              <w:t>Participants must have used contactless card or mobile wallet payment within the past three months.</w:t>
            </w:r>
          </w:p>
        </w:tc>
        <w:tc>
          <w:tcPr>
            <w:tcW w:w="3120" w:type="dxa"/>
          </w:tcPr>
          <w:p w14:paraId="29421627" w14:textId="77777777" w:rsidR="00417838" w:rsidRDefault="00000000">
            <w:pPr>
              <w:spacing w:after="0" w:line="240" w:lineRule="auto"/>
            </w:pPr>
            <w:r>
              <w:rPr>
                <w:sz w:val="21"/>
              </w:rPr>
              <w:t>Ensures participants can discuss recent and relevant experiences.</w:t>
            </w:r>
          </w:p>
        </w:tc>
      </w:tr>
      <w:tr w:rsidR="00417838" w14:paraId="7DFF6861" w14:textId="77777777">
        <w:trPr>
          <w:jc w:val="center"/>
        </w:trPr>
        <w:tc>
          <w:tcPr>
            <w:tcW w:w="3120" w:type="dxa"/>
          </w:tcPr>
          <w:p w14:paraId="4F5C9A4C" w14:textId="77777777" w:rsidR="00417838" w:rsidRDefault="00000000">
            <w:pPr>
              <w:spacing w:after="0" w:line="240" w:lineRule="auto"/>
            </w:pPr>
            <w:r>
              <w:rPr>
                <w:sz w:val="21"/>
              </w:rPr>
              <w:t>Diversity aim</w:t>
            </w:r>
          </w:p>
        </w:tc>
        <w:tc>
          <w:tcPr>
            <w:tcW w:w="3120" w:type="dxa"/>
          </w:tcPr>
          <w:p w14:paraId="2E982A81" w14:textId="77777777" w:rsidR="00417838" w:rsidRDefault="00000000">
            <w:pPr>
              <w:spacing w:after="0" w:line="240" w:lineRule="auto"/>
            </w:pPr>
            <w:r>
              <w:rPr>
                <w:sz w:val="21"/>
              </w:rPr>
              <w:t>Recruitment will aim for variation in gender, course level, domestic/international status and payment habits.</w:t>
            </w:r>
          </w:p>
        </w:tc>
        <w:tc>
          <w:tcPr>
            <w:tcW w:w="3120" w:type="dxa"/>
          </w:tcPr>
          <w:p w14:paraId="1EA368FD" w14:textId="77777777" w:rsidR="00417838" w:rsidRDefault="00000000">
            <w:pPr>
              <w:spacing w:after="0" w:line="240" w:lineRule="auto"/>
            </w:pPr>
            <w:r>
              <w:rPr>
                <w:sz w:val="21"/>
              </w:rPr>
              <w:t>Supports richer qualitative comparison without claiming representativeness.</w:t>
            </w:r>
          </w:p>
        </w:tc>
      </w:tr>
    </w:tbl>
    <w:p w14:paraId="4A545377" w14:textId="77777777" w:rsidR="00417838" w:rsidRDefault="00417838"/>
    <w:p w14:paraId="2012CA3C" w14:textId="77777777" w:rsidR="00417838" w:rsidRPr="00DF591A" w:rsidRDefault="00000000">
      <w:pPr>
        <w:pStyle w:val="Heading2"/>
        <w:rPr>
          <w:sz w:val="28"/>
          <w:szCs w:val="28"/>
        </w:rPr>
      </w:pPr>
      <w:bookmarkStart w:id="12" w:name="_Toc234925675"/>
      <w:r w:rsidRPr="00DF591A">
        <w:rPr>
          <w:rFonts w:ascii="Times New Roman" w:eastAsia="Times New Roman" w:hAnsi="Times New Roman"/>
          <w:sz w:val="28"/>
          <w:szCs w:val="28"/>
        </w:rPr>
        <w:t>4.4 Evaluation of the chosen method</w:t>
      </w:r>
      <w:bookmarkEnd w:id="12"/>
    </w:p>
    <w:p w14:paraId="0BE516A6" w14:textId="77777777" w:rsidR="00417838" w:rsidRDefault="00000000">
      <w:pPr>
        <w:jc w:val="both"/>
      </w:pPr>
      <w:r>
        <w:t xml:space="preserve">Semi-structured interviews offer several strengths. First, they are flexible. The researcher can ask planned questions about convenience, trust and spending control, while also following up on unexpected issues such as budgeting apps, overdrafts, cash use or peer influence. Second, interviews support depth. Participants can describe recent purchases, explain how they felt at the </w:t>
      </w:r>
      <w:r>
        <w:lastRenderedPageBreak/>
        <w:t>payment moment and reflect on whether contactless payment changed their awareness of money. Third, interviews are appropriate for exploring contradictions. A participant may trust Apple Pay technically but still worry about overspending; this kind of tension is central to the proposed study.</w:t>
      </w:r>
    </w:p>
    <w:p w14:paraId="6EA29048" w14:textId="77777777" w:rsidR="00417838" w:rsidRDefault="00000000">
      <w:pPr>
        <w:jc w:val="both"/>
      </w:pPr>
      <w:r>
        <w:t>The method also has limitations. Interviews are time-consuming to conduct, transcribe and analyse. Participants may not remember spending behaviour accurately, or may present themselves as more careful than they are. Social desirability bias is possible, especially when discussing budgeting and impulse spending. To reduce these risks, the interview guide will ask participants for recent specific examples rather than only general opinions. The study will also make clear that there are no right or wrong answers. Findings will be presented as exploratory interpretations rather than generalised claims about all UK students.</w:t>
      </w:r>
    </w:p>
    <w:p w14:paraId="6D85F9EA" w14:textId="77777777" w:rsidR="00417838" w:rsidRPr="00DF591A" w:rsidRDefault="00000000">
      <w:pPr>
        <w:pStyle w:val="Heading1"/>
      </w:pPr>
      <w:bookmarkStart w:id="13" w:name="_Toc234925676"/>
      <w:r w:rsidRPr="00DF591A">
        <w:rPr>
          <w:rFonts w:ascii="Times New Roman" w:eastAsia="Times New Roman" w:hAnsi="Times New Roman"/>
        </w:rPr>
        <w:t>5. Data Collection and Data Analysis Plan</w:t>
      </w:r>
      <w:bookmarkEnd w:id="13"/>
    </w:p>
    <w:p w14:paraId="47D16517" w14:textId="77777777" w:rsidR="00417838" w:rsidRPr="00DF591A" w:rsidRDefault="00000000">
      <w:pPr>
        <w:pStyle w:val="Heading2"/>
        <w:rPr>
          <w:sz w:val="28"/>
          <w:szCs w:val="28"/>
        </w:rPr>
      </w:pPr>
      <w:bookmarkStart w:id="14" w:name="_Toc234925677"/>
      <w:r w:rsidRPr="00DF591A">
        <w:rPr>
          <w:rFonts w:ascii="Times New Roman" w:eastAsia="Times New Roman" w:hAnsi="Times New Roman"/>
          <w:sz w:val="28"/>
          <w:szCs w:val="28"/>
        </w:rPr>
        <w:t>5.1 Data collection method</w:t>
      </w:r>
      <w:bookmarkEnd w:id="14"/>
    </w:p>
    <w:p w14:paraId="47201087" w14:textId="77777777" w:rsidR="00417838" w:rsidRDefault="00000000">
      <w:pPr>
        <w:jc w:val="both"/>
      </w:pPr>
      <w:r>
        <w:t>Primary data will be collected through semi-structured interviews lasting approximately 25 to 35 minutes. Interviews may be conducted online using Microsoft Teams, Zoom or another suitable platform, or face-to-face in a quiet university setting if practical and ethically appropriate. Online interviews are useful because they reduce travel cost and enable flexible scheduling. With participant permission, interviews will be audio-recorded and transcribed. If a participant does not consent to recording, detailed notes will be taken instead, although recording is preferred to support accuracy.</w:t>
      </w:r>
    </w:p>
    <w:p w14:paraId="3426D779" w14:textId="77777777" w:rsidR="00417838" w:rsidRDefault="00000000">
      <w:pPr>
        <w:jc w:val="both"/>
      </w:pPr>
      <w:r>
        <w:t xml:space="preserve">The interview guide will include questions on everyday payment routines, situations in which contactless payment is preferred or avoided, perceptions of convenience, trust in cards and mobile wallets, concerns about fraud or accidental spending, and strategies for budgeting. The </w:t>
      </w:r>
      <w:r>
        <w:lastRenderedPageBreak/>
        <w:t>guide will be piloted with one student to check clarity, timing and sensitivity. Pilot feedback will be used to refine question wording before main data collection. The pilot interview may be excluded from the final dataset if major changes are made to the guide.</w:t>
      </w:r>
    </w:p>
    <w:tbl>
      <w:tblPr>
        <w:tblStyle w:val="TableGrid"/>
        <w:tblW w:w="0" w:type="auto"/>
        <w:jc w:val="center"/>
        <w:tblLook w:val="04A0" w:firstRow="1" w:lastRow="0" w:firstColumn="1" w:lastColumn="0" w:noHBand="0" w:noVBand="1"/>
      </w:tblPr>
      <w:tblGrid>
        <w:gridCol w:w="3120"/>
        <w:gridCol w:w="3120"/>
        <w:gridCol w:w="3120"/>
      </w:tblGrid>
      <w:tr w:rsidR="00417838" w14:paraId="74F58227" w14:textId="77777777">
        <w:trPr>
          <w:jc w:val="center"/>
        </w:trPr>
        <w:tc>
          <w:tcPr>
            <w:tcW w:w="3120" w:type="dxa"/>
            <w:shd w:val="clear" w:color="auto" w:fill="EAF2F8"/>
          </w:tcPr>
          <w:p w14:paraId="5124FAEC" w14:textId="77777777" w:rsidR="00417838" w:rsidRDefault="00000000">
            <w:pPr>
              <w:spacing w:after="0" w:line="240" w:lineRule="auto"/>
            </w:pPr>
            <w:r>
              <w:rPr>
                <w:b/>
                <w:sz w:val="21"/>
              </w:rPr>
              <w:t>Interview theme</w:t>
            </w:r>
          </w:p>
        </w:tc>
        <w:tc>
          <w:tcPr>
            <w:tcW w:w="3120" w:type="dxa"/>
            <w:shd w:val="clear" w:color="auto" w:fill="EAF2F8"/>
          </w:tcPr>
          <w:p w14:paraId="12BB11E5" w14:textId="77777777" w:rsidR="00417838" w:rsidRDefault="00000000">
            <w:pPr>
              <w:spacing w:after="0" w:line="240" w:lineRule="auto"/>
            </w:pPr>
            <w:r>
              <w:rPr>
                <w:b/>
                <w:sz w:val="21"/>
              </w:rPr>
              <w:t>Example question</w:t>
            </w:r>
          </w:p>
        </w:tc>
        <w:tc>
          <w:tcPr>
            <w:tcW w:w="3120" w:type="dxa"/>
            <w:shd w:val="clear" w:color="auto" w:fill="EAF2F8"/>
          </w:tcPr>
          <w:p w14:paraId="2DAA2FB8" w14:textId="77777777" w:rsidR="00417838" w:rsidRDefault="00000000">
            <w:pPr>
              <w:spacing w:after="0" w:line="240" w:lineRule="auto"/>
            </w:pPr>
            <w:r>
              <w:rPr>
                <w:b/>
                <w:sz w:val="21"/>
              </w:rPr>
              <w:t>Linked research question</w:t>
            </w:r>
          </w:p>
        </w:tc>
      </w:tr>
      <w:tr w:rsidR="00417838" w14:paraId="618322A2" w14:textId="77777777">
        <w:trPr>
          <w:jc w:val="center"/>
        </w:trPr>
        <w:tc>
          <w:tcPr>
            <w:tcW w:w="3120" w:type="dxa"/>
          </w:tcPr>
          <w:p w14:paraId="098F09FB" w14:textId="77777777" w:rsidR="00417838" w:rsidRDefault="00000000">
            <w:pPr>
              <w:spacing w:after="0" w:line="240" w:lineRule="auto"/>
            </w:pPr>
            <w:r>
              <w:rPr>
                <w:sz w:val="21"/>
              </w:rPr>
              <w:t>Everyday use</w:t>
            </w:r>
          </w:p>
        </w:tc>
        <w:tc>
          <w:tcPr>
            <w:tcW w:w="3120" w:type="dxa"/>
          </w:tcPr>
          <w:p w14:paraId="4F7EA6BE" w14:textId="77777777" w:rsidR="00417838" w:rsidRDefault="00000000">
            <w:pPr>
              <w:spacing w:after="0" w:line="240" w:lineRule="auto"/>
            </w:pPr>
            <w:r>
              <w:rPr>
                <w:sz w:val="21"/>
              </w:rPr>
              <w:t>Can you describe when you usually use contactless payment during a normal week?</w:t>
            </w:r>
          </w:p>
        </w:tc>
        <w:tc>
          <w:tcPr>
            <w:tcW w:w="3120" w:type="dxa"/>
          </w:tcPr>
          <w:p w14:paraId="48CFA894" w14:textId="77777777" w:rsidR="00417838" w:rsidRDefault="00000000">
            <w:pPr>
              <w:spacing w:after="0" w:line="240" w:lineRule="auto"/>
            </w:pPr>
            <w:r>
              <w:rPr>
                <w:sz w:val="21"/>
              </w:rPr>
              <w:t>RQ1</w:t>
            </w:r>
          </w:p>
        </w:tc>
      </w:tr>
      <w:tr w:rsidR="00417838" w14:paraId="5413F8D6" w14:textId="77777777">
        <w:trPr>
          <w:jc w:val="center"/>
        </w:trPr>
        <w:tc>
          <w:tcPr>
            <w:tcW w:w="3120" w:type="dxa"/>
          </w:tcPr>
          <w:p w14:paraId="7ED49E21" w14:textId="77777777" w:rsidR="00417838" w:rsidRDefault="00000000">
            <w:pPr>
              <w:spacing w:after="0" w:line="240" w:lineRule="auto"/>
            </w:pPr>
            <w:r>
              <w:rPr>
                <w:sz w:val="21"/>
              </w:rPr>
              <w:t>Convenience</w:t>
            </w:r>
          </w:p>
        </w:tc>
        <w:tc>
          <w:tcPr>
            <w:tcW w:w="3120" w:type="dxa"/>
          </w:tcPr>
          <w:p w14:paraId="3DC34CCD" w14:textId="77777777" w:rsidR="00417838" w:rsidRDefault="00000000">
            <w:pPr>
              <w:spacing w:after="0" w:line="240" w:lineRule="auto"/>
            </w:pPr>
            <w:r>
              <w:rPr>
                <w:sz w:val="21"/>
              </w:rPr>
              <w:t>What makes contactless payment convenient or inconvenient for you?</w:t>
            </w:r>
          </w:p>
        </w:tc>
        <w:tc>
          <w:tcPr>
            <w:tcW w:w="3120" w:type="dxa"/>
          </w:tcPr>
          <w:p w14:paraId="08663535" w14:textId="77777777" w:rsidR="00417838" w:rsidRDefault="00000000">
            <w:pPr>
              <w:spacing w:after="0" w:line="240" w:lineRule="auto"/>
            </w:pPr>
            <w:r>
              <w:rPr>
                <w:sz w:val="21"/>
              </w:rPr>
              <w:t>RQ1</w:t>
            </w:r>
          </w:p>
        </w:tc>
      </w:tr>
      <w:tr w:rsidR="00417838" w14:paraId="7D17A088" w14:textId="77777777">
        <w:trPr>
          <w:jc w:val="center"/>
        </w:trPr>
        <w:tc>
          <w:tcPr>
            <w:tcW w:w="3120" w:type="dxa"/>
          </w:tcPr>
          <w:p w14:paraId="1D3E07A1" w14:textId="77777777" w:rsidR="00417838" w:rsidRDefault="00000000">
            <w:pPr>
              <w:spacing w:after="0" w:line="240" w:lineRule="auto"/>
            </w:pPr>
            <w:r>
              <w:rPr>
                <w:sz w:val="21"/>
              </w:rPr>
              <w:t>Trust and security</w:t>
            </w:r>
          </w:p>
        </w:tc>
        <w:tc>
          <w:tcPr>
            <w:tcW w:w="3120" w:type="dxa"/>
          </w:tcPr>
          <w:p w14:paraId="6FB775D1" w14:textId="77777777" w:rsidR="00417838" w:rsidRDefault="00000000">
            <w:pPr>
              <w:spacing w:after="0" w:line="240" w:lineRule="auto"/>
            </w:pPr>
            <w:r>
              <w:rPr>
                <w:sz w:val="21"/>
              </w:rPr>
              <w:t>Do contactless cards and mobile wallets feel secure to you? Why or why not?</w:t>
            </w:r>
          </w:p>
        </w:tc>
        <w:tc>
          <w:tcPr>
            <w:tcW w:w="3120" w:type="dxa"/>
          </w:tcPr>
          <w:p w14:paraId="6C2FB3F5" w14:textId="77777777" w:rsidR="00417838" w:rsidRDefault="00000000">
            <w:pPr>
              <w:spacing w:after="0" w:line="240" w:lineRule="auto"/>
            </w:pPr>
            <w:r>
              <w:rPr>
                <w:sz w:val="21"/>
              </w:rPr>
              <w:t>RQ2</w:t>
            </w:r>
          </w:p>
        </w:tc>
      </w:tr>
      <w:tr w:rsidR="00417838" w14:paraId="58237EF0" w14:textId="77777777">
        <w:trPr>
          <w:jc w:val="center"/>
        </w:trPr>
        <w:tc>
          <w:tcPr>
            <w:tcW w:w="3120" w:type="dxa"/>
          </w:tcPr>
          <w:p w14:paraId="0E767C38" w14:textId="77777777" w:rsidR="00417838" w:rsidRDefault="00000000">
            <w:pPr>
              <w:spacing w:after="0" w:line="240" w:lineRule="auto"/>
            </w:pPr>
            <w:r>
              <w:rPr>
                <w:sz w:val="21"/>
              </w:rPr>
              <w:t>Fraud concerns</w:t>
            </w:r>
          </w:p>
        </w:tc>
        <w:tc>
          <w:tcPr>
            <w:tcW w:w="3120" w:type="dxa"/>
          </w:tcPr>
          <w:p w14:paraId="728818BA" w14:textId="77777777" w:rsidR="00417838" w:rsidRDefault="00000000">
            <w:pPr>
              <w:spacing w:after="0" w:line="240" w:lineRule="auto"/>
            </w:pPr>
            <w:r>
              <w:rPr>
                <w:sz w:val="21"/>
              </w:rPr>
              <w:t>Have you ever worried about losing your card or phone, accidental payment or unauthorised use?</w:t>
            </w:r>
          </w:p>
        </w:tc>
        <w:tc>
          <w:tcPr>
            <w:tcW w:w="3120" w:type="dxa"/>
          </w:tcPr>
          <w:p w14:paraId="6A299419" w14:textId="77777777" w:rsidR="00417838" w:rsidRDefault="00000000">
            <w:pPr>
              <w:spacing w:after="0" w:line="240" w:lineRule="auto"/>
            </w:pPr>
            <w:r>
              <w:rPr>
                <w:sz w:val="21"/>
              </w:rPr>
              <w:t>RQ2</w:t>
            </w:r>
          </w:p>
        </w:tc>
      </w:tr>
      <w:tr w:rsidR="00417838" w14:paraId="445410E5" w14:textId="77777777">
        <w:trPr>
          <w:jc w:val="center"/>
        </w:trPr>
        <w:tc>
          <w:tcPr>
            <w:tcW w:w="3120" w:type="dxa"/>
          </w:tcPr>
          <w:p w14:paraId="64C9A0B1" w14:textId="77777777" w:rsidR="00417838" w:rsidRDefault="00000000">
            <w:pPr>
              <w:spacing w:after="0" w:line="240" w:lineRule="auto"/>
            </w:pPr>
            <w:r>
              <w:rPr>
                <w:sz w:val="21"/>
              </w:rPr>
              <w:t>Spending control</w:t>
            </w:r>
          </w:p>
        </w:tc>
        <w:tc>
          <w:tcPr>
            <w:tcW w:w="3120" w:type="dxa"/>
          </w:tcPr>
          <w:p w14:paraId="26268889" w14:textId="77777777" w:rsidR="00417838" w:rsidRDefault="00000000">
            <w:pPr>
              <w:spacing w:after="0" w:line="240" w:lineRule="auto"/>
            </w:pPr>
            <w:r>
              <w:rPr>
                <w:sz w:val="21"/>
              </w:rPr>
              <w:t>Do you think contactless payment makes it easier or harder to keep track of spending?</w:t>
            </w:r>
          </w:p>
        </w:tc>
        <w:tc>
          <w:tcPr>
            <w:tcW w:w="3120" w:type="dxa"/>
          </w:tcPr>
          <w:p w14:paraId="2F50A844" w14:textId="77777777" w:rsidR="00417838" w:rsidRDefault="00000000">
            <w:pPr>
              <w:spacing w:after="0" w:line="240" w:lineRule="auto"/>
            </w:pPr>
            <w:r>
              <w:rPr>
                <w:sz w:val="21"/>
              </w:rPr>
              <w:t>RQ3</w:t>
            </w:r>
          </w:p>
        </w:tc>
      </w:tr>
      <w:tr w:rsidR="00417838" w14:paraId="497ADD0F" w14:textId="77777777">
        <w:trPr>
          <w:jc w:val="center"/>
        </w:trPr>
        <w:tc>
          <w:tcPr>
            <w:tcW w:w="3120" w:type="dxa"/>
          </w:tcPr>
          <w:p w14:paraId="6818F303" w14:textId="77777777" w:rsidR="00417838" w:rsidRDefault="00000000">
            <w:pPr>
              <w:spacing w:after="0" w:line="240" w:lineRule="auto"/>
            </w:pPr>
            <w:r>
              <w:rPr>
                <w:sz w:val="21"/>
              </w:rPr>
              <w:t>Comparison</w:t>
            </w:r>
          </w:p>
        </w:tc>
        <w:tc>
          <w:tcPr>
            <w:tcW w:w="3120" w:type="dxa"/>
          </w:tcPr>
          <w:p w14:paraId="202FA16B" w14:textId="77777777" w:rsidR="00417838" w:rsidRDefault="00000000">
            <w:pPr>
              <w:spacing w:after="0" w:line="240" w:lineRule="auto"/>
            </w:pPr>
            <w:r>
              <w:rPr>
                <w:sz w:val="21"/>
              </w:rPr>
              <w:t>How do you compare using a physical contactless card with Apple Pay, Google Pay or another mobile wallet?</w:t>
            </w:r>
          </w:p>
        </w:tc>
        <w:tc>
          <w:tcPr>
            <w:tcW w:w="3120" w:type="dxa"/>
          </w:tcPr>
          <w:p w14:paraId="5E504BDA" w14:textId="77777777" w:rsidR="00417838" w:rsidRDefault="00000000">
            <w:pPr>
              <w:spacing w:after="0" w:line="240" w:lineRule="auto"/>
            </w:pPr>
            <w:r>
              <w:rPr>
                <w:sz w:val="21"/>
              </w:rPr>
              <w:t>RQ4</w:t>
            </w:r>
          </w:p>
        </w:tc>
      </w:tr>
    </w:tbl>
    <w:p w14:paraId="097F73C0" w14:textId="77777777" w:rsidR="00417838" w:rsidRDefault="00417838"/>
    <w:p w14:paraId="7988446B" w14:textId="77777777" w:rsidR="00417838" w:rsidRDefault="00000000">
      <w:pPr>
        <w:pStyle w:val="Heading2"/>
      </w:pPr>
      <w:bookmarkStart w:id="15" w:name="_Toc234925678"/>
      <w:r>
        <w:rPr>
          <w:rFonts w:ascii="Times New Roman" w:eastAsia="Times New Roman" w:hAnsi="Times New Roman"/>
        </w:rPr>
        <w:t>5.2 Data analysis method</w:t>
      </w:r>
      <w:bookmarkEnd w:id="15"/>
    </w:p>
    <w:p w14:paraId="7BB5BB7F" w14:textId="77777777" w:rsidR="00417838" w:rsidRDefault="00000000">
      <w:pPr>
        <w:jc w:val="both"/>
      </w:pPr>
      <w:r>
        <w:t>The data will be analysed using reflexive thematic analysis, informed by Braun and Clarke’s approach. Thematic analysis is suitable because it offers a flexible and systematic way to identify patterns of meaning across qualitative data (Braun and Clarke, 2006; Braun and Clarke, 2021; Braun and Clarke, 2022; Byrne, 2022). The process will involve six broad phases: familiarisation with the data, generation of initial codes, development of candidate themes, review of themes, definition and naming of themes, and production of the final analysis.</w:t>
      </w:r>
    </w:p>
    <w:p w14:paraId="05E6F64B" w14:textId="77777777" w:rsidR="00417838" w:rsidRDefault="00000000">
      <w:pPr>
        <w:jc w:val="both"/>
      </w:pPr>
      <w:r>
        <w:t xml:space="preserve">In the first phase, transcripts will be read several times to develop familiarity. Initial observations will be recorded, including repeated ideas, emotional language and contradictions. In the second phase, meaningful data segments will be coded. Possible codes may include ‘speed between </w:t>
      </w:r>
      <w:r>
        <w:lastRenderedPageBreak/>
        <w:t>lectures’, ‘not feeling money leave’, ‘bank app checking’, ‘Face ID feels safer’, ‘fear of lost card’, ‘small purchases add up’, ‘cash as budgeting tool’, ‘payment notifications’ and ‘peer normality’. In later phases, related codes will be grouped into themes such as contactless as everyday convenience, trust through authentication, hidden spending and budgeting friction, and mobile wallets as control tools.</w:t>
      </w:r>
    </w:p>
    <w:p w14:paraId="0883582B" w14:textId="77777777" w:rsidR="00417838" w:rsidRDefault="00000000">
      <w:pPr>
        <w:jc w:val="both"/>
      </w:pPr>
      <w:r>
        <w:t>The analysis will combine semantic and latent interpretation. Semantic coding will capture what participants explicitly say, for example, ‘I check my Monzo app after buying food’. Latent interpretation will consider underlying meanings, such as whether app notifications restore the spending awareness that contactless payment removes at the till. NVivo may be used to organise the data, but manual coding in Word or Excel would also be feasible for a sample of 10 to 15 interviews. The quality of analysis will depend on reflexive engagement with the data rather than on software alone.</w:t>
      </w:r>
    </w:p>
    <w:p w14:paraId="31DA1096" w14:textId="77777777" w:rsidR="00417838" w:rsidRPr="00DF591A" w:rsidRDefault="00000000">
      <w:pPr>
        <w:pStyle w:val="Heading2"/>
        <w:rPr>
          <w:sz w:val="28"/>
          <w:szCs w:val="28"/>
        </w:rPr>
      </w:pPr>
      <w:bookmarkStart w:id="16" w:name="_Toc234925679"/>
      <w:r w:rsidRPr="00DF591A">
        <w:rPr>
          <w:rFonts w:ascii="Times New Roman" w:eastAsia="Times New Roman" w:hAnsi="Times New Roman"/>
          <w:sz w:val="28"/>
          <w:szCs w:val="28"/>
        </w:rPr>
        <w:t>5.3 Ensuring qualitative research quality</w:t>
      </w:r>
      <w:bookmarkEnd w:id="16"/>
    </w:p>
    <w:p w14:paraId="15BB0F5B" w14:textId="77777777" w:rsidR="00417838" w:rsidRDefault="00000000">
      <w:pPr>
        <w:jc w:val="both"/>
      </w:pPr>
      <w:r>
        <w:t>Research quality will be supported through credibility, dependability, transferability and confirmability (Lincoln and Guba, 1985). Credibility will be strengthened by using direct anonymised quotations and asking participants to provide recent concrete examples. Dependability will be supported through an audit trail, including recruitment notes, interview guide revisions and coding decisions. Transferability will be addressed by clearly describing participant characteristics and the UK student context, so that readers can judge relevance to other settings. Confirmability will be supported through reflexive notes that record the researcher’s assumptions and analytical decisions.</w:t>
      </w:r>
    </w:p>
    <w:p w14:paraId="4448C6C3" w14:textId="77777777" w:rsidR="00417838" w:rsidRDefault="00000000">
      <w:pPr>
        <w:jc w:val="both"/>
      </w:pPr>
      <w:r>
        <w:t xml:space="preserve">Inter-coder reliability will not be used as a formal quality measure because reflexive thematic analysis treats coding as an interpretive process rather than a mechanical act of categorisation </w:t>
      </w:r>
      <w:r>
        <w:lastRenderedPageBreak/>
        <w:t>(Braun and Clarke, 2021). However, the researcher may discuss emerging themes with a supervisor or peer to challenge assumptions and improve analytical clarity. This form of peer reflection will not replace the researcher’s interpretive responsibility, but it can make the analysis more thoughtful and transparent.</w:t>
      </w:r>
    </w:p>
    <w:p w14:paraId="36FE033A" w14:textId="77777777" w:rsidR="00417838" w:rsidRDefault="00000000">
      <w:pPr>
        <w:pStyle w:val="Heading1"/>
      </w:pPr>
      <w:bookmarkStart w:id="17" w:name="_Toc234925680"/>
      <w:r>
        <w:rPr>
          <w:rFonts w:ascii="Times New Roman" w:eastAsia="Times New Roman" w:hAnsi="Times New Roman"/>
        </w:rPr>
        <w:t>6. Ethical Considerations</w:t>
      </w:r>
      <w:bookmarkEnd w:id="17"/>
    </w:p>
    <w:p w14:paraId="49CEA07C" w14:textId="77777777" w:rsidR="00417838" w:rsidRDefault="00000000">
      <w:pPr>
        <w:jc w:val="both"/>
      </w:pPr>
      <w:r>
        <w:t>The study involves adult students discussing ordinary payment and budgeting experiences, so the ethical risk is moderate to low. Nevertheless, the topic can touch on financial pressure, embarrassment, debt anxiety or fraud experiences. Participants will therefore receive a clear information sheet explaining the purpose of the study, the voluntary nature of participation, interview length, data use, confidentiality and withdrawal rights. Informed consent will be obtained before each interview. Participants will be told that they may refuse to answer any question and may stop the interview at any time without giving a reason.</w:t>
      </w:r>
    </w:p>
    <w:p w14:paraId="16EF9BC7" w14:textId="77777777" w:rsidR="00417838" w:rsidRDefault="00000000">
      <w:pPr>
        <w:jc w:val="both"/>
      </w:pPr>
      <w:r>
        <w:t>Confidentiality and anonymity will be protected. Real names will be replaced with pseudonyms such as P1 or Participant A. Any identifying details, such as exact university, workplace, bank name if sensitive, or personal financial circumstances, will be removed or generalised in the transcript and final report. Audio recordings and transcripts will be stored on a password-protected device or university-approved storage system. Data will not be shared publicly. The final report may include short anonymised quotations, but these will be selected carefully to avoid identifying participants.</w:t>
      </w:r>
    </w:p>
    <w:p w14:paraId="0137D5E6" w14:textId="77777777" w:rsidR="00417838" w:rsidRDefault="00000000">
      <w:pPr>
        <w:jc w:val="both"/>
      </w:pPr>
      <w:r>
        <w:t xml:space="preserve">Data protection will follow UK GDPR principles, including data minimisation, secure storage and limited retention. Only information necessary to answer the research questions will be collected. The research will avoid asking participants to reveal bank balances, card numbers, account details, exact debt amounts or other sensitive financial data. If a participant raises </w:t>
      </w:r>
      <w:r>
        <w:lastRenderedPageBreak/>
        <w:t>distressing financial difficulty or fraud victimisation, the researcher will respond respectfully and may signpost general support sources such as university student support services or official fraud advice, but will not provide financial advice.</w:t>
      </w:r>
    </w:p>
    <w:p w14:paraId="5615794C" w14:textId="77777777" w:rsidR="00417838" w:rsidRDefault="00000000">
      <w:pPr>
        <w:jc w:val="both"/>
      </w:pPr>
      <w:r>
        <w:t>Researcher positionality will also be considered. If the researcher is a student and contactless payment user, personal assumptions may shape the interview process. For example, the researcher may assume that mobile wallets are safer or that contactless payment encourages overspending. Reflexive notes will be kept after interviews to record assumptions, surprises and interpretive decisions. This does not remove subjectivity entirely, but it makes the research process more transparent.</w:t>
      </w:r>
    </w:p>
    <w:tbl>
      <w:tblPr>
        <w:tblStyle w:val="TableGrid"/>
        <w:tblW w:w="0" w:type="auto"/>
        <w:jc w:val="center"/>
        <w:tblLook w:val="04A0" w:firstRow="1" w:lastRow="0" w:firstColumn="1" w:lastColumn="0" w:noHBand="0" w:noVBand="1"/>
      </w:tblPr>
      <w:tblGrid>
        <w:gridCol w:w="3120"/>
        <w:gridCol w:w="3120"/>
        <w:gridCol w:w="3120"/>
      </w:tblGrid>
      <w:tr w:rsidR="00417838" w14:paraId="4745D040" w14:textId="77777777">
        <w:trPr>
          <w:jc w:val="center"/>
        </w:trPr>
        <w:tc>
          <w:tcPr>
            <w:tcW w:w="3120" w:type="dxa"/>
            <w:shd w:val="clear" w:color="auto" w:fill="EAF2F8"/>
          </w:tcPr>
          <w:p w14:paraId="10DB40EA" w14:textId="77777777" w:rsidR="00417838" w:rsidRDefault="00000000">
            <w:pPr>
              <w:spacing w:after="0" w:line="240" w:lineRule="auto"/>
            </w:pPr>
            <w:r>
              <w:rPr>
                <w:b/>
                <w:sz w:val="21"/>
              </w:rPr>
              <w:t>Ethical issue</w:t>
            </w:r>
          </w:p>
        </w:tc>
        <w:tc>
          <w:tcPr>
            <w:tcW w:w="3120" w:type="dxa"/>
            <w:shd w:val="clear" w:color="auto" w:fill="EAF2F8"/>
          </w:tcPr>
          <w:p w14:paraId="465609F4" w14:textId="77777777" w:rsidR="00417838" w:rsidRDefault="00000000">
            <w:pPr>
              <w:spacing w:after="0" w:line="240" w:lineRule="auto"/>
            </w:pPr>
            <w:r>
              <w:rPr>
                <w:b/>
                <w:sz w:val="21"/>
              </w:rPr>
              <w:t>Potential risk</w:t>
            </w:r>
          </w:p>
        </w:tc>
        <w:tc>
          <w:tcPr>
            <w:tcW w:w="3120" w:type="dxa"/>
            <w:shd w:val="clear" w:color="auto" w:fill="EAF2F8"/>
          </w:tcPr>
          <w:p w14:paraId="6DC8B147" w14:textId="77777777" w:rsidR="00417838" w:rsidRDefault="00000000">
            <w:pPr>
              <w:spacing w:after="0" w:line="240" w:lineRule="auto"/>
            </w:pPr>
            <w:r>
              <w:rPr>
                <w:b/>
                <w:sz w:val="21"/>
              </w:rPr>
              <w:t>Management strategy</w:t>
            </w:r>
          </w:p>
        </w:tc>
      </w:tr>
      <w:tr w:rsidR="00417838" w14:paraId="2B3503B5" w14:textId="77777777">
        <w:trPr>
          <w:jc w:val="center"/>
        </w:trPr>
        <w:tc>
          <w:tcPr>
            <w:tcW w:w="3120" w:type="dxa"/>
          </w:tcPr>
          <w:p w14:paraId="5C5310D3" w14:textId="77777777" w:rsidR="00417838" w:rsidRDefault="00000000">
            <w:pPr>
              <w:spacing w:after="0" w:line="240" w:lineRule="auto"/>
            </w:pPr>
            <w:r>
              <w:rPr>
                <w:sz w:val="21"/>
              </w:rPr>
              <w:t>Informed consent</w:t>
            </w:r>
          </w:p>
        </w:tc>
        <w:tc>
          <w:tcPr>
            <w:tcW w:w="3120" w:type="dxa"/>
          </w:tcPr>
          <w:p w14:paraId="79B945DE" w14:textId="77777777" w:rsidR="00417838" w:rsidRDefault="00000000">
            <w:pPr>
              <w:spacing w:after="0" w:line="240" w:lineRule="auto"/>
            </w:pPr>
            <w:r>
              <w:rPr>
                <w:sz w:val="21"/>
              </w:rPr>
              <w:t>Participants may not fully understand the purpose of the study.</w:t>
            </w:r>
          </w:p>
        </w:tc>
        <w:tc>
          <w:tcPr>
            <w:tcW w:w="3120" w:type="dxa"/>
          </w:tcPr>
          <w:p w14:paraId="53BA3FF9" w14:textId="77777777" w:rsidR="00417838" w:rsidRDefault="00000000">
            <w:pPr>
              <w:spacing w:after="0" w:line="240" w:lineRule="auto"/>
            </w:pPr>
            <w:r>
              <w:rPr>
                <w:sz w:val="21"/>
              </w:rPr>
              <w:t>Provide information sheet and obtain written or recorded consent before interview.</w:t>
            </w:r>
          </w:p>
        </w:tc>
      </w:tr>
      <w:tr w:rsidR="00417838" w14:paraId="5E120E83" w14:textId="77777777">
        <w:trPr>
          <w:jc w:val="center"/>
        </w:trPr>
        <w:tc>
          <w:tcPr>
            <w:tcW w:w="3120" w:type="dxa"/>
          </w:tcPr>
          <w:p w14:paraId="2BDBFED6" w14:textId="77777777" w:rsidR="00417838" w:rsidRDefault="00000000">
            <w:pPr>
              <w:spacing w:after="0" w:line="240" w:lineRule="auto"/>
            </w:pPr>
            <w:r>
              <w:rPr>
                <w:sz w:val="21"/>
              </w:rPr>
              <w:t>Financial sensitivity</w:t>
            </w:r>
          </w:p>
        </w:tc>
        <w:tc>
          <w:tcPr>
            <w:tcW w:w="3120" w:type="dxa"/>
          </w:tcPr>
          <w:p w14:paraId="31CC278B" w14:textId="77777777" w:rsidR="00417838" w:rsidRDefault="00000000">
            <w:pPr>
              <w:spacing w:after="0" w:line="240" w:lineRule="auto"/>
            </w:pPr>
            <w:r>
              <w:rPr>
                <w:sz w:val="21"/>
              </w:rPr>
              <w:t>Participants may feel uncomfortable discussing spending habits.</w:t>
            </w:r>
          </w:p>
        </w:tc>
        <w:tc>
          <w:tcPr>
            <w:tcW w:w="3120" w:type="dxa"/>
          </w:tcPr>
          <w:p w14:paraId="0015C422" w14:textId="77777777" w:rsidR="00417838" w:rsidRDefault="00000000">
            <w:pPr>
              <w:spacing w:after="0" w:line="240" w:lineRule="auto"/>
            </w:pPr>
            <w:r>
              <w:rPr>
                <w:sz w:val="21"/>
              </w:rPr>
              <w:t>Avoid exact financial details and remind participants they can skip questions.</w:t>
            </w:r>
          </w:p>
        </w:tc>
      </w:tr>
      <w:tr w:rsidR="00417838" w14:paraId="68AB8325" w14:textId="77777777">
        <w:trPr>
          <w:jc w:val="center"/>
        </w:trPr>
        <w:tc>
          <w:tcPr>
            <w:tcW w:w="3120" w:type="dxa"/>
          </w:tcPr>
          <w:p w14:paraId="75C3A057" w14:textId="77777777" w:rsidR="00417838" w:rsidRDefault="00000000">
            <w:pPr>
              <w:spacing w:after="0" w:line="240" w:lineRule="auto"/>
            </w:pPr>
            <w:r>
              <w:rPr>
                <w:sz w:val="21"/>
              </w:rPr>
              <w:t>Confidentiality</w:t>
            </w:r>
          </w:p>
        </w:tc>
        <w:tc>
          <w:tcPr>
            <w:tcW w:w="3120" w:type="dxa"/>
          </w:tcPr>
          <w:p w14:paraId="6CEB0E88" w14:textId="77777777" w:rsidR="00417838" w:rsidRDefault="00000000">
            <w:pPr>
              <w:spacing w:after="0" w:line="240" w:lineRule="auto"/>
            </w:pPr>
            <w:r>
              <w:rPr>
                <w:sz w:val="21"/>
              </w:rPr>
              <w:t>Personal stories may reveal identity.</w:t>
            </w:r>
          </w:p>
        </w:tc>
        <w:tc>
          <w:tcPr>
            <w:tcW w:w="3120" w:type="dxa"/>
          </w:tcPr>
          <w:p w14:paraId="10996B06" w14:textId="77777777" w:rsidR="00417838" w:rsidRDefault="00000000">
            <w:pPr>
              <w:spacing w:after="0" w:line="240" w:lineRule="auto"/>
            </w:pPr>
            <w:r>
              <w:rPr>
                <w:sz w:val="21"/>
              </w:rPr>
              <w:t>Use pseudonyms and remove identifying details from transcripts and quotations.</w:t>
            </w:r>
          </w:p>
        </w:tc>
      </w:tr>
      <w:tr w:rsidR="00417838" w14:paraId="5AD32F83" w14:textId="77777777">
        <w:trPr>
          <w:jc w:val="center"/>
        </w:trPr>
        <w:tc>
          <w:tcPr>
            <w:tcW w:w="3120" w:type="dxa"/>
          </w:tcPr>
          <w:p w14:paraId="16D3049A" w14:textId="77777777" w:rsidR="00417838" w:rsidRDefault="00000000">
            <w:pPr>
              <w:spacing w:after="0" w:line="240" w:lineRule="auto"/>
            </w:pPr>
            <w:r>
              <w:rPr>
                <w:sz w:val="21"/>
              </w:rPr>
              <w:t>Data security</w:t>
            </w:r>
          </w:p>
        </w:tc>
        <w:tc>
          <w:tcPr>
            <w:tcW w:w="3120" w:type="dxa"/>
          </w:tcPr>
          <w:p w14:paraId="38643979" w14:textId="77777777" w:rsidR="00417838" w:rsidRDefault="00000000">
            <w:pPr>
              <w:spacing w:after="0" w:line="240" w:lineRule="auto"/>
            </w:pPr>
            <w:r>
              <w:rPr>
                <w:sz w:val="21"/>
              </w:rPr>
              <w:t>Recordings or transcripts could be accessed by others.</w:t>
            </w:r>
          </w:p>
        </w:tc>
        <w:tc>
          <w:tcPr>
            <w:tcW w:w="3120" w:type="dxa"/>
          </w:tcPr>
          <w:p w14:paraId="77FDB344" w14:textId="77777777" w:rsidR="00417838" w:rsidRDefault="00000000">
            <w:pPr>
              <w:spacing w:after="0" w:line="240" w:lineRule="auto"/>
            </w:pPr>
            <w:r>
              <w:rPr>
                <w:sz w:val="21"/>
              </w:rPr>
              <w:t>Store data securely on password-protected university-approved storage.</w:t>
            </w:r>
          </w:p>
        </w:tc>
      </w:tr>
      <w:tr w:rsidR="00417838" w14:paraId="103161FC" w14:textId="77777777">
        <w:trPr>
          <w:jc w:val="center"/>
        </w:trPr>
        <w:tc>
          <w:tcPr>
            <w:tcW w:w="3120" w:type="dxa"/>
          </w:tcPr>
          <w:p w14:paraId="72D29F82" w14:textId="77777777" w:rsidR="00417838" w:rsidRDefault="00000000">
            <w:pPr>
              <w:spacing w:after="0" w:line="240" w:lineRule="auto"/>
            </w:pPr>
            <w:r>
              <w:rPr>
                <w:sz w:val="21"/>
              </w:rPr>
              <w:t>Researcher bias</w:t>
            </w:r>
          </w:p>
        </w:tc>
        <w:tc>
          <w:tcPr>
            <w:tcW w:w="3120" w:type="dxa"/>
          </w:tcPr>
          <w:p w14:paraId="153E4626" w14:textId="77777777" w:rsidR="00417838" w:rsidRDefault="00000000">
            <w:pPr>
              <w:spacing w:after="0" w:line="240" w:lineRule="auto"/>
            </w:pPr>
            <w:r>
              <w:rPr>
                <w:sz w:val="21"/>
              </w:rPr>
              <w:t>Researcher assumptions may shape interpretation.</w:t>
            </w:r>
          </w:p>
        </w:tc>
        <w:tc>
          <w:tcPr>
            <w:tcW w:w="3120" w:type="dxa"/>
          </w:tcPr>
          <w:p w14:paraId="1115E651" w14:textId="77777777" w:rsidR="00417838" w:rsidRDefault="00000000">
            <w:pPr>
              <w:spacing w:after="0" w:line="240" w:lineRule="auto"/>
            </w:pPr>
            <w:r>
              <w:rPr>
                <w:sz w:val="21"/>
              </w:rPr>
              <w:t>Keep reflexive notes and discuss themes with supervisor or peer.</w:t>
            </w:r>
          </w:p>
        </w:tc>
      </w:tr>
    </w:tbl>
    <w:p w14:paraId="5188A8A2" w14:textId="77777777" w:rsidR="00417838" w:rsidRDefault="00417838"/>
    <w:p w14:paraId="02BA2F83" w14:textId="77777777" w:rsidR="00417838" w:rsidRDefault="00000000">
      <w:pPr>
        <w:pStyle w:val="Heading1"/>
      </w:pPr>
      <w:bookmarkStart w:id="18" w:name="_Toc234925681"/>
      <w:r>
        <w:rPr>
          <w:rFonts w:ascii="Times New Roman" w:eastAsia="Times New Roman" w:hAnsi="Times New Roman"/>
        </w:rPr>
        <w:t>7. Resource Implications, Feasibility and Time Plan</w:t>
      </w:r>
      <w:bookmarkEnd w:id="18"/>
    </w:p>
    <w:p w14:paraId="3BBD7434" w14:textId="77777777" w:rsidR="00417838" w:rsidRDefault="00000000">
      <w:pPr>
        <w:jc w:val="both"/>
      </w:pPr>
      <w:r>
        <w:t xml:space="preserve">The proposed study is feasible within the time and resource limits of the module. Financial costs are low because interviews can be conducted online, recruitment can use university networks and social media, and analysis can be conducted manually or with university-supported software. The main resources required are time, access to participants, recording software, transcription support and secure data storage. If transcription software is used, transcripts will still be checked </w:t>
      </w:r>
      <w:r>
        <w:lastRenderedPageBreak/>
        <w:t>manually for accuracy because automated transcripts may mishear names, accents or payment terminology.</w:t>
      </w:r>
    </w:p>
    <w:p w14:paraId="6E1FD0E6" w14:textId="77777777" w:rsidR="00417838" w:rsidRDefault="00000000">
      <w:pPr>
        <w:jc w:val="both"/>
      </w:pPr>
      <w:r>
        <w:t>Time is the most significant resource implication. Recruitment can take longer than expected, especially if students are busy with exams, work or travel. The research will therefore begin recruitment early and use a short eligibility screening message. The interview guide will be piloted before main data collection to avoid wasting participant time. A realistic time plan is shown below.</w:t>
      </w:r>
    </w:p>
    <w:tbl>
      <w:tblPr>
        <w:tblStyle w:val="TableGrid"/>
        <w:tblW w:w="0" w:type="auto"/>
        <w:jc w:val="center"/>
        <w:tblLook w:val="04A0" w:firstRow="1" w:lastRow="0" w:firstColumn="1" w:lastColumn="0" w:noHBand="0" w:noVBand="1"/>
      </w:tblPr>
      <w:tblGrid>
        <w:gridCol w:w="3120"/>
        <w:gridCol w:w="3120"/>
        <w:gridCol w:w="3120"/>
      </w:tblGrid>
      <w:tr w:rsidR="00417838" w14:paraId="15EA4DD7" w14:textId="77777777">
        <w:trPr>
          <w:jc w:val="center"/>
        </w:trPr>
        <w:tc>
          <w:tcPr>
            <w:tcW w:w="3120" w:type="dxa"/>
            <w:shd w:val="clear" w:color="auto" w:fill="EAF2F8"/>
          </w:tcPr>
          <w:p w14:paraId="559DE883" w14:textId="77777777" w:rsidR="00417838" w:rsidRDefault="00000000">
            <w:pPr>
              <w:spacing w:after="0" w:line="240" w:lineRule="auto"/>
            </w:pPr>
            <w:r>
              <w:rPr>
                <w:b/>
                <w:sz w:val="21"/>
              </w:rPr>
              <w:t>Stage</w:t>
            </w:r>
          </w:p>
        </w:tc>
        <w:tc>
          <w:tcPr>
            <w:tcW w:w="3120" w:type="dxa"/>
            <w:shd w:val="clear" w:color="auto" w:fill="EAF2F8"/>
          </w:tcPr>
          <w:p w14:paraId="25EDC514" w14:textId="77777777" w:rsidR="00417838" w:rsidRDefault="00000000">
            <w:pPr>
              <w:spacing w:after="0" w:line="240" w:lineRule="auto"/>
            </w:pPr>
            <w:r>
              <w:rPr>
                <w:b/>
                <w:sz w:val="21"/>
              </w:rPr>
              <w:t>Main activities</w:t>
            </w:r>
          </w:p>
        </w:tc>
        <w:tc>
          <w:tcPr>
            <w:tcW w:w="3120" w:type="dxa"/>
            <w:shd w:val="clear" w:color="auto" w:fill="EAF2F8"/>
          </w:tcPr>
          <w:p w14:paraId="2DAE61CA" w14:textId="77777777" w:rsidR="00417838" w:rsidRDefault="00000000">
            <w:pPr>
              <w:spacing w:after="0" w:line="240" w:lineRule="auto"/>
            </w:pPr>
            <w:r>
              <w:rPr>
                <w:b/>
                <w:sz w:val="21"/>
              </w:rPr>
              <w:t>Proposed timing</w:t>
            </w:r>
          </w:p>
        </w:tc>
      </w:tr>
      <w:tr w:rsidR="00417838" w14:paraId="52C30163" w14:textId="77777777">
        <w:trPr>
          <w:jc w:val="center"/>
        </w:trPr>
        <w:tc>
          <w:tcPr>
            <w:tcW w:w="3120" w:type="dxa"/>
          </w:tcPr>
          <w:p w14:paraId="58B8E135" w14:textId="77777777" w:rsidR="00417838" w:rsidRDefault="00000000">
            <w:pPr>
              <w:spacing w:after="0" w:line="240" w:lineRule="auto"/>
            </w:pPr>
            <w:r>
              <w:rPr>
                <w:sz w:val="21"/>
              </w:rPr>
              <w:t>Topic refinement and ethics preparation</w:t>
            </w:r>
          </w:p>
        </w:tc>
        <w:tc>
          <w:tcPr>
            <w:tcW w:w="3120" w:type="dxa"/>
          </w:tcPr>
          <w:p w14:paraId="47A49F9F" w14:textId="77777777" w:rsidR="00417838" w:rsidRDefault="00000000">
            <w:pPr>
              <w:spacing w:after="0" w:line="240" w:lineRule="auto"/>
            </w:pPr>
            <w:r>
              <w:rPr>
                <w:sz w:val="21"/>
              </w:rPr>
              <w:t>Finalise questions, prepare participant information sheet, consent form and interview guide.</w:t>
            </w:r>
          </w:p>
        </w:tc>
        <w:tc>
          <w:tcPr>
            <w:tcW w:w="3120" w:type="dxa"/>
          </w:tcPr>
          <w:p w14:paraId="118C69C9" w14:textId="77777777" w:rsidR="00417838" w:rsidRDefault="00000000">
            <w:pPr>
              <w:spacing w:after="0" w:line="240" w:lineRule="auto"/>
            </w:pPr>
            <w:r>
              <w:rPr>
                <w:sz w:val="21"/>
              </w:rPr>
              <w:t>Week 1</w:t>
            </w:r>
          </w:p>
        </w:tc>
      </w:tr>
      <w:tr w:rsidR="00417838" w14:paraId="25638317" w14:textId="77777777">
        <w:trPr>
          <w:jc w:val="center"/>
        </w:trPr>
        <w:tc>
          <w:tcPr>
            <w:tcW w:w="3120" w:type="dxa"/>
          </w:tcPr>
          <w:p w14:paraId="1E1903BD" w14:textId="77777777" w:rsidR="00417838" w:rsidRDefault="00000000">
            <w:pPr>
              <w:spacing w:after="0" w:line="240" w:lineRule="auto"/>
            </w:pPr>
            <w:r>
              <w:rPr>
                <w:sz w:val="21"/>
              </w:rPr>
              <w:t>Literature review development</w:t>
            </w:r>
          </w:p>
        </w:tc>
        <w:tc>
          <w:tcPr>
            <w:tcW w:w="3120" w:type="dxa"/>
          </w:tcPr>
          <w:p w14:paraId="40B13C28" w14:textId="77777777" w:rsidR="00417838" w:rsidRDefault="00000000">
            <w:pPr>
              <w:spacing w:after="0" w:line="240" w:lineRule="auto"/>
            </w:pPr>
            <w:r>
              <w:rPr>
                <w:sz w:val="21"/>
              </w:rPr>
              <w:t>Review literature on contactless payment, mobile wallets, trust, perceived risk, spending control and student budgeting.</w:t>
            </w:r>
          </w:p>
        </w:tc>
        <w:tc>
          <w:tcPr>
            <w:tcW w:w="3120" w:type="dxa"/>
          </w:tcPr>
          <w:p w14:paraId="6A5DA3D8" w14:textId="77777777" w:rsidR="00417838" w:rsidRDefault="00000000">
            <w:pPr>
              <w:spacing w:after="0" w:line="240" w:lineRule="auto"/>
            </w:pPr>
            <w:r>
              <w:rPr>
                <w:sz w:val="21"/>
              </w:rPr>
              <w:t>Weeks 1-2</w:t>
            </w:r>
          </w:p>
        </w:tc>
      </w:tr>
      <w:tr w:rsidR="00417838" w14:paraId="778BF07A" w14:textId="77777777">
        <w:trPr>
          <w:jc w:val="center"/>
        </w:trPr>
        <w:tc>
          <w:tcPr>
            <w:tcW w:w="3120" w:type="dxa"/>
          </w:tcPr>
          <w:p w14:paraId="75A8D93A" w14:textId="77777777" w:rsidR="00417838" w:rsidRDefault="00000000">
            <w:pPr>
              <w:spacing w:after="0" w:line="240" w:lineRule="auto"/>
            </w:pPr>
            <w:r>
              <w:rPr>
                <w:sz w:val="21"/>
              </w:rPr>
              <w:t>Pilot interview</w:t>
            </w:r>
          </w:p>
        </w:tc>
        <w:tc>
          <w:tcPr>
            <w:tcW w:w="3120" w:type="dxa"/>
          </w:tcPr>
          <w:p w14:paraId="69A27809" w14:textId="77777777" w:rsidR="00417838" w:rsidRDefault="00000000">
            <w:pPr>
              <w:spacing w:after="0" w:line="240" w:lineRule="auto"/>
            </w:pPr>
            <w:r>
              <w:rPr>
                <w:sz w:val="21"/>
              </w:rPr>
              <w:t>Conduct one pilot interview and refine interview guide.</w:t>
            </w:r>
          </w:p>
        </w:tc>
        <w:tc>
          <w:tcPr>
            <w:tcW w:w="3120" w:type="dxa"/>
          </w:tcPr>
          <w:p w14:paraId="18E3D5C0" w14:textId="77777777" w:rsidR="00417838" w:rsidRDefault="00000000">
            <w:pPr>
              <w:spacing w:after="0" w:line="240" w:lineRule="auto"/>
            </w:pPr>
            <w:r>
              <w:rPr>
                <w:sz w:val="21"/>
              </w:rPr>
              <w:t>Week 2</w:t>
            </w:r>
          </w:p>
        </w:tc>
      </w:tr>
      <w:tr w:rsidR="00417838" w14:paraId="716F1487" w14:textId="77777777">
        <w:trPr>
          <w:jc w:val="center"/>
        </w:trPr>
        <w:tc>
          <w:tcPr>
            <w:tcW w:w="3120" w:type="dxa"/>
          </w:tcPr>
          <w:p w14:paraId="4E956E55" w14:textId="77777777" w:rsidR="00417838" w:rsidRDefault="00000000">
            <w:pPr>
              <w:spacing w:after="0" w:line="240" w:lineRule="auto"/>
            </w:pPr>
            <w:r>
              <w:rPr>
                <w:sz w:val="21"/>
              </w:rPr>
              <w:t>Participant recruitment</w:t>
            </w:r>
          </w:p>
        </w:tc>
        <w:tc>
          <w:tcPr>
            <w:tcW w:w="3120" w:type="dxa"/>
          </w:tcPr>
          <w:p w14:paraId="55B69004" w14:textId="77777777" w:rsidR="00417838" w:rsidRDefault="00000000">
            <w:pPr>
              <w:spacing w:after="0" w:line="240" w:lineRule="auto"/>
            </w:pPr>
            <w:r>
              <w:rPr>
                <w:sz w:val="21"/>
              </w:rPr>
              <w:t>Recruit 10 to 15 eligible university students in the UK.</w:t>
            </w:r>
          </w:p>
        </w:tc>
        <w:tc>
          <w:tcPr>
            <w:tcW w:w="3120" w:type="dxa"/>
          </w:tcPr>
          <w:p w14:paraId="57BFBAD3" w14:textId="77777777" w:rsidR="00417838" w:rsidRDefault="00000000">
            <w:pPr>
              <w:spacing w:after="0" w:line="240" w:lineRule="auto"/>
            </w:pPr>
            <w:r>
              <w:rPr>
                <w:sz w:val="21"/>
              </w:rPr>
              <w:t>Weeks 2-3</w:t>
            </w:r>
          </w:p>
        </w:tc>
      </w:tr>
      <w:tr w:rsidR="00417838" w14:paraId="40254D03" w14:textId="77777777">
        <w:trPr>
          <w:jc w:val="center"/>
        </w:trPr>
        <w:tc>
          <w:tcPr>
            <w:tcW w:w="3120" w:type="dxa"/>
          </w:tcPr>
          <w:p w14:paraId="4D73841D" w14:textId="77777777" w:rsidR="00417838" w:rsidRDefault="00000000">
            <w:pPr>
              <w:spacing w:after="0" w:line="240" w:lineRule="auto"/>
            </w:pPr>
            <w:r>
              <w:rPr>
                <w:sz w:val="21"/>
              </w:rPr>
              <w:t>Data collection</w:t>
            </w:r>
          </w:p>
        </w:tc>
        <w:tc>
          <w:tcPr>
            <w:tcW w:w="3120" w:type="dxa"/>
          </w:tcPr>
          <w:p w14:paraId="63A03D27" w14:textId="77777777" w:rsidR="00417838" w:rsidRDefault="00000000">
            <w:pPr>
              <w:spacing w:after="0" w:line="240" w:lineRule="auto"/>
            </w:pPr>
            <w:r>
              <w:rPr>
                <w:sz w:val="21"/>
              </w:rPr>
              <w:t>Conduct semi-structured interviews and store recordings securely.</w:t>
            </w:r>
          </w:p>
        </w:tc>
        <w:tc>
          <w:tcPr>
            <w:tcW w:w="3120" w:type="dxa"/>
          </w:tcPr>
          <w:p w14:paraId="1556DB3C" w14:textId="77777777" w:rsidR="00417838" w:rsidRDefault="00000000">
            <w:pPr>
              <w:spacing w:after="0" w:line="240" w:lineRule="auto"/>
            </w:pPr>
            <w:r>
              <w:rPr>
                <w:sz w:val="21"/>
              </w:rPr>
              <w:t>Weeks 3-4</w:t>
            </w:r>
          </w:p>
        </w:tc>
      </w:tr>
      <w:tr w:rsidR="00417838" w14:paraId="1E2BD673" w14:textId="77777777">
        <w:trPr>
          <w:jc w:val="center"/>
        </w:trPr>
        <w:tc>
          <w:tcPr>
            <w:tcW w:w="3120" w:type="dxa"/>
          </w:tcPr>
          <w:p w14:paraId="7208391D" w14:textId="77777777" w:rsidR="00417838" w:rsidRDefault="00000000">
            <w:pPr>
              <w:spacing w:after="0" w:line="240" w:lineRule="auto"/>
            </w:pPr>
            <w:r>
              <w:rPr>
                <w:sz w:val="21"/>
              </w:rPr>
              <w:t>Transcription and familiarisation</w:t>
            </w:r>
          </w:p>
        </w:tc>
        <w:tc>
          <w:tcPr>
            <w:tcW w:w="3120" w:type="dxa"/>
          </w:tcPr>
          <w:p w14:paraId="4084033F" w14:textId="77777777" w:rsidR="00417838" w:rsidRDefault="00000000">
            <w:pPr>
              <w:spacing w:after="0" w:line="240" w:lineRule="auto"/>
            </w:pPr>
            <w:r>
              <w:rPr>
                <w:sz w:val="21"/>
              </w:rPr>
              <w:t>Transcribe, anonymise and repeatedly read data.</w:t>
            </w:r>
          </w:p>
        </w:tc>
        <w:tc>
          <w:tcPr>
            <w:tcW w:w="3120" w:type="dxa"/>
          </w:tcPr>
          <w:p w14:paraId="237D6F84" w14:textId="77777777" w:rsidR="00417838" w:rsidRDefault="00000000">
            <w:pPr>
              <w:spacing w:after="0" w:line="240" w:lineRule="auto"/>
            </w:pPr>
            <w:r>
              <w:rPr>
                <w:sz w:val="21"/>
              </w:rPr>
              <w:t>Weeks 4-5</w:t>
            </w:r>
          </w:p>
        </w:tc>
      </w:tr>
      <w:tr w:rsidR="00417838" w14:paraId="7C201CFB" w14:textId="77777777">
        <w:trPr>
          <w:jc w:val="center"/>
        </w:trPr>
        <w:tc>
          <w:tcPr>
            <w:tcW w:w="3120" w:type="dxa"/>
          </w:tcPr>
          <w:p w14:paraId="12CEB5CC" w14:textId="77777777" w:rsidR="00417838" w:rsidRDefault="00000000">
            <w:pPr>
              <w:spacing w:after="0" w:line="240" w:lineRule="auto"/>
            </w:pPr>
            <w:r>
              <w:rPr>
                <w:sz w:val="21"/>
              </w:rPr>
              <w:t>Thematic analysis</w:t>
            </w:r>
          </w:p>
        </w:tc>
        <w:tc>
          <w:tcPr>
            <w:tcW w:w="3120" w:type="dxa"/>
          </w:tcPr>
          <w:p w14:paraId="1F21198B" w14:textId="77777777" w:rsidR="00417838" w:rsidRDefault="00000000">
            <w:pPr>
              <w:spacing w:after="0" w:line="240" w:lineRule="auto"/>
            </w:pPr>
            <w:r>
              <w:rPr>
                <w:sz w:val="21"/>
              </w:rPr>
              <w:t>Code data, develop themes, review and name themes.</w:t>
            </w:r>
          </w:p>
        </w:tc>
        <w:tc>
          <w:tcPr>
            <w:tcW w:w="3120" w:type="dxa"/>
          </w:tcPr>
          <w:p w14:paraId="53DDB972" w14:textId="77777777" w:rsidR="00417838" w:rsidRDefault="00000000">
            <w:pPr>
              <w:spacing w:after="0" w:line="240" w:lineRule="auto"/>
            </w:pPr>
            <w:r>
              <w:rPr>
                <w:sz w:val="21"/>
              </w:rPr>
              <w:t>Weeks 5-6</w:t>
            </w:r>
          </w:p>
        </w:tc>
      </w:tr>
      <w:tr w:rsidR="00417838" w14:paraId="111FBDBC" w14:textId="77777777">
        <w:trPr>
          <w:jc w:val="center"/>
        </w:trPr>
        <w:tc>
          <w:tcPr>
            <w:tcW w:w="3120" w:type="dxa"/>
          </w:tcPr>
          <w:p w14:paraId="7704CFD4" w14:textId="77777777" w:rsidR="00417838" w:rsidRDefault="00000000">
            <w:pPr>
              <w:spacing w:after="0" w:line="240" w:lineRule="auto"/>
            </w:pPr>
            <w:r>
              <w:rPr>
                <w:sz w:val="21"/>
              </w:rPr>
              <w:t>Writing and revision</w:t>
            </w:r>
          </w:p>
        </w:tc>
        <w:tc>
          <w:tcPr>
            <w:tcW w:w="3120" w:type="dxa"/>
          </w:tcPr>
          <w:p w14:paraId="0EA5E198" w14:textId="77777777" w:rsidR="00417838" w:rsidRDefault="00000000">
            <w:pPr>
              <w:spacing w:after="0" w:line="240" w:lineRule="auto"/>
            </w:pPr>
            <w:r>
              <w:rPr>
                <w:sz w:val="21"/>
              </w:rPr>
              <w:t>Write analysis, discussion, limitations and conclusion.</w:t>
            </w:r>
          </w:p>
        </w:tc>
        <w:tc>
          <w:tcPr>
            <w:tcW w:w="3120" w:type="dxa"/>
          </w:tcPr>
          <w:p w14:paraId="0CCC3526" w14:textId="77777777" w:rsidR="00417838" w:rsidRDefault="00000000">
            <w:pPr>
              <w:spacing w:after="0" w:line="240" w:lineRule="auto"/>
            </w:pPr>
            <w:r>
              <w:rPr>
                <w:sz w:val="21"/>
              </w:rPr>
              <w:t>Weeks 6-7</w:t>
            </w:r>
          </w:p>
        </w:tc>
      </w:tr>
      <w:tr w:rsidR="00417838" w14:paraId="1EB95A0D" w14:textId="77777777">
        <w:trPr>
          <w:jc w:val="center"/>
        </w:trPr>
        <w:tc>
          <w:tcPr>
            <w:tcW w:w="3120" w:type="dxa"/>
          </w:tcPr>
          <w:p w14:paraId="09BEA15A" w14:textId="77777777" w:rsidR="00417838" w:rsidRDefault="00000000">
            <w:pPr>
              <w:spacing w:after="0" w:line="240" w:lineRule="auto"/>
            </w:pPr>
            <w:r>
              <w:rPr>
                <w:sz w:val="21"/>
              </w:rPr>
              <w:t>Final checking</w:t>
            </w:r>
          </w:p>
        </w:tc>
        <w:tc>
          <w:tcPr>
            <w:tcW w:w="3120" w:type="dxa"/>
          </w:tcPr>
          <w:p w14:paraId="7140BB2E" w14:textId="77777777" w:rsidR="00417838" w:rsidRDefault="00000000">
            <w:pPr>
              <w:spacing w:after="0" w:line="240" w:lineRule="auto"/>
            </w:pPr>
            <w:r>
              <w:rPr>
                <w:sz w:val="21"/>
              </w:rPr>
              <w:t>Check Harvard referencing, formatting, word count and Turnitin readiness.</w:t>
            </w:r>
          </w:p>
        </w:tc>
        <w:tc>
          <w:tcPr>
            <w:tcW w:w="3120" w:type="dxa"/>
          </w:tcPr>
          <w:p w14:paraId="5B59CA79" w14:textId="77777777" w:rsidR="00417838" w:rsidRDefault="00000000">
            <w:pPr>
              <w:spacing w:after="0" w:line="240" w:lineRule="auto"/>
            </w:pPr>
            <w:r>
              <w:rPr>
                <w:sz w:val="21"/>
              </w:rPr>
              <w:t>Week 8</w:t>
            </w:r>
          </w:p>
        </w:tc>
      </w:tr>
    </w:tbl>
    <w:p w14:paraId="47C0733F" w14:textId="77777777" w:rsidR="00417838" w:rsidRDefault="00417838"/>
    <w:p w14:paraId="3D121F83" w14:textId="77777777" w:rsidR="00417838" w:rsidRDefault="00000000">
      <w:pPr>
        <w:pStyle w:val="Heading1"/>
      </w:pPr>
      <w:bookmarkStart w:id="19" w:name="_Toc234925682"/>
      <w:r>
        <w:rPr>
          <w:rFonts w:ascii="Times New Roman" w:eastAsia="Times New Roman" w:hAnsi="Times New Roman"/>
        </w:rPr>
        <w:t>8. Limitations and Delimitations</w:t>
      </w:r>
      <w:bookmarkEnd w:id="19"/>
    </w:p>
    <w:p w14:paraId="7B4FC671" w14:textId="77777777" w:rsidR="00417838" w:rsidRDefault="00000000">
      <w:pPr>
        <w:jc w:val="both"/>
      </w:pPr>
      <w:r>
        <w:t xml:space="preserve">The study has several limitations. First, the proposed sample size of 10 to 15 participants is appropriate for exploratory qualitative research, but it cannot represent the whole population of UK university students. Findings will therefore be analytically rather than statistically </w:t>
      </w:r>
      <w:r>
        <w:lastRenderedPageBreak/>
        <w:t>generalisable. The study can provide insight into meaning-making and decision processes, but it cannot claim how common those experiences are across the whole student population.</w:t>
      </w:r>
    </w:p>
    <w:p w14:paraId="3E7CE5CC" w14:textId="77777777" w:rsidR="00417838" w:rsidRDefault="00000000">
      <w:pPr>
        <w:jc w:val="both"/>
      </w:pPr>
      <w:r>
        <w:t>Second, the study depends on self-reported accounts. Participants may forget payment details or describe idealised budgeting behaviour. They may say they check banking apps regularly even if they only do so occasionally. To reduce this limitation, interview questions will ask for recent examples and everyday routines, not just abstract attitudes. Third, the study focuses on student perceptions rather than technical payment infrastructure, bank fraud systems or retailer operations. This is a deliberate delimitation because the research aim concerns consumer experience.</w:t>
      </w:r>
    </w:p>
    <w:p w14:paraId="5888899E" w14:textId="77777777" w:rsidR="00417838" w:rsidRDefault="00000000">
      <w:pPr>
        <w:jc w:val="both"/>
      </w:pPr>
      <w:r>
        <w:t>Fourth, the research focuses on contactless payment in the UK and may not transfer directly to countries with different banking systems, cash cultures or student finance arrangements. Fifth, the term contactless payment includes both physical cards and mobile wallets. The study will compare these where relevant, but it will not examine every payment technology in depth, such as QR-code payments, open banking payments or Buy Now Pay Later. These boundaries keep the project feasible and focused on the core concepts of convenience, trust and spending control.</w:t>
      </w:r>
    </w:p>
    <w:p w14:paraId="09144952" w14:textId="77777777" w:rsidR="00417838" w:rsidRDefault="00000000">
      <w:pPr>
        <w:pStyle w:val="Heading1"/>
      </w:pPr>
      <w:bookmarkStart w:id="20" w:name="_Toc234925683"/>
      <w:r>
        <w:rPr>
          <w:rFonts w:ascii="Times New Roman" w:eastAsia="Times New Roman" w:hAnsi="Times New Roman"/>
        </w:rPr>
        <w:t>9. Expected Contribution and Conclusion</w:t>
      </w:r>
      <w:bookmarkEnd w:id="20"/>
    </w:p>
    <w:p w14:paraId="6A4D76E0" w14:textId="77777777" w:rsidR="00417838" w:rsidRDefault="00000000">
      <w:pPr>
        <w:jc w:val="both"/>
      </w:pPr>
      <w:r>
        <w:t>This research is expected to make both academic and practical contributions. Academically, it will add qualitative depth to contactless payment research by moving beyond adoption models and exploring how students interpret payment convenience, security and control in everyday life. It will connect digital payment literature with behavioural insights on payment salience and student budgeting. This is valuable because payment technologies are often evaluated through efficiency and uptake, while their effects on financial awareness are less frequently explored.</w:t>
      </w:r>
    </w:p>
    <w:p w14:paraId="38D65009" w14:textId="77777777" w:rsidR="00417838" w:rsidRDefault="00000000">
      <w:pPr>
        <w:jc w:val="both"/>
      </w:pPr>
      <w:r>
        <w:lastRenderedPageBreak/>
        <w:t>Practically, the study may help universities, banks and payment providers understand how students experience contactless payment. If students view mobile wallet notifications as helpful for budgeting, providers may improve real-time spending feedback. If students feel anxious about lost cards or invisible spending, universities and banks may provide clearer financial capability guidance. The findings may also be relevant to retailers because payment design affects the consumer experience at checkout.</w:t>
      </w:r>
    </w:p>
    <w:p w14:paraId="10C928E3" w14:textId="77777777" w:rsidR="00417838" w:rsidRDefault="00000000">
      <w:pPr>
        <w:jc w:val="both"/>
      </w:pPr>
      <w:r>
        <w:t>In conclusion, this proposal sets out a qualitative study of consumer perceptions of contactless payment among university students in the UK. The study adopts an interpretivist philosophy, an inductive approach, semi-structured interviews and reflexive thematic analysis. This design is appropriate because the research aims to understand meanings and experiences rather than measure fixed relationships. Although the study will be limited by its small sample and self-reported data, it is feasible, ethically manageable and capable of generating rich insight into the balance between convenience, trust and spending control in contemporary student life.</w:t>
      </w:r>
    </w:p>
    <w:p w14:paraId="1032481C" w14:textId="77777777" w:rsidR="00417838" w:rsidRDefault="00000000">
      <w:pPr>
        <w:pStyle w:val="Heading1"/>
      </w:pPr>
      <w:bookmarkStart w:id="21" w:name="_Toc234925684"/>
      <w:r>
        <w:rPr>
          <w:rFonts w:ascii="Times New Roman" w:eastAsia="Times New Roman" w:hAnsi="Times New Roman"/>
        </w:rPr>
        <w:t>References</w:t>
      </w:r>
      <w:bookmarkEnd w:id="21"/>
    </w:p>
    <w:p w14:paraId="74052420" w14:textId="77777777" w:rsidR="00417838" w:rsidRDefault="00000000">
      <w:pPr>
        <w:ind w:left="360" w:hanging="360"/>
        <w:jc w:val="both"/>
      </w:pPr>
      <w:r>
        <w:t>Ajzen, I. (1991) 'The theory of planned behaviour', Organizational Behavior and Human Decision Processes, 50(2), pp. 179-211.</w:t>
      </w:r>
    </w:p>
    <w:p w14:paraId="0447C42F" w14:textId="77777777" w:rsidR="00417838" w:rsidRDefault="00000000">
      <w:pPr>
        <w:ind w:left="360" w:hanging="360"/>
        <w:jc w:val="both"/>
      </w:pPr>
      <w:r>
        <w:t>Arvidsson, N. (2014) 'Consumer attitudes on mobile payment services: Results from a proof of concept test', International Journal of Bank Marketing, 32(2), pp. 150-170.</w:t>
      </w:r>
    </w:p>
    <w:p w14:paraId="503DE968" w14:textId="50D3D94E" w:rsidR="00417838" w:rsidRDefault="00000000">
      <w:pPr>
        <w:ind w:left="360" w:hanging="360"/>
        <w:jc w:val="both"/>
      </w:pPr>
      <w:r>
        <w:t xml:space="preserve">Bank of England (2024) Will cash die out? Available at: https://www.bankofengland.co.uk/explainers/will-cash-die-out </w:t>
      </w:r>
    </w:p>
    <w:p w14:paraId="72302CAB" w14:textId="77777777" w:rsidR="00417838" w:rsidRDefault="00000000">
      <w:pPr>
        <w:ind w:left="360" w:hanging="360"/>
        <w:jc w:val="both"/>
      </w:pPr>
      <w:r>
        <w:t>Berry, L.L., Seiders, K. and Grewal, D. (2002) 'Understanding service convenience', Journal of Marketing, 66(3), pp. 1-17.</w:t>
      </w:r>
    </w:p>
    <w:p w14:paraId="3D2E9FEC" w14:textId="77777777" w:rsidR="00417838" w:rsidRDefault="00000000">
      <w:pPr>
        <w:ind w:left="360" w:hanging="360"/>
        <w:jc w:val="both"/>
      </w:pPr>
      <w:r>
        <w:lastRenderedPageBreak/>
        <w:t>Bickman, L. and Rog, D.J. (2009) The SAGE Handbook of Applied Social Research Methods. 2nd edn. London: SAGE.</w:t>
      </w:r>
    </w:p>
    <w:p w14:paraId="40B9E7B1" w14:textId="77777777" w:rsidR="00417838" w:rsidRDefault="00000000">
      <w:pPr>
        <w:ind w:left="360" w:hanging="360"/>
        <w:jc w:val="both"/>
      </w:pPr>
      <w:r>
        <w:t>Braun, V. and Clarke, V. (2006) 'Using thematic analysis in psychology', Qualitative Research in Psychology, 3(2), pp. 77-101.</w:t>
      </w:r>
    </w:p>
    <w:p w14:paraId="36FA4BAA" w14:textId="77777777" w:rsidR="00417838" w:rsidRDefault="00000000">
      <w:pPr>
        <w:ind w:left="360" w:hanging="360"/>
        <w:jc w:val="both"/>
      </w:pPr>
      <w:r>
        <w:t>Braun, V. and Clarke, V. (2021) 'One size fits all? What counts as quality practice in reflexive thematic analysis?', Qualitative Research in Psychology, 18(3), pp. 328-352.</w:t>
      </w:r>
    </w:p>
    <w:p w14:paraId="3B3594D8" w14:textId="77777777" w:rsidR="00417838" w:rsidRDefault="00000000">
      <w:pPr>
        <w:ind w:left="360" w:hanging="360"/>
        <w:jc w:val="both"/>
      </w:pPr>
      <w:r>
        <w:t>Braun, V. and Clarke, V. (2022) Thematic Analysis: A Practical Guide. London: SAGE.</w:t>
      </w:r>
    </w:p>
    <w:p w14:paraId="119C0561" w14:textId="77777777" w:rsidR="00417838" w:rsidRDefault="00000000">
      <w:pPr>
        <w:ind w:left="360" w:hanging="360"/>
        <w:jc w:val="both"/>
      </w:pPr>
      <w:r>
        <w:t>Bryman, A. (2016) Social Research Methods. 5th edn. Oxford: Oxford University Press.</w:t>
      </w:r>
    </w:p>
    <w:p w14:paraId="298704B9" w14:textId="77777777" w:rsidR="00417838" w:rsidRDefault="00000000">
      <w:pPr>
        <w:ind w:left="360" w:hanging="360"/>
        <w:jc w:val="both"/>
      </w:pPr>
      <w:r>
        <w:t>Byrne, D. (2022) 'A worked example of Braun and Clarke's approach to reflexive thematic analysis', Quality &amp; Quantity, 56, pp. 1391-1412.</w:t>
      </w:r>
    </w:p>
    <w:p w14:paraId="3BCD06AC" w14:textId="77777777" w:rsidR="00417838" w:rsidRDefault="00000000">
      <w:pPr>
        <w:ind w:left="360" w:hanging="360"/>
        <w:jc w:val="both"/>
      </w:pPr>
      <w:r>
        <w:t>Dahlberg, T., Guo, J. and Ondrus, J. (2015) 'A critical review of mobile payment research', Electronic Commerce Research and Applications, 14(5), pp. 265-284.</w:t>
      </w:r>
    </w:p>
    <w:p w14:paraId="4385C9AE" w14:textId="77777777" w:rsidR="00417838" w:rsidRDefault="00000000">
      <w:pPr>
        <w:ind w:left="360" w:hanging="360"/>
        <w:jc w:val="both"/>
      </w:pPr>
      <w:r>
        <w:t>Davis, F.D. (1989) 'Perceived usefulness, perceived ease of use, and user acceptance of information technology', MIS Quarterly, 13(3), pp. 319-340.</w:t>
      </w:r>
    </w:p>
    <w:p w14:paraId="7E96DFD7" w14:textId="77777777" w:rsidR="00417838" w:rsidRDefault="00000000">
      <w:pPr>
        <w:ind w:left="360" w:hanging="360"/>
        <w:jc w:val="both"/>
      </w:pPr>
      <w:r>
        <w:t>de Luna, I.R., Liébana-Cabanillas, F., Sánchez-Fernández, J. and Muñoz-Leiva, F. (2019) 'Mobile payment is not all the same: The adoption of mobile payment systems depending on the technology applied', Technological Forecasting and Social Change, 146, pp. 931-944.</w:t>
      </w:r>
    </w:p>
    <w:p w14:paraId="7D162DD1" w14:textId="77777777" w:rsidR="00417838" w:rsidRDefault="00000000">
      <w:pPr>
        <w:ind w:left="360" w:hanging="360"/>
        <w:jc w:val="both"/>
      </w:pPr>
      <w:r>
        <w:t>Easterby-Smith, M., Thorpe, R., Jackson, P. and Jaspersen, L.J. (2018) Management and Business Research. 6th edn. London: SAGE.</w:t>
      </w:r>
    </w:p>
    <w:p w14:paraId="56E8AEB9" w14:textId="1B59B4BF" w:rsidR="00417838" w:rsidRDefault="00000000">
      <w:pPr>
        <w:ind w:left="360" w:hanging="360"/>
        <w:jc w:val="both"/>
      </w:pPr>
      <w:r>
        <w:lastRenderedPageBreak/>
        <w:t xml:space="preserve">FCA (2025a) Greater flexibility to be given for setting future contactless limits. Available at: https://www.fca.org.uk/news/press-releases/greater-flexibility-be-given-setting-future-contactless-limits </w:t>
      </w:r>
    </w:p>
    <w:p w14:paraId="3783DC87" w14:textId="4265F827" w:rsidR="00417838" w:rsidRDefault="00000000" w:rsidP="005519E6">
      <w:pPr>
        <w:spacing w:line="360" w:lineRule="auto"/>
        <w:ind w:left="360" w:hanging="360"/>
        <w:jc w:val="both"/>
      </w:pPr>
      <w:r>
        <w:t xml:space="preserve">FCA (2025b) Proposed contactless changes could increase convenience for consumers. Available at: https://www.fca.org.uk/news/press-releases/proposed-contactless-changes-could-increase-convenience-consumers </w:t>
      </w:r>
    </w:p>
    <w:p w14:paraId="58B00168" w14:textId="5E451594" w:rsidR="00417838" w:rsidRDefault="00000000">
      <w:pPr>
        <w:ind w:left="360" w:hanging="360"/>
        <w:jc w:val="both"/>
      </w:pPr>
      <w:r>
        <w:t xml:space="preserve">FCA (2025c) Contactless Payment Limits: Engagement Paper. Available at: https://www.fca.org.uk/publication/call-for-input/contactless-limits-engagement-paper.pdf </w:t>
      </w:r>
    </w:p>
    <w:p w14:paraId="7332CEDE" w14:textId="77777777" w:rsidR="00417838" w:rsidRDefault="00000000">
      <w:pPr>
        <w:ind w:left="360" w:hanging="360"/>
        <w:jc w:val="both"/>
      </w:pPr>
      <w:r>
        <w:t>Featherman, M.S. and Pavlou, P.A. (2003) 'Predicting e-services adoption: A perceived risk facets perspective', International Journal of Human-Computer Studies, 59(4), pp. 451-474.</w:t>
      </w:r>
    </w:p>
    <w:p w14:paraId="7F36FD8D" w14:textId="77777777" w:rsidR="00417838" w:rsidRDefault="00000000">
      <w:pPr>
        <w:ind w:left="360" w:hanging="360"/>
        <w:jc w:val="both"/>
      </w:pPr>
      <w:r>
        <w:t>Gefen, D. (2000) 'E-commerce: The role of familiarity and trust', Omega, 28(6), pp. 725-737.</w:t>
      </w:r>
    </w:p>
    <w:p w14:paraId="7BAA016E" w14:textId="77777777" w:rsidR="00417838" w:rsidRDefault="00000000">
      <w:pPr>
        <w:ind w:left="360" w:hanging="360"/>
        <w:jc w:val="both"/>
      </w:pPr>
      <w:r>
        <w:t>Gefen, D., Karahanna, E. and Straub, D.W. (2003) 'Trust and TAM in online shopping: An integrated model', MIS Quarterly, 27(1), pp. 51-90.</w:t>
      </w:r>
    </w:p>
    <w:p w14:paraId="4405D8DD" w14:textId="77777777" w:rsidR="00417838" w:rsidRDefault="00000000">
      <w:pPr>
        <w:ind w:left="360" w:hanging="360"/>
        <w:jc w:val="both"/>
      </w:pPr>
      <w:r>
        <w:t>Hill, K. and Padley, M. (2025) A Minimum Income Standard for Students. Oxford: Higher Education Policy Institute. Available at: https://www.hepi.ac.uk/ (Accessed: 29 June 2026).</w:t>
      </w:r>
    </w:p>
    <w:p w14:paraId="2F5D7286" w14:textId="77777777" w:rsidR="00417838" w:rsidRDefault="00000000">
      <w:pPr>
        <w:ind w:left="360" w:hanging="360"/>
        <w:jc w:val="both"/>
      </w:pPr>
      <w:r>
        <w:t>Hirschman, E.C. (1979) 'Differences in consumer purchase behaviour by credit card payment system', Journal of Consumer Research, 6(1), pp. 58-66.</w:t>
      </w:r>
    </w:p>
    <w:p w14:paraId="2EFF4929" w14:textId="61E661DC" w:rsidR="00417838" w:rsidRDefault="00000000">
      <w:pPr>
        <w:ind w:left="360" w:hanging="360"/>
        <w:jc w:val="both"/>
      </w:pPr>
      <w:r>
        <w:t xml:space="preserve">House of Commons Library (2025) Student support for undergraduates across the UK in 2025/26. Available at: https://commonslibrary.parliament.uk/research-briefings/cbp-10221/ </w:t>
      </w:r>
    </w:p>
    <w:p w14:paraId="12A67281" w14:textId="77777777" w:rsidR="00417838" w:rsidRDefault="00000000">
      <w:pPr>
        <w:ind w:left="360" w:hanging="360"/>
        <w:jc w:val="both"/>
      </w:pPr>
      <w:r>
        <w:t>Karsen, M., Chandra, Y.U. and Juwitasary, H. (2019) 'Technological factors of mobile payment: A systematic literature review', Procedia Computer Science, 157, pp. 489-498.</w:t>
      </w:r>
    </w:p>
    <w:p w14:paraId="168372B7" w14:textId="77777777" w:rsidR="00417838" w:rsidRDefault="00000000">
      <w:pPr>
        <w:ind w:left="360" w:hanging="360"/>
        <w:jc w:val="both"/>
      </w:pPr>
      <w:r>
        <w:lastRenderedPageBreak/>
        <w:t>Kim, C., Mirusmonov, M. and Lee, I. (2010) 'An empirical examination of factors influencing the intention to use mobile payment', Computers in Human Behavior, 26(3), pp. 310-322.</w:t>
      </w:r>
    </w:p>
    <w:p w14:paraId="4BD4A4A1" w14:textId="77777777" w:rsidR="00417838" w:rsidRDefault="00000000">
      <w:pPr>
        <w:ind w:left="360" w:hanging="360"/>
        <w:jc w:val="both"/>
      </w:pPr>
      <w:r>
        <w:t>Kim, D.J., Ferrin, D.L. and Rao, H.R. (2008) 'A trust-based consumer decision-making model in electronic commerce', Decision Support Systems, 44(2), pp. 544-564.</w:t>
      </w:r>
    </w:p>
    <w:p w14:paraId="37BC9FA3" w14:textId="77777777" w:rsidR="00417838" w:rsidRDefault="00000000">
      <w:pPr>
        <w:ind w:left="360" w:hanging="360"/>
        <w:jc w:val="both"/>
      </w:pPr>
      <w:r>
        <w:t>Kuisma, T., Laukkanen, T. and Hiltunen, M. (2007) 'Mapping the reasons for resistance to internet banking', International Journal of Information Management, 27(2), pp. 75-85.</w:t>
      </w:r>
    </w:p>
    <w:p w14:paraId="5A450050" w14:textId="77777777" w:rsidR="00417838" w:rsidRDefault="00000000">
      <w:pPr>
        <w:ind w:left="360" w:hanging="360"/>
        <w:jc w:val="both"/>
      </w:pPr>
      <w:r>
        <w:t>Laukkanen, T. (2016) 'Consumer adoption versus rejection decisions in seemingly similar service innovations: The case of the Internet and mobile banking', Journal of Business Research, 69(7), pp. 2432-2439.</w:t>
      </w:r>
    </w:p>
    <w:p w14:paraId="2429DD92" w14:textId="77777777" w:rsidR="00417838" w:rsidRDefault="00000000">
      <w:pPr>
        <w:ind w:left="360" w:hanging="360"/>
        <w:jc w:val="both"/>
      </w:pPr>
      <w:r>
        <w:t>Leavy, P. (2020) The Oxford Handbook of Qualitative Research. 2nd edn. Oxford: Oxford University Press.</w:t>
      </w:r>
    </w:p>
    <w:p w14:paraId="75260214" w14:textId="77777777" w:rsidR="00417838" w:rsidRDefault="00000000">
      <w:pPr>
        <w:ind w:left="360" w:hanging="360"/>
        <w:jc w:val="both"/>
      </w:pPr>
      <w:r>
        <w:t>Liébana-Cabanillas, F., Sánchez-Fernández, J. and Muñoz-Leiva, F. (2014) 'Antecedents of the adoption of the new mobile payment systems: The moderating effect of age', Computers in Human Behavior, 35, pp. 464-478.</w:t>
      </w:r>
    </w:p>
    <w:p w14:paraId="4E2AA383" w14:textId="77777777" w:rsidR="00417838" w:rsidRDefault="00000000">
      <w:pPr>
        <w:ind w:left="360" w:hanging="360"/>
        <w:jc w:val="both"/>
      </w:pPr>
      <w:r>
        <w:t>Limayem, M., Hirt, S.G. and Cheung, C.M.K. (2007) 'How habit limits the predictive power of intention: The case of information systems continuance', MIS Quarterly, 31(4), pp. 705-737.</w:t>
      </w:r>
    </w:p>
    <w:p w14:paraId="54CFC828" w14:textId="77777777" w:rsidR="00417838" w:rsidRDefault="00000000">
      <w:pPr>
        <w:ind w:left="360" w:hanging="360"/>
        <w:jc w:val="both"/>
      </w:pPr>
      <w:r>
        <w:t>Lincoln, Y.S. and Guba, E.G. (1985) Naturalistic Inquiry. London: SAGE.</w:t>
      </w:r>
    </w:p>
    <w:p w14:paraId="423E9221" w14:textId="77777777" w:rsidR="00417838" w:rsidRDefault="00000000">
      <w:pPr>
        <w:ind w:left="360" w:hanging="360"/>
        <w:jc w:val="both"/>
      </w:pPr>
      <w:r>
        <w:t>Mallat, N. (2007) 'Exploring consumer adoption of mobile payments: A qualitative study', Journal of Strategic Information Systems, 16(4), pp. 413-432.</w:t>
      </w:r>
    </w:p>
    <w:p w14:paraId="7578CF88" w14:textId="77777777" w:rsidR="00417838" w:rsidRDefault="00000000">
      <w:pPr>
        <w:ind w:left="360" w:hanging="360"/>
        <w:jc w:val="both"/>
      </w:pPr>
      <w:r>
        <w:t>Mazar, N., Plassmann, H., Robitaille, N. and Lindner, A. (2016) 'Pain of paying? A metaphor gone literal: Evidence from neural and behavioural science', Rotman School of Management Working Paper.</w:t>
      </w:r>
    </w:p>
    <w:p w14:paraId="36BE828D" w14:textId="77777777" w:rsidR="00417838" w:rsidRDefault="00000000">
      <w:pPr>
        <w:ind w:left="360" w:hanging="360"/>
        <w:jc w:val="both"/>
      </w:pPr>
      <w:r>
        <w:lastRenderedPageBreak/>
        <w:t>McKnight, D.H., Choudhury, V. and Kacmar, C. (2002) 'Developing and validating trust measures for e-commerce: An integrative typology', Information Systems Research, 13(3), pp. 334-359.</w:t>
      </w:r>
    </w:p>
    <w:p w14:paraId="45A33583" w14:textId="77777777" w:rsidR="00417838" w:rsidRDefault="00000000">
      <w:pPr>
        <w:ind w:left="360" w:hanging="360"/>
        <w:jc w:val="both"/>
      </w:pPr>
      <w:r>
        <w:t>Morse, J.M., Barrett, M., Mayan, M., Olson, K. and Spiers, J. (2002) 'Verification strategies for establishing reliability and validity in qualitative research', International Journal of Qualitative Methods, 1(2), pp. 13-22.</w:t>
      </w:r>
    </w:p>
    <w:p w14:paraId="2148B7B6" w14:textId="3CC4B87D" w:rsidR="00417838" w:rsidRDefault="00000000">
      <w:pPr>
        <w:ind w:left="360" w:hanging="360"/>
        <w:jc w:val="both"/>
      </w:pPr>
      <w:r>
        <w:t xml:space="preserve">NatWest Group (2025) NatWest marks 10 years of Student Living Index as financial pressures reach new high. Available at: https://www.natwestgroup.com/news-and-insights/news-room/press-releases/financial-capability-and-learning/2025/aug/natwest-marks-10-years-of-student-living-index-as-financial-pres.html </w:t>
      </w:r>
    </w:p>
    <w:p w14:paraId="7DBC81C7" w14:textId="77777777" w:rsidR="00417838" w:rsidRDefault="00000000">
      <w:pPr>
        <w:ind w:left="360" w:hanging="360"/>
        <w:jc w:val="both"/>
      </w:pPr>
      <w:r>
        <w:t>Oliveira, T., Thomas, M., Baptista, G. and Campos, F. (2016) 'Mobile payment: Understanding the determinants of customer adoption and intention to recommend the technology', Computers in Human Behavior, 61, pp. 404-414.</w:t>
      </w:r>
    </w:p>
    <w:p w14:paraId="43CBA621" w14:textId="77777777" w:rsidR="00417838" w:rsidRDefault="00000000">
      <w:pPr>
        <w:ind w:left="360" w:hanging="360"/>
        <w:jc w:val="both"/>
      </w:pPr>
      <w:r>
        <w:t>Oney, E., Guven, G.O. and Rizvi, W.H. (2017) 'The determinants of electronic payment systems usage from consumers’ perspective', Economic Research-Ekonomska Istraživanja, 30(1), pp. 394-415.</w:t>
      </w:r>
    </w:p>
    <w:p w14:paraId="76B11CF9" w14:textId="77777777" w:rsidR="00417838" w:rsidRDefault="00000000">
      <w:pPr>
        <w:ind w:left="360" w:hanging="360"/>
        <w:jc w:val="both"/>
      </w:pPr>
      <w:r>
        <w:t>Pavlou, P.A. (2003) 'Consumer acceptance of electronic commerce: Integrating trust and risk with the technology acceptance model', International Journal of Electronic Commerce, 7(3), pp. 101-134.</w:t>
      </w:r>
    </w:p>
    <w:p w14:paraId="03B16643" w14:textId="77777777" w:rsidR="00417838" w:rsidRDefault="00000000">
      <w:pPr>
        <w:ind w:left="360" w:hanging="360"/>
        <w:jc w:val="both"/>
      </w:pPr>
      <w:r>
        <w:t>Petty, R.E. and Cacioppo, J.T. (1986) Communication and Persuasion: Central and Peripheral Routes to Attitude Change. New York: Springer.</w:t>
      </w:r>
    </w:p>
    <w:p w14:paraId="47ACB7BC" w14:textId="77777777" w:rsidR="00417838" w:rsidRDefault="00000000">
      <w:pPr>
        <w:ind w:left="360" w:hanging="360"/>
        <w:jc w:val="both"/>
      </w:pPr>
      <w:r>
        <w:lastRenderedPageBreak/>
        <w:t>Prelec, D. and Loewenstein, G. (1998) 'The red and the black: Mental accounting of savings and debt', Marketing Science, 17(1), pp. 4-28.</w:t>
      </w:r>
    </w:p>
    <w:p w14:paraId="48118542" w14:textId="77777777" w:rsidR="00417838" w:rsidRDefault="00000000">
      <w:pPr>
        <w:ind w:left="360" w:hanging="360"/>
        <w:jc w:val="both"/>
      </w:pPr>
      <w:r>
        <w:t>Prelec, D. and Simester, D. (2001) 'Always leave home without it: A further investigation of the credit-card effect on willingness to pay', Marketing Letters, 12(1), pp. 5-12.</w:t>
      </w:r>
    </w:p>
    <w:p w14:paraId="63320646" w14:textId="77777777" w:rsidR="00417838" w:rsidRDefault="00000000">
      <w:pPr>
        <w:ind w:left="360" w:hanging="360"/>
        <w:jc w:val="both"/>
      </w:pPr>
      <w:r>
        <w:t>Raghubir, P. and Srivastava, J. (2008) 'Monopoly money: The effect of payment coupling and form on spending behaviour', Journal of Experimental Psychology: Applied, 14(3), pp. 213-225.</w:t>
      </w:r>
    </w:p>
    <w:p w14:paraId="11278858" w14:textId="77777777" w:rsidR="00417838" w:rsidRDefault="00000000">
      <w:pPr>
        <w:ind w:left="360" w:hanging="360"/>
        <w:jc w:val="both"/>
      </w:pPr>
      <w:r>
        <w:t>Ram, S. and Sheth, J.N. (1989) 'Consumer resistance to innovations: The marketing problem and its solutions', Journal of Consumer Marketing, 6(2), pp. 5-14.</w:t>
      </w:r>
    </w:p>
    <w:p w14:paraId="34A65470" w14:textId="77777777" w:rsidR="00417838" w:rsidRDefault="00000000">
      <w:pPr>
        <w:ind w:left="360" w:hanging="360"/>
        <w:jc w:val="both"/>
      </w:pPr>
      <w:r>
        <w:t>Rogers, E.M. (2003) Diffusion of Innovations. 5th edn. New York: Free Press.</w:t>
      </w:r>
    </w:p>
    <w:p w14:paraId="6C021690" w14:textId="77777777" w:rsidR="00417838" w:rsidRDefault="00000000">
      <w:pPr>
        <w:ind w:left="360" w:hanging="360"/>
        <w:jc w:val="both"/>
      </w:pPr>
      <w:r>
        <w:t>Saunders, M., Lewis, P. and Thornhill, A. (2019) Research Methods for Business Students. 8th edn. Harlow: Pearson.</w:t>
      </w:r>
    </w:p>
    <w:p w14:paraId="27289643" w14:textId="51D60197" w:rsidR="00417838" w:rsidRDefault="00000000">
      <w:pPr>
        <w:ind w:left="360" w:hanging="360"/>
        <w:jc w:val="both"/>
      </w:pPr>
      <w:r>
        <w:t xml:space="preserve">Save the Student (2025) National Student Money Survey 2025 - Results. Available at: https://www.savethestudent.org/money/surveys/student-money-survey-2025-results.html </w:t>
      </w:r>
    </w:p>
    <w:p w14:paraId="5B195D3B" w14:textId="77777777" w:rsidR="00417838" w:rsidRDefault="00000000">
      <w:pPr>
        <w:ind w:left="360" w:hanging="360"/>
        <w:jc w:val="both"/>
      </w:pPr>
      <w:r>
        <w:t>Schierz, P.G., Schilke, O. and Wirtz, B.W. (2010) 'Understanding consumer acceptance of mobile payment services: An empirical analysis', Electronic Commerce Research and Applications, 9(3), pp. 209-216.</w:t>
      </w:r>
    </w:p>
    <w:p w14:paraId="771A98EA" w14:textId="77777777" w:rsidR="00417838" w:rsidRDefault="00000000">
      <w:pPr>
        <w:ind w:left="360" w:hanging="360"/>
        <w:jc w:val="both"/>
      </w:pPr>
      <w:r>
        <w:t>Shah, A.M., Eisenkraft, N., Bettman, J.R. and Chartrand, T.L. (2016) 'Paper or plastic? How we pay influences post-transaction connection', Journal of Consumer Research, 42(5), pp. 688-708.</w:t>
      </w:r>
    </w:p>
    <w:p w14:paraId="52694C35" w14:textId="77777777" w:rsidR="00417838" w:rsidRDefault="00000000">
      <w:pPr>
        <w:ind w:left="360" w:hanging="360"/>
        <w:jc w:val="both"/>
      </w:pPr>
      <w:r>
        <w:t>Shaw, N. (2014) 'The mediating influence of trust in the adoption of the mobile wallet', Journal of Retailing and Consumer Services, 21(4), pp. 449-459.</w:t>
      </w:r>
    </w:p>
    <w:p w14:paraId="2C9D6931" w14:textId="77777777" w:rsidR="00417838" w:rsidRDefault="00000000">
      <w:pPr>
        <w:ind w:left="360" w:hanging="360"/>
        <w:jc w:val="both"/>
      </w:pPr>
      <w:r>
        <w:lastRenderedPageBreak/>
        <w:t>Slade, E.L., Williams, M.D., Dwivedi, Y.K. and Piercy, N.C. (2015) 'Exploring consumer adoption of proximity mobile payments', Journal of Strategic Marketing, 23(3), pp. 209-223.</w:t>
      </w:r>
    </w:p>
    <w:p w14:paraId="2DD951C5" w14:textId="77777777" w:rsidR="00417838" w:rsidRDefault="00000000">
      <w:pPr>
        <w:ind w:left="360" w:hanging="360"/>
        <w:jc w:val="both"/>
      </w:pPr>
      <w:r>
        <w:t>Soman, D. (2001) 'Effects of payment mechanism on spending behaviour: The role of rehearsal and immediacy of payments', Journal of Consumer Research, 27(4), pp. 460-474.</w:t>
      </w:r>
    </w:p>
    <w:p w14:paraId="0522CBA9" w14:textId="77777777" w:rsidR="00417838" w:rsidRDefault="00000000">
      <w:pPr>
        <w:ind w:left="360" w:hanging="360"/>
        <w:jc w:val="both"/>
      </w:pPr>
      <w:r>
        <w:t>Soman, D. (2003) 'The effect of payment transparency on consumption: Quasi-experiments from the field', Marketing Letters, 14(3), pp. 173-183.</w:t>
      </w:r>
    </w:p>
    <w:p w14:paraId="22EBC4C0" w14:textId="220C6D9E" w:rsidR="00417838" w:rsidRDefault="00000000">
      <w:pPr>
        <w:ind w:left="360" w:hanging="360"/>
        <w:jc w:val="both"/>
      </w:pPr>
      <w:r>
        <w:t xml:space="preserve">Take Five (2025) Type don’t tap. Available at: https://www.takefive-stopfraud.org.uk/type-dont-tap/ </w:t>
      </w:r>
    </w:p>
    <w:p w14:paraId="49E7AFA0" w14:textId="77777777" w:rsidR="00417838" w:rsidRDefault="00000000">
      <w:pPr>
        <w:ind w:left="360" w:hanging="360"/>
        <w:jc w:val="both"/>
      </w:pPr>
      <w:r>
        <w:t>Taylor, E. (2016) 'Mobile payment technologies in retail: A review of potential benefits and risks', International Journal of Retail &amp; Distribution Management, 44(2), pp. 159-177.</w:t>
      </w:r>
    </w:p>
    <w:p w14:paraId="5849579A" w14:textId="77777777" w:rsidR="00417838" w:rsidRDefault="00000000">
      <w:pPr>
        <w:ind w:left="360" w:hanging="360"/>
        <w:jc w:val="both"/>
      </w:pPr>
      <w:r>
        <w:t>Teo, A.C., Tan, G.W.H., Ooi, K.B., Hew, T.S. and Yew, K.T. (2015) 'The effects of convenience and speed in m-payment', Industrial Management &amp; Data Systems, 115(2), pp. 311-331.</w:t>
      </w:r>
    </w:p>
    <w:p w14:paraId="10B29DEB" w14:textId="77777777" w:rsidR="00417838" w:rsidRDefault="00000000">
      <w:pPr>
        <w:ind w:left="360" w:hanging="360"/>
        <w:jc w:val="both"/>
      </w:pPr>
      <w:r>
        <w:t>Thomas, M., Desai, K.K. and Seenivasan, S. (2011) 'How credit card payments increase unhealthy food purchases: Visceral regulation of vices', Journal of Consumer Research, 38(1), pp. 126-139.</w:t>
      </w:r>
    </w:p>
    <w:p w14:paraId="2F60F439" w14:textId="06EBE066" w:rsidR="00417838" w:rsidRDefault="00000000">
      <w:pPr>
        <w:ind w:left="360" w:hanging="360"/>
        <w:jc w:val="both"/>
      </w:pPr>
      <w:r>
        <w:t xml:space="preserve">UK Finance (2025a) UK Payment Markets 2025. Available at: https://www.ukfinance.org.uk/system/files/2025-10/Payment%20Markets%20Report%20Summary.pdf </w:t>
      </w:r>
    </w:p>
    <w:p w14:paraId="3585FCDC" w14:textId="1077B9C2" w:rsidR="00417838" w:rsidRDefault="00000000">
      <w:pPr>
        <w:ind w:left="360" w:hanging="360"/>
        <w:jc w:val="both"/>
      </w:pPr>
      <w:r>
        <w:t xml:space="preserve">UK Finance (2025b) Over half of UK adults now use mobile wallets. Available at: https://www.ukfinance.org.uk/news-and-insight/press-release/over-half-uk-adults-now-use-mobile-wallets </w:t>
      </w:r>
    </w:p>
    <w:p w14:paraId="704248B4" w14:textId="77777777" w:rsidR="00417838" w:rsidRDefault="00000000">
      <w:pPr>
        <w:ind w:left="360" w:hanging="360"/>
        <w:jc w:val="both"/>
      </w:pPr>
      <w:r>
        <w:lastRenderedPageBreak/>
        <w:t>UK Finance (2025c) Half Year Fraud Report 2025. Available at: https://www.ukfinance.org.uk/system/files/2025-10/Half%20Year%20Fraud%20Report%202025_0.pdf (Accessed: 29 June 2026).</w:t>
      </w:r>
    </w:p>
    <w:p w14:paraId="39EC17DA" w14:textId="0A836211" w:rsidR="00417838" w:rsidRDefault="00000000">
      <w:pPr>
        <w:ind w:left="360" w:hanging="360"/>
        <w:jc w:val="both"/>
      </w:pPr>
      <w:r>
        <w:t xml:space="preserve">UK Finance (2025d) £1 trillion worth of UK card transactions in 2024. Available at: https://www.ukfinance.org.uk/news-and-insight/press-release/ps1-trillion-worth-uk-card-transactions-in-2024 </w:t>
      </w:r>
    </w:p>
    <w:p w14:paraId="315BE6C7" w14:textId="7621D208" w:rsidR="00417838" w:rsidRDefault="00000000">
      <w:pPr>
        <w:ind w:left="360" w:hanging="360"/>
        <w:jc w:val="both"/>
      </w:pPr>
      <w:r>
        <w:t xml:space="preserve">UK Finance (2026a) Contactless cards information. Available at: https://www.ukfinance.org.uk/policy-and-guidance/guidance/contactless-cards-information </w:t>
      </w:r>
    </w:p>
    <w:p w14:paraId="2DB13F4E" w14:textId="01FD869C" w:rsidR="00417838" w:rsidRDefault="00000000">
      <w:pPr>
        <w:ind w:left="360" w:hanging="360"/>
        <w:jc w:val="both"/>
      </w:pPr>
      <w:r>
        <w:t xml:space="preserve">UK Finance (2026b) Fraud remains a national security threat as criminals steal almost £1.3 billion. Available at: https://www.ukfinance.org.uk/news-and-insight/press-release/fraud-report-2026-press-release </w:t>
      </w:r>
    </w:p>
    <w:p w14:paraId="03D6531B" w14:textId="77777777" w:rsidR="00417838" w:rsidRDefault="00000000">
      <w:pPr>
        <w:ind w:left="360" w:hanging="360"/>
        <w:jc w:val="both"/>
      </w:pPr>
      <w:r>
        <w:t>UWTSD (2026) BMMB7028 Business Research Module Handbook. University of Wales Trinity Saint David.</w:t>
      </w:r>
    </w:p>
    <w:p w14:paraId="503ED606" w14:textId="77777777" w:rsidR="00417838" w:rsidRDefault="00000000">
      <w:pPr>
        <w:ind w:left="360" w:hanging="360"/>
        <w:jc w:val="both"/>
      </w:pPr>
      <w:r>
        <w:t>Venkatesh, V., Morris, M.G., Davis, G.B. and Davis, F.D. (2003) 'User acceptance of information technology: Toward a unified view', MIS Quarterly, 27(3), pp. 425-478.</w:t>
      </w:r>
    </w:p>
    <w:p w14:paraId="15A58C42" w14:textId="77777777" w:rsidR="00417838" w:rsidRDefault="00000000">
      <w:pPr>
        <w:ind w:left="360" w:hanging="360"/>
        <w:jc w:val="both"/>
      </w:pPr>
      <w:r>
        <w:t>Venkatesh, V., Thong, J.Y.L. and Xu, X. (2012) 'Consumer acceptance and use of information technology: Extending the unified theory of acceptance and use of technology', MIS Quarterly, 36(1), pp. 157-178.</w:t>
      </w:r>
    </w:p>
    <w:p w14:paraId="0B027EEB" w14:textId="77777777" w:rsidR="00417838" w:rsidRDefault="00000000">
      <w:pPr>
        <w:ind w:left="360" w:hanging="360"/>
        <w:jc w:val="both"/>
      </w:pPr>
      <w:r>
        <w:t>Worthington, S. (1995) 'The cashless society', International Journal of Retail &amp; Distribution Management, 23(7), pp. 31-40.</w:t>
      </w:r>
    </w:p>
    <w:p w14:paraId="79CBC706" w14:textId="77777777" w:rsidR="00417838" w:rsidRDefault="00000000">
      <w:pPr>
        <w:ind w:left="360" w:hanging="360"/>
        <w:jc w:val="both"/>
      </w:pPr>
      <w:r>
        <w:t>Zhou, T. (2013) 'An empirical examination of continuance intention of mobile payment services', Decision Support Systems, 54(2), pp. 1085-1091.</w:t>
      </w:r>
    </w:p>
    <w:p w14:paraId="199F203A" w14:textId="77777777" w:rsidR="00417838" w:rsidRDefault="00000000">
      <w:pPr>
        <w:pStyle w:val="Heading1"/>
      </w:pPr>
      <w:bookmarkStart w:id="22" w:name="_Toc234925685"/>
      <w:r>
        <w:rPr>
          <w:rFonts w:ascii="Times New Roman" w:eastAsia="Times New Roman" w:hAnsi="Times New Roman"/>
        </w:rPr>
        <w:lastRenderedPageBreak/>
        <w:t>Appendix A: Draft Semi-structured Interview Guide</w:t>
      </w:r>
      <w:bookmarkEnd w:id="22"/>
    </w:p>
    <w:p w14:paraId="08A40BE5" w14:textId="77777777" w:rsidR="00417838" w:rsidRDefault="00000000">
      <w:pPr>
        <w:jc w:val="both"/>
      </w:pPr>
      <w:r>
        <w:t>1. Can you briefly describe your student status and how often you usually make payments during a normal week?</w:t>
      </w:r>
    </w:p>
    <w:p w14:paraId="1868F3DC" w14:textId="77777777" w:rsidR="00417838" w:rsidRDefault="00000000">
      <w:pPr>
        <w:jc w:val="both"/>
      </w:pPr>
      <w:r>
        <w:t>2. Which payment methods do you normally use, such as cash, debit card, credit card, Apple Pay, Google Pay or another mobile wallet?</w:t>
      </w:r>
    </w:p>
    <w:p w14:paraId="0D600416" w14:textId="77777777" w:rsidR="00417838" w:rsidRDefault="00000000">
      <w:pPr>
        <w:jc w:val="both"/>
      </w:pPr>
      <w:r>
        <w:t>3. Can you describe a recent day when you used contactless payment? What did you buy and why did you choose that payment method?</w:t>
      </w:r>
    </w:p>
    <w:p w14:paraId="37896635" w14:textId="77777777" w:rsidR="00417838" w:rsidRDefault="00000000">
      <w:pPr>
        <w:jc w:val="both"/>
      </w:pPr>
      <w:r>
        <w:t>4. What makes contactless payment convenient for you? Are there any situations where it is inconvenient?</w:t>
      </w:r>
    </w:p>
    <w:p w14:paraId="2D22CB28" w14:textId="77777777" w:rsidR="00417838" w:rsidRDefault="00000000">
      <w:pPr>
        <w:jc w:val="both"/>
      </w:pPr>
      <w:r>
        <w:t>5. Do you feel more comfortable using a physical contactless card or a mobile wallet? Why?</w:t>
      </w:r>
    </w:p>
    <w:p w14:paraId="2AD89772" w14:textId="77777777" w:rsidR="00417838" w:rsidRDefault="00000000">
      <w:pPr>
        <w:jc w:val="both"/>
      </w:pPr>
      <w:r>
        <w:t>6. Do contactless payments feel secure to you? What creates or reduces that sense of security?</w:t>
      </w:r>
    </w:p>
    <w:p w14:paraId="5236C90E" w14:textId="77777777" w:rsidR="00417838" w:rsidRDefault="00000000">
      <w:pPr>
        <w:jc w:val="both"/>
      </w:pPr>
      <w:r>
        <w:t>7. Have you ever worried about losing your card or phone, accidental payment, duplicate payment or fraud?</w:t>
      </w:r>
    </w:p>
    <w:p w14:paraId="1ACBF35B" w14:textId="77777777" w:rsidR="00417838" w:rsidRDefault="00000000">
      <w:pPr>
        <w:jc w:val="both"/>
      </w:pPr>
      <w:r>
        <w:t>8. Do you think contactless payment affects how aware you are of your spending? Can you give an example?</w:t>
      </w:r>
    </w:p>
    <w:p w14:paraId="1D43B8A9" w14:textId="77777777" w:rsidR="00417838" w:rsidRDefault="00000000">
      <w:pPr>
        <w:jc w:val="both"/>
      </w:pPr>
      <w:r>
        <w:t>9. Do small contactless purchases ever add up in a way that surprises you?</w:t>
      </w:r>
    </w:p>
    <w:p w14:paraId="4A0FF3A0" w14:textId="77777777" w:rsidR="00417838" w:rsidRDefault="00000000">
      <w:pPr>
        <w:jc w:val="both"/>
      </w:pPr>
      <w:r>
        <w:t>10. Do you use banking apps, notifications, budgeting apps or spending pots to manage contactless spending?</w:t>
      </w:r>
    </w:p>
    <w:p w14:paraId="61021EDC" w14:textId="77777777" w:rsidR="00417838" w:rsidRDefault="00000000">
      <w:pPr>
        <w:jc w:val="both"/>
      </w:pPr>
      <w:r>
        <w:t>11. Are there times when you prefer cash because it helps you control your budget?</w:t>
      </w:r>
    </w:p>
    <w:p w14:paraId="2966C0AE" w14:textId="77777777" w:rsidR="00417838" w:rsidRDefault="00000000">
      <w:pPr>
        <w:jc w:val="both"/>
      </w:pPr>
      <w:r>
        <w:t>12. What advice would you give to a new student about using contactless payment responsibly?</w:t>
      </w:r>
    </w:p>
    <w:p w14:paraId="65FA961F" w14:textId="77777777" w:rsidR="00417838" w:rsidRDefault="00000000">
      <w:pPr>
        <w:pStyle w:val="Heading1"/>
      </w:pPr>
      <w:bookmarkStart w:id="23" w:name="_Toc234925686"/>
      <w:r>
        <w:rPr>
          <w:rFonts w:ascii="Times New Roman" w:eastAsia="Times New Roman" w:hAnsi="Times New Roman"/>
        </w:rPr>
        <w:lastRenderedPageBreak/>
        <w:t>Appendix B: Participant Eligibility and Recruitment Statement</w:t>
      </w:r>
      <w:bookmarkEnd w:id="23"/>
    </w:p>
    <w:p w14:paraId="595E04F8" w14:textId="77777777" w:rsidR="00417838" w:rsidRDefault="00000000">
      <w:pPr>
        <w:jc w:val="both"/>
      </w:pPr>
      <w:r>
        <w:t>Participants will be recruited through university networks, student social media groups and personal contacts. Recruitment messages will clearly state that participation is voluntary and that the study is for an MBA Business Research proposal. Eligible participants must be aged 18 or above, currently studying at a UK higher education institution, and have used contactless card or mobile wallet payment within the past three months.</w:t>
      </w:r>
    </w:p>
    <w:p w14:paraId="06F1728B" w14:textId="77777777" w:rsidR="00417838" w:rsidRDefault="00000000">
      <w:pPr>
        <w:jc w:val="both"/>
      </w:pPr>
      <w:r>
        <w:t>The recruitment message will avoid pressure and will not imply that students are expected to take part. Participants will be invited to contact the researcher if interested, after which they will receive the information sheet and consent form. No participant will be offered financial advice, and no sensitive bank account details will be collected.</w:t>
      </w:r>
    </w:p>
    <w:p w14:paraId="77C3E6CE" w14:textId="77777777" w:rsidR="00417838" w:rsidRDefault="00000000">
      <w:r>
        <w:br w:type="page"/>
      </w:r>
    </w:p>
    <w:p w14:paraId="317A6266" w14:textId="77777777" w:rsidR="00417838" w:rsidRDefault="00000000">
      <w:pPr>
        <w:pStyle w:val="Heading1"/>
      </w:pPr>
      <w:bookmarkStart w:id="24" w:name="_Toc234925687"/>
      <w:r>
        <w:rPr>
          <w:rFonts w:ascii="Times New Roman" w:eastAsia="Times New Roman" w:hAnsi="Times New Roman"/>
        </w:rPr>
        <w:lastRenderedPageBreak/>
        <w:t>Appendix C: Initial Coding Framework</w:t>
      </w:r>
      <w:bookmarkEnd w:id="24"/>
    </w:p>
    <w:tbl>
      <w:tblPr>
        <w:tblStyle w:val="TableGrid"/>
        <w:tblW w:w="0" w:type="auto"/>
        <w:jc w:val="center"/>
        <w:tblLook w:val="04A0" w:firstRow="1" w:lastRow="0" w:firstColumn="1" w:lastColumn="0" w:noHBand="0" w:noVBand="1"/>
      </w:tblPr>
      <w:tblGrid>
        <w:gridCol w:w="3120"/>
        <w:gridCol w:w="3120"/>
        <w:gridCol w:w="3120"/>
      </w:tblGrid>
      <w:tr w:rsidR="00417838" w14:paraId="337B33BE" w14:textId="77777777">
        <w:trPr>
          <w:jc w:val="center"/>
        </w:trPr>
        <w:tc>
          <w:tcPr>
            <w:tcW w:w="3120" w:type="dxa"/>
            <w:shd w:val="clear" w:color="auto" w:fill="EAF2F8"/>
          </w:tcPr>
          <w:p w14:paraId="3F1DBCBF" w14:textId="77777777" w:rsidR="00417838" w:rsidRDefault="00000000">
            <w:pPr>
              <w:spacing w:after="0" w:line="240" w:lineRule="auto"/>
            </w:pPr>
            <w:r>
              <w:rPr>
                <w:b/>
                <w:sz w:val="21"/>
              </w:rPr>
              <w:t>Initial code group</w:t>
            </w:r>
          </w:p>
        </w:tc>
        <w:tc>
          <w:tcPr>
            <w:tcW w:w="3120" w:type="dxa"/>
            <w:shd w:val="clear" w:color="auto" w:fill="EAF2F8"/>
          </w:tcPr>
          <w:p w14:paraId="72DEAF1E" w14:textId="77777777" w:rsidR="00417838" w:rsidRDefault="00000000">
            <w:pPr>
              <w:spacing w:after="0" w:line="240" w:lineRule="auto"/>
            </w:pPr>
            <w:r>
              <w:rPr>
                <w:b/>
                <w:sz w:val="21"/>
              </w:rPr>
              <w:t>Possible codes</w:t>
            </w:r>
          </w:p>
        </w:tc>
        <w:tc>
          <w:tcPr>
            <w:tcW w:w="3120" w:type="dxa"/>
            <w:shd w:val="clear" w:color="auto" w:fill="EAF2F8"/>
          </w:tcPr>
          <w:p w14:paraId="63F119E4" w14:textId="77777777" w:rsidR="00417838" w:rsidRDefault="00000000">
            <w:pPr>
              <w:spacing w:after="0" w:line="240" w:lineRule="auto"/>
            </w:pPr>
            <w:r>
              <w:rPr>
                <w:b/>
                <w:sz w:val="21"/>
              </w:rPr>
              <w:t>Possible theme</w:t>
            </w:r>
          </w:p>
        </w:tc>
      </w:tr>
      <w:tr w:rsidR="00417838" w14:paraId="44ACD4B7" w14:textId="77777777">
        <w:trPr>
          <w:jc w:val="center"/>
        </w:trPr>
        <w:tc>
          <w:tcPr>
            <w:tcW w:w="3120" w:type="dxa"/>
          </w:tcPr>
          <w:p w14:paraId="187CD9CA" w14:textId="77777777" w:rsidR="00417838" w:rsidRDefault="00000000">
            <w:pPr>
              <w:spacing w:after="0" w:line="240" w:lineRule="auto"/>
            </w:pPr>
            <w:r>
              <w:rPr>
                <w:sz w:val="21"/>
              </w:rPr>
              <w:t>Convenience</w:t>
            </w:r>
          </w:p>
        </w:tc>
        <w:tc>
          <w:tcPr>
            <w:tcW w:w="3120" w:type="dxa"/>
          </w:tcPr>
          <w:p w14:paraId="08BBE517" w14:textId="77777777" w:rsidR="00417838" w:rsidRDefault="00000000">
            <w:pPr>
              <w:spacing w:after="0" w:line="240" w:lineRule="auto"/>
            </w:pPr>
            <w:r>
              <w:rPr>
                <w:sz w:val="21"/>
              </w:rPr>
              <w:t>fast checkout; no cash; transport use; low effort; habit</w:t>
            </w:r>
          </w:p>
        </w:tc>
        <w:tc>
          <w:tcPr>
            <w:tcW w:w="3120" w:type="dxa"/>
          </w:tcPr>
          <w:p w14:paraId="2B505A81" w14:textId="77777777" w:rsidR="00417838" w:rsidRDefault="00000000">
            <w:pPr>
              <w:spacing w:after="0" w:line="240" w:lineRule="auto"/>
            </w:pPr>
            <w:r>
              <w:rPr>
                <w:sz w:val="21"/>
              </w:rPr>
              <w:t>Contactless as everyday payment convenience</w:t>
            </w:r>
          </w:p>
        </w:tc>
      </w:tr>
      <w:tr w:rsidR="00417838" w14:paraId="6BD9929C" w14:textId="77777777">
        <w:trPr>
          <w:jc w:val="center"/>
        </w:trPr>
        <w:tc>
          <w:tcPr>
            <w:tcW w:w="3120" w:type="dxa"/>
          </w:tcPr>
          <w:p w14:paraId="35693FC1" w14:textId="77777777" w:rsidR="00417838" w:rsidRDefault="00000000">
            <w:pPr>
              <w:spacing w:after="0" w:line="240" w:lineRule="auto"/>
            </w:pPr>
            <w:r>
              <w:rPr>
                <w:sz w:val="21"/>
              </w:rPr>
              <w:t>Trust and security</w:t>
            </w:r>
          </w:p>
        </w:tc>
        <w:tc>
          <w:tcPr>
            <w:tcW w:w="3120" w:type="dxa"/>
          </w:tcPr>
          <w:p w14:paraId="21BFAFB3" w14:textId="77777777" w:rsidR="00417838" w:rsidRDefault="00000000">
            <w:pPr>
              <w:spacing w:after="0" w:line="240" w:lineRule="auto"/>
            </w:pPr>
            <w:r>
              <w:rPr>
                <w:sz w:val="21"/>
              </w:rPr>
              <w:t>Face ID confidence; bank trust; lost card fear; fraud concern</w:t>
            </w:r>
          </w:p>
        </w:tc>
        <w:tc>
          <w:tcPr>
            <w:tcW w:w="3120" w:type="dxa"/>
          </w:tcPr>
          <w:p w14:paraId="51C41EAC" w14:textId="77777777" w:rsidR="00417838" w:rsidRDefault="00000000">
            <w:pPr>
              <w:spacing w:after="0" w:line="240" w:lineRule="auto"/>
            </w:pPr>
            <w:r>
              <w:rPr>
                <w:sz w:val="21"/>
              </w:rPr>
              <w:t>Security perceptions and trust boundaries</w:t>
            </w:r>
          </w:p>
        </w:tc>
      </w:tr>
      <w:tr w:rsidR="00417838" w14:paraId="2CE055FA" w14:textId="77777777">
        <w:trPr>
          <w:jc w:val="center"/>
        </w:trPr>
        <w:tc>
          <w:tcPr>
            <w:tcW w:w="3120" w:type="dxa"/>
          </w:tcPr>
          <w:p w14:paraId="14DA5A9E" w14:textId="77777777" w:rsidR="00417838" w:rsidRDefault="00000000">
            <w:pPr>
              <w:spacing w:after="0" w:line="240" w:lineRule="auto"/>
            </w:pPr>
            <w:r>
              <w:rPr>
                <w:sz w:val="21"/>
              </w:rPr>
              <w:t>Spending control</w:t>
            </w:r>
          </w:p>
        </w:tc>
        <w:tc>
          <w:tcPr>
            <w:tcW w:w="3120" w:type="dxa"/>
          </w:tcPr>
          <w:p w14:paraId="17D3211D" w14:textId="77777777" w:rsidR="00417838" w:rsidRDefault="00000000">
            <w:pPr>
              <w:spacing w:after="0" w:line="240" w:lineRule="auto"/>
            </w:pPr>
            <w:r>
              <w:rPr>
                <w:sz w:val="21"/>
              </w:rPr>
              <w:t>small purchases add up; app checking; invisible spending; cash control</w:t>
            </w:r>
          </w:p>
        </w:tc>
        <w:tc>
          <w:tcPr>
            <w:tcW w:w="3120" w:type="dxa"/>
          </w:tcPr>
          <w:p w14:paraId="19AA147A" w14:textId="77777777" w:rsidR="00417838" w:rsidRDefault="00000000">
            <w:pPr>
              <w:spacing w:after="0" w:line="240" w:lineRule="auto"/>
            </w:pPr>
            <w:r>
              <w:rPr>
                <w:sz w:val="21"/>
              </w:rPr>
              <w:t>Payment friction and budgeting awareness</w:t>
            </w:r>
          </w:p>
        </w:tc>
      </w:tr>
      <w:tr w:rsidR="00417838" w14:paraId="268C7D78" w14:textId="77777777">
        <w:trPr>
          <w:jc w:val="center"/>
        </w:trPr>
        <w:tc>
          <w:tcPr>
            <w:tcW w:w="3120" w:type="dxa"/>
          </w:tcPr>
          <w:p w14:paraId="354F2080" w14:textId="77777777" w:rsidR="00417838" w:rsidRDefault="00000000">
            <w:pPr>
              <w:spacing w:after="0" w:line="240" w:lineRule="auto"/>
            </w:pPr>
            <w:r>
              <w:rPr>
                <w:sz w:val="21"/>
              </w:rPr>
              <w:t>Student context</w:t>
            </w:r>
          </w:p>
        </w:tc>
        <w:tc>
          <w:tcPr>
            <w:tcW w:w="3120" w:type="dxa"/>
          </w:tcPr>
          <w:p w14:paraId="379EAFAF" w14:textId="77777777" w:rsidR="00417838" w:rsidRDefault="00000000">
            <w:pPr>
              <w:spacing w:after="0" w:line="240" w:lineRule="auto"/>
            </w:pPr>
            <w:r>
              <w:rPr>
                <w:sz w:val="21"/>
              </w:rPr>
              <w:t>limited income; rent pressure; social spending; part-time work</w:t>
            </w:r>
          </w:p>
        </w:tc>
        <w:tc>
          <w:tcPr>
            <w:tcW w:w="3120" w:type="dxa"/>
          </w:tcPr>
          <w:p w14:paraId="5DC6969A" w14:textId="77777777" w:rsidR="00417838" w:rsidRDefault="00000000">
            <w:pPr>
              <w:spacing w:after="0" w:line="240" w:lineRule="auto"/>
            </w:pPr>
            <w:r>
              <w:rPr>
                <w:sz w:val="21"/>
              </w:rPr>
              <w:t>Student financial pressure and payment decisions</w:t>
            </w:r>
          </w:p>
        </w:tc>
      </w:tr>
      <w:tr w:rsidR="00417838" w14:paraId="6A3F97BF" w14:textId="77777777">
        <w:trPr>
          <w:jc w:val="center"/>
        </w:trPr>
        <w:tc>
          <w:tcPr>
            <w:tcW w:w="3120" w:type="dxa"/>
          </w:tcPr>
          <w:p w14:paraId="76B6312B" w14:textId="77777777" w:rsidR="00417838" w:rsidRDefault="00000000">
            <w:pPr>
              <w:spacing w:after="0" w:line="240" w:lineRule="auto"/>
            </w:pPr>
            <w:r>
              <w:rPr>
                <w:sz w:val="21"/>
              </w:rPr>
              <w:t>Payment comparison</w:t>
            </w:r>
          </w:p>
        </w:tc>
        <w:tc>
          <w:tcPr>
            <w:tcW w:w="3120" w:type="dxa"/>
          </w:tcPr>
          <w:p w14:paraId="468930E3" w14:textId="77777777" w:rsidR="00417838" w:rsidRDefault="00000000">
            <w:pPr>
              <w:spacing w:after="0" w:line="240" w:lineRule="auto"/>
            </w:pPr>
            <w:r>
              <w:rPr>
                <w:sz w:val="21"/>
              </w:rPr>
              <w:t>card vs phone; cash vs contactless; notifications; personal limits</w:t>
            </w:r>
          </w:p>
        </w:tc>
        <w:tc>
          <w:tcPr>
            <w:tcW w:w="3120" w:type="dxa"/>
          </w:tcPr>
          <w:p w14:paraId="18254E75" w14:textId="77777777" w:rsidR="00417838" w:rsidRDefault="00000000">
            <w:pPr>
              <w:spacing w:after="0" w:line="240" w:lineRule="auto"/>
            </w:pPr>
            <w:r>
              <w:rPr>
                <w:sz w:val="21"/>
              </w:rPr>
              <w:t>Choosing between payment tools</w:t>
            </w:r>
          </w:p>
        </w:tc>
      </w:tr>
    </w:tbl>
    <w:p w14:paraId="24AD71E6" w14:textId="77777777" w:rsidR="00417838" w:rsidRDefault="00417838"/>
    <w:p w14:paraId="2CF75388" w14:textId="77777777" w:rsidR="00417838" w:rsidRDefault="00000000">
      <w:pPr>
        <w:pStyle w:val="Heading1"/>
      </w:pPr>
      <w:bookmarkStart w:id="25" w:name="_Toc234925688"/>
      <w:r>
        <w:rPr>
          <w:rFonts w:ascii="Times New Roman" w:eastAsia="Times New Roman" w:hAnsi="Times New Roman"/>
        </w:rPr>
        <w:t>Appendix D: Research Question and Method Alignment</w:t>
      </w:r>
      <w:bookmarkEnd w:id="25"/>
    </w:p>
    <w:tbl>
      <w:tblPr>
        <w:tblStyle w:val="TableGrid"/>
        <w:tblW w:w="0" w:type="auto"/>
        <w:jc w:val="center"/>
        <w:tblLook w:val="04A0" w:firstRow="1" w:lastRow="0" w:firstColumn="1" w:lastColumn="0" w:noHBand="0" w:noVBand="1"/>
      </w:tblPr>
      <w:tblGrid>
        <w:gridCol w:w="3120"/>
        <w:gridCol w:w="3120"/>
        <w:gridCol w:w="3120"/>
      </w:tblGrid>
      <w:tr w:rsidR="00417838" w14:paraId="134905A7" w14:textId="77777777">
        <w:trPr>
          <w:jc w:val="center"/>
        </w:trPr>
        <w:tc>
          <w:tcPr>
            <w:tcW w:w="3120" w:type="dxa"/>
            <w:shd w:val="clear" w:color="auto" w:fill="EAF2F8"/>
          </w:tcPr>
          <w:p w14:paraId="274C4D1E" w14:textId="77777777" w:rsidR="00417838" w:rsidRDefault="00000000">
            <w:pPr>
              <w:spacing w:after="0" w:line="240" w:lineRule="auto"/>
            </w:pPr>
            <w:r>
              <w:rPr>
                <w:b/>
                <w:sz w:val="21"/>
              </w:rPr>
              <w:t>Research question</w:t>
            </w:r>
          </w:p>
        </w:tc>
        <w:tc>
          <w:tcPr>
            <w:tcW w:w="3120" w:type="dxa"/>
            <w:shd w:val="clear" w:color="auto" w:fill="EAF2F8"/>
          </w:tcPr>
          <w:p w14:paraId="35374108" w14:textId="77777777" w:rsidR="00417838" w:rsidRDefault="00000000">
            <w:pPr>
              <w:spacing w:after="0" w:line="240" w:lineRule="auto"/>
            </w:pPr>
            <w:r>
              <w:rPr>
                <w:b/>
                <w:sz w:val="21"/>
              </w:rPr>
              <w:t>Data source</w:t>
            </w:r>
          </w:p>
        </w:tc>
        <w:tc>
          <w:tcPr>
            <w:tcW w:w="3120" w:type="dxa"/>
            <w:shd w:val="clear" w:color="auto" w:fill="EAF2F8"/>
          </w:tcPr>
          <w:p w14:paraId="23C68E2C" w14:textId="77777777" w:rsidR="00417838" w:rsidRDefault="00000000">
            <w:pPr>
              <w:spacing w:after="0" w:line="240" w:lineRule="auto"/>
            </w:pPr>
            <w:r>
              <w:rPr>
                <w:b/>
                <w:sz w:val="21"/>
              </w:rPr>
              <w:t>Analysis focus</w:t>
            </w:r>
          </w:p>
        </w:tc>
      </w:tr>
      <w:tr w:rsidR="00417838" w14:paraId="2CC13143" w14:textId="77777777">
        <w:trPr>
          <w:jc w:val="center"/>
        </w:trPr>
        <w:tc>
          <w:tcPr>
            <w:tcW w:w="3120" w:type="dxa"/>
          </w:tcPr>
          <w:p w14:paraId="736A9F12" w14:textId="77777777" w:rsidR="00417838" w:rsidRDefault="00000000">
            <w:pPr>
              <w:spacing w:after="0" w:line="240" w:lineRule="auto"/>
            </w:pPr>
            <w:r>
              <w:rPr>
                <w:sz w:val="21"/>
              </w:rPr>
              <w:t>RQ1: Convenience and everyday usefulness</w:t>
            </w:r>
          </w:p>
        </w:tc>
        <w:tc>
          <w:tcPr>
            <w:tcW w:w="3120" w:type="dxa"/>
          </w:tcPr>
          <w:p w14:paraId="5C6579B6" w14:textId="77777777" w:rsidR="00417838" w:rsidRDefault="00000000">
            <w:pPr>
              <w:spacing w:after="0" w:line="240" w:lineRule="auto"/>
            </w:pPr>
            <w:r>
              <w:rPr>
                <w:sz w:val="21"/>
              </w:rPr>
              <w:t>Interview questions 3-4</w:t>
            </w:r>
          </w:p>
        </w:tc>
        <w:tc>
          <w:tcPr>
            <w:tcW w:w="3120" w:type="dxa"/>
          </w:tcPr>
          <w:p w14:paraId="3BFB24D7" w14:textId="77777777" w:rsidR="00417838" w:rsidRDefault="00000000">
            <w:pPr>
              <w:spacing w:after="0" w:line="240" w:lineRule="auto"/>
            </w:pPr>
            <w:r>
              <w:rPr>
                <w:sz w:val="21"/>
              </w:rPr>
              <w:t>How students describe contactless routines and benefits.</w:t>
            </w:r>
          </w:p>
        </w:tc>
      </w:tr>
      <w:tr w:rsidR="00417838" w14:paraId="3067AFFD" w14:textId="77777777">
        <w:trPr>
          <w:jc w:val="center"/>
        </w:trPr>
        <w:tc>
          <w:tcPr>
            <w:tcW w:w="3120" w:type="dxa"/>
          </w:tcPr>
          <w:p w14:paraId="0A8B9310" w14:textId="77777777" w:rsidR="00417838" w:rsidRDefault="00000000">
            <w:pPr>
              <w:spacing w:after="0" w:line="240" w:lineRule="auto"/>
            </w:pPr>
            <w:r>
              <w:rPr>
                <w:sz w:val="21"/>
              </w:rPr>
              <w:t>RQ2: Trust and perceived security</w:t>
            </w:r>
          </w:p>
        </w:tc>
        <w:tc>
          <w:tcPr>
            <w:tcW w:w="3120" w:type="dxa"/>
          </w:tcPr>
          <w:p w14:paraId="27957760" w14:textId="77777777" w:rsidR="00417838" w:rsidRDefault="00000000">
            <w:pPr>
              <w:spacing w:after="0" w:line="240" w:lineRule="auto"/>
            </w:pPr>
            <w:r>
              <w:rPr>
                <w:sz w:val="21"/>
              </w:rPr>
              <w:t>Interview questions 5-7</w:t>
            </w:r>
          </w:p>
        </w:tc>
        <w:tc>
          <w:tcPr>
            <w:tcW w:w="3120" w:type="dxa"/>
          </w:tcPr>
          <w:p w14:paraId="2C1157F2" w14:textId="77777777" w:rsidR="00417838" w:rsidRDefault="00000000">
            <w:pPr>
              <w:spacing w:after="0" w:line="240" w:lineRule="auto"/>
            </w:pPr>
            <w:r>
              <w:rPr>
                <w:sz w:val="21"/>
              </w:rPr>
              <w:t>How students construct trust, risk and security boundaries.</w:t>
            </w:r>
          </w:p>
        </w:tc>
      </w:tr>
      <w:tr w:rsidR="00417838" w14:paraId="69755D17" w14:textId="77777777">
        <w:trPr>
          <w:jc w:val="center"/>
        </w:trPr>
        <w:tc>
          <w:tcPr>
            <w:tcW w:w="3120" w:type="dxa"/>
          </w:tcPr>
          <w:p w14:paraId="14D744EB" w14:textId="77777777" w:rsidR="00417838" w:rsidRDefault="00000000">
            <w:pPr>
              <w:spacing w:after="0" w:line="240" w:lineRule="auto"/>
            </w:pPr>
            <w:r>
              <w:rPr>
                <w:sz w:val="21"/>
              </w:rPr>
              <w:t>RQ3: Spending control</w:t>
            </w:r>
          </w:p>
        </w:tc>
        <w:tc>
          <w:tcPr>
            <w:tcW w:w="3120" w:type="dxa"/>
          </w:tcPr>
          <w:p w14:paraId="217BB434" w14:textId="77777777" w:rsidR="00417838" w:rsidRDefault="00000000">
            <w:pPr>
              <w:spacing w:after="0" w:line="240" w:lineRule="auto"/>
            </w:pPr>
            <w:r>
              <w:rPr>
                <w:sz w:val="21"/>
              </w:rPr>
              <w:t>Interview questions 8-11</w:t>
            </w:r>
          </w:p>
        </w:tc>
        <w:tc>
          <w:tcPr>
            <w:tcW w:w="3120" w:type="dxa"/>
          </w:tcPr>
          <w:p w14:paraId="21BCF7A6" w14:textId="77777777" w:rsidR="00417838" w:rsidRDefault="00000000">
            <w:pPr>
              <w:spacing w:after="0" w:line="240" w:lineRule="auto"/>
            </w:pPr>
            <w:r>
              <w:rPr>
                <w:sz w:val="21"/>
              </w:rPr>
              <w:t>How payment friction, banking apps and cash affect budgeting awareness.</w:t>
            </w:r>
          </w:p>
        </w:tc>
      </w:tr>
      <w:tr w:rsidR="00417838" w14:paraId="5ACCC775" w14:textId="77777777">
        <w:trPr>
          <w:jc w:val="center"/>
        </w:trPr>
        <w:tc>
          <w:tcPr>
            <w:tcW w:w="3120" w:type="dxa"/>
          </w:tcPr>
          <w:p w14:paraId="568127A0" w14:textId="77777777" w:rsidR="00417838" w:rsidRDefault="00000000">
            <w:pPr>
              <w:spacing w:after="0" w:line="240" w:lineRule="auto"/>
            </w:pPr>
            <w:r>
              <w:rPr>
                <w:sz w:val="21"/>
              </w:rPr>
              <w:t>RQ4: Card and mobile wallet comparison</w:t>
            </w:r>
          </w:p>
        </w:tc>
        <w:tc>
          <w:tcPr>
            <w:tcW w:w="3120" w:type="dxa"/>
          </w:tcPr>
          <w:p w14:paraId="33DA1106" w14:textId="77777777" w:rsidR="00417838" w:rsidRDefault="00000000">
            <w:pPr>
              <w:spacing w:after="0" w:line="240" w:lineRule="auto"/>
            </w:pPr>
            <w:r>
              <w:rPr>
                <w:sz w:val="21"/>
              </w:rPr>
              <w:t>Interview questions 2, 5 and 10</w:t>
            </w:r>
          </w:p>
        </w:tc>
        <w:tc>
          <w:tcPr>
            <w:tcW w:w="3120" w:type="dxa"/>
          </w:tcPr>
          <w:p w14:paraId="4FCBDC3C" w14:textId="77777777" w:rsidR="00417838" w:rsidRDefault="00000000">
            <w:pPr>
              <w:spacing w:after="0" w:line="240" w:lineRule="auto"/>
            </w:pPr>
            <w:r>
              <w:rPr>
                <w:sz w:val="21"/>
              </w:rPr>
              <w:t>How students compare physical cards with mobile wallets.</w:t>
            </w:r>
          </w:p>
        </w:tc>
      </w:tr>
    </w:tbl>
    <w:p w14:paraId="7D0CAF4A" w14:textId="77777777" w:rsidR="00417838" w:rsidRDefault="00417838"/>
    <w:sectPr w:rsidR="00417838" w:rsidSect="0003461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255D3D" w14:textId="77777777" w:rsidR="00F95357" w:rsidRDefault="00F95357">
      <w:pPr>
        <w:spacing w:after="0" w:line="240" w:lineRule="auto"/>
      </w:pPr>
      <w:r>
        <w:separator/>
      </w:r>
    </w:p>
  </w:endnote>
  <w:endnote w:type="continuationSeparator" w:id="0">
    <w:p w14:paraId="0D6C1DC4" w14:textId="77777777" w:rsidR="00F95357" w:rsidRDefault="00F953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24464C" w14:textId="77777777" w:rsidR="00417838" w:rsidRDefault="00000000">
    <w:pPr>
      <w:pStyle w:val="Footer"/>
      <w:jc w:val="center"/>
    </w:pPr>
    <w:r>
      <w:fldChar w:fldCharType="begin"/>
    </w:r>
    <w:r>
      <w:instrText>PAGE</w:instrText>
    </w:r>
    <w:r w:rsidR="00DF591A">
      <w:fldChar w:fldCharType="separate"/>
    </w:r>
    <w:r w:rsidR="00DF591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1231A5" w14:textId="77777777" w:rsidR="00F95357" w:rsidRDefault="00F95357">
      <w:pPr>
        <w:spacing w:after="0" w:line="240" w:lineRule="auto"/>
      </w:pPr>
      <w:r>
        <w:separator/>
      </w:r>
    </w:p>
  </w:footnote>
  <w:footnote w:type="continuationSeparator" w:id="0">
    <w:p w14:paraId="0CF1EFEF" w14:textId="77777777" w:rsidR="00F95357" w:rsidRDefault="00F953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32340576">
    <w:abstractNumId w:val="8"/>
  </w:num>
  <w:num w:numId="2" w16cid:durableId="1767532933">
    <w:abstractNumId w:val="6"/>
  </w:num>
  <w:num w:numId="3" w16cid:durableId="596595694">
    <w:abstractNumId w:val="5"/>
  </w:num>
  <w:num w:numId="4" w16cid:durableId="60105907">
    <w:abstractNumId w:val="4"/>
  </w:num>
  <w:num w:numId="5" w16cid:durableId="1023477988">
    <w:abstractNumId w:val="7"/>
  </w:num>
  <w:num w:numId="6" w16cid:durableId="2014380729">
    <w:abstractNumId w:val="3"/>
  </w:num>
  <w:num w:numId="7" w16cid:durableId="167600144">
    <w:abstractNumId w:val="2"/>
  </w:num>
  <w:num w:numId="8" w16cid:durableId="1696886416">
    <w:abstractNumId w:val="1"/>
  </w:num>
  <w:num w:numId="9" w16cid:durableId="7575970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17838"/>
    <w:rsid w:val="005519E6"/>
    <w:rsid w:val="00AA1107"/>
    <w:rsid w:val="00AA1D8D"/>
    <w:rsid w:val="00B24588"/>
    <w:rsid w:val="00B47730"/>
    <w:rsid w:val="00CB0664"/>
    <w:rsid w:val="00DF591A"/>
    <w:rsid w:val="00EB6F34"/>
    <w:rsid w:val="00F9535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08076D6"/>
  <w14:defaultImageDpi w14:val="300"/>
  <w15:docId w15:val="{9A9EC007-2B0A-4246-B604-7F365A80C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480" w:lineRule="auto"/>
    </w:pPr>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240" w:line="360" w:lineRule="auto"/>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120" w:after="60" w:line="360" w:lineRule="auto"/>
      <w:outlineLvl w:val="1"/>
    </w:pPr>
    <w:rPr>
      <w:rFonts w:asciiTheme="majorHAnsi" w:eastAsiaTheme="majorEastAsia" w:hAnsiTheme="majorHAnsi" w:cstheme="majorBidi"/>
      <w:b/>
      <w:bCs/>
      <w:color w:val="000000"/>
      <w:szCs w:val="26"/>
    </w:rPr>
  </w:style>
  <w:style w:type="paragraph" w:styleId="Heading3">
    <w:name w:val="heading 3"/>
    <w:basedOn w:val="Normal"/>
    <w:next w:val="Normal"/>
    <w:link w:val="Heading3Char"/>
    <w:uiPriority w:val="9"/>
    <w:unhideWhenUsed/>
    <w:qFormat/>
    <w:rsid w:val="00FC693F"/>
    <w:pPr>
      <w:keepNext/>
      <w:keepLines/>
      <w:spacing w:before="120" w:after="60" w:line="360" w:lineRule="auto"/>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5519E6"/>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5519E6"/>
    <w:pPr>
      <w:spacing w:before="120" w:after="0"/>
      <w:ind w:left="240"/>
    </w:pPr>
    <w:rPr>
      <w:rFonts w:asciiTheme="minorHAnsi" w:hAnsiTheme="minorHAnsi"/>
      <w:b/>
      <w:bCs/>
      <w:sz w:val="22"/>
    </w:rPr>
  </w:style>
  <w:style w:type="character" w:styleId="Hyperlink">
    <w:name w:val="Hyperlink"/>
    <w:basedOn w:val="DefaultParagraphFont"/>
    <w:uiPriority w:val="99"/>
    <w:unhideWhenUsed/>
    <w:rsid w:val="005519E6"/>
    <w:rPr>
      <w:color w:val="0000FF" w:themeColor="hyperlink"/>
      <w:u w:val="single"/>
    </w:rPr>
  </w:style>
  <w:style w:type="paragraph" w:styleId="TOC3">
    <w:name w:val="toc 3"/>
    <w:basedOn w:val="Normal"/>
    <w:next w:val="Normal"/>
    <w:autoRedefine/>
    <w:uiPriority w:val="39"/>
    <w:semiHidden/>
    <w:unhideWhenUsed/>
    <w:rsid w:val="005519E6"/>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5519E6"/>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5519E6"/>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5519E6"/>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5519E6"/>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5519E6"/>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5519E6"/>
    <w:pPr>
      <w:spacing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7956</Words>
  <Characters>45354</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Consumer Perceptions of Contactless Payment among University Students in the UK</vt:lpstr>
    </vt:vector>
  </TitlesOfParts>
  <Manager/>
  <Company/>
  <LinksUpToDate>false</LinksUpToDate>
  <CharactersWithSpaces>53204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Consumer Perceptions of Contactless Payment among University Students in the UK</dc:title>
  <dc:subject>BMMB7028 Business Research Proposal</dc:subject>
  <dc:creator>Laxmi Krushika Katukam (2510032)</dc:creator>
  <cp:keywords>contactless payment; university students; qualitative research; UK; spending control</cp:keywords>
  <dc:description/>
  <cp:lastModifiedBy>Laxmi Krushika Katukam (2510032)</cp:lastModifiedBy>
  <cp:revision>2</cp:revision>
  <dcterms:created xsi:type="dcterms:W3CDTF">2026-07-14T12:07:00Z</dcterms:created>
  <dcterms:modified xsi:type="dcterms:W3CDTF">2026-07-14T12:07:00Z</dcterms:modified>
  <cp:category/>
</cp:coreProperties>
</file>