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1E8F" w:rsidRDefault="00B2330B" w:rsidP="00B2330B">
      <w:pPr>
        <w:spacing w:line="360" w:lineRule="auto"/>
        <w:jc w:val="left"/>
        <w:rPr>
          <w:rFonts w:ascii="Times New Roman" w:hAnsi="Times New Roman" w:cs="Times New Roman"/>
          <w:szCs w:val="24"/>
          <w:lang w:val="en-GB"/>
        </w:rPr>
      </w:pPr>
      <w:r>
        <w:rPr>
          <w:rFonts w:ascii="Times New Roman" w:hAnsi="Times New Roman" w:cs="Times New Roman"/>
          <w:szCs w:val="24"/>
          <w:lang w:val="en-GB"/>
        </w:rPr>
        <w:t xml:space="preserve"> </w:t>
      </w:r>
      <w:r w:rsidRPr="00B2330B">
        <w:rPr>
          <w:rFonts w:ascii="Times New Roman" w:hAnsi="Times New Roman" w:cs="Times New Roman"/>
          <w:szCs w:val="24"/>
          <w:lang w:val="en-GB"/>
        </w:rPr>
        <w:t>The main purpose of this research</w:t>
      </w:r>
      <w:r w:rsidR="00835A55" w:rsidRPr="00B2330B">
        <w:rPr>
          <w:rFonts w:ascii="Times New Roman" w:hAnsi="Times New Roman" w:cs="Times New Roman"/>
          <w:szCs w:val="24"/>
          <w:lang w:val="en-GB"/>
        </w:rPr>
        <w:t xml:space="preserve"> is to evaluate different factors that </w:t>
      </w:r>
      <w:r w:rsidR="004E28D0">
        <w:rPr>
          <w:rFonts w:ascii="Times New Roman" w:hAnsi="Times New Roman" w:cs="Times New Roman"/>
          <w:szCs w:val="24"/>
          <w:lang w:val="en-GB"/>
        </w:rPr>
        <w:t xml:space="preserve">led to the creation and development of the trust. </w:t>
      </w:r>
      <w:r w:rsidR="00B32EEA">
        <w:rPr>
          <w:rFonts w:ascii="Times New Roman" w:hAnsi="Times New Roman" w:cs="Times New Roman"/>
          <w:szCs w:val="24"/>
          <w:lang w:val="en-GB"/>
        </w:rPr>
        <w:t>The research will commence with giving the definition of trust</w:t>
      </w:r>
      <w:r w:rsidR="007B03EB">
        <w:rPr>
          <w:rFonts w:ascii="Times New Roman" w:hAnsi="Times New Roman" w:cs="Times New Roman"/>
          <w:szCs w:val="24"/>
          <w:lang w:val="en-GB"/>
        </w:rPr>
        <w:t xml:space="preserve">, for a better understanding </w:t>
      </w:r>
      <w:r w:rsidR="00331E8F">
        <w:rPr>
          <w:rFonts w:ascii="Times New Roman" w:hAnsi="Times New Roman" w:cs="Times New Roman"/>
          <w:szCs w:val="24"/>
          <w:lang w:val="en-GB"/>
        </w:rPr>
        <w:t>of the concept, then the rigidity of the common law will be discussed, along with the Parliament’s stance.</w:t>
      </w:r>
    </w:p>
    <w:p w:rsidR="00AD6670" w:rsidRPr="00B2330B" w:rsidRDefault="00331E8F" w:rsidP="00B2330B">
      <w:pPr>
        <w:spacing w:line="360" w:lineRule="auto"/>
        <w:jc w:val="left"/>
        <w:rPr>
          <w:rFonts w:ascii="Times New Roman" w:hAnsi="Times New Roman" w:cs="Times New Roman"/>
          <w:szCs w:val="24"/>
          <w:lang w:val="en-GB"/>
        </w:rPr>
      </w:pPr>
      <w:r>
        <w:rPr>
          <w:rFonts w:ascii="Times New Roman" w:hAnsi="Times New Roman" w:cs="Times New Roman"/>
          <w:szCs w:val="24"/>
          <w:lang w:val="en-GB"/>
        </w:rPr>
        <w:t xml:space="preserve"> </w:t>
      </w:r>
      <w:r w:rsidR="0090511F" w:rsidRPr="00B2330B">
        <w:rPr>
          <w:rFonts w:ascii="Times New Roman" w:hAnsi="Times New Roman" w:cs="Times New Roman"/>
          <w:szCs w:val="24"/>
          <w:lang w:val="en-GB"/>
        </w:rPr>
        <w:t>A trust is an agreement between two or more parties wherein the trustee(s) agree to manage the trust's assets for the benefit of the beneficiaries or a designated charity (</w:t>
      </w:r>
      <w:r w:rsidR="007B03EB">
        <w:rPr>
          <w:rFonts w:ascii="Times New Roman" w:hAnsi="Times New Roman" w:cs="Times New Roman"/>
          <w:szCs w:val="24"/>
          <w:lang w:val="en-GB"/>
        </w:rPr>
        <w:t>Practical law</w:t>
      </w:r>
      <w:r w:rsidR="0090511F" w:rsidRPr="00B2330B">
        <w:rPr>
          <w:rFonts w:ascii="Times New Roman" w:hAnsi="Times New Roman" w:cs="Times New Roman"/>
          <w:szCs w:val="24"/>
          <w:lang w:val="en-GB"/>
        </w:rPr>
        <w:t xml:space="preserve">). A trust may be established verbally, </w:t>
      </w:r>
      <w:r w:rsidR="001A098F" w:rsidRPr="00B2330B">
        <w:rPr>
          <w:rFonts w:ascii="Times New Roman" w:hAnsi="Times New Roman" w:cs="Times New Roman"/>
          <w:szCs w:val="24"/>
          <w:lang w:val="en-GB"/>
        </w:rPr>
        <w:t>o</w:t>
      </w:r>
      <w:r w:rsidR="0090511F" w:rsidRPr="00B2330B">
        <w:rPr>
          <w:rFonts w:ascii="Times New Roman" w:hAnsi="Times New Roman" w:cs="Times New Roman"/>
          <w:szCs w:val="24"/>
          <w:lang w:val="en-GB"/>
        </w:rPr>
        <w:t xml:space="preserve">n paper (including a will), by the operation of law, or by unilateral declaration. Yet, the law needs adequate proof of the </w:t>
      </w:r>
      <w:proofErr w:type="spellStart"/>
      <w:r w:rsidR="0090511F" w:rsidRPr="00B2330B">
        <w:rPr>
          <w:rFonts w:ascii="Times New Roman" w:hAnsi="Times New Roman" w:cs="Times New Roman"/>
          <w:szCs w:val="24"/>
          <w:lang w:val="en-GB"/>
        </w:rPr>
        <w:t>se</w:t>
      </w:r>
      <w:r w:rsidR="001A098F" w:rsidRPr="00B2330B">
        <w:rPr>
          <w:rFonts w:ascii="Times New Roman" w:hAnsi="Times New Roman" w:cs="Times New Roman"/>
          <w:szCs w:val="24"/>
          <w:lang w:val="en-GB"/>
        </w:rPr>
        <w:t>t</w:t>
      </w:r>
      <w:r w:rsidR="0090511F" w:rsidRPr="00B2330B">
        <w:rPr>
          <w:rFonts w:ascii="Times New Roman" w:hAnsi="Times New Roman" w:cs="Times New Roman"/>
          <w:szCs w:val="24"/>
          <w:lang w:val="en-GB"/>
        </w:rPr>
        <w:t>tlor's</w:t>
      </w:r>
      <w:proofErr w:type="spellEnd"/>
      <w:r w:rsidR="0090511F" w:rsidRPr="00B2330B">
        <w:rPr>
          <w:rFonts w:ascii="Times New Roman" w:hAnsi="Times New Roman" w:cs="Times New Roman"/>
          <w:szCs w:val="24"/>
          <w:lang w:val="en-GB"/>
        </w:rPr>
        <w:t xml:space="preserve"> purpose to form a trust if the trust is made verbally. The law will infer that a person intended a mandate or deposit rather than the establishment of a trust if there is no clear evidence to the contrary.</w:t>
      </w:r>
    </w:p>
    <w:p w:rsidR="00131A05" w:rsidRDefault="00B2330B" w:rsidP="00B2330B">
      <w:pPr>
        <w:pStyle w:val="Heading1"/>
        <w:spacing w:line="360" w:lineRule="auto"/>
        <w:jc w:val="left"/>
        <w:rPr>
          <w:rFonts w:ascii="Times New Roman" w:hAnsi="Times New Roman" w:cs="Times New Roman"/>
          <w:b w:val="0"/>
          <w:sz w:val="24"/>
          <w:szCs w:val="24"/>
        </w:rPr>
      </w:pPr>
      <w:r w:rsidRPr="00B2330B">
        <w:rPr>
          <w:rFonts w:ascii="Times New Roman" w:hAnsi="Times New Roman" w:cs="Times New Roman"/>
          <w:b w:val="0"/>
          <w:color w:val="365F91" w:themeColor="accent1" w:themeShade="BF"/>
          <w:sz w:val="24"/>
          <w:szCs w:val="24"/>
        </w:rPr>
        <w:t xml:space="preserve">  </w:t>
      </w:r>
      <w:r w:rsidR="00B25F45" w:rsidRPr="00B2330B">
        <w:rPr>
          <w:rFonts w:ascii="Times New Roman" w:hAnsi="Times New Roman" w:cs="Times New Roman"/>
          <w:b w:val="0"/>
          <w:sz w:val="24"/>
          <w:szCs w:val="24"/>
        </w:rPr>
        <w:t xml:space="preserve">Courts of equity established trusts as a means of avoiding the rigid restrictions of English common law, which forbids different persons or organizations from holding legal title to and equitable use of the property. The contemporary field of trust law developed from the equitable decisions made in equity courts. Differentiating between a testamentary trust and a living trust is crucial when creating a trust. Throughout the </w:t>
      </w:r>
      <w:proofErr w:type="spellStart"/>
      <w:r w:rsidR="00B25F45" w:rsidRPr="00B2330B">
        <w:rPr>
          <w:rFonts w:ascii="Times New Roman" w:hAnsi="Times New Roman" w:cs="Times New Roman"/>
          <w:b w:val="0"/>
          <w:sz w:val="24"/>
          <w:szCs w:val="24"/>
        </w:rPr>
        <w:t>settlor's</w:t>
      </w:r>
      <w:proofErr w:type="spellEnd"/>
      <w:r w:rsidR="00B25F45" w:rsidRPr="00B2330B">
        <w:rPr>
          <w:rFonts w:ascii="Times New Roman" w:hAnsi="Times New Roman" w:cs="Times New Roman"/>
          <w:b w:val="0"/>
          <w:sz w:val="24"/>
          <w:szCs w:val="24"/>
        </w:rPr>
        <w:t xml:space="preserve"> lifetime, the trust formed by the </w:t>
      </w:r>
      <w:proofErr w:type="spellStart"/>
      <w:r w:rsidR="00B25F45" w:rsidRPr="00B2330B">
        <w:rPr>
          <w:rFonts w:ascii="Times New Roman" w:hAnsi="Times New Roman" w:cs="Times New Roman"/>
          <w:b w:val="0"/>
          <w:sz w:val="24"/>
          <w:szCs w:val="24"/>
        </w:rPr>
        <w:t>trustor</w:t>
      </w:r>
      <w:proofErr w:type="spellEnd"/>
      <w:r w:rsidR="00B25F45" w:rsidRPr="00B2330B">
        <w:rPr>
          <w:rFonts w:ascii="Times New Roman" w:hAnsi="Times New Roman" w:cs="Times New Roman"/>
          <w:b w:val="0"/>
          <w:sz w:val="24"/>
          <w:szCs w:val="24"/>
        </w:rPr>
        <w:t xml:space="preserve"> is in operation as the "living trust" (Bodleian, 2017). In contrast, a testamentary trust is created in a person's will and does not become active until after the </w:t>
      </w:r>
      <w:proofErr w:type="spellStart"/>
      <w:r w:rsidR="00B25F45" w:rsidRPr="00B2330B">
        <w:rPr>
          <w:rFonts w:ascii="Times New Roman" w:hAnsi="Times New Roman" w:cs="Times New Roman"/>
          <w:b w:val="0"/>
          <w:sz w:val="24"/>
          <w:szCs w:val="24"/>
        </w:rPr>
        <w:t>settlor's</w:t>
      </w:r>
      <w:proofErr w:type="spellEnd"/>
      <w:r w:rsidR="00B25F45" w:rsidRPr="00B2330B">
        <w:rPr>
          <w:rFonts w:ascii="Times New Roman" w:hAnsi="Times New Roman" w:cs="Times New Roman"/>
          <w:b w:val="0"/>
          <w:sz w:val="24"/>
          <w:szCs w:val="24"/>
        </w:rPr>
        <w:t xml:space="preserve"> death (</w:t>
      </w:r>
      <w:proofErr w:type="spellStart"/>
      <w:r w:rsidR="00B25F45" w:rsidRPr="00B2330B">
        <w:rPr>
          <w:rFonts w:ascii="Times New Roman" w:hAnsi="Times New Roman" w:cs="Times New Roman"/>
          <w:b w:val="0"/>
          <w:sz w:val="24"/>
          <w:szCs w:val="24"/>
        </w:rPr>
        <w:t>Lawsociety</w:t>
      </w:r>
      <w:proofErr w:type="spellEnd"/>
      <w:r w:rsidR="00B25F45" w:rsidRPr="00B2330B">
        <w:rPr>
          <w:rFonts w:ascii="Times New Roman" w:hAnsi="Times New Roman" w:cs="Times New Roman"/>
          <w:b w:val="0"/>
          <w:sz w:val="24"/>
          <w:szCs w:val="24"/>
        </w:rPr>
        <w:t xml:space="preserve">, 2022). </w:t>
      </w:r>
    </w:p>
    <w:p w:rsidR="00A50876" w:rsidRDefault="00131A05" w:rsidP="00B2330B">
      <w:pPr>
        <w:pStyle w:val="Heading1"/>
        <w:spacing w:line="360" w:lineRule="auto"/>
        <w:jc w:val="left"/>
        <w:rPr>
          <w:rFonts w:ascii="Times New Roman" w:hAnsi="Times New Roman" w:cs="Times New Roman"/>
          <w:b w:val="0"/>
          <w:sz w:val="24"/>
          <w:szCs w:val="24"/>
        </w:rPr>
      </w:pPr>
      <w:r>
        <w:rPr>
          <w:rFonts w:ascii="Times New Roman" w:hAnsi="Times New Roman" w:cs="Times New Roman"/>
          <w:b w:val="0"/>
          <w:sz w:val="24"/>
          <w:szCs w:val="24"/>
        </w:rPr>
        <w:t xml:space="preserve"> </w:t>
      </w:r>
      <w:r w:rsidR="00B25F45" w:rsidRPr="00B2330B">
        <w:rPr>
          <w:rFonts w:ascii="Times New Roman" w:hAnsi="Times New Roman" w:cs="Times New Roman"/>
          <w:b w:val="0"/>
          <w:sz w:val="24"/>
          <w:szCs w:val="24"/>
        </w:rPr>
        <w:t>The trust's formalities, and even the costs connected with creating or changing the trust, may vary widely depending on the specifics of the situation. There are other distinctions that, depending on the situation and the objectives at hand, may be of considerable significance</w:t>
      </w:r>
      <w:r>
        <w:rPr>
          <w:rFonts w:ascii="Times New Roman" w:hAnsi="Times New Roman" w:cs="Times New Roman"/>
          <w:b w:val="0"/>
          <w:sz w:val="24"/>
          <w:szCs w:val="24"/>
        </w:rPr>
        <w:t xml:space="preserve"> as well</w:t>
      </w:r>
      <w:r w:rsidR="00B25F45" w:rsidRPr="00B2330B">
        <w:rPr>
          <w:rFonts w:ascii="Times New Roman" w:hAnsi="Times New Roman" w:cs="Times New Roman"/>
          <w:b w:val="0"/>
          <w:sz w:val="24"/>
          <w:szCs w:val="24"/>
        </w:rPr>
        <w:t xml:space="preserve">. A trust can last as long as its creator wishes, with some putting the cap at 100 years. In 2006, </w:t>
      </w:r>
      <w:r>
        <w:rPr>
          <w:rFonts w:ascii="Times New Roman" w:hAnsi="Times New Roman" w:cs="Times New Roman"/>
          <w:b w:val="0"/>
          <w:sz w:val="24"/>
          <w:szCs w:val="24"/>
        </w:rPr>
        <w:t xml:space="preserve">the </w:t>
      </w:r>
      <w:r w:rsidR="00B25F45" w:rsidRPr="00B2330B">
        <w:rPr>
          <w:rFonts w:ascii="Times New Roman" w:hAnsi="Times New Roman" w:cs="Times New Roman"/>
          <w:b w:val="0"/>
          <w:sz w:val="24"/>
          <w:szCs w:val="24"/>
        </w:rPr>
        <w:t>Congress passed Act XII, revising the Trusts and Trustees Act</w:t>
      </w:r>
      <w:r>
        <w:rPr>
          <w:rFonts w:ascii="Times New Roman" w:hAnsi="Times New Roman" w:cs="Times New Roman"/>
          <w:b w:val="0"/>
          <w:sz w:val="24"/>
          <w:szCs w:val="24"/>
        </w:rPr>
        <w:t>,</w:t>
      </w:r>
      <w:r w:rsidR="00B25F45" w:rsidRPr="00B2330B">
        <w:rPr>
          <w:rFonts w:ascii="Times New Roman" w:hAnsi="Times New Roman" w:cs="Times New Roman"/>
          <w:b w:val="0"/>
          <w:sz w:val="24"/>
          <w:szCs w:val="24"/>
        </w:rPr>
        <w:t xml:space="preserve"> so that trust-based pension plans may be maintained beyond the initial trust's centennial (Legislation, 2021). This entails philanthropic giving as well as investments in unit trusts.</w:t>
      </w:r>
    </w:p>
    <w:p w:rsidR="00131A05" w:rsidRPr="00131A05" w:rsidRDefault="00131A05" w:rsidP="00131A05">
      <w:pPr>
        <w:rPr>
          <w:lang w:val="en-GB"/>
        </w:rPr>
      </w:pPr>
    </w:p>
    <w:p w:rsidR="00C82788" w:rsidRDefault="00F84484" w:rsidP="00B2330B">
      <w:pPr>
        <w:spacing w:line="360" w:lineRule="auto"/>
        <w:jc w:val="left"/>
        <w:rPr>
          <w:rFonts w:ascii="Times New Roman" w:hAnsi="Times New Roman" w:cs="Times New Roman"/>
          <w:szCs w:val="24"/>
          <w:lang w:val="en-GB"/>
        </w:rPr>
      </w:pPr>
      <w:r w:rsidRPr="00B2330B">
        <w:rPr>
          <w:rFonts w:ascii="Times New Roman" w:hAnsi="Times New Roman" w:cs="Times New Roman"/>
          <w:szCs w:val="24"/>
          <w:lang w:val="en-GB"/>
        </w:rPr>
        <w:t>Several recent legal remedies rely heavily on equity as a complement to the traditional legal system</w:t>
      </w:r>
      <w:r w:rsidR="00904899" w:rsidRPr="00B2330B">
        <w:rPr>
          <w:rFonts w:ascii="Times New Roman" w:hAnsi="Times New Roman" w:cs="Times New Roman"/>
          <w:szCs w:val="24"/>
          <w:lang w:val="en-GB"/>
        </w:rPr>
        <w:t xml:space="preserve"> (</w:t>
      </w:r>
      <w:proofErr w:type="spellStart"/>
      <w:r w:rsidR="00904899" w:rsidRPr="00B2330B">
        <w:rPr>
          <w:rFonts w:ascii="Times New Roman" w:hAnsi="Times New Roman" w:cs="Times New Roman"/>
          <w:szCs w:val="24"/>
          <w:lang w:val="en-GB"/>
        </w:rPr>
        <w:t>Okpaluba</w:t>
      </w:r>
      <w:proofErr w:type="spellEnd"/>
      <w:r w:rsidR="00904899" w:rsidRPr="00B2330B">
        <w:rPr>
          <w:rFonts w:ascii="Times New Roman" w:hAnsi="Times New Roman" w:cs="Times New Roman"/>
          <w:szCs w:val="24"/>
          <w:lang w:val="en-GB"/>
        </w:rPr>
        <w:t xml:space="preserve"> and </w:t>
      </w:r>
      <w:proofErr w:type="spellStart"/>
      <w:r w:rsidR="00904899" w:rsidRPr="00B2330B">
        <w:rPr>
          <w:rFonts w:ascii="Times New Roman" w:hAnsi="Times New Roman" w:cs="Times New Roman"/>
          <w:szCs w:val="24"/>
          <w:lang w:val="en-GB"/>
        </w:rPr>
        <w:t>Nwafor</w:t>
      </w:r>
      <w:proofErr w:type="spellEnd"/>
      <w:r w:rsidR="00904899" w:rsidRPr="00B2330B">
        <w:rPr>
          <w:rFonts w:ascii="Times New Roman" w:hAnsi="Times New Roman" w:cs="Times New Roman"/>
          <w:szCs w:val="24"/>
          <w:lang w:val="en-GB"/>
        </w:rPr>
        <w:t>, 2021)</w:t>
      </w:r>
      <w:r w:rsidRPr="00B2330B">
        <w:rPr>
          <w:rFonts w:ascii="Times New Roman" w:hAnsi="Times New Roman" w:cs="Times New Roman"/>
          <w:szCs w:val="24"/>
          <w:lang w:val="en-GB"/>
        </w:rPr>
        <w:t xml:space="preserve">. Specific performance, injunction, </w:t>
      </w:r>
      <w:proofErr w:type="spellStart"/>
      <w:r w:rsidRPr="00B2330B">
        <w:rPr>
          <w:rFonts w:ascii="Times New Roman" w:hAnsi="Times New Roman" w:cs="Times New Roman"/>
          <w:szCs w:val="24"/>
          <w:lang w:val="en-GB"/>
        </w:rPr>
        <w:t>rescindment</w:t>
      </w:r>
      <w:proofErr w:type="spellEnd"/>
      <w:r w:rsidRPr="00B2330B">
        <w:rPr>
          <w:rFonts w:ascii="Times New Roman" w:hAnsi="Times New Roman" w:cs="Times New Roman"/>
          <w:szCs w:val="24"/>
          <w:lang w:val="en-GB"/>
        </w:rPr>
        <w:t xml:space="preserve">, and correction are among the most significant. Although an injunction forbids someone from doing anything, a decree of particular performance requires that the defendant actually do what was agreed upon. In contrast to the common law remedy of monetary damages, the court has more </w:t>
      </w:r>
      <w:r w:rsidR="00131A05">
        <w:rPr>
          <w:rFonts w:ascii="Times New Roman" w:hAnsi="Times New Roman" w:cs="Times New Roman"/>
          <w:szCs w:val="24"/>
          <w:lang w:val="en-GB"/>
        </w:rPr>
        <w:t>freedom</w:t>
      </w:r>
      <w:r w:rsidRPr="00B2330B">
        <w:rPr>
          <w:rFonts w:ascii="Times New Roman" w:hAnsi="Times New Roman" w:cs="Times New Roman"/>
          <w:szCs w:val="24"/>
          <w:lang w:val="en-GB"/>
        </w:rPr>
        <w:t xml:space="preserve"> to award the equitable remedies that have been devised</w:t>
      </w:r>
      <w:r w:rsidR="00B0422D" w:rsidRPr="00B2330B">
        <w:rPr>
          <w:rFonts w:ascii="Times New Roman" w:hAnsi="Times New Roman" w:cs="Times New Roman"/>
          <w:szCs w:val="24"/>
          <w:lang w:val="en-GB"/>
        </w:rPr>
        <w:t xml:space="preserve"> (Lewis, 2021)</w:t>
      </w:r>
      <w:r w:rsidRPr="00B2330B">
        <w:rPr>
          <w:rFonts w:ascii="Times New Roman" w:hAnsi="Times New Roman" w:cs="Times New Roman"/>
          <w:szCs w:val="24"/>
          <w:lang w:val="en-GB"/>
        </w:rPr>
        <w:t xml:space="preserve">. So, a judge will rule that in order to get equitable remedies, claimants must come to court with clean hands, have acted fairly, and not have </w:t>
      </w:r>
      <w:r w:rsidRPr="00B2330B">
        <w:rPr>
          <w:rFonts w:ascii="Times New Roman" w:hAnsi="Times New Roman" w:cs="Times New Roman"/>
          <w:szCs w:val="24"/>
          <w:lang w:val="en-GB"/>
        </w:rPr>
        <w:lastRenderedPageBreak/>
        <w:t>delayed in requesting the involvement of equity. If monetary compensation can make up for the harm, then there is no need for an alternative fair remedy.</w:t>
      </w:r>
      <w:r w:rsidR="00F30F5E" w:rsidRPr="00B2330B">
        <w:rPr>
          <w:rFonts w:ascii="Times New Roman" w:hAnsi="Times New Roman" w:cs="Times New Roman"/>
          <w:szCs w:val="24"/>
          <w:lang w:val="en-GB"/>
        </w:rPr>
        <w:t xml:space="preserve"> </w:t>
      </w:r>
    </w:p>
    <w:p w:rsidR="00BE2BFE" w:rsidRPr="00B2330B" w:rsidRDefault="00C82788" w:rsidP="00B2330B">
      <w:pPr>
        <w:spacing w:line="360" w:lineRule="auto"/>
        <w:jc w:val="left"/>
        <w:rPr>
          <w:rFonts w:ascii="Times New Roman" w:hAnsi="Times New Roman" w:cs="Times New Roman"/>
          <w:szCs w:val="24"/>
          <w:lang w:val="en-GB"/>
        </w:rPr>
      </w:pPr>
      <w:r>
        <w:rPr>
          <w:rFonts w:ascii="Times New Roman" w:hAnsi="Times New Roman" w:cs="Times New Roman"/>
          <w:szCs w:val="24"/>
          <w:lang w:val="en-GB"/>
        </w:rPr>
        <w:t xml:space="preserve"> </w:t>
      </w:r>
      <w:r w:rsidR="00F30F5E" w:rsidRPr="00B2330B">
        <w:rPr>
          <w:rFonts w:ascii="Times New Roman" w:hAnsi="Times New Roman" w:cs="Times New Roman"/>
          <w:szCs w:val="24"/>
          <w:lang w:val="en-GB"/>
        </w:rPr>
        <w:t>The idea of trust also distinguishes common law from equitable rights</w:t>
      </w:r>
      <w:r w:rsidR="00CA5501" w:rsidRPr="00B2330B">
        <w:rPr>
          <w:rFonts w:ascii="Times New Roman" w:hAnsi="Times New Roman" w:cs="Times New Roman"/>
          <w:szCs w:val="24"/>
          <w:lang w:val="en-GB"/>
        </w:rPr>
        <w:t xml:space="preserve"> (Planck, 2019)</w:t>
      </w:r>
      <w:r w:rsidR="00F30F5E" w:rsidRPr="00B2330B">
        <w:rPr>
          <w:rFonts w:ascii="Times New Roman" w:hAnsi="Times New Roman" w:cs="Times New Roman"/>
          <w:szCs w:val="24"/>
          <w:lang w:val="en-GB"/>
        </w:rPr>
        <w:t>. The notion of trust has served as the platform for much inventive action by the courts of equity. It acknowledged the trust when common law refused to do so, and it provided remedies for breach of confidence against a trustee who failed to carry out their responsibilities.</w:t>
      </w:r>
      <w:r w:rsidR="00F455FF" w:rsidRPr="00B2330B">
        <w:rPr>
          <w:rFonts w:ascii="Times New Roman" w:hAnsi="Times New Roman" w:cs="Times New Roman"/>
          <w:szCs w:val="24"/>
          <w:lang w:val="en-GB"/>
        </w:rPr>
        <w:t xml:space="preserve"> In contrast to the discretionary nature of equitable rights in the past, modern equitable law is bound by the same precedents and norms of the common law. Although there has been a convergence of common law and equitable rights, there are still important distinctions, as expressed in the maxims of both systems. Because of this connection between common law and equitable rights, equitable law is said to "respect the rules," meaning that it will only step in when there is good reason to do so.</w:t>
      </w:r>
    </w:p>
    <w:p w:rsidR="00C82788" w:rsidRDefault="00C82788" w:rsidP="00B2330B">
      <w:pPr>
        <w:spacing w:line="360" w:lineRule="auto"/>
        <w:jc w:val="left"/>
        <w:rPr>
          <w:rFonts w:ascii="Times New Roman" w:hAnsi="Times New Roman" w:cs="Times New Roman"/>
          <w:szCs w:val="24"/>
          <w:lang w:val="en-GB"/>
        </w:rPr>
      </w:pPr>
      <w:r>
        <w:rPr>
          <w:rFonts w:ascii="Times New Roman" w:hAnsi="Times New Roman" w:cs="Times New Roman"/>
          <w:szCs w:val="24"/>
          <w:lang w:val="en-GB"/>
        </w:rPr>
        <w:t xml:space="preserve"> Until it officially left the EU, the UK </w:t>
      </w:r>
      <w:r w:rsidR="00823D00" w:rsidRPr="00B2330B">
        <w:rPr>
          <w:rFonts w:ascii="Times New Roman" w:hAnsi="Times New Roman" w:cs="Times New Roman"/>
          <w:szCs w:val="24"/>
          <w:lang w:val="en-GB"/>
        </w:rPr>
        <w:t>continue</w:t>
      </w:r>
      <w:r>
        <w:rPr>
          <w:rFonts w:ascii="Times New Roman" w:hAnsi="Times New Roman" w:cs="Times New Roman"/>
          <w:szCs w:val="24"/>
          <w:lang w:val="en-GB"/>
        </w:rPr>
        <w:t>d</w:t>
      </w:r>
      <w:r w:rsidR="00823D00" w:rsidRPr="00B2330B">
        <w:rPr>
          <w:rFonts w:ascii="Times New Roman" w:hAnsi="Times New Roman" w:cs="Times New Roman"/>
          <w:szCs w:val="24"/>
          <w:lang w:val="en-GB"/>
        </w:rPr>
        <w:t xml:space="preserve"> to be bound by European laws and treaties</w:t>
      </w:r>
      <w:r w:rsidR="00C461B9" w:rsidRPr="00B2330B">
        <w:rPr>
          <w:rFonts w:ascii="Times New Roman" w:hAnsi="Times New Roman" w:cs="Times New Roman"/>
          <w:szCs w:val="24"/>
          <w:lang w:val="en-GB"/>
        </w:rPr>
        <w:t xml:space="preserve"> (Legislation, 2018)</w:t>
      </w:r>
      <w:r w:rsidR="00823D00" w:rsidRPr="00B2330B">
        <w:rPr>
          <w:rFonts w:ascii="Times New Roman" w:hAnsi="Times New Roman" w:cs="Times New Roman"/>
          <w:szCs w:val="24"/>
          <w:lang w:val="en-GB"/>
        </w:rPr>
        <w:t>. Whenever these international treaties and domestic statutes collide, parliamentary authority in the UK is called into doubt. The Treaty of Rome (1957) and the Treaty of Lisbon (1985) are two such examples (2009). There is no written constitution that courts may use to overturn parliamentary authority; statutes have precedence over other laws; and Parliament has no power to bind its successor</w:t>
      </w:r>
      <w:r w:rsidR="00000B6E" w:rsidRPr="00B2330B">
        <w:rPr>
          <w:rFonts w:ascii="Times New Roman" w:hAnsi="Times New Roman" w:cs="Times New Roman"/>
          <w:szCs w:val="24"/>
          <w:lang w:val="en-GB"/>
        </w:rPr>
        <w:t xml:space="preserve"> (</w:t>
      </w:r>
      <w:proofErr w:type="spellStart"/>
      <w:r w:rsidR="00000B6E" w:rsidRPr="00B2330B">
        <w:rPr>
          <w:rFonts w:ascii="Times New Roman" w:hAnsi="Times New Roman" w:cs="Times New Roman"/>
          <w:szCs w:val="24"/>
          <w:lang w:val="en-GB"/>
        </w:rPr>
        <w:t>Europa</w:t>
      </w:r>
      <w:proofErr w:type="spellEnd"/>
      <w:r w:rsidR="00000B6E" w:rsidRPr="00B2330B">
        <w:rPr>
          <w:rFonts w:ascii="Times New Roman" w:hAnsi="Times New Roman" w:cs="Times New Roman"/>
          <w:szCs w:val="24"/>
          <w:lang w:val="en-GB"/>
        </w:rPr>
        <w:t>, 2019)</w:t>
      </w:r>
      <w:r w:rsidR="00823D00" w:rsidRPr="00B2330B">
        <w:rPr>
          <w:rFonts w:ascii="Times New Roman" w:hAnsi="Times New Roman" w:cs="Times New Roman"/>
          <w:szCs w:val="24"/>
          <w:lang w:val="en-GB"/>
        </w:rPr>
        <w:t>. Nevertheless, this view has been contested owing to the increasing prevalence of referendums (which transfer sovereignty to the people), the contention that Parliament is constrained by practical reasons and outside interests, and the problem of EU regulations clashing with statute law</w:t>
      </w:r>
      <w:r w:rsidR="006F207E" w:rsidRPr="00B2330B">
        <w:rPr>
          <w:rFonts w:ascii="Times New Roman" w:hAnsi="Times New Roman" w:cs="Times New Roman"/>
          <w:szCs w:val="24"/>
          <w:lang w:val="en-GB"/>
        </w:rPr>
        <w:t xml:space="preserve"> (BBC, 2023)</w:t>
      </w:r>
      <w:r w:rsidR="00823D00" w:rsidRPr="00B2330B">
        <w:rPr>
          <w:rFonts w:ascii="Times New Roman" w:hAnsi="Times New Roman" w:cs="Times New Roman"/>
          <w:szCs w:val="24"/>
          <w:lang w:val="en-GB"/>
        </w:rPr>
        <w:t xml:space="preserve">. </w:t>
      </w:r>
    </w:p>
    <w:p w:rsidR="00C82788" w:rsidRDefault="00C82788" w:rsidP="00B2330B">
      <w:pPr>
        <w:spacing w:line="360" w:lineRule="auto"/>
        <w:jc w:val="left"/>
        <w:rPr>
          <w:rFonts w:ascii="Times New Roman" w:hAnsi="Times New Roman" w:cs="Times New Roman"/>
          <w:szCs w:val="24"/>
          <w:lang w:val="en-GB"/>
        </w:rPr>
      </w:pPr>
      <w:r>
        <w:rPr>
          <w:rFonts w:ascii="Times New Roman" w:hAnsi="Times New Roman" w:cs="Times New Roman"/>
          <w:szCs w:val="24"/>
          <w:lang w:val="en-GB"/>
        </w:rPr>
        <w:t xml:space="preserve"> </w:t>
      </w:r>
      <w:r w:rsidR="00823D00" w:rsidRPr="00B2330B">
        <w:rPr>
          <w:rFonts w:ascii="Times New Roman" w:hAnsi="Times New Roman" w:cs="Times New Roman"/>
          <w:szCs w:val="24"/>
          <w:lang w:val="en-GB"/>
        </w:rPr>
        <w:t>Because of its l</w:t>
      </w:r>
      <w:r w:rsidR="001A098F" w:rsidRPr="00B2330B">
        <w:rPr>
          <w:rFonts w:ascii="Times New Roman" w:hAnsi="Times New Roman" w:cs="Times New Roman"/>
          <w:szCs w:val="24"/>
          <w:lang w:val="en-GB"/>
        </w:rPr>
        <w:t>ong</w:t>
      </w:r>
      <w:r w:rsidR="00823D00" w:rsidRPr="00B2330B">
        <w:rPr>
          <w:rFonts w:ascii="Times New Roman" w:hAnsi="Times New Roman" w:cs="Times New Roman"/>
          <w:szCs w:val="24"/>
          <w:lang w:val="en-GB"/>
        </w:rPr>
        <w:t xml:space="preserve"> history and cultural significance, the British monarchy continues to exist despite its lack of political influence. The monarchy is formally 'above' the government, but in practice</w:t>
      </w:r>
      <w:r w:rsidR="001A098F" w:rsidRPr="00B2330B">
        <w:rPr>
          <w:rFonts w:ascii="Times New Roman" w:hAnsi="Times New Roman" w:cs="Times New Roman"/>
          <w:szCs w:val="24"/>
          <w:lang w:val="en-GB"/>
        </w:rPr>
        <w:t>,</w:t>
      </w:r>
      <w:r w:rsidR="00823D00" w:rsidRPr="00B2330B">
        <w:rPr>
          <w:rFonts w:ascii="Times New Roman" w:hAnsi="Times New Roman" w:cs="Times New Roman"/>
          <w:szCs w:val="24"/>
          <w:lang w:val="en-GB"/>
        </w:rPr>
        <w:t xml:space="preserve"> it has no real role. The United Kingdom is a full-fledged partner in the European Union. This implies that European law may supersede domestic law in some circumstances, as established by the </w:t>
      </w:r>
      <w:proofErr w:type="spellStart"/>
      <w:r w:rsidR="00823D00" w:rsidRPr="00B2330B">
        <w:rPr>
          <w:rFonts w:ascii="Times New Roman" w:hAnsi="Times New Roman" w:cs="Times New Roman"/>
          <w:szCs w:val="24"/>
          <w:lang w:val="en-GB"/>
        </w:rPr>
        <w:t>Factortame</w:t>
      </w:r>
      <w:proofErr w:type="spellEnd"/>
      <w:r w:rsidR="00823D00" w:rsidRPr="00B2330B">
        <w:rPr>
          <w:rFonts w:ascii="Times New Roman" w:hAnsi="Times New Roman" w:cs="Times New Roman"/>
          <w:szCs w:val="24"/>
          <w:lang w:val="en-GB"/>
        </w:rPr>
        <w:t xml:space="preserve"> case in 1991 (under UK law, fishing vessels have to be owned by a majority of British citizens)</w:t>
      </w:r>
      <w:r w:rsidR="00C86932" w:rsidRPr="00B2330B">
        <w:rPr>
          <w:rFonts w:ascii="Times New Roman" w:hAnsi="Times New Roman" w:cs="Times New Roman"/>
          <w:szCs w:val="24"/>
          <w:lang w:val="en-GB"/>
        </w:rPr>
        <w:t xml:space="preserve"> (Parliament, 2020)</w:t>
      </w:r>
      <w:r w:rsidR="00823D00" w:rsidRPr="00B2330B">
        <w:rPr>
          <w:rFonts w:ascii="Times New Roman" w:hAnsi="Times New Roman" w:cs="Times New Roman"/>
          <w:szCs w:val="24"/>
          <w:lang w:val="en-GB"/>
        </w:rPr>
        <w:t xml:space="preserve">. The European Union lawfully nullified this provision. Every year, the European Union (EU) adopts hundreds of policy directives, some of which have an impact on the United Kingdom (UK). Human rights, environmental regulation, consumer affairs, and a host of other fields are impacted, but health, education, and social services are not. </w:t>
      </w:r>
    </w:p>
    <w:p w:rsidR="00E20C13" w:rsidRPr="00B2330B" w:rsidRDefault="00C82788" w:rsidP="00B2330B">
      <w:pPr>
        <w:spacing w:line="360" w:lineRule="auto"/>
        <w:jc w:val="left"/>
        <w:rPr>
          <w:rFonts w:ascii="Times New Roman" w:hAnsi="Times New Roman" w:cs="Times New Roman"/>
          <w:szCs w:val="24"/>
          <w:lang w:val="en-GB"/>
        </w:rPr>
      </w:pPr>
      <w:r>
        <w:rPr>
          <w:rFonts w:ascii="Times New Roman" w:hAnsi="Times New Roman" w:cs="Times New Roman"/>
          <w:szCs w:val="24"/>
          <w:lang w:val="en-GB"/>
        </w:rPr>
        <w:t xml:space="preserve"> </w:t>
      </w:r>
      <w:r w:rsidR="00E20C13" w:rsidRPr="00B2330B">
        <w:rPr>
          <w:rFonts w:ascii="Times New Roman" w:hAnsi="Times New Roman" w:cs="Times New Roman"/>
          <w:szCs w:val="24"/>
          <w:lang w:val="en-GB"/>
        </w:rPr>
        <w:t>The English Court of Chancery had the authority to award equitable remedies, and similar provisions now exist in most modern common</w:t>
      </w:r>
      <w:r w:rsidR="001A098F" w:rsidRPr="00B2330B">
        <w:rPr>
          <w:rFonts w:ascii="Times New Roman" w:hAnsi="Times New Roman" w:cs="Times New Roman"/>
          <w:szCs w:val="24"/>
          <w:lang w:val="en-GB"/>
        </w:rPr>
        <w:t>-</w:t>
      </w:r>
      <w:r w:rsidR="00E20C13" w:rsidRPr="00B2330B">
        <w:rPr>
          <w:rFonts w:ascii="Times New Roman" w:hAnsi="Times New Roman" w:cs="Times New Roman"/>
          <w:szCs w:val="24"/>
          <w:lang w:val="en-GB"/>
        </w:rPr>
        <w:t>law countries</w:t>
      </w:r>
      <w:r w:rsidR="00445876" w:rsidRPr="00B2330B">
        <w:rPr>
          <w:rFonts w:ascii="Times New Roman" w:hAnsi="Times New Roman" w:cs="Times New Roman"/>
          <w:szCs w:val="24"/>
          <w:lang w:val="en-GB"/>
        </w:rPr>
        <w:t xml:space="preserve"> (</w:t>
      </w:r>
      <w:proofErr w:type="spellStart"/>
      <w:r w:rsidR="00445876" w:rsidRPr="00B2330B">
        <w:rPr>
          <w:rFonts w:ascii="Times New Roman" w:hAnsi="Times New Roman" w:cs="Times New Roman"/>
          <w:szCs w:val="24"/>
          <w:lang w:val="en-GB"/>
        </w:rPr>
        <w:t>Thomsonreuters</w:t>
      </w:r>
      <w:proofErr w:type="spellEnd"/>
      <w:r w:rsidR="00445876" w:rsidRPr="00B2330B">
        <w:rPr>
          <w:rFonts w:ascii="Times New Roman" w:hAnsi="Times New Roman" w:cs="Times New Roman"/>
          <w:szCs w:val="24"/>
          <w:lang w:val="en-GB"/>
        </w:rPr>
        <w:t>, 2019)</w:t>
      </w:r>
      <w:r w:rsidR="00E20C13" w:rsidRPr="00B2330B">
        <w:rPr>
          <w:rFonts w:ascii="Times New Roman" w:hAnsi="Times New Roman" w:cs="Times New Roman"/>
          <w:szCs w:val="24"/>
          <w:lang w:val="en-GB"/>
        </w:rPr>
        <w:t>. There are several places in the world where a single court may hand down both legal and equitable remedies</w:t>
      </w:r>
      <w:r w:rsidR="004C2D68" w:rsidRPr="00B2330B">
        <w:rPr>
          <w:rFonts w:ascii="Times New Roman" w:hAnsi="Times New Roman" w:cs="Times New Roman"/>
          <w:szCs w:val="24"/>
          <w:lang w:val="en-GB"/>
        </w:rPr>
        <w:t xml:space="preserve"> </w:t>
      </w:r>
      <w:r w:rsidR="004C2D68" w:rsidRPr="00B2330B">
        <w:rPr>
          <w:rFonts w:ascii="Times New Roman" w:hAnsi="Times New Roman" w:cs="Times New Roman"/>
          <w:szCs w:val="24"/>
          <w:lang w:val="en-GB"/>
        </w:rPr>
        <w:lastRenderedPageBreak/>
        <w:t>(Phillips et al., 2014)</w:t>
      </w:r>
      <w:r w:rsidR="00E20C13" w:rsidRPr="00B2330B">
        <w:rPr>
          <w:rFonts w:ascii="Times New Roman" w:hAnsi="Times New Roman" w:cs="Times New Roman"/>
          <w:szCs w:val="24"/>
          <w:lang w:val="en-GB"/>
        </w:rPr>
        <w:t xml:space="preserve">. One kind of remedy </w:t>
      </w:r>
      <w:r w:rsidR="001A098F" w:rsidRPr="00B2330B">
        <w:rPr>
          <w:rFonts w:ascii="Times New Roman" w:hAnsi="Times New Roman" w:cs="Times New Roman"/>
          <w:szCs w:val="24"/>
          <w:lang w:val="en-GB"/>
        </w:rPr>
        <w:t xml:space="preserve">is </w:t>
      </w:r>
      <w:r w:rsidR="00E20C13" w:rsidRPr="00B2330B">
        <w:rPr>
          <w:rFonts w:ascii="Times New Roman" w:hAnsi="Times New Roman" w:cs="Times New Roman"/>
          <w:szCs w:val="24"/>
          <w:lang w:val="en-GB"/>
        </w:rPr>
        <w:t>that one has the legal right to pursue monetary damages for breach of contract under common law. Damages will be awarded if the claimant proves that the defendant breached the terms of the agreement and that the claimant experienced harm as a consequence.</w:t>
      </w:r>
      <w:r w:rsidR="007609A8" w:rsidRPr="00B2330B">
        <w:rPr>
          <w:rFonts w:ascii="Times New Roman" w:hAnsi="Times New Roman" w:cs="Times New Roman"/>
          <w:szCs w:val="24"/>
          <w:lang w:val="en-GB"/>
        </w:rPr>
        <w:t xml:space="preserve"> Injunctive relief, like particular performance, falls within the category of equitable remedies and is awarded only when the circumstances warrant it</w:t>
      </w:r>
      <w:r w:rsidR="00F14E9E" w:rsidRPr="00B2330B">
        <w:rPr>
          <w:rFonts w:ascii="Times New Roman" w:hAnsi="Times New Roman" w:cs="Times New Roman"/>
          <w:szCs w:val="24"/>
          <w:lang w:val="en-GB"/>
        </w:rPr>
        <w:t xml:space="preserve"> (Ahmed, 2022)</w:t>
      </w:r>
      <w:r w:rsidR="007609A8" w:rsidRPr="00B2330B">
        <w:rPr>
          <w:rFonts w:ascii="Times New Roman" w:hAnsi="Times New Roman" w:cs="Times New Roman"/>
          <w:szCs w:val="24"/>
          <w:lang w:val="en-GB"/>
        </w:rPr>
        <w:t xml:space="preserve">. </w:t>
      </w:r>
      <w:r w:rsidR="0094695E" w:rsidRPr="00B2330B">
        <w:rPr>
          <w:rFonts w:ascii="Times New Roman" w:hAnsi="Times New Roman" w:cs="Times New Roman"/>
          <w:szCs w:val="24"/>
          <w:lang w:val="en-GB"/>
        </w:rPr>
        <w:t xml:space="preserve">On the other hand, according to Hodge (2021) </w:t>
      </w:r>
      <w:r w:rsidR="007962BF" w:rsidRPr="00B2330B">
        <w:rPr>
          <w:rFonts w:ascii="Times New Roman" w:hAnsi="Times New Roman" w:cs="Times New Roman"/>
          <w:szCs w:val="24"/>
          <w:lang w:val="en-GB"/>
        </w:rPr>
        <w:t>i</w:t>
      </w:r>
      <w:r w:rsidR="007609A8" w:rsidRPr="00B2330B">
        <w:rPr>
          <w:rFonts w:ascii="Times New Roman" w:hAnsi="Times New Roman" w:cs="Times New Roman"/>
          <w:szCs w:val="24"/>
          <w:lang w:val="en-GB"/>
        </w:rPr>
        <w:t>njunctive relief is granted when monetary compensation alone is not sufficient to address the harm that has been done, such as when the plaintiff seeks to prevent the defendant from initiating or continuing a breach of a negative similar arrangement (</w:t>
      </w:r>
      <w:proofErr w:type="spellStart"/>
      <w:r w:rsidR="007609A8" w:rsidRPr="00B2330B">
        <w:rPr>
          <w:rFonts w:ascii="Times New Roman" w:hAnsi="Times New Roman" w:cs="Times New Roman"/>
          <w:szCs w:val="24"/>
          <w:lang w:val="en-GB"/>
        </w:rPr>
        <w:t>prohibitory</w:t>
      </w:r>
      <w:proofErr w:type="spellEnd"/>
      <w:r w:rsidR="007609A8" w:rsidRPr="00B2330B">
        <w:rPr>
          <w:rFonts w:ascii="Times New Roman" w:hAnsi="Times New Roman" w:cs="Times New Roman"/>
          <w:szCs w:val="24"/>
          <w:lang w:val="en-GB"/>
        </w:rPr>
        <w:t xml:space="preserve"> injunction) or when the plaintiff seeks to compel the defendant to perform a positive binding contract (injunctive performance) (mandatory injunction). The court will utilize the same criteria as those listed for particular performance and the balance of convenience test to determine whether or not to issue an injunction requiring execution of the contract</w:t>
      </w:r>
      <w:r w:rsidR="00012C55" w:rsidRPr="00B2330B">
        <w:rPr>
          <w:rFonts w:ascii="Times New Roman" w:hAnsi="Times New Roman" w:cs="Times New Roman"/>
          <w:szCs w:val="24"/>
          <w:lang w:val="en-GB"/>
        </w:rPr>
        <w:t xml:space="preserve"> (</w:t>
      </w:r>
      <w:proofErr w:type="spellStart"/>
      <w:r w:rsidR="00012C55" w:rsidRPr="00B2330B">
        <w:rPr>
          <w:rFonts w:ascii="Times New Roman" w:hAnsi="Times New Roman" w:cs="Times New Roman"/>
          <w:szCs w:val="24"/>
          <w:lang w:val="en-GB"/>
        </w:rPr>
        <w:t>echr</w:t>
      </w:r>
      <w:proofErr w:type="spellEnd"/>
      <w:r w:rsidR="00012C55" w:rsidRPr="00B2330B">
        <w:rPr>
          <w:rFonts w:ascii="Times New Roman" w:hAnsi="Times New Roman" w:cs="Times New Roman"/>
          <w:szCs w:val="24"/>
          <w:lang w:val="en-GB"/>
        </w:rPr>
        <w:t>, 2022)</w:t>
      </w:r>
      <w:r w:rsidR="007609A8" w:rsidRPr="00B2330B">
        <w:rPr>
          <w:rFonts w:ascii="Times New Roman" w:hAnsi="Times New Roman" w:cs="Times New Roman"/>
          <w:szCs w:val="24"/>
          <w:lang w:val="en-GB"/>
        </w:rPr>
        <w:t xml:space="preserve">. </w:t>
      </w:r>
      <w:r>
        <w:rPr>
          <w:rFonts w:ascii="Times New Roman" w:hAnsi="Times New Roman" w:cs="Times New Roman"/>
          <w:szCs w:val="24"/>
          <w:lang w:val="en-GB"/>
        </w:rPr>
        <w:t>I</w:t>
      </w:r>
      <w:r w:rsidR="007609A8" w:rsidRPr="00B2330B">
        <w:rPr>
          <w:rFonts w:ascii="Times New Roman" w:hAnsi="Times New Roman" w:cs="Times New Roman"/>
          <w:szCs w:val="24"/>
          <w:lang w:val="en-GB"/>
        </w:rPr>
        <w:t>f the injunction would have the effect of compellin</w:t>
      </w:r>
      <w:r>
        <w:rPr>
          <w:rFonts w:ascii="Times New Roman" w:hAnsi="Times New Roman" w:cs="Times New Roman"/>
          <w:szCs w:val="24"/>
          <w:lang w:val="en-GB"/>
        </w:rPr>
        <w:t>g a party to do anything that they</w:t>
      </w:r>
      <w:r w:rsidR="007609A8" w:rsidRPr="00B2330B">
        <w:rPr>
          <w:rFonts w:ascii="Times New Roman" w:hAnsi="Times New Roman" w:cs="Times New Roman"/>
          <w:szCs w:val="24"/>
          <w:lang w:val="en-GB"/>
        </w:rPr>
        <w:t xml:space="preserve"> could not have been required to do by a judgment of particular performance, then the injunction will not be granted (Lumley v Wagner [1852] 1 DM &amp; G604).</w:t>
      </w:r>
    </w:p>
    <w:p w:rsidR="003107A0" w:rsidRPr="00B2330B" w:rsidRDefault="003107A0" w:rsidP="00B2330B">
      <w:pPr>
        <w:spacing w:line="360" w:lineRule="auto"/>
        <w:jc w:val="left"/>
        <w:rPr>
          <w:rFonts w:ascii="Times New Roman" w:hAnsi="Times New Roman" w:cs="Times New Roman"/>
          <w:szCs w:val="24"/>
          <w:lang w:val="en-GB"/>
        </w:rPr>
      </w:pPr>
      <w:r w:rsidRPr="00B2330B">
        <w:rPr>
          <w:rFonts w:ascii="Times New Roman" w:hAnsi="Times New Roman" w:cs="Times New Roman"/>
          <w:szCs w:val="24"/>
          <w:lang w:val="en-GB"/>
        </w:rPr>
        <w:t xml:space="preserve">According </w:t>
      </w:r>
      <w:r w:rsidR="001A098F" w:rsidRPr="00B2330B">
        <w:rPr>
          <w:rFonts w:ascii="Times New Roman" w:hAnsi="Times New Roman" w:cs="Times New Roman"/>
          <w:szCs w:val="24"/>
          <w:lang w:val="en-GB"/>
        </w:rPr>
        <w:t>to</w:t>
      </w:r>
      <w:r w:rsidRPr="00B2330B">
        <w:rPr>
          <w:rFonts w:ascii="Times New Roman" w:hAnsi="Times New Roman" w:cs="Times New Roman"/>
          <w:szCs w:val="24"/>
          <w:lang w:val="en-GB"/>
        </w:rPr>
        <w:t xml:space="preserve"> CPR </w:t>
      </w:r>
      <w:proofErr w:type="gramStart"/>
      <w:r w:rsidRPr="00B2330B">
        <w:rPr>
          <w:rFonts w:ascii="Times New Roman" w:hAnsi="Times New Roman" w:cs="Times New Roman"/>
          <w:szCs w:val="24"/>
          <w:lang w:val="en-GB"/>
        </w:rPr>
        <w:t>r.54.10(</w:t>
      </w:r>
      <w:proofErr w:type="gramEnd"/>
      <w:r w:rsidRPr="00B2330B">
        <w:rPr>
          <w:rFonts w:ascii="Times New Roman" w:hAnsi="Times New Roman" w:cs="Times New Roman"/>
          <w:szCs w:val="24"/>
          <w:lang w:val="en-GB"/>
        </w:rPr>
        <w:t>2), if a claimant is granted leave to pursue judicial review, the court may order a stay of proceedings until the outcome of the claim</w:t>
      </w:r>
      <w:r w:rsidR="00A746BD" w:rsidRPr="00B2330B">
        <w:rPr>
          <w:rFonts w:ascii="Times New Roman" w:hAnsi="Times New Roman" w:cs="Times New Roman"/>
          <w:szCs w:val="24"/>
          <w:lang w:val="en-GB"/>
        </w:rPr>
        <w:t xml:space="preserve"> (GOV, 2022)</w:t>
      </w:r>
      <w:r w:rsidRPr="00B2330B">
        <w:rPr>
          <w:rFonts w:ascii="Times New Roman" w:hAnsi="Times New Roman" w:cs="Times New Roman"/>
          <w:szCs w:val="24"/>
          <w:lang w:val="en-GB"/>
        </w:rPr>
        <w:t>.</w:t>
      </w:r>
    </w:p>
    <w:p w:rsidR="00C82788" w:rsidRDefault="003107A0" w:rsidP="00B2330B">
      <w:pPr>
        <w:spacing w:line="360" w:lineRule="auto"/>
        <w:jc w:val="left"/>
        <w:rPr>
          <w:rFonts w:ascii="Times New Roman" w:hAnsi="Times New Roman" w:cs="Times New Roman"/>
          <w:szCs w:val="24"/>
          <w:lang w:val="en-GB"/>
        </w:rPr>
      </w:pPr>
      <w:r w:rsidRPr="00B2330B">
        <w:rPr>
          <w:rFonts w:ascii="Times New Roman" w:hAnsi="Times New Roman" w:cs="Times New Roman"/>
          <w:szCs w:val="24"/>
          <w:lang w:val="en-GB"/>
        </w:rPr>
        <w:t>When it comes to the breadth and impact of such a "stay," however, opinions among authorities are split. The Court of Appeal has ruled that the phrase is applicable to halt a minister from carrying out a decision made by the executive branch and the procedure by which that decision was made</w:t>
      </w:r>
      <w:r w:rsidR="00A746BD" w:rsidRPr="00B2330B">
        <w:rPr>
          <w:rFonts w:ascii="Times New Roman" w:hAnsi="Times New Roman" w:cs="Times New Roman"/>
          <w:szCs w:val="24"/>
          <w:lang w:val="en-GB"/>
        </w:rPr>
        <w:t xml:space="preserve"> (Legislation, 2021)</w:t>
      </w:r>
      <w:r w:rsidRPr="00B2330B">
        <w:rPr>
          <w:rFonts w:ascii="Times New Roman" w:hAnsi="Times New Roman" w:cs="Times New Roman"/>
          <w:szCs w:val="24"/>
          <w:lang w:val="en-GB"/>
        </w:rPr>
        <w:t>. The Privy Council, however, has held obiter dicta that a stay of deliberations is merely a command which puts a stop to any further behaviour of litigation in court or prior to a hearing or trial tak</w:t>
      </w:r>
      <w:r w:rsidR="001A098F" w:rsidRPr="00B2330B">
        <w:rPr>
          <w:rFonts w:ascii="Times New Roman" w:hAnsi="Times New Roman" w:cs="Times New Roman"/>
          <w:szCs w:val="24"/>
          <w:lang w:val="en-GB"/>
        </w:rPr>
        <w:t>ing</w:t>
      </w:r>
      <w:r w:rsidRPr="00B2330B">
        <w:rPr>
          <w:rFonts w:ascii="Times New Roman" w:hAnsi="Times New Roman" w:cs="Times New Roman"/>
          <w:szCs w:val="24"/>
          <w:lang w:val="en-GB"/>
        </w:rPr>
        <w:t xml:space="preserve"> place; and that this could have no potential idea to an executive decision that has already taken place made. The situation has not yet been clarified by the House of Lords.</w:t>
      </w:r>
      <w:r w:rsidR="00927341" w:rsidRPr="00B2330B">
        <w:rPr>
          <w:rFonts w:ascii="Times New Roman" w:hAnsi="Times New Roman" w:cs="Times New Roman"/>
          <w:szCs w:val="24"/>
          <w:lang w:val="en-GB"/>
        </w:rPr>
        <w:t xml:space="preserve"> With so many different opinions on what a stay of proceedings entails, it's hard to pin down its main characteristics</w:t>
      </w:r>
      <w:r w:rsidR="004D5E73" w:rsidRPr="00B2330B">
        <w:rPr>
          <w:rFonts w:ascii="Times New Roman" w:hAnsi="Times New Roman" w:cs="Times New Roman"/>
          <w:szCs w:val="24"/>
          <w:lang w:val="en-GB"/>
        </w:rPr>
        <w:t xml:space="preserve"> </w:t>
      </w:r>
      <w:r w:rsidR="00AB512E" w:rsidRPr="00B2330B">
        <w:rPr>
          <w:rFonts w:ascii="Times New Roman" w:hAnsi="Times New Roman" w:cs="Times New Roman"/>
          <w:szCs w:val="24"/>
          <w:lang w:val="en-GB"/>
        </w:rPr>
        <w:t>(GOV, 2021)</w:t>
      </w:r>
      <w:r w:rsidR="00927341" w:rsidRPr="00B2330B">
        <w:rPr>
          <w:rFonts w:ascii="Times New Roman" w:hAnsi="Times New Roman" w:cs="Times New Roman"/>
          <w:szCs w:val="24"/>
          <w:lang w:val="en-GB"/>
        </w:rPr>
        <w:t xml:space="preserve">. It is not an injunction, but rather an order aimed at the judicial, arbitral, or </w:t>
      </w:r>
      <w:r w:rsidR="001A098F" w:rsidRPr="00B2330B">
        <w:rPr>
          <w:rFonts w:ascii="Times New Roman" w:hAnsi="Times New Roman" w:cs="Times New Roman"/>
          <w:szCs w:val="24"/>
          <w:lang w:val="en-GB"/>
        </w:rPr>
        <w:t>an</w:t>
      </w:r>
      <w:r w:rsidR="00927341" w:rsidRPr="00B2330B">
        <w:rPr>
          <w:rFonts w:ascii="Times New Roman" w:hAnsi="Times New Roman" w:cs="Times New Roman"/>
          <w:szCs w:val="24"/>
          <w:lang w:val="en-GB"/>
        </w:rPr>
        <w:t>other decision-making process itself. It means it could not be a binding order that can be enforced via contempt actions if a party or third party breaches it</w:t>
      </w:r>
      <w:r w:rsidR="00DE0501" w:rsidRPr="00B2330B">
        <w:rPr>
          <w:rFonts w:ascii="Times New Roman" w:hAnsi="Times New Roman" w:cs="Times New Roman"/>
          <w:szCs w:val="24"/>
          <w:lang w:val="en-GB"/>
        </w:rPr>
        <w:t xml:space="preserve"> (</w:t>
      </w:r>
      <w:proofErr w:type="spellStart"/>
      <w:r w:rsidR="00DE0501" w:rsidRPr="00B2330B">
        <w:rPr>
          <w:rFonts w:ascii="Times New Roman" w:hAnsi="Times New Roman" w:cs="Times New Roman"/>
          <w:szCs w:val="24"/>
          <w:lang w:val="en-GB"/>
        </w:rPr>
        <w:t>unece</w:t>
      </w:r>
      <w:proofErr w:type="spellEnd"/>
      <w:r w:rsidR="00DE0501" w:rsidRPr="00B2330B">
        <w:rPr>
          <w:rFonts w:ascii="Times New Roman" w:hAnsi="Times New Roman" w:cs="Times New Roman"/>
          <w:szCs w:val="24"/>
          <w:lang w:val="en-GB"/>
        </w:rPr>
        <w:t>, 2022)</w:t>
      </w:r>
      <w:r w:rsidR="00927341" w:rsidRPr="00B2330B">
        <w:rPr>
          <w:rFonts w:ascii="Times New Roman" w:hAnsi="Times New Roman" w:cs="Times New Roman"/>
          <w:szCs w:val="24"/>
          <w:lang w:val="en-GB"/>
        </w:rPr>
        <w:t>.</w:t>
      </w:r>
    </w:p>
    <w:p w:rsidR="003107A0" w:rsidRPr="00B2330B" w:rsidRDefault="00C82788" w:rsidP="00B2330B">
      <w:pPr>
        <w:spacing w:line="360" w:lineRule="auto"/>
        <w:jc w:val="left"/>
        <w:rPr>
          <w:rFonts w:ascii="Times New Roman" w:hAnsi="Times New Roman" w:cs="Times New Roman"/>
          <w:szCs w:val="24"/>
          <w:lang w:val="en-GB"/>
        </w:rPr>
      </w:pPr>
      <w:r>
        <w:rPr>
          <w:rFonts w:ascii="Times New Roman" w:hAnsi="Times New Roman" w:cs="Times New Roman"/>
          <w:szCs w:val="24"/>
          <w:lang w:val="en-GB"/>
        </w:rPr>
        <w:t xml:space="preserve"> </w:t>
      </w:r>
      <w:r w:rsidR="00927341" w:rsidRPr="00B2330B">
        <w:rPr>
          <w:rFonts w:ascii="Times New Roman" w:hAnsi="Times New Roman" w:cs="Times New Roman"/>
          <w:szCs w:val="24"/>
          <w:lang w:val="en-GB"/>
        </w:rPr>
        <w:t xml:space="preserve"> A decision made by a minister or other official of the Crown may be halted by a court order. This aspect of the stay is less significant than it formerly was since it is obvious that temporary injunctive relief may be issued against officials and Ministers of the Crown and the court has jurisdiction to make interim pronouncements. With these changes in mind, it's tempting to think </w:t>
      </w:r>
      <w:r w:rsidR="00927341" w:rsidRPr="00B2330B">
        <w:rPr>
          <w:rFonts w:ascii="Times New Roman" w:hAnsi="Times New Roman" w:cs="Times New Roman"/>
          <w:szCs w:val="24"/>
          <w:lang w:val="en-GB"/>
        </w:rPr>
        <w:lastRenderedPageBreak/>
        <w:t>that stays of proceedings should be used only in legal procedures. But, the stay also serves as an effective brake on administration activity, so it is not only the court procedures that are halted</w:t>
      </w:r>
      <w:r w:rsidR="00AA7EBA" w:rsidRPr="00B2330B">
        <w:rPr>
          <w:rFonts w:ascii="Times New Roman" w:hAnsi="Times New Roman" w:cs="Times New Roman"/>
          <w:szCs w:val="24"/>
          <w:lang w:val="en-GB"/>
        </w:rPr>
        <w:t xml:space="preserve"> (</w:t>
      </w:r>
      <w:proofErr w:type="spellStart"/>
      <w:r w:rsidR="00AA7EBA" w:rsidRPr="00B2330B">
        <w:rPr>
          <w:rFonts w:ascii="Times New Roman" w:hAnsi="Times New Roman" w:cs="Times New Roman"/>
          <w:szCs w:val="24"/>
          <w:lang w:val="en-GB"/>
        </w:rPr>
        <w:t>unece</w:t>
      </w:r>
      <w:proofErr w:type="spellEnd"/>
      <w:r w:rsidR="00AA7EBA" w:rsidRPr="00B2330B">
        <w:rPr>
          <w:rFonts w:ascii="Times New Roman" w:hAnsi="Times New Roman" w:cs="Times New Roman"/>
          <w:szCs w:val="24"/>
          <w:lang w:val="en-GB"/>
        </w:rPr>
        <w:t>, 2022)</w:t>
      </w:r>
      <w:r w:rsidR="00927341" w:rsidRPr="00B2330B">
        <w:rPr>
          <w:rFonts w:ascii="Times New Roman" w:hAnsi="Times New Roman" w:cs="Times New Roman"/>
          <w:szCs w:val="24"/>
          <w:lang w:val="en-GB"/>
        </w:rPr>
        <w:t>.</w:t>
      </w:r>
      <w:r w:rsidR="00FA02AD" w:rsidRPr="00B2330B">
        <w:rPr>
          <w:rFonts w:ascii="Times New Roman" w:hAnsi="Times New Roman" w:cs="Times New Roman"/>
          <w:szCs w:val="24"/>
          <w:lang w:val="en-GB"/>
        </w:rPr>
        <w:t xml:space="preserve"> </w:t>
      </w:r>
    </w:p>
    <w:p w:rsidR="00FA02AD" w:rsidRPr="00B2330B" w:rsidRDefault="00B25F45" w:rsidP="00B2330B">
      <w:pPr>
        <w:spacing w:line="360" w:lineRule="auto"/>
        <w:jc w:val="left"/>
        <w:rPr>
          <w:rFonts w:ascii="Times New Roman" w:hAnsi="Times New Roman" w:cs="Times New Roman"/>
          <w:szCs w:val="24"/>
          <w:lang w:val="en-GB"/>
        </w:rPr>
      </w:pPr>
      <w:r w:rsidRPr="00B2330B">
        <w:rPr>
          <w:rFonts w:ascii="Times New Roman" w:hAnsi="Times New Roman" w:cs="Times New Roman"/>
          <w:szCs w:val="24"/>
          <w:lang w:val="en-GB"/>
        </w:rPr>
        <w:t xml:space="preserve">The three primary tasks that fall under the purview of the British Parliament are the formulation of laws, the monitoring of governmental operations, and the budgeting of public funds. The successful completion of legislative work is among the most significant. The constitutional framework of the United Kingdom gives Parliament a significant amount of authority. It elevates the Parliament of the United Kingdom to the position of the highest court in the land and bestows upon it the authority to legislate at will. There is no such thing as a legislature that can make laws that can't be overturned by the courts or abolished by later legislatures. The authority held by Parliament is absolutely necessary for the British form of governance. It's a common misconception that the United Kingdom has </w:t>
      </w:r>
      <w:proofErr w:type="gramStart"/>
      <w:r w:rsidRPr="00B2330B">
        <w:rPr>
          <w:rFonts w:ascii="Times New Roman" w:hAnsi="Times New Roman" w:cs="Times New Roman"/>
          <w:szCs w:val="24"/>
          <w:lang w:val="en-GB"/>
        </w:rPr>
        <w:t>a</w:t>
      </w:r>
      <w:proofErr w:type="gramEnd"/>
      <w:r w:rsidRPr="00B2330B">
        <w:rPr>
          <w:rFonts w:ascii="Times New Roman" w:hAnsi="Times New Roman" w:cs="Times New Roman"/>
          <w:szCs w:val="24"/>
          <w:lang w:val="en-GB"/>
        </w:rPr>
        <w:t xml:space="preserve"> "unwritten constitution," however this is not the case. In contrast to the legal codes of the United States and Germany, the majority of British law is codified in laws or legislation that is adopted by Parliament. This is the case in both countries. Laws that limit Congress's own power have been consistently enacted throughout the institution's existence. As a result of recent events in British and worldwide politics, this bill was passed into legislation (UK Parliament, 2022). Although while Parliament might, at least in principle, undo the legislation that brought about these changes, the concept that Parliament is in charge of things is not seriously threatened by these revisions in any way (UK Parliament, 2022).</w:t>
      </w:r>
      <w:bookmarkStart w:id="0" w:name="_GoBack"/>
      <w:bookmarkEnd w:id="0"/>
      <w:r w:rsidR="003D2B60" w:rsidRPr="00B2330B">
        <w:rPr>
          <w:rFonts w:ascii="Times New Roman" w:hAnsi="Times New Roman" w:cs="Times New Roman"/>
          <w:szCs w:val="24"/>
          <w:lang w:val="en-GB"/>
        </w:rPr>
        <w:t xml:space="preserve"> </w:t>
      </w:r>
    </w:p>
    <w:p w:rsidR="00060CE7" w:rsidRPr="00B2330B" w:rsidRDefault="00060CE7" w:rsidP="00B2330B">
      <w:pPr>
        <w:spacing w:line="360" w:lineRule="auto"/>
        <w:jc w:val="left"/>
        <w:rPr>
          <w:rFonts w:ascii="Times New Roman" w:hAnsi="Times New Roman" w:cs="Times New Roman"/>
          <w:szCs w:val="24"/>
          <w:lang w:val="en-GB"/>
        </w:rPr>
      </w:pPr>
      <w:r w:rsidRPr="00B2330B">
        <w:rPr>
          <w:rFonts w:ascii="Times New Roman" w:hAnsi="Times New Roman" w:cs="Times New Roman"/>
          <w:szCs w:val="24"/>
          <w:lang w:val="en-GB"/>
        </w:rPr>
        <w:t>After all, this is quickly becoming the primary entry point for ordinary people to interact with the judicial system. On the other hand, it is not primarily a place for legal commentary but rather for publishing authoritative documents. All of its legislative data will be full, up-to-date, and freely accessible, making it a valuable addition to the "whole law" image. By doing so, commentators and editors on any subject of law will be able to include legislative data in their work.</w:t>
      </w:r>
    </w:p>
    <w:p w:rsidR="00060CE7" w:rsidRPr="00B2330B" w:rsidRDefault="00060CE7" w:rsidP="00B2330B">
      <w:pPr>
        <w:spacing w:line="360" w:lineRule="auto"/>
        <w:jc w:val="left"/>
        <w:rPr>
          <w:rFonts w:ascii="Times New Roman" w:hAnsi="Times New Roman" w:cs="Times New Roman"/>
          <w:szCs w:val="24"/>
          <w:lang w:val="en-GB"/>
        </w:rPr>
      </w:pPr>
      <w:r w:rsidRPr="00B2330B">
        <w:rPr>
          <w:rFonts w:ascii="Times New Roman" w:hAnsi="Times New Roman" w:cs="Times New Roman"/>
          <w:szCs w:val="24"/>
          <w:lang w:val="en-GB"/>
        </w:rPr>
        <w:t>And just as the body of case law may be seen as a dataset that can be structured to satisfy the demands of a user, so too can the body of legislation. The goal of the team at legislation.gov.uk is to combine the databases of laws and law reports so that readers are made aware of terms that have been mentioned in legal precedent. Similarly, HMRC is investigating how GOV. A further facet of the information age is the strength of massive amounts of data when paired with consumption patterns. Is it helpful for readers if the editors of legislation.gov.uk reveal the pages that follow a search for section 1 of the Defamation Act</w:t>
      </w:r>
      <w:r w:rsidR="001831BE" w:rsidRPr="00B2330B">
        <w:rPr>
          <w:rFonts w:ascii="Times New Roman" w:hAnsi="Times New Roman" w:cs="Times New Roman"/>
          <w:szCs w:val="24"/>
          <w:lang w:val="en-GB"/>
        </w:rPr>
        <w:t xml:space="preserve"> (Legislation, </w:t>
      </w:r>
      <w:r w:rsidR="00B74BE2" w:rsidRPr="00B2330B">
        <w:rPr>
          <w:rFonts w:ascii="Times New Roman" w:hAnsi="Times New Roman" w:cs="Times New Roman"/>
          <w:szCs w:val="24"/>
          <w:lang w:val="en-GB"/>
        </w:rPr>
        <w:t>2013)?</w:t>
      </w:r>
      <w:r w:rsidRPr="00B2330B">
        <w:rPr>
          <w:rFonts w:ascii="Times New Roman" w:hAnsi="Times New Roman" w:cs="Times New Roman"/>
          <w:szCs w:val="24"/>
          <w:lang w:val="en-GB"/>
        </w:rPr>
        <w:t xml:space="preserve"> These are the kind of approaches </w:t>
      </w:r>
      <w:r w:rsidR="0079668E" w:rsidRPr="00B2330B">
        <w:rPr>
          <w:rFonts w:ascii="Times New Roman" w:hAnsi="Times New Roman" w:cs="Times New Roman"/>
          <w:szCs w:val="24"/>
          <w:lang w:val="en-GB"/>
        </w:rPr>
        <w:lastRenderedPageBreak/>
        <w:t>the UK Parliament</w:t>
      </w:r>
      <w:r w:rsidRPr="00B2330B">
        <w:rPr>
          <w:rFonts w:ascii="Times New Roman" w:hAnsi="Times New Roman" w:cs="Times New Roman"/>
          <w:szCs w:val="24"/>
          <w:lang w:val="en-GB"/>
        </w:rPr>
        <w:t xml:space="preserve"> should be taking if </w:t>
      </w:r>
      <w:r w:rsidR="00C34D5B" w:rsidRPr="00B2330B">
        <w:rPr>
          <w:rFonts w:ascii="Times New Roman" w:hAnsi="Times New Roman" w:cs="Times New Roman"/>
          <w:szCs w:val="24"/>
          <w:lang w:val="en-GB"/>
        </w:rPr>
        <w:t>the UK citizen</w:t>
      </w:r>
      <w:r w:rsidRPr="00B2330B">
        <w:rPr>
          <w:rFonts w:ascii="Times New Roman" w:hAnsi="Times New Roman" w:cs="Times New Roman"/>
          <w:szCs w:val="24"/>
          <w:lang w:val="en-GB"/>
        </w:rPr>
        <w:t xml:space="preserve"> want</w:t>
      </w:r>
      <w:r w:rsidR="001A098F" w:rsidRPr="00B2330B">
        <w:rPr>
          <w:rFonts w:ascii="Times New Roman" w:hAnsi="Times New Roman" w:cs="Times New Roman"/>
          <w:szCs w:val="24"/>
          <w:lang w:val="en-GB"/>
        </w:rPr>
        <w:t>s</w:t>
      </w:r>
      <w:r w:rsidRPr="00B2330B">
        <w:rPr>
          <w:rFonts w:ascii="Times New Roman" w:hAnsi="Times New Roman" w:cs="Times New Roman"/>
          <w:szCs w:val="24"/>
          <w:lang w:val="en-GB"/>
        </w:rPr>
        <w:t xml:space="preserve"> to achieve </w:t>
      </w:r>
      <w:r w:rsidR="001A098F" w:rsidRPr="00B2330B">
        <w:rPr>
          <w:rFonts w:ascii="Times New Roman" w:hAnsi="Times New Roman" w:cs="Times New Roman"/>
          <w:szCs w:val="24"/>
          <w:lang w:val="en-GB"/>
        </w:rPr>
        <w:t xml:space="preserve">the </w:t>
      </w:r>
      <w:r w:rsidRPr="00B2330B">
        <w:rPr>
          <w:rFonts w:ascii="Times New Roman" w:hAnsi="Times New Roman" w:cs="Times New Roman"/>
          <w:szCs w:val="24"/>
          <w:lang w:val="en-GB"/>
        </w:rPr>
        <w:t>goal of making the law more user-friendly.</w:t>
      </w:r>
      <w:r w:rsidR="00D345DC" w:rsidRPr="00B2330B">
        <w:rPr>
          <w:rFonts w:ascii="Times New Roman" w:hAnsi="Times New Roman" w:cs="Times New Roman"/>
          <w:szCs w:val="24"/>
          <w:lang w:val="en-GB"/>
        </w:rPr>
        <w:t xml:space="preserve"> </w:t>
      </w:r>
    </w:p>
    <w:p w:rsidR="004D2FDD" w:rsidRPr="00131A05" w:rsidRDefault="00C82788" w:rsidP="00131A05">
      <w:pPr>
        <w:spacing w:line="360" w:lineRule="auto"/>
        <w:jc w:val="left"/>
        <w:rPr>
          <w:rFonts w:ascii="Times New Roman" w:hAnsi="Times New Roman" w:cs="Times New Roman"/>
          <w:szCs w:val="24"/>
          <w:lang w:val="en-GB"/>
        </w:rPr>
      </w:pPr>
      <w:r>
        <w:rPr>
          <w:rFonts w:ascii="Times New Roman" w:hAnsi="Times New Roman" w:cs="Times New Roman"/>
          <w:szCs w:val="24"/>
          <w:lang w:val="en-GB"/>
        </w:rPr>
        <w:t xml:space="preserve"> </w:t>
      </w:r>
      <w:r w:rsidR="00DD7545" w:rsidRPr="00B2330B">
        <w:rPr>
          <w:rFonts w:ascii="Times New Roman" w:hAnsi="Times New Roman" w:cs="Times New Roman"/>
          <w:szCs w:val="24"/>
          <w:lang w:val="en-GB"/>
        </w:rPr>
        <w:t xml:space="preserve">The Law Commission is responsible for </w:t>
      </w:r>
      <w:r w:rsidR="00B74BE2" w:rsidRPr="00B2330B">
        <w:rPr>
          <w:rFonts w:ascii="Times New Roman" w:hAnsi="Times New Roman" w:cs="Times New Roman"/>
          <w:szCs w:val="24"/>
          <w:lang w:val="en-GB"/>
        </w:rPr>
        <w:t>analysing</w:t>
      </w:r>
      <w:r w:rsidR="00DD7545" w:rsidRPr="00B2330B">
        <w:rPr>
          <w:rFonts w:ascii="Times New Roman" w:hAnsi="Times New Roman" w:cs="Times New Roman"/>
          <w:szCs w:val="24"/>
          <w:lang w:val="en-GB"/>
        </w:rPr>
        <w:t xml:space="preserve"> the current state of English and Welsh law and making amendment proposals where needed. Since its founding in 1965, the Law Commission has operated independently. By conducting research and consultations in specific areas of law and making suggestions to Parliament where reforms are required, it seeks to ensure that the law is fair, straightforward, and efficient. Parliament is responsible for making improvements to the system via law, and thus far, it has adopted around two-thirds of the proposals made. The Law Commission Act 2009 and the Protocol became effective in January 2010; the purpose was to enhance the percentage of recommendations being adopted. The Lord Chancellor is then obligated to detail the degree to which the suggestions were accepted by Parliament in a yearly report. </w:t>
      </w:r>
      <w:r w:rsidR="00373316" w:rsidRPr="00B2330B">
        <w:rPr>
          <w:rFonts w:ascii="Times New Roman" w:hAnsi="Times New Roman" w:cs="Times New Roman"/>
          <w:szCs w:val="24"/>
          <w:lang w:val="en-GB"/>
        </w:rPr>
        <w:t>According to Judiciary (2022) t</w:t>
      </w:r>
      <w:r w:rsidR="00DD7545" w:rsidRPr="00B2330B">
        <w:rPr>
          <w:rFonts w:ascii="Times New Roman" w:hAnsi="Times New Roman" w:cs="Times New Roman"/>
          <w:szCs w:val="24"/>
          <w:lang w:val="en-GB"/>
        </w:rPr>
        <w:t>he Constitutional Reform Act of 2005 strengthened the separation of powers by replacing the Lord Chancellor with the Lord Chief Justice and establishing the Judicial Appointments Committee as an autonomous body to guarantee that judges are selected purely on the basis of their qualifications. After the Law Commission has agreed to examine a particular area of law, it will work with the appropriate Government</w:t>
      </w:r>
      <w:r w:rsidR="001A098F" w:rsidRPr="00B2330B">
        <w:rPr>
          <w:rFonts w:ascii="Times New Roman" w:hAnsi="Times New Roman" w:cs="Times New Roman"/>
          <w:szCs w:val="24"/>
          <w:lang w:val="en-GB"/>
        </w:rPr>
        <w:t>al</w:t>
      </w:r>
      <w:r w:rsidR="00DD7545" w:rsidRPr="00B2330B">
        <w:rPr>
          <w:rFonts w:ascii="Times New Roman" w:hAnsi="Times New Roman" w:cs="Times New Roman"/>
          <w:szCs w:val="24"/>
          <w:lang w:val="en-GB"/>
        </w:rPr>
        <w:t xml:space="preserve"> agency to determine the scope of the project. To solicit feedback, the government publishes a consultation document outlining the flaws in the current legislation, the pros and disadvantages of the proposed fixes, and the overall situation. The media, along with everyone else who may be interested, receives a copy of the paper. We welcome input from everyone in the community, whether it </w:t>
      </w:r>
      <w:proofErr w:type="gramStart"/>
      <w:r w:rsidR="00DD7545" w:rsidRPr="00B2330B">
        <w:rPr>
          <w:rFonts w:ascii="Times New Roman" w:hAnsi="Times New Roman" w:cs="Times New Roman"/>
          <w:szCs w:val="24"/>
          <w:lang w:val="en-GB"/>
        </w:rPr>
        <w:t>be</w:t>
      </w:r>
      <w:proofErr w:type="gramEnd"/>
      <w:r w:rsidR="00DD7545" w:rsidRPr="00B2330B">
        <w:rPr>
          <w:rFonts w:ascii="Times New Roman" w:hAnsi="Times New Roman" w:cs="Times New Roman"/>
          <w:szCs w:val="24"/>
          <w:lang w:val="en-GB"/>
        </w:rPr>
        <w:t xml:space="preserve"> on issues we haven't considered or the potential outcomes of our proposals. Anyone may provide feedback on any of the Commission's open consultation papers by visiting this page</w:t>
      </w:r>
      <w:r w:rsidR="00E42C20" w:rsidRPr="00B2330B">
        <w:rPr>
          <w:rFonts w:ascii="Times New Roman" w:hAnsi="Times New Roman" w:cs="Times New Roman"/>
          <w:szCs w:val="24"/>
          <w:lang w:val="en-GB"/>
        </w:rPr>
        <w:t xml:space="preserve"> (Jackson, 2022)</w:t>
      </w:r>
      <w:r w:rsidR="00DD7545" w:rsidRPr="00B2330B">
        <w:rPr>
          <w:rFonts w:ascii="Times New Roman" w:hAnsi="Times New Roman" w:cs="Times New Roman"/>
          <w:szCs w:val="24"/>
          <w:lang w:val="en-GB"/>
        </w:rPr>
        <w:t xml:space="preserve">. </w:t>
      </w:r>
    </w:p>
    <w:p w:rsidR="003F07CE" w:rsidRDefault="00131A05" w:rsidP="00B2330B">
      <w:pPr>
        <w:spacing w:line="360" w:lineRule="auto"/>
        <w:jc w:val="left"/>
        <w:rPr>
          <w:rFonts w:ascii="Times New Roman" w:hAnsi="Times New Roman" w:cs="Times New Roman"/>
          <w:szCs w:val="24"/>
          <w:lang w:val="en-GB"/>
        </w:rPr>
      </w:pPr>
      <w:r>
        <w:rPr>
          <w:rFonts w:ascii="Times New Roman" w:hAnsi="Times New Roman" w:cs="Times New Roman"/>
          <w:szCs w:val="24"/>
          <w:lang w:val="en-GB"/>
        </w:rPr>
        <w:t>The primary goal of this research was to analyse the</w:t>
      </w:r>
      <w:r w:rsidR="003F07CE" w:rsidRPr="00B2330B">
        <w:rPr>
          <w:rFonts w:ascii="Times New Roman" w:hAnsi="Times New Roman" w:cs="Times New Roman"/>
          <w:szCs w:val="24"/>
          <w:lang w:val="en-GB"/>
        </w:rPr>
        <w:t xml:space="preserve"> elements that contributed to the emergence and growth of trust among the individuals involved. A trust is a legal arrangement in which one or more people (trustees) agree to hold and administer assets for the benefit of another group of people (beneficiaries) or an organization (usually a charity) (</w:t>
      </w:r>
      <w:proofErr w:type="spellStart"/>
      <w:r w:rsidR="003F07CE" w:rsidRPr="00B2330B">
        <w:rPr>
          <w:rFonts w:ascii="Times New Roman" w:hAnsi="Times New Roman" w:cs="Times New Roman"/>
          <w:szCs w:val="24"/>
          <w:lang w:val="en-GB"/>
        </w:rPr>
        <w:t>Chetcuti</w:t>
      </w:r>
      <w:proofErr w:type="spellEnd"/>
      <w:r w:rsidR="003F07CE" w:rsidRPr="00B2330B">
        <w:rPr>
          <w:rFonts w:ascii="Times New Roman" w:hAnsi="Times New Roman" w:cs="Times New Roman"/>
          <w:szCs w:val="24"/>
          <w:lang w:val="en-GB"/>
        </w:rPr>
        <w:t xml:space="preserve"> </w:t>
      </w:r>
      <w:proofErr w:type="spellStart"/>
      <w:r w:rsidR="003F07CE" w:rsidRPr="00B2330B">
        <w:rPr>
          <w:rFonts w:ascii="Times New Roman" w:hAnsi="Times New Roman" w:cs="Times New Roman"/>
          <w:szCs w:val="24"/>
          <w:lang w:val="en-GB"/>
        </w:rPr>
        <w:t>Cauchi</w:t>
      </w:r>
      <w:proofErr w:type="spellEnd"/>
      <w:r w:rsidR="003F07CE" w:rsidRPr="00B2330B">
        <w:rPr>
          <w:rFonts w:ascii="Times New Roman" w:hAnsi="Times New Roman" w:cs="Times New Roman"/>
          <w:szCs w:val="24"/>
          <w:lang w:val="en-GB"/>
        </w:rPr>
        <w:t xml:space="preserve"> Advocates). Trusts may be created orally, in writing (including a will), by operation of law, or via a unilateral declaration. When a trust is created orally, however, the law requires acceptable evidence of the </w:t>
      </w:r>
      <w:proofErr w:type="spellStart"/>
      <w:r w:rsidR="003F07CE" w:rsidRPr="00B2330B">
        <w:rPr>
          <w:rFonts w:ascii="Times New Roman" w:hAnsi="Times New Roman" w:cs="Times New Roman"/>
          <w:szCs w:val="24"/>
          <w:lang w:val="en-GB"/>
        </w:rPr>
        <w:t>se</w:t>
      </w:r>
      <w:r w:rsidR="001A098F" w:rsidRPr="00B2330B">
        <w:rPr>
          <w:rFonts w:ascii="Times New Roman" w:hAnsi="Times New Roman" w:cs="Times New Roman"/>
          <w:szCs w:val="24"/>
          <w:lang w:val="en-GB"/>
        </w:rPr>
        <w:t>t</w:t>
      </w:r>
      <w:r w:rsidR="003F07CE" w:rsidRPr="00B2330B">
        <w:rPr>
          <w:rFonts w:ascii="Times New Roman" w:hAnsi="Times New Roman" w:cs="Times New Roman"/>
          <w:szCs w:val="24"/>
          <w:lang w:val="en-GB"/>
        </w:rPr>
        <w:t>tlor's</w:t>
      </w:r>
      <w:proofErr w:type="spellEnd"/>
      <w:r w:rsidR="003F07CE" w:rsidRPr="00B2330B">
        <w:rPr>
          <w:rFonts w:ascii="Times New Roman" w:hAnsi="Times New Roman" w:cs="Times New Roman"/>
          <w:szCs w:val="24"/>
          <w:lang w:val="en-GB"/>
        </w:rPr>
        <w:t xml:space="preserve"> intent to form the trust. If there isn't any proof to the contrary, the law will assume that the individual meant to make a mandate or deposit, rather than create a trust.</w:t>
      </w:r>
    </w:p>
    <w:p w:rsidR="00131A05" w:rsidRDefault="00131A05" w:rsidP="00B2330B">
      <w:pPr>
        <w:spacing w:line="360" w:lineRule="auto"/>
        <w:jc w:val="left"/>
        <w:rPr>
          <w:rFonts w:ascii="Times New Roman" w:hAnsi="Times New Roman" w:cs="Times New Roman"/>
          <w:szCs w:val="24"/>
          <w:lang w:val="en-GB"/>
        </w:rPr>
      </w:pPr>
    </w:p>
    <w:p w:rsidR="00131A05" w:rsidRDefault="00131A05" w:rsidP="00B2330B">
      <w:pPr>
        <w:spacing w:line="360" w:lineRule="auto"/>
        <w:jc w:val="left"/>
        <w:rPr>
          <w:rFonts w:ascii="Times New Roman" w:hAnsi="Times New Roman" w:cs="Times New Roman"/>
          <w:szCs w:val="24"/>
          <w:lang w:val="en-GB"/>
        </w:rPr>
      </w:pPr>
    </w:p>
    <w:p w:rsidR="00131A05" w:rsidRDefault="00131A05" w:rsidP="00B2330B">
      <w:pPr>
        <w:spacing w:line="360" w:lineRule="auto"/>
        <w:jc w:val="left"/>
        <w:rPr>
          <w:rFonts w:ascii="Times New Roman" w:hAnsi="Times New Roman" w:cs="Times New Roman"/>
          <w:szCs w:val="24"/>
          <w:lang w:val="en-GB"/>
        </w:rPr>
      </w:pPr>
    </w:p>
    <w:p w:rsidR="00131A05" w:rsidRPr="00B2330B" w:rsidRDefault="00131A05" w:rsidP="00B2330B">
      <w:pPr>
        <w:spacing w:line="360" w:lineRule="auto"/>
        <w:jc w:val="left"/>
        <w:rPr>
          <w:rFonts w:ascii="Times New Roman" w:hAnsi="Times New Roman" w:cs="Times New Roman"/>
          <w:szCs w:val="24"/>
          <w:lang w:val="en-GB"/>
        </w:rPr>
      </w:pPr>
    </w:p>
    <w:p w:rsidR="005B0D6B" w:rsidRPr="00B2330B" w:rsidRDefault="005B0D6B" w:rsidP="00B2330B">
      <w:pPr>
        <w:pStyle w:val="Heading1"/>
        <w:spacing w:line="360" w:lineRule="auto"/>
        <w:jc w:val="left"/>
        <w:rPr>
          <w:rFonts w:ascii="Times New Roman" w:hAnsi="Times New Roman" w:cs="Times New Roman"/>
          <w:color w:val="365F91" w:themeColor="accent1" w:themeShade="BF"/>
          <w:sz w:val="24"/>
          <w:szCs w:val="24"/>
        </w:rPr>
      </w:pPr>
      <w:bookmarkStart w:id="1" w:name="_Toc127840961"/>
      <w:r w:rsidRPr="00B2330B">
        <w:rPr>
          <w:rFonts w:ascii="Times New Roman" w:hAnsi="Times New Roman" w:cs="Times New Roman"/>
          <w:color w:val="365F91" w:themeColor="accent1" w:themeShade="BF"/>
          <w:sz w:val="24"/>
          <w:szCs w:val="24"/>
        </w:rPr>
        <w:t>References</w:t>
      </w:r>
      <w:bookmarkEnd w:id="1"/>
    </w:p>
    <w:p w:rsidR="00A8172A" w:rsidRPr="00B2330B" w:rsidRDefault="00A8172A" w:rsidP="00B2330B">
      <w:pPr>
        <w:spacing w:after="240" w:line="360" w:lineRule="auto"/>
        <w:jc w:val="left"/>
        <w:rPr>
          <w:rFonts w:ascii="Times New Roman" w:eastAsia="Times New Roman" w:hAnsi="Times New Roman" w:cs="Times New Roman"/>
          <w:szCs w:val="24"/>
        </w:rPr>
      </w:pPr>
      <w:r w:rsidRPr="00B2330B">
        <w:rPr>
          <w:rFonts w:ascii="Times New Roman" w:eastAsia="Times New Roman" w:hAnsi="Times New Roman" w:cs="Times New Roman"/>
          <w:szCs w:val="24"/>
        </w:rPr>
        <w:t>Ahmed, M. (2022) Private international law and substantive liability issues in tort litigation against multinational companies in the English courts: recent UK Supreme Court decisions and post-</w:t>
      </w:r>
      <w:proofErr w:type="spellStart"/>
      <w:r w:rsidRPr="00B2330B">
        <w:rPr>
          <w:rFonts w:ascii="Times New Roman" w:eastAsia="Times New Roman" w:hAnsi="Times New Roman" w:cs="Times New Roman"/>
          <w:szCs w:val="24"/>
        </w:rPr>
        <w:t>Brexit</w:t>
      </w:r>
      <w:proofErr w:type="spellEnd"/>
      <w:r w:rsidRPr="00B2330B">
        <w:rPr>
          <w:rFonts w:ascii="Times New Roman" w:eastAsia="Times New Roman" w:hAnsi="Times New Roman" w:cs="Times New Roman"/>
          <w:szCs w:val="24"/>
        </w:rPr>
        <w:t xml:space="preserve"> implications. </w:t>
      </w:r>
      <w:proofErr w:type="gramStart"/>
      <w:r w:rsidRPr="00B2330B">
        <w:rPr>
          <w:rFonts w:ascii="Times New Roman" w:eastAsia="Times New Roman" w:hAnsi="Times New Roman" w:cs="Times New Roman"/>
          <w:i/>
          <w:iCs/>
          <w:szCs w:val="24"/>
        </w:rPr>
        <w:t>Journal of Private International Law</w:t>
      </w:r>
      <w:r w:rsidRPr="00B2330B">
        <w:rPr>
          <w:rFonts w:ascii="Times New Roman" w:eastAsia="Times New Roman" w:hAnsi="Times New Roman" w:cs="Times New Roman"/>
          <w:szCs w:val="24"/>
        </w:rPr>
        <w:t>, 18(1), pp.56–82.</w:t>
      </w:r>
      <w:proofErr w:type="gramEnd"/>
      <w:r w:rsidRPr="00B2330B">
        <w:rPr>
          <w:rFonts w:ascii="Times New Roman" w:eastAsia="Times New Roman" w:hAnsi="Times New Roman" w:cs="Times New Roman"/>
          <w:szCs w:val="24"/>
        </w:rPr>
        <w:t xml:space="preserve"> </w:t>
      </w:r>
      <w:proofErr w:type="spellStart"/>
      <w:r w:rsidRPr="00B2330B">
        <w:rPr>
          <w:rFonts w:ascii="Times New Roman" w:eastAsia="Times New Roman" w:hAnsi="Times New Roman" w:cs="Times New Roman"/>
          <w:szCs w:val="24"/>
        </w:rPr>
        <w:t>doi:https</w:t>
      </w:r>
      <w:proofErr w:type="spellEnd"/>
      <w:r w:rsidRPr="00B2330B">
        <w:rPr>
          <w:rFonts w:ascii="Times New Roman" w:eastAsia="Times New Roman" w:hAnsi="Times New Roman" w:cs="Times New Roman"/>
          <w:szCs w:val="24"/>
        </w:rPr>
        <w:t>://doi.org/10.1080/17441048.2022.2051860.</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BBC.</w:t>
      </w:r>
      <w:proofErr w:type="gramEnd"/>
      <w:r w:rsidRPr="00B2330B">
        <w:rPr>
          <w:rFonts w:ascii="Times New Roman" w:eastAsia="Times New Roman" w:hAnsi="Times New Roman" w:cs="Times New Roman"/>
          <w:szCs w:val="24"/>
        </w:rPr>
        <w:t xml:space="preserve"> (2023) </w:t>
      </w:r>
      <w:proofErr w:type="spellStart"/>
      <w:r w:rsidRPr="00B2330B">
        <w:rPr>
          <w:rFonts w:ascii="Times New Roman" w:eastAsia="Times New Roman" w:hAnsi="Times New Roman" w:cs="Times New Roman"/>
          <w:i/>
          <w:iCs/>
          <w:szCs w:val="24"/>
        </w:rPr>
        <w:t>Brexit</w:t>
      </w:r>
      <w:proofErr w:type="spellEnd"/>
      <w:r w:rsidRPr="00B2330B">
        <w:rPr>
          <w:rFonts w:ascii="Times New Roman" w:eastAsia="Times New Roman" w:hAnsi="Times New Roman" w:cs="Times New Roman"/>
          <w:i/>
          <w:iCs/>
          <w:szCs w:val="24"/>
        </w:rPr>
        <w:t>: Ministers clash with MPs over plan to scrap EU laws</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https://www.bbc.com/news/uk-politics-64294885.</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Bodleian.</w:t>
      </w:r>
      <w:proofErr w:type="gramEnd"/>
      <w:r w:rsidRPr="00B2330B">
        <w:rPr>
          <w:rFonts w:ascii="Times New Roman" w:eastAsia="Times New Roman" w:hAnsi="Times New Roman" w:cs="Times New Roman"/>
          <w:szCs w:val="24"/>
        </w:rPr>
        <w:t xml:space="preserve"> (2017) </w:t>
      </w:r>
      <w:r w:rsidRPr="00B2330B">
        <w:rPr>
          <w:rFonts w:ascii="Times New Roman" w:eastAsia="Times New Roman" w:hAnsi="Times New Roman" w:cs="Times New Roman"/>
          <w:i/>
          <w:iCs/>
          <w:szCs w:val="24"/>
        </w:rPr>
        <w:t xml:space="preserve">Oxford </w:t>
      </w:r>
      <w:proofErr w:type="spellStart"/>
      <w:r w:rsidRPr="00B2330B">
        <w:rPr>
          <w:rFonts w:ascii="Times New Roman" w:eastAsia="Times New Roman" w:hAnsi="Times New Roman" w:cs="Times New Roman"/>
          <w:i/>
          <w:iCs/>
          <w:szCs w:val="24"/>
        </w:rPr>
        <w:t>LibGuides</w:t>
      </w:r>
      <w:proofErr w:type="spellEnd"/>
      <w:r w:rsidRPr="00B2330B">
        <w:rPr>
          <w:rFonts w:ascii="Times New Roman" w:eastAsia="Times New Roman" w:hAnsi="Times New Roman" w:cs="Times New Roman"/>
          <w:i/>
          <w:iCs/>
          <w:szCs w:val="24"/>
        </w:rPr>
        <w:t>: Legal history: England &amp; common law tradition: Journals</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https://libguides.bodleian.ox.ac.uk/law-histcom/journals [Accessed 20 Feb. 2023].</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e-</w:t>
      </w:r>
      <w:proofErr w:type="spellStart"/>
      <w:r w:rsidRPr="00B2330B">
        <w:rPr>
          <w:rFonts w:ascii="Times New Roman" w:eastAsia="Times New Roman" w:hAnsi="Times New Roman" w:cs="Times New Roman"/>
          <w:szCs w:val="24"/>
        </w:rPr>
        <w:t>lawresources</w:t>
      </w:r>
      <w:proofErr w:type="spellEnd"/>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(2022) </w:t>
      </w:r>
      <w:r w:rsidRPr="00B2330B">
        <w:rPr>
          <w:rFonts w:ascii="Times New Roman" w:eastAsia="Times New Roman" w:hAnsi="Times New Roman" w:cs="Times New Roman"/>
          <w:i/>
          <w:iCs/>
          <w:szCs w:val="24"/>
        </w:rPr>
        <w:t>Lumley v Wagner</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https://e-lawresources.co.uk/cases/Lumley-v-Wagner.php.</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spellStart"/>
      <w:proofErr w:type="gramStart"/>
      <w:r w:rsidRPr="00B2330B">
        <w:rPr>
          <w:rFonts w:ascii="Times New Roman" w:eastAsia="Times New Roman" w:hAnsi="Times New Roman" w:cs="Times New Roman"/>
          <w:szCs w:val="24"/>
        </w:rPr>
        <w:t>echr</w:t>
      </w:r>
      <w:proofErr w:type="spellEnd"/>
      <w:proofErr w:type="gramEnd"/>
      <w:r w:rsidRPr="00B2330B">
        <w:rPr>
          <w:rFonts w:ascii="Times New Roman" w:eastAsia="Times New Roman" w:hAnsi="Times New Roman" w:cs="Times New Roman"/>
          <w:szCs w:val="24"/>
        </w:rPr>
        <w:t xml:space="preserve">. (2022) </w:t>
      </w:r>
      <w:r w:rsidRPr="00B2330B">
        <w:rPr>
          <w:rFonts w:ascii="Times New Roman" w:eastAsia="Times New Roman" w:hAnsi="Times New Roman" w:cs="Times New Roman"/>
          <w:i/>
          <w:iCs/>
          <w:szCs w:val="24"/>
        </w:rPr>
        <w:t>Guide on Article 13 of the European Convention on Human Rights Right to an effective remedy</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https://www.echr.coe.int/Documents/Guide_Art_13_ENG.pdf.</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spellStart"/>
      <w:proofErr w:type="gramStart"/>
      <w:r w:rsidRPr="00B2330B">
        <w:rPr>
          <w:rFonts w:ascii="Times New Roman" w:eastAsia="Times New Roman" w:hAnsi="Times New Roman" w:cs="Times New Roman"/>
          <w:szCs w:val="24"/>
        </w:rPr>
        <w:t>Europa</w:t>
      </w:r>
      <w:proofErr w:type="spellEnd"/>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(2019) </w:t>
      </w:r>
      <w:r w:rsidRPr="00B2330B">
        <w:rPr>
          <w:rFonts w:ascii="Times New Roman" w:eastAsia="Times New Roman" w:hAnsi="Times New Roman" w:cs="Times New Roman"/>
          <w:i/>
          <w:iCs/>
          <w:szCs w:val="24"/>
        </w:rPr>
        <w:t>Treaty of Rome</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https://www.europarl.europa.eu/about-parliament/en/in-the-past/the-parliament-and-the-treaties/treaty-of-rome.</w:t>
      </w:r>
    </w:p>
    <w:p w:rsidR="00A8172A" w:rsidRPr="00B2330B" w:rsidRDefault="00A8172A" w:rsidP="00B2330B">
      <w:pPr>
        <w:spacing w:after="240" w:line="360" w:lineRule="auto"/>
        <w:jc w:val="left"/>
        <w:rPr>
          <w:rFonts w:ascii="Times New Roman" w:eastAsia="Times New Roman" w:hAnsi="Times New Roman" w:cs="Times New Roman"/>
          <w:szCs w:val="24"/>
        </w:rPr>
      </w:pPr>
      <w:r w:rsidRPr="00B2330B">
        <w:rPr>
          <w:rFonts w:ascii="Times New Roman" w:eastAsia="Times New Roman" w:hAnsi="Times New Roman" w:cs="Times New Roman"/>
          <w:szCs w:val="24"/>
        </w:rPr>
        <w:t xml:space="preserve">GOV. (2021) </w:t>
      </w:r>
      <w:r w:rsidRPr="00B2330B">
        <w:rPr>
          <w:rFonts w:ascii="Times New Roman" w:eastAsia="Times New Roman" w:hAnsi="Times New Roman" w:cs="Times New Roman"/>
          <w:i/>
          <w:iCs/>
          <w:szCs w:val="24"/>
        </w:rPr>
        <w:t>Judicial Review Reform The Government Response to the Independent Review of Administrative Law</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https://assets.publishing.service.gov.uk/government/uploads/system/uploads/attachment_data/file/975301/judicial-review-reform-consultation-document.pdf.</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 xml:space="preserve">GOV. (2022) </w:t>
      </w:r>
      <w:r w:rsidRPr="00B2330B">
        <w:rPr>
          <w:rFonts w:ascii="Times New Roman" w:eastAsia="Times New Roman" w:hAnsi="Times New Roman" w:cs="Times New Roman"/>
          <w:i/>
          <w:iCs/>
          <w:szCs w:val="24"/>
        </w:rPr>
        <w:t>PRACTICE DIRECTION 54A – JUDICIAL REVIEW - Civil Procedure Rules</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https://www.justice.gov.uk/courts/procedure-rules/civil/rules/part54/pd_part54a.</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Hodge, P.S. (2021) The Scope of Judicial Law-making in Constitutional Law and Public Law.</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i/>
          <w:iCs/>
          <w:szCs w:val="24"/>
        </w:rPr>
        <w:t>Judicial Review</w:t>
      </w:r>
      <w:r w:rsidRPr="00B2330B">
        <w:rPr>
          <w:rFonts w:ascii="Times New Roman" w:eastAsia="Times New Roman" w:hAnsi="Times New Roman" w:cs="Times New Roman"/>
          <w:szCs w:val="24"/>
        </w:rPr>
        <w:t>, pp.1–32.</w:t>
      </w:r>
      <w:proofErr w:type="gramEnd"/>
      <w:r w:rsidRPr="00B2330B">
        <w:rPr>
          <w:rFonts w:ascii="Times New Roman" w:eastAsia="Times New Roman" w:hAnsi="Times New Roman" w:cs="Times New Roman"/>
          <w:szCs w:val="24"/>
        </w:rPr>
        <w:t xml:space="preserve"> </w:t>
      </w:r>
      <w:proofErr w:type="spellStart"/>
      <w:r w:rsidRPr="00B2330B">
        <w:rPr>
          <w:rFonts w:ascii="Times New Roman" w:eastAsia="Times New Roman" w:hAnsi="Times New Roman" w:cs="Times New Roman"/>
          <w:szCs w:val="24"/>
        </w:rPr>
        <w:t>doi:https</w:t>
      </w:r>
      <w:proofErr w:type="spellEnd"/>
      <w:r w:rsidRPr="00B2330B">
        <w:rPr>
          <w:rFonts w:ascii="Times New Roman" w:eastAsia="Times New Roman" w:hAnsi="Times New Roman" w:cs="Times New Roman"/>
          <w:szCs w:val="24"/>
        </w:rPr>
        <w:t>://doi.org/10.1080/10854681.2021.1947012.</w:t>
      </w:r>
    </w:p>
    <w:p w:rsidR="00A8172A" w:rsidRPr="00B2330B" w:rsidRDefault="00A8172A" w:rsidP="00B2330B">
      <w:pPr>
        <w:spacing w:after="240" w:line="360" w:lineRule="auto"/>
        <w:jc w:val="left"/>
        <w:rPr>
          <w:rFonts w:ascii="Times New Roman" w:eastAsia="Times New Roman" w:hAnsi="Times New Roman" w:cs="Times New Roman"/>
          <w:szCs w:val="24"/>
        </w:rPr>
      </w:pPr>
      <w:r w:rsidRPr="00B2330B">
        <w:rPr>
          <w:rFonts w:ascii="Times New Roman" w:eastAsia="Times New Roman" w:hAnsi="Times New Roman" w:cs="Times New Roman"/>
          <w:szCs w:val="24"/>
        </w:rPr>
        <w:lastRenderedPageBreak/>
        <w:t xml:space="preserve">Jackson, K. (2022) </w:t>
      </w:r>
      <w:r w:rsidRPr="00B2330B">
        <w:rPr>
          <w:rFonts w:ascii="Times New Roman" w:eastAsia="Times New Roman" w:hAnsi="Times New Roman" w:cs="Times New Roman"/>
          <w:i/>
          <w:iCs/>
          <w:szCs w:val="24"/>
        </w:rPr>
        <w:t xml:space="preserve">Oxford </w:t>
      </w:r>
      <w:proofErr w:type="spellStart"/>
      <w:r w:rsidRPr="00B2330B">
        <w:rPr>
          <w:rFonts w:ascii="Times New Roman" w:eastAsia="Times New Roman" w:hAnsi="Times New Roman" w:cs="Times New Roman"/>
          <w:i/>
          <w:iCs/>
          <w:szCs w:val="24"/>
        </w:rPr>
        <w:t>LibGuides</w:t>
      </w:r>
      <w:proofErr w:type="spellEnd"/>
      <w:r w:rsidRPr="00B2330B">
        <w:rPr>
          <w:rFonts w:ascii="Times New Roman" w:eastAsia="Times New Roman" w:hAnsi="Times New Roman" w:cs="Times New Roman"/>
          <w:i/>
          <w:iCs/>
          <w:szCs w:val="24"/>
        </w:rPr>
        <w:t>: United Kingdom Law: Law reform</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xml:space="preserve">] </w:t>
      </w:r>
      <w:proofErr w:type="spellStart"/>
      <w:r w:rsidRPr="00B2330B">
        <w:rPr>
          <w:rFonts w:ascii="Times New Roman" w:eastAsia="Times New Roman" w:hAnsi="Times New Roman" w:cs="Times New Roman"/>
          <w:szCs w:val="24"/>
        </w:rPr>
        <w:t>libguides</w:t>
      </w:r>
      <w:proofErr w:type="spellEnd"/>
      <w:r w:rsidRPr="00B2330B">
        <w:rPr>
          <w:rFonts w:ascii="Times New Roman" w:eastAsia="Times New Roman" w:hAnsi="Times New Roman" w:cs="Times New Roman"/>
          <w:szCs w:val="24"/>
        </w:rPr>
        <w:t>. Available at: https://ox.libguides.com/c.php?g=422832&amp;p=2887393.</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Judiciary.</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(2022) </w:t>
      </w:r>
      <w:r w:rsidRPr="00B2330B">
        <w:rPr>
          <w:rFonts w:ascii="Times New Roman" w:eastAsia="Times New Roman" w:hAnsi="Times New Roman" w:cs="Times New Roman"/>
          <w:i/>
          <w:iCs/>
          <w:szCs w:val="24"/>
        </w:rPr>
        <w:t>Constitutional reform</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https://www.judiciary.uk/about-the-judiciary/our-justice-system/constitutional-reform/#:~:text=The%20Constitutional%20Reform%20Act%202005&amp;text=The%20key%20changes%20brought%20in.</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spellStart"/>
      <w:proofErr w:type="gramStart"/>
      <w:r w:rsidRPr="00B2330B">
        <w:rPr>
          <w:rFonts w:ascii="Times New Roman" w:eastAsia="Times New Roman" w:hAnsi="Times New Roman" w:cs="Times New Roman"/>
          <w:szCs w:val="24"/>
        </w:rPr>
        <w:t>Lawsociety</w:t>
      </w:r>
      <w:proofErr w:type="spellEnd"/>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(2022) </w:t>
      </w:r>
      <w:r w:rsidRPr="00B2330B">
        <w:rPr>
          <w:rFonts w:ascii="Times New Roman" w:eastAsia="Times New Roman" w:hAnsi="Times New Roman" w:cs="Times New Roman"/>
          <w:i/>
          <w:iCs/>
          <w:szCs w:val="24"/>
        </w:rPr>
        <w:t>Trusts</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https://www.lawsociety.org.uk/en/public/for-public-visitors/common-legal-issues/trusts.</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Legislation.</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(2013) </w:t>
      </w:r>
      <w:r w:rsidRPr="00B2330B">
        <w:rPr>
          <w:rFonts w:ascii="Times New Roman" w:eastAsia="Times New Roman" w:hAnsi="Times New Roman" w:cs="Times New Roman"/>
          <w:i/>
          <w:iCs/>
          <w:szCs w:val="24"/>
        </w:rPr>
        <w:t>Defamation Act 2013</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https://www.legislation.gov.uk/ukpga/2013/26/section/1/enacted.</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Legislation.</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(2018) </w:t>
      </w:r>
      <w:r w:rsidRPr="00B2330B">
        <w:rPr>
          <w:rFonts w:ascii="Times New Roman" w:eastAsia="Times New Roman" w:hAnsi="Times New Roman" w:cs="Times New Roman"/>
          <w:i/>
          <w:iCs/>
          <w:szCs w:val="24"/>
        </w:rPr>
        <w:t>EU legislation and UK law</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https://www.legislation.gov.uk/eu-legislation-and-uk-law.</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Legislation.</w:t>
      </w:r>
      <w:proofErr w:type="gramEnd"/>
      <w:r w:rsidRPr="00B2330B">
        <w:rPr>
          <w:rFonts w:ascii="Times New Roman" w:eastAsia="Times New Roman" w:hAnsi="Times New Roman" w:cs="Times New Roman"/>
          <w:szCs w:val="24"/>
        </w:rPr>
        <w:t xml:space="preserve"> (2021) </w:t>
      </w:r>
      <w:proofErr w:type="gramStart"/>
      <w:r w:rsidRPr="00B2330B">
        <w:rPr>
          <w:rFonts w:ascii="Times New Roman" w:eastAsia="Times New Roman" w:hAnsi="Times New Roman" w:cs="Times New Roman"/>
          <w:i/>
          <w:iCs/>
          <w:szCs w:val="24"/>
        </w:rPr>
        <w:t>The</w:t>
      </w:r>
      <w:proofErr w:type="gramEnd"/>
      <w:r w:rsidRPr="00B2330B">
        <w:rPr>
          <w:rFonts w:ascii="Times New Roman" w:eastAsia="Times New Roman" w:hAnsi="Times New Roman" w:cs="Times New Roman"/>
          <w:i/>
          <w:iCs/>
          <w:szCs w:val="24"/>
        </w:rPr>
        <w:t xml:space="preserve"> Civil Procedure (Amendment No. 4) Rules 2000</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https://www.legislation.gov.uk/uksi/2000/2092/schedule/part/54/made.</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Legislation.</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(2021) </w:t>
      </w:r>
      <w:r w:rsidRPr="00B2330B">
        <w:rPr>
          <w:rFonts w:ascii="Times New Roman" w:eastAsia="Times New Roman" w:hAnsi="Times New Roman" w:cs="Times New Roman"/>
          <w:i/>
          <w:iCs/>
          <w:szCs w:val="24"/>
        </w:rPr>
        <w:t>Trustee Act 2000</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https://www.legislation.gov.uk/ukpga/2000/29/contents.</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Lewis, S. (2021) Precedent and the Rule of Law.</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i/>
          <w:iCs/>
          <w:szCs w:val="24"/>
        </w:rPr>
        <w:t>Oxford Journal of Legal Studies</w:t>
      </w:r>
      <w:r w:rsidRPr="00B2330B">
        <w:rPr>
          <w:rFonts w:ascii="Times New Roman" w:eastAsia="Times New Roman" w:hAnsi="Times New Roman" w:cs="Times New Roman"/>
          <w:szCs w:val="24"/>
        </w:rPr>
        <w:t>, 41(4).</w:t>
      </w:r>
      <w:proofErr w:type="gramEnd"/>
      <w:r w:rsidRPr="00B2330B">
        <w:rPr>
          <w:rFonts w:ascii="Times New Roman" w:eastAsia="Times New Roman" w:hAnsi="Times New Roman" w:cs="Times New Roman"/>
          <w:szCs w:val="24"/>
        </w:rPr>
        <w:t xml:space="preserve"> </w:t>
      </w:r>
      <w:proofErr w:type="spellStart"/>
      <w:r w:rsidRPr="00B2330B">
        <w:rPr>
          <w:rFonts w:ascii="Times New Roman" w:eastAsia="Times New Roman" w:hAnsi="Times New Roman" w:cs="Times New Roman"/>
          <w:szCs w:val="24"/>
        </w:rPr>
        <w:t>doi:https</w:t>
      </w:r>
      <w:proofErr w:type="spellEnd"/>
      <w:r w:rsidRPr="00B2330B">
        <w:rPr>
          <w:rFonts w:ascii="Times New Roman" w:eastAsia="Times New Roman" w:hAnsi="Times New Roman" w:cs="Times New Roman"/>
          <w:szCs w:val="24"/>
        </w:rPr>
        <w:t>://doi.org/10.1093/ojls/gqab007.</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spellStart"/>
      <w:r w:rsidRPr="00B2330B">
        <w:rPr>
          <w:rFonts w:ascii="Times New Roman" w:eastAsia="Times New Roman" w:hAnsi="Times New Roman" w:cs="Times New Roman"/>
          <w:szCs w:val="24"/>
        </w:rPr>
        <w:t>Okpaluba</w:t>
      </w:r>
      <w:proofErr w:type="spellEnd"/>
      <w:r w:rsidRPr="00B2330B">
        <w:rPr>
          <w:rFonts w:ascii="Times New Roman" w:eastAsia="Times New Roman" w:hAnsi="Times New Roman" w:cs="Times New Roman"/>
          <w:szCs w:val="24"/>
        </w:rPr>
        <w:t xml:space="preserve">, C. and </w:t>
      </w:r>
      <w:proofErr w:type="spellStart"/>
      <w:r w:rsidRPr="00B2330B">
        <w:rPr>
          <w:rFonts w:ascii="Times New Roman" w:eastAsia="Times New Roman" w:hAnsi="Times New Roman" w:cs="Times New Roman"/>
          <w:szCs w:val="24"/>
        </w:rPr>
        <w:t>Nwafor</w:t>
      </w:r>
      <w:proofErr w:type="spellEnd"/>
      <w:r w:rsidRPr="00B2330B">
        <w:rPr>
          <w:rFonts w:ascii="Times New Roman" w:eastAsia="Times New Roman" w:hAnsi="Times New Roman" w:cs="Times New Roman"/>
          <w:szCs w:val="24"/>
        </w:rPr>
        <w:t xml:space="preserve">, A. (2021) The Common Law Remedy of Habeas Corpus Through the Prism of a Twelve-Point Construct. </w:t>
      </w:r>
      <w:proofErr w:type="gramStart"/>
      <w:r w:rsidRPr="00B2330B">
        <w:rPr>
          <w:rFonts w:ascii="Times New Roman" w:eastAsia="Times New Roman" w:hAnsi="Times New Roman" w:cs="Times New Roman"/>
          <w:i/>
          <w:iCs/>
          <w:szCs w:val="24"/>
        </w:rPr>
        <w:t>Erasmus Law Review</w:t>
      </w:r>
      <w:r w:rsidRPr="00B2330B">
        <w:rPr>
          <w:rFonts w:ascii="Times New Roman" w:eastAsia="Times New Roman" w:hAnsi="Times New Roman" w:cs="Times New Roman"/>
          <w:szCs w:val="24"/>
        </w:rPr>
        <w:t>, 14(2 (incomplete)).</w:t>
      </w:r>
      <w:proofErr w:type="gramEnd"/>
      <w:r w:rsidRPr="00B2330B">
        <w:rPr>
          <w:rFonts w:ascii="Times New Roman" w:eastAsia="Times New Roman" w:hAnsi="Times New Roman" w:cs="Times New Roman"/>
          <w:szCs w:val="24"/>
        </w:rPr>
        <w:t xml:space="preserve"> </w:t>
      </w:r>
      <w:proofErr w:type="spellStart"/>
      <w:r w:rsidRPr="00B2330B">
        <w:rPr>
          <w:rFonts w:ascii="Times New Roman" w:eastAsia="Times New Roman" w:hAnsi="Times New Roman" w:cs="Times New Roman"/>
          <w:szCs w:val="24"/>
        </w:rPr>
        <w:t>doi:https</w:t>
      </w:r>
      <w:proofErr w:type="spellEnd"/>
      <w:r w:rsidRPr="00B2330B">
        <w:rPr>
          <w:rFonts w:ascii="Times New Roman" w:eastAsia="Times New Roman" w:hAnsi="Times New Roman" w:cs="Times New Roman"/>
          <w:szCs w:val="24"/>
        </w:rPr>
        <w:t>://doi.org/10.5553/elr.000175.</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Parliament.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(2020) </w:t>
      </w:r>
      <w:r w:rsidRPr="00B2330B">
        <w:rPr>
          <w:rFonts w:ascii="Times New Roman" w:eastAsia="Times New Roman" w:hAnsi="Times New Roman" w:cs="Times New Roman"/>
          <w:i/>
          <w:iCs/>
          <w:szCs w:val="24"/>
        </w:rPr>
        <w:t xml:space="preserve">House of Lords - Regina v. Secretary of State for Transport Ex Parte </w:t>
      </w:r>
      <w:proofErr w:type="spellStart"/>
      <w:r w:rsidRPr="00B2330B">
        <w:rPr>
          <w:rFonts w:ascii="Times New Roman" w:eastAsia="Times New Roman" w:hAnsi="Times New Roman" w:cs="Times New Roman"/>
          <w:i/>
          <w:iCs/>
          <w:szCs w:val="24"/>
        </w:rPr>
        <w:t>Factortame</w:t>
      </w:r>
      <w:proofErr w:type="spellEnd"/>
      <w:r w:rsidRPr="00B2330B">
        <w:rPr>
          <w:rFonts w:ascii="Times New Roman" w:eastAsia="Times New Roman" w:hAnsi="Times New Roman" w:cs="Times New Roman"/>
          <w:i/>
          <w:iCs/>
          <w:szCs w:val="24"/>
        </w:rPr>
        <w:t xml:space="preserve"> Limited and Others</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https://publications.parliament.uk/pa/ld199899/ldjudgmt/jd991028/factor-1.htm.</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Parliament.</w:t>
      </w:r>
      <w:proofErr w:type="gramEnd"/>
      <w:r w:rsidRPr="00B2330B">
        <w:rPr>
          <w:rFonts w:ascii="Times New Roman" w:eastAsia="Times New Roman" w:hAnsi="Times New Roman" w:cs="Times New Roman"/>
          <w:szCs w:val="24"/>
        </w:rPr>
        <w:t xml:space="preserve"> (2023) </w:t>
      </w:r>
      <w:r w:rsidRPr="00B2330B">
        <w:rPr>
          <w:rFonts w:ascii="Times New Roman" w:eastAsia="Times New Roman" w:hAnsi="Times New Roman" w:cs="Times New Roman"/>
          <w:i/>
          <w:iCs/>
          <w:szCs w:val="24"/>
        </w:rPr>
        <w:t>House of Lords - The invoking of Article 50 - Constitution Committee</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https://publications.parliament.uk/pa/ld201617/ldselect/ldconst/44/4404.htm.</w:t>
      </w:r>
    </w:p>
    <w:p w:rsidR="00A8172A" w:rsidRPr="00B2330B" w:rsidRDefault="00A8172A" w:rsidP="00B2330B">
      <w:pPr>
        <w:spacing w:after="240" w:line="360" w:lineRule="auto"/>
        <w:jc w:val="left"/>
        <w:rPr>
          <w:rFonts w:ascii="Times New Roman" w:eastAsia="Times New Roman" w:hAnsi="Times New Roman" w:cs="Times New Roman"/>
          <w:szCs w:val="24"/>
        </w:rPr>
      </w:pPr>
      <w:r w:rsidRPr="00B2330B">
        <w:rPr>
          <w:rFonts w:ascii="Times New Roman" w:eastAsia="Times New Roman" w:hAnsi="Times New Roman" w:cs="Times New Roman"/>
          <w:szCs w:val="24"/>
        </w:rPr>
        <w:lastRenderedPageBreak/>
        <w:t xml:space="preserve">Phillips, R.J., </w:t>
      </w:r>
      <w:proofErr w:type="spellStart"/>
      <w:r w:rsidRPr="00B2330B">
        <w:rPr>
          <w:rFonts w:ascii="Times New Roman" w:eastAsia="Times New Roman" w:hAnsi="Times New Roman" w:cs="Times New Roman"/>
          <w:szCs w:val="24"/>
        </w:rPr>
        <w:t>Heesom</w:t>
      </w:r>
      <w:proofErr w:type="spellEnd"/>
      <w:r w:rsidRPr="00B2330B">
        <w:rPr>
          <w:rFonts w:ascii="Times New Roman" w:eastAsia="Times New Roman" w:hAnsi="Times New Roman" w:cs="Times New Roman"/>
          <w:szCs w:val="24"/>
        </w:rPr>
        <w:t xml:space="preserve">, K.J., </w:t>
      </w:r>
      <w:proofErr w:type="spellStart"/>
      <w:r w:rsidRPr="00B2330B">
        <w:rPr>
          <w:rFonts w:ascii="Times New Roman" w:eastAsia="Times New Roman" w:hAnsi="Times New Roman" w:cs="Times New Roman"/>
          <w:szCs w:val="24"/>
        </w:rPr>
        <w:t>Trinder</w:t>
      </w:r>
      <w:proofErr w:type="spellEnd"/>
      <w:r w:rsidRPr="00B2330B">
        <w:rPr>
          <w:rFonts w:ascii="Times New Roman" w:eastAsia="Times New Roman" w:hAnsi="Times New Roman" w:cs="Times New Roman"/>
          <w:szCs w:val="24"/>
        </w:rPr>
        <w:t xml:space="preserve">, J. and Bernal, A.L. (2014) Human maternal plasma proteomic changes with parturition. </w:t>
      </w:r>
      <w:proofErr w:type="spellStart"/>
      <w:proofErr w:type="gramStart"/>
      <w:r w:rsidRPr="00B2330B">
        <w:rPr>
          <w:rFonts w:ascii="Times New Roman" w:eastAsia="Times New Roman" w:hAnsi="Times New Roman" w:cs="Times New Roman"/>
          <w:i/>
          <w:iCs/>
          <w:szCs w:val="24"/>
        </w:rPr>
        <w:t>EuPA</w:t>
      </w:r>
      <w:proofErr w:type="spellEnd"/>
      <w:r w:rsidRPr="00B2330B">
        <w:rPr>
          <w:rFonts w:ascii="Times New Roman" w:eastAsia="Times New Roman" w:hAnsi="Times New Roman" w:cs="Times New Roman"/>
          <w:i/>
          <w:iCs/>
          <w:szCs w:val="24"/>
        </w:rPr>
        <w:t xml:space="preserve"> Open Proteomics</w:t>
      </w:r>
      <w:r w:rsidRPr="00B2330B">
        <w:rPr>
          <w:rFonts w:ascii="Times New Roman" w:eastAsia="Times New Roman" w:hAnsi="Times New Roman" w:cs="Times New Roman"/>
          <w:szCs w:val="24"/>
        </w:rPr>
        <w:t>, [online] 5, pp.10–20.</w:t>
      </w:r>
      <w:proofErr w:type="gramEnd"/>
      <w:r w:rsidRPr="00B2330B">
        <w:rPr>
          <w:rFonts w:ascii="Times New Roman" w:eastAsia="Times New Roman" w:hAnsi="Times New Roman" w:cs="Times New Roman"/>
          <w:szCs w:val="24"/>
        </w:rPr>
        <w:t xml:space="preserve"> </w:t>
      </w:r>
      <w:proofErr w:type="spellStart"/>
      <w:r w:rsidRPr="00B2330B">
        <w:rPr>
          <w:rFonts w:ascii="Times New Roman" w:eastAsia="Times New Roman" w:hAnsi="Times New Roman" w:cs="Times New Roman"/>
          <w:szCs w:val="24"/>
        </w:rPr>
        <w:t>doi:https</w:t>
      </w:r>
      <w:proofErr w:type="spellEnd"/>
      <w:r w:rsidRPr="00B2330B">
        <w:rPr>
          <w:rFonts w:ascii="Times New Roman" w:eastAsia="Times New Roman" w:hAnsi="Times New Roman" w:cs="Times New Roman"/>
          <w:szCs w:val="24"/>
        </w:rPr>
        <w:t>://doi.org/10.1016/j.euprot.2014.09.001.</w:t>
      </w:r>
    </w:p>
    <w:p w:rsidR="00A8172A" w:rsidRPr="00B2330B" w:rsidRDefault="00A8172A" w:rsidP="00B2330B">
      <w:pPr>
        <w:spacing w:after="240" w:line="360" w:lineRule="auto"/>
        <w:jc w:val="left"/>
        <w:rPr>
          <w:rFonts w:ascii="Times New Roman" w:eastAsia="Times New Roman" w:hAnsi="Times New Roman" w:cs="Times New Roman"/>
          <w:szCs w:val="24"/>
        </w:rPr>
      </w:pPr>
      <w:r w:rsidRPr="00B2330B">
        <w:rPr>
          <w:rFonts w:ascii="Times New Roman" w:eastAsia="Times New Roman" w:hAnsi="Times New Roman" w:cs="Times New Roman"/>
          <w:szCs w:val="24"/>
        </w:rPr>
        <w:t xml:space="preserve">Planck, M. (2019) </w:t>
      </w:r>
      <w:proofErr w:type="gramStart"/>
      <w:r w:rsidRPr="00B2330B">
        <w:rPr>
          <w:rFonts w:ascii="Times New Roman" w:eastAsia="Times New Roman" w:hAnsi="Times New Roman" w:cs="Times New Roman"/>
          <w:i/>
          <w:iCs/>
          <w:szCs w:val="24"/>
        </w:rPr>
        <w:t>The</w:t>
      </w:r>
      <w:proofErr w:type="gramEnd"/>
      <w:r w:rsidRPr="00B2330B">
        <w:rPr>
          <w:rFonts w:ascii="Times New Roman" w:eastAsia="Times New Roman" w:hAnsi="Times New Roman" w:cs="Times New Roman"/>
          <w:i/>
          <w:iCs/>
          <w:szCs w:val="24"/>
        </w:rPr>
        <w:t xml:space="preserve"> scope of judicial law-making in the common law tradition</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https://www.supremecourt.uk/docs/speech-191028.pdf.</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spellStart"/>
      <w:proofErr w:type="gramStart"/>
      <w:r w:rsidRPr="00B2330B">
        <w:rPr>
          <w:rFonts w:ascii="Times New Roman" w:eastAsia="Times New Roman" w:hAnsi="Times New Roman" w:cs="Times New Roman"/>
          <w:szCs w:val="24"/>
        </w:rPr>
        <w:t>Thomsonreuters</w:t>
      </w:r>
      <w:proofErr w:type="spellEnd"/>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(2019) </w:t>
      </w:r>
      <w:r w:rsidRPr="00B2330B">
        <w:rPr>
          <w:rFonts w:ascii="Times New Roman" w:eastAsia="Times New Roman" w:hAnsi="Times New Roman" w:cs="Times New Roman"/>
          <w:i/>
          <w:iCs/>
          <w:szCs w:val="24"/>
        </w:rPr>
        <w:t xml:space="preserve">Practical Law UK </w:t>
      </w:r>
      <w:proofErr w:type="spellStart"/>
      <w:r w:rsidRPr="00B2330B">
        <w:rPr>
          <w:rFonts w:ascii="Times New Roman" w:eastAsia="Times New Roman" w:hAnsi="Times New Roman" w:cs="Times New Roman"/>
          <w:i/>
          <w:iCs/>
          <w:szCs w:val="24"/>
        </w:rPr>
        <w:t>Signon</w:t>
      </w:r>
      <w:proofErr w:type="spellEnd"/>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https://uk.practicallaw.thomsonreuters.com/7-101-0603?transitionType=Default&amp;contextData</w:t>
      </w:r>
      <w:proofErr w:type="gramStart"/>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sc.Default).</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gramStart"/>
      <w:r w:rsidRPr="00B2330B">
        <w:rPr>
          <w:rFonts w:ascii="Times New Roman" w:eastAsia="Times New Roman" w:hAnsi="Times New Roman" w:cs="Times New Roman"/>
          <w:szCs w:val="24"/>
        </w:rPr>
        <w:t>UK Parliament.</w:t>
      </w:r>
      <w:proofErr w:type="gramEnd"/>
      <w:r w:rsidRPr="00B2330B">
        <w:rPr>
          <w:rFonts w:ascii="Times New Roman" w:eastAsia="Times New Roman" w:hAnsi="Times New Roman" w:cs="Times New Roman"/>
          <w:szCs w:val="24"/>
        </w:rPr>
        <w:t xml:space="preserve"> (2022) </w:t>
      </w:r>
      <w:r w:rsidRPr="00B2330B">
        <w:rPr>
          <w:rFonts w:ascii="Times New Roman" w:eastAsia="Times New Roman" w:hAnsi="Times New Roman" w:cs="Times New Roman"/>
          <w:i/>
          <w:iCs/>
          <w:szCs w:val="24"/>
        </w:rPr>
        <w:t>Parliament’s Authority</w:t>
      </w:r>
      <w:r w:rsidRPr="00B2330B">
        <w:rPr>
          <w:rFonts w:ascii="Times New Roman" w:eastAsia="Times New Roman" w:hAnsi="Times New Roman" w:cs="Times New Roman"/>
          <w:szCs w:val="24"/>
        </w:rPr>
        <w:t>.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https://www.parliament.uk/about/how/role/sovereignty/.</w:t>
      </w:r>
    </w:p>
    <w:p w:rsidR="00A8172A" w:rsidRPr="00B2330B" w:rsidRDefault="00A8172A" w:rsidP="00B2330B">
      <w:pPr>
        <w:spacing w:after="240" w:line="360" w:lineRule="auto"/>
        <w:jc w:val="left"/>
        <w:rPr>
          <w:rFonts w:ascii="Times New Roman" w:eastAsia="Times New Roman" w:hAnsi="Times New Roman" w:cs="Times New Roman"/>
          <w:szCs w:val="24"/>
        </w:rPr>
      </w:pPr>
      <w:proofErr w:type="spellStart"/>
      <w:proofErr w:type="gramStart"/>
      <w:r w:rsidRPr="00B2330B">
        <w:rPr>
          <w:rFonts w:ascii="Times New Roman" w:eastAsia="Times New Roman" w:hAnsi="Times New Roman" w:cs="Times New Roman"/>
          <w:szCs w:val="24"/>
        </w:rPr>
        <w:t>unece</w:t>
      </w:r>
      <w:proofErr w:type="spellEnd"/>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 xml:space="preserve">(2022) </w:t>
      </w:r>
      <w:r w:rsidRPr="00B2330B">
        <w:rPr>
          <w:rFonts w:ascii="Times New Roman" w:eastAsia="Times New Roman" w:hAnsi="Times New Roman" w:cs="Times New Roman"/>
          <w:i/>
          <w:iCs/>
          <w:szCs w:val="24"/>
        </w:rPr>
        <w:t>JUDICIAL REVIEW REMEDIES</w:t>
      </w:r>
      <w:r w:rsidRPr="00B2330B">
        <w:rPr>
          <w:rFonts w:ascii="Times New Roman" w:eastAsia="Times New Roman" w:hAnsi="Times New Roman" w:cs="Times New Roman"/>
          <w:szCs w:val="24"/>
        </w:rPr>
        <w:t>.</w:t>
      </w:r>
      <w:proofErr w:type="gramEnd"/>
      <w:r w:rsidRPr="00B2330B">
        <w:rPr>
          <w:rFonts w:ascii="Times New Roman" w:eastAsia="Times New Roman" w:hAnsi="Times New Roman" w:cs="Times New Roman"/>
          <w:szCs w:val="24"/>
        </w:rPr>
        <w:t xml:space="preserve"> [</w:t>
      </w:r>
      <w:proofErr w:type="gramStart"/>
      <w:r w:rsidRPr="00B2330B">
        <w:rPr>
          <w:rFonts w:ascii="Times New Roman" w:eastAsia="Times New Roman" w:hAnsi="Times New Roman" w:cs="Times New Roman"/>
          <w:szCs w:val="24"/>
        </w:rPr>
        <w:t>online</w:t>
      </w:r>
      <w:proofErr w:type="gramEnd"/>
      <w:r w:rsidRPr="00B2330B">
        <w:rPr>
          <w:rFonts w:ascii="Times New Roman" w:eastAsia="Times New Roman" w:hAnsi="Times New Roman" w:cs="Times New Roman"/>
          <w:szCs w:val="24"/>
        </w:rPr>
        <w:t>] Available at: https://unece.org/DAM/env/pp/compliance/C2011-64/Communication/Annex28_ch18_DeSmith-JudicialReviewRemedies.pdf.</w:t>
      </w:r>
    </w:p>
    <w:p w:rsidR="00A8172A" w:rsidRPr="00B2330B" w:rsidRDefault="00A8172A" w:rsidP="00B2330B">
      <w:pPr>
        <w:spacing w:line="360" w:lineRule="auto"/>
        <w:jc w:val="left"/>
        <w:rPr>
          <w:rFonts w:ascii="Times New Roman" w:hAnsi="Times New Roman" w:cs="Times New Roman"/>
          <w:szCs w:val="24"/>
          <w:lang w:val="en-GB"/>
        </w:rPr>
      </w:pPr>
    </w:p>
    <w:sectPr w:rsidR="00A8172A" w:rsidRPr="00B2330B" w:rsidSect="00C56913">
      <w:footerReference w:type="default" r:id="rId8"/>
      <w:type w:val="continuous"/>
      <w:pgSz w:w="11910" w:h="16840"/>
      <w:pgMar w:top="1420" w:right="1040" w:bottom="1160" w:left="1300" w:header="0" w:footer="976"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E234A" w:rsidRDefault="005E234A" w:rsidP="00D162A7">
      <w:pPr>
        <w:spacing w:after="0"/>
      </w:pPr>
      <w:r>
        <w:separator/>
      </w:r>
    </w:p>
  </w:endnote>
  <w:endnote w:type="continuationSeparator" w:id="0">
    <w:p w:rsidR="005E234A" w:rsidRDefault="005E234A" w:rsidP="00D162A7">
      <w:pPr>
        <w:spacing w:after="0"/>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embedRegular r:id="rId1" w:fontKey="{DA485D21-9F00-4AF6-B947-AE3EE150C747}"/>
    <w:embedBold r:id="rId2" w:fontKey="{81F5A108-F5AF-4E31-85B3-E3C7E7592545}"/>
    <w:embedItalic r:id="rId3" w:fontKey="{E1320763-5920-4A15-B9DB-2A046FD3A0D9}"/>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4" w:fontKey="{0D8794E5-F7A7-49A2-8BAB-EE8BD0EC6BE8}"/>
    <w:embedBold r:id="rId5" w:fontKey="{B028656C-521F-40AD-8BF8-9AEF3BA28C71}"/>
  </w:font>
  <w:font w:name="Tahoma">
    <w:panose1 w:val="020B0604030504040204"/>
    <w:charset w:val="00"/>
    <w:family w:val="swiss"/>
    <w:pitch w:val="variable"/>
    <w:sig w:usb0="E1002EFF" w:usb1="C000605B" w:usb2="00000029" w:usb3="00000000" w:csb0="000101FF" w:csb1="00000000"/>
    <w:embedRegular r:id="rId6" w:fontKey="{C2F9F9E3-DB84-4408-AF7A-F509117436B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5354186"/>
      <w:docPartObj>
        <w:docPartGallery w:val="Page Numbers (Bottom of Page)"/>
        <w:docPartUnique/>
      </w:docPartObj>
    </w:sdtPr>
    <w:sdtEndPr>
      <w:rPr>
        <w:noProof/>
      </w:rPr>
    </w:sdtEndPr>
    <w:sdtContent>
      <w:p w:rsidR="00B2330B" w:rsidRDefault="00B2330B">
        <w:pPr>
          <w:pStyle w:val="Footer"/>
          <w:jc w:val="center"/>
        </w:pPr>
        <w:fldSimple w:instr=" PAGE   \* MERGEFORMAT ">
          <w:r w:rsidR="00331E8F">
            <w:rPr>
              <w:noProof/>
            </w:rPr>
            <w:t>1</w:t>
          </w:r>
        </w:fldSimple>
      </w:p>
    </w:sdtContent>
  </w:sdt>
  <w:p w:rsidR="00B2330B" w:rsidRDefault="00B2330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E234A" w:rsidRDefault="005E234A" w:rsidP="00D162A7">
      <w:pPr>
        <w:spacing w:after="0"/>
      </w:pPr>
      <w:r>
        <w:separator/>
      </w:r>
    </w:p>
  </w:footnote>
  <w:footnote w:type="continuationSeparator" w:id="0">
    <w:p w:rsidR="005E234A" w:rsidRDefault="005E234A" w:rsidP="00D162A7">
      <w:pPr>
        <w:spacing w:after="0"/>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nsid w:val="0D634DD6"/>
    <w:multiLevelType w:val="hybridMultilevel"/>
    <w:tmpl w:val="C3A66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6">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8">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1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3">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9">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5">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3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1">
    <w:nsid w:val="59153B87"/>
    <w:multiLevelType w:val="hybridMultilevel"/>
    <w:tmpl w:val="DD5A8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3">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9">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9"/>
  </w:num>
  <w:num w:numId="2">
    <w:abstractNumId w:val="34"/>
  </w:num>
  <w:num w:numId="3">
    <w:abstractNumId w:val="21"/>
  </w:num>
  <w:num w:numId="4">
    <w:abstractNumId w:val="37"/>
  </w:num>
  <w:num w:numId="5">
    <w:abstractNumId w:val="15"/>
  </w:num>
  <w:num w:numId="6">
    <w:abstractNumId w:val="27"/>
  </w:num>
  <w:num w:numId="7">
    <w:abstractNumId w:val="6"/>
  </w:num>
  <w:num w:numId="8">
    <w:abstractNumId w:val="33"/>
  </w:num>
  <w:num w:numId="9">
    <w:abstractNumId w:val="4"/>
  </w:num>
  <w:num w:numId="10">
    <w:abstractNumId w:val="8"/>
  </w:num>
  <w:num w:numId="11">
    <w:abstractNumId w:val="36"/>
  </w:num>
  <w:num w:numId="12">
    <w:abstractNumId w:val="19"/>
  </w:num>
  <w:num w:numId="13">
    <w:abstractNumId w:val="7"/>
  </w:num>
  <w:num w:numId="14">
    <w:abstractNumId w:val="29"/>
  </w:num>
  <w:num w:numId="15">
    <w:abstractNumId w:val="12"/>
  </w:num>
  <w:num w:numId="16">
    <w:abstractNumId w:val="18"/>
  </w:num>
  <w:num w:numId="17">
    <w:abstractNumId w:val="32"/>
  </w:num>
  <w:num w:numId="18">
    <w:abstractNumId w:val="30"/>
  </w:num>
  <w:num w:numId="19">
    <w:abstractNumId w:val="2"/>
  </w:num>
  <w:num w:numId="20">
    <w:abstractNumId w:val="5"/>
  </w:num>
  <w:num w:numId="21">
    <w:abstractNumId w:val="9"/>
  </w:num>
  <w:num w:numId="22">
    <w:abstractNumId w:val="38"/>
  </w:num>
  <w:num w:numId="23">
    <w:abstractNumId w:val="24"/>
  </w:num>
  <w:num w:numId="24">
    <w:abstractNumId w:val="0"/>
  </w:num>
  <w:num w:numId="25">
    <w:abstractNumId w:val="35"/>
  </w:num>
  <w:num w:numId="26">
    <w:abstractNumId w:val="1"/>
  </w:num>
  <w:num w:numId="27">
    <w:abstractNumId w:val="13"/>
  </w:num>
  <w:num w:numId="28">
    <w:abstractNumId w:val="17"/>
  </w:num>
  <w:num w:numId="29">
    <w:abstractNumId w:val="16"/>
  </w:num>
  <w:num w:numId="30">
    <w:abstractNumId w:val="23"/>
  </w:num>
  <w:num w:numId="31">
    <w:abstractNumId w:val="28"/>
  </w:num>
  <w:num w:numId="32">
    <w:abstractNumId w:val="20"/>
  </w:num>
  <w:num w:numId="33">
    <w:abstractNumId w:val="41"/>
  </w:num>
  <w:num w:numId="34">
    <w:abstractNumId w:val="25"/>
  </w:num>
  <w:num w:numId="35">
    <w:abstractNumId w:val="11"/>
  </w:num>
  <w:num w:numId="36">
    <w:abstractNumId w:val="14"/>
  </w:num>
  <w:num w:numId="37">
    <w:abstractNumId w:val="26"/>
  </w:num>
  <w:num w:numId="38">
    <w:abstractNumId w:val="10"/>
  </w:num>
  <w:num w:numId="39">
    <w:abstractNumId w:val="40"/>
  </w:num>
  <w:num w:numId="40">
    <w:abstractNumId w:val="22"/>
  </w:num>
  <w:num w:numId="41">
    <w:abstractNumId w:val="31"/>
  </w:num>
  <w:num w:numId="42">
    <w:abstractNumId w:val="3"/>
  </w:num>
  <w:numIdMacAtCleanup w:val="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zYxtLQwsTQ3NzGyNDFX0lEKTi0uzszPAykwNDaoBQCb6ecgLgAAAA=="/>
  </w:docVars>
  <w:rsids>
    <w:rsidRoot w:val="00F41B17"/>
    <w:rsid w:val="00000305"/>
    <w:rsid w:val="00000503"/>
    <w:rsid w:val="000009FE"/>
    <w:rsid w:val="00000B6E"/>
    <w:rsid w:val="00000CFB"/>
    <w:rsid w:val="00001009"/>
    <w:rsid w:val="00001386"/>
    <w:rsid w:val="00001CEE"/>
    <w:rsid w:val="000022F5"/>
    <w:rsid w:val="00002FB8"/>
    <w:rsid w:val="00003196"/>
    <w:rsid w:val="000034EF"/>
    <w:rsid w:val="00003D01"/>
    <w:rsid w:val="00005309"/>
    <w:rsid w:val="00005C53"/>
    <w:rsid w:val="000066F4"/>
    <w:rsid w:val="000072F1"/>
    <w:rsid w:val="000076B0"/>
    <w:rsid w:val="00007BEE"/>
    <w:rsid w:val="00010145"/>
    <w:rsid w:val="00010925"/>
    <w:rsid w:val="000109D7"/>
    <w:rsid w:val="00010F99"/>
    <w:rsid w:val="00011021"/>
    <w:rsid w:val="000117F7"/>
    <w:rsid w:val="00011FBD"/>
    <w:rsid w:val="000120AC"/>
    <w:rsid w:val="000123D9"/>
    <w:rsid w:val="00012703"/>
    <w:rsid w:val="000127A7"/>
    <w:rsid w:val="0001286D"/>
    <w:rsid w:val="00012C55"/>
    <w:rsid w:val="00012FCE"/>
    <w:rsid w:val="0001304B"/>
    <w:rsid w:val="00013A07"/>
    <w:rsid w:val="00013B32"/>
    <w:rsid w:val="00013C0E"/>
    <w:rsid w:val="000140D4"/>
    <w:rsid w:val="000142C9"/>
    <w:rsid w:val="0001432F"/>
    <w:rsid w:val="0001483C"/>
    <w:rsid w:val="0001493D"/>
    <w:rsid w:val="00014CBD"/>
    <w:rsid w:val="000157FD"/>
    <w:rsid w:val="00015892"/>
    <w:rsid w:val="00016351"/>
    <w:rsid w:val="00016754"/>
    <w:rsid w:val="00017AF2"/>
    <w:rsid w:val="00017C3C"/>
    <w:rsid w:val="0002046D"/>
    <w:rsid w:val="000206E3"/>
    <w:rsid w:val="00020761"/>
    <w:rsid w:val="000207F1"/>
    <w:rsid w:val="00020B7F"/>
    <w:rsid w:val="000211D7"/>
    <w:rsid w:val="0002128F"/>
    <w:rsid w:val="0002199E"/>
    <w:rsid w:val="000219BA"/>
    <w:rsid w:val="00021C8E"/>
    <w:rsid w:val="00021EF7"/>
    <w:rsid w:val="00022A49"/>
    <w:rsid w:val="00022F68"/>
    <w:rsid w:val="00023205"/>
    <w:rsid w:val="0002368D"/>
    <w:rsid w:val="000239FB"/>
    <w:rsid w:val="00023A76"/>
    <w:rsid w:val="00023ABE"/>
    <w:rsid w:val="00023BBC"/>
    <w:rsid w:val="000241D5"/>
    <w:rsid w:val="00024272"/>
    <w:rsid w:val="0002447C"/>
    <w:rsid w:val="000245F9"/>
    <w:rsid w:val="0002488A"/>
    <w:rsid w:val="00024D80"/>
    <w:rsid w:val="000266CD"/>
    <w:rsid w:val="000270DD"/>
    <w:rsid w:val="00027491"/>
    <w:rsid w:val="00027506"/>
    <w:rsid w:val="00027738"/>
    <w:rsid w:val="0002776A"/>
    <w:rsid w:val="00027788"/>
    <w:rsid w:val="00027B51"/>
    <w:rsid w:val="00027C88"/>
    <w:rsid w:val="00027DF2"/>
    <w:rsid w:val="00027F5B"/>
    <w:rsid w:val="00027FC3"/>
    <w:rsid w:val="000304E6"/>
    <w:rsid w:val="00031370"/>
    <w:rsid w:val="00031407"/>
    <w:rsid w:val="000319E3"/>
    <w:rsid w:val="00032965"/>
    <w:rsid w:val="00032C51"/>
    <w:rsid w:val="00033036"/>
    <w:rsid w:val="000338E3"/>
    <w:rsid w:val="00033A93"/>
    <w:rsid w:val="00033F49"/>
    <w:rsid w:val="00033FB2"/>
    <w:rsid w:val="0003407C"/>
    <w:rsid w:val="00034457"/>
    <w:rsid w:val="00034497"/>
    <w:rsid w:val="00034D96"/>
    <w:rsid w:val="00034ECC"/>
    <w:rsid w:val="00034ED6"/>
    <w:rsid w:val="00035067"/>
    <w:rsid w:val="0003547C"/>
    <w:rsid w:val="000357F0"/>
    <w:rsid w:val="0003583D"/>
    <w:rsid w:val="00035AE4"/>
    <w:rsid w:val="000376CA"/>
    <w:rsid w:val="0003782E"/>
    <w:rsid w:val="00037D26"/>
    <w:rsid w:val="00040931"/>
    <w:rsid w:val="00041348"/>
    <w:rsid w:val="00041E1B"/>
    <w:rsid w:val="00042222"/>
    <w:rsid w:val="000422C8"/>
    <w:rsid w:val="00042C6D"/>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5EC"/>
    <w:rsid w:val="00046C7D"/>
    <w:rsid w:val="00046EF5"/>
    <w:rsid w:val="000476D1"/>
    <w:rsid w:val="00050115"/>
    <w:rsid w:val="000501EA"/>
    <w:rsid w:val="00050A26"/>
    <w:rsid w:val="00050F35"/>
    <w:rsid w:val="000512CD"/>
    <w:rsid w:val="000512EE"/>
    <w:rsid w:val="00051531"/>
    <w:rsid w:val="00051669"/>
    <w:rsid w:val="00052296"/>
    <w:rsid w:val="00052634"/>
    <w:rsid w:val="00052A47"/>
    <w:rsid w:val="00052ECB"/>
    <w:rsid w:val="00052F54"/>
    <w:rsid w:val="00053195"/>
    <w:rsid w:val="00053313"/>
    <w:rsid w:val="000537AA"/>
    <w:rsid w:val="00053915"/>
    <w:rsid w:val="00053B8B"/>
    <w:rsid w:val="00054566"/>
    <w:rsid w:val="00054674"/>
    <w:rsid w:val="00054B4C"/>
    <w:rsid w:val="00054BC4"/>
    <w:rsid w:val="00054F6D"/>
    <w:rsid w:val="00055294"/>
    <w:rsid w:val="00055AB7"/>
    <w:rsid w:val="00055E46"/>
    <w:rsid w:val="00055E75"/>
    <w:rsid w:val="00056200"/>
    <w:rsid w:val="000567CB"/>
    <w:rsid w:val="00056992"/>
    <w:rsid w:val="00056AEE"/>
    <w:rsid w:val="00057072"/>
    <w:rsid w:val="0005719F"/>
    <w:rsid w:val="00057587"/>
    <w:rsid w:val="00057B5F"/>
    <w:rsid w:val="00057FC4"/>
    <w:rsid w:val="00060403"/>
    <w:rsid w:val="0006057D"/>
    <w:rsid w:val="000609EA"/>
    <w:rsid w:val="00060CE7"/>
    <w:rsid w:val="00060E9A"/>
    <w:rsid w:val="0006110C"/>
    <w:rsid w:val="00061888"/>
    <w:rsid w:val="000628C5"/>
    <w:rsid w:val="00062943"/>
    <w:rsid w:val="00062FD5"/>
    <w:rsid w:val="000638E9"/>
    <w:rsid w:val="00063943"/>
    <w:rsid w:val="000639DF"/>
    <w:rsid w:val="00063C3F"/>
    <w:rsid w:val="00063E73"/>
    <w:rsid w:val="00063FDF"/>
    <w:rsid w:val="00064B06"/>
    <w:rsid w:val="00065062"/>
    <w:rsid w:val="0006548C"/>
    <w:rsid w:val="00065719"/>
    <w:rsid w:val="00066093"/>
    <w:rsid w:val="000663AB"/>
    <w:rsid w:val="0006640E"/>
    <w:rsid w:val="0006644F"/>
    <w:rsid w:val="0006662D"/>
    <w:rsid w:val="0006695F"/>
    <w:rsid w:val="00066C39"/>
    <w:rsid w:val="00066D88"/>
    <w:rsid w:val="00067062"/>
    <w:rsid w:val="00067618"/>
    <w:rsid w:val="00067A0D"/>
    <w:rsid w:val="00070A71"/>
    <w:rsid w:val="00070E7F"/>
    <w:rsid w:val="00070EED"/>
    <w:rsid w:val="000711E6"/>
    <w:rsid w:val="0007189F"/>
    <w:rsid w:val="00071CF6"/>
    <w:rsid w:val="00071F64"/>
    <w:rsid w:val="000722EF"/>
    <w:rsid w:val="0007252A"/>
    <w:rsid w:val="000727E3"/>
    <w:rsid w:val="00072DC4"/>
    <w:rsid w:val="00072FD6"/>
    <w:rsid w:val="00073301"/>
    <w:rsid w:val="000737BF"/>
    <w:rsid w:val="00073F06"/>
    <w:rsid w:val="00073F69"/>
    <w:rsid w:val="00073FB0"/>
    <w:rsid w:val="000743DD"/>
    <w:rsid w:val="00074819"/>
    <w:rsid w:val="0007486B"/>
    <w:rsid w:val="0007491E"/>
    <w:rsid w:val="00074987"/>
    <w:rsid w:val="00074C76"/>
    <w:rsid w:val="000751D2"/>
    <w:rsid w:val="000754AF"/>
    <w:rsid w:val="000754F5"/>
    <w:rsid w:val="0007562B"/>
    <w:rsid w:val="00075AF6"/>
    <w:rsid w:val="00075D2F"/>
    <w:rsid w:val="00075E6B"/>
    <w:rsid w:val="00075F44"/>
    <w:rsid w:val="00076292"/>
    <w:rsid w:val="00076682"/>
    <w:rsid w:val="00076843"/>
    <w:rsid w:val="00076C3C"/>
    <w:rsid w:val="000772C3"/>
    <w:rsid w:val="0007790B"/>
    <w:rsid w:val="00077EB0"/>
    <w:rsid w:val="00080486"/>
    <w:rsid w:val="000805AA"/>
    <w:rsid w:val="000806DC"/>
    <w:rsid w:val="00080981"/>
    <w:rsid w:val="00080B51"/>
    <w:rsid w:val="00081187"/>
    <w:rsid w:val="0008180E"/>
    <w:rsid w:val="00081C74"/>
    <w:rsid w:val="000821A4"/>
    <w:rsid w:val="00082745"/>
    <w:rsid w:val="00082C75"/>
    <w:rsid w:val="00083341"/>
    <w:rsid w:val="0008467E"/>
    <w:rsid w:val="0008533C"/>
    <w:rsid w:val="00085551"/>
    <w:rsid w:val="00085E08"/>
    <w:rsid w:val="00086700"/>
    <w:rsid w:val="00086ACA"/>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3617"/>
    <w:rsid w:val="00093940"/>
    <w:rsid w:val="00093CC0"/>
    <w:rsid w:val="0009452F"/>
    <w:rsid w:val="00094B8C"/>
    <w:rsid w:val="00095166"/>
    <w:rsid w:val="00095393"/>
    <w:rsid w:val="00095786"/>
    <w:rsid w:val="00095935"/>
    <w:rsid w:val="00095B53"/>
    <w:rsid w:val="00096305"/>
    <w:rsid w:val="0009661F"/>
    <w:rsid w:val="00096F7E"/>
    <w:rsid w:val="00097502"/>
    <w:rsid w:val="00097BA8"/>
    <w:rsid w:val="00097C70"/>
    <w:rsid w:val="00097DF9"/>
    <w:rsid w:val="00097FA9"/>
    <w:rsid w:val="000A0A45"/>
    <w:rsid w:val="000A0CBD"/>
    <w:rsid w:val="000A15B2"/>
    <w:rsid w:val="000A16CE"/>
    <w:rsid w:val="000A16F6"/>
    <w:rsid w:val="000A189C"/>
    <w:rsid w:val="000A24FB"/>
    <w:rsid w:val="000A25C0"/>
    <w:rsid w:val="000A3930"/>
    <w:rsid w:val="000A3BEA"/>
    <w:rsid w:val="000A52BE"/>
    <w:rsid w:val="000A59BE"/>
    <w:rsid w:val="000A6319"/>
    <w:rsid w:val="000A73A6"/>
    <w:rsid w:val="000A7E7F"/>
    <w:rsid w:val="000B0FC2"/>
    <w:rsid w:val="000B115F"/>
    <w:rsid w:val="000B1555"/>
    <w:rsid w:val="000B1C8C"/>
    <w:rsid w:val="000B1E78"/>
    <w:rsid w:val="000B2541"/>
    <w:rsid w:val="000B25B7"/>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DD6"/>
    <w:rsid w:val="000B4E8A"/>
    <w:rsid w:val="000B4EEB"/>
    <w:rsid w:val="000B5195"/>
    <w:rsid w:val="000B5541"/>
    <w:rsid w:val="000B5793"/>
    <w:rsid w:val="000B5D9F"/>
    <w:rsid w:val="000B6945"/>
    <w:rsid w:val="000B6B2B"/>
    <w:rsid w:val="000B777A"/>
    <w:rsid w:val="000B7999"/>
    <w:rsid w:val="000B7D5F"/>
    <w:rsid w:val="000C0A43"/>
    <w:rsid w:val="000C0DA1"/>
    <w:rsid w:val="000C1F86"/>
    <w:rsid w:val="000C252A"/>
    <w:rsid w:val="000C2E59"/>
    <w:rsid w:val="000C2FF2"/>
    <w:rsid w:val="000C356E"/>
    <w:rsid w:val="000C3D28"/>
    <w:rsid w:val="000C3ED0"/>
    <w:rsid w:val="000C41EA"/>
    <w:rsid w:val="000C4925"/>
    <w:rsid w:val="000C4F43"/>
    <w:rsid w:val="000C5010"/>
    <w:rsid w:val="000C51FF"/>
    <w:rsid w:val="000C535C"/>
    <w:rsid w:val="000C55F5"/>
    <w:rsid w:val="000C5BE2"/>
    <w:rsid w:val="000C5C25"/>
    <w:rsid w:val="000C5E6E"/>
    <w:rsid w:val="000C63A0"/>
    <w:rsid w:val="000C684A"/>
    <w:rsid w:val="000C6CF3"/>
    <w:rsid w:val="000C6F60"/>
    <w:rsid w:val="000C7119"/>
    <w:rsid w:val="000C77B9"/>
    <w:rsid w:val="000C7837"/>
    <w:rsid w:val="000C7A11"/>
    <w:rsid w:val="000C7B34"/>
    <w:rsid w:val="000D0066"/>
    <w:rsid w:val="000D076A"/>
    <w:rsid w:val="000D0C02"/>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519"/>
    <w:rsid w:val="000D58DF"/>
    <w:rsid w:val="000D5A97"/>
    <w:rsid w:val="000D6145"/>
    <w:rsid w:val="000D7210"/>
    <w:rsid w:val="000D73FE"/>
    <w:rsid w:val="000D7A52"/>
    <w:rsid w:val="000E01F2"/>
    <w:rsid w:val="000E02BB"/>
    <w:rsid w:val="000E0315"/>
    <w:rsid w:val="000E05E9"/>
    <w:rsid w:val="000E0906"/>
    <w:rsid w:val="000E0B4D"/>
    <w:rsid w:val="000E0FCE"/>
    <w:rsid w:val="000E108F"/>
    <w:rsid w:val="000E16A7"/>
    <w:rsid w:val="000E1A79"/>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E799B"/>
    <w:rsid w:val="000F02FA"/>
    <w:rsid w:val="000F034A"/>
    <w:rsid w:val="000F070D"/>
    <w:rsid w:val="000F0C7A"/>
    <w:rsid w:val="000F1B87"/>
    <w:rsid w:val="000F1BBE"/>
    <w:rsid w:val="000F21DD"/>
    <w:rsid w:val="000F21E0"/>
    <w:rsid w:val="000F252B"/>
    <w:rsid w:val="000F263D"/>
    <w:rsid w:val="000F2690"/>
    <w:rsid w:val="000F2973"/>
    <w:rsid w:val="000F2A34"/>
    <w:rsid w:val="000F2F65"/>
    <w:rsid w:val="000F325E"/>
    <w:rsid w:val="000F348B"/>
    <w:rsid w:val="000F3DAB"/>
    <w:rsid w:val="000F3EE5"/>
    <w:rsid w:val="000F4251"/>
    <w:rsid w:val="000F43E0"/>
    <w:rsid w:val="000F461B"/>
    <w:rsid w:val="000F4A9D"/>
    <w:rsid w:val="000F55AC"/>
    <w:rsid w:val="000F565C"/>
    <w:rsid w:val="000F5688"/>
    <w:rsid w:val="000F57A7"/>
    <w:rsid w:val="000F5DDA"/>
    <w:rsid w:val="000F6073"/>
    <w:rsid w:val="000F685B"/>
    <w:rsid w:val="000F6E7A"/>
    <w:rsid w:val="000F6ED2"/>
    <w:rsid w:val="000F75A8"/>
    <w:rsid w:val="000F764F"/>
    <w:rsid w:val="000F7D9B"/>
    <w:rsid w:val="000F7F83"/>
    <w:rsid w:val="0010013C"/>
    <w:rsid w:val="00100196"/>
    <w:rsid w:val="0010033F"/>
    <w:rsid w:val="001018C1"/>
    <w:rsid w:val="0010190B"/>
    <w:rsid w:val="00101993"/>
    <w:rsid w:val="00101C91"/>
    <w:rsid w:val="00101FED"/>
    <w:rsid w:val="00102183"/>
    <w:rsid w:val="001025C6"/>
    <w:rsid w:val="0010265E"/>
    <w:rsid w:val="00102CC0"/>
    <w:rsid w:val="0010308E"/>
    <w:rsid w:val="001034EB"/>
    <w:rsid w:val="00104990"/>
    <w:rsid w:val="0010529E"/>
    <w:rsid w:val="00105E1D"/>
    <w:rsid w:val="00105FA3"/>
    <w:rsid w:val="00106026"/>
    <w:rsid w:val="0010611B"/>
    <w:rsid w:val="00106215"/>
    <w:rsid w:val="00106C91"/>
    <w:rsid w:val="0010740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417"/>
    <w:rsid w:val="001126BC"/>
    <w:rsid w:val="00112A0C"/>
    <w:rsid w:val="00112A58"/>
    <w:rsid w:val="0011361B"/>
    <w:rsid w:val="00113800"/>
    <w:rsid w:val="00113B68"/>
    <w:rsid w:val="001143AD"/>
    <w:rsid w:val="00114681"/>
    <w:rsid w:val="001146E6"/>
    <w:rsid w:val="00114AFD"/>
    <w:rsid w:val="00114DA0"/>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7BA"/>
    <w:rsid w:val="00124803"/>
    <w:rsid w:val="00124FE8"/>
    <w:rsid w:val="00125080"/>
    <w:rsid w:val="00125A5F"/>
    <w:rsid w:val="00125F82"/>
    <w:rsid w:val="001261AE"/>
    <w:rsid w:val="00126911"/>
    <w:rsid w:val="00126C85"/>
    <w:rsid w:val="0012797F"/>
    <w:rsid w:val="0013038C"/>
    <w:rsid w:val="001306FF"/>
    <w:rsid w:val="00130CB4"/>
    <w:rsid w:val="00130DC4"/>
    <w:rsid w:val="00131353"/>
    <w:rsid w:val="001313C7"/>
    <w:rsid w:val="00131A05"/>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289"/>
    <w:rsid w:val="00141589"/>
    <w:rsid w:val="00141FA3"/>
    <w:rsid w:val="0014208A"/>
    <w:rsid w:val="0014210F"/>
    <w:rsid w:val="00142122"/>
    <w:rsid w:val="00142261"/>
    <w:rsid w:val="00142395"/>
    <w:rsid w:val="00142876"/>
    <w:rsid w:val="001433C1"/>
    <w:rsid w:val="00143584"/>
    <w:rsid w:val="001435BF"/>
    <w:rsid w:val="00143A88"/>
    <w:rsid w:val="00143BB9"/>
    <w:rsid w:val="00143E5B"/>
    <w:rsid w:val="00144035"/>
    <w:rsid w:val="0014405A"/>
    <w:rsid w:val="0014446C"/>
    <w:rsid w:val="001449E5"/>
    <w:rsid w:val="0014508A"/>
    <w:rsid w:val="001452DB"/>
    <w:rsid w:val="001457EE"/>
    <w:rsid w:val="00146107"/>
    <w:rsid w:val="00146859"/>
    <w:rsid w:val="00146D5A"/>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C8B"/>
    <w:rsid w:val="00153F6F"/>
    <w:rsid w:val="001542AC"/>
    <w:rsid w:val="001545A8"/>
    <w:rsid w:val="00156109"/>
    <w:rsid w:val="001563D0"/>
    <w:rsid w:val="00156CB8"/>
    <w:rsid w:val="00156EBA"/>
    <w:rsid w:val="001572C0"/>
    <w:rsid w:val="00157404"/>
    <w:rsid w:val="00157932"/>
    <w:rsid w:val="00160500"/>
    <w:rsid w:val="0016051A"/>
    <w:rsid w:val="001609F3"/>
    <w:rsid w:val="00160B2D"/>
    <w:rsid w:val="00160F5D"/>
    <w:rsid w:val="001610C4"/>
    <w:rsid w:val="00161197"/>
    <w:rsid w:val="0016146A"/>
    <w:rsid w:val="00161A6A"/>
    <w:rsid w:val="00161ACD"/>
    <w:rsid w:val="00162118"/>
    <w:rsid w:val="001629DE"/>
    <w:rsid w:val="00162F4C"/>
    <w:rsid w:val="00163276"/>
    <w:rsid w:val="0016469D"/>
    <w:rsid w:val="001650CD"/>
    <w:rsid w:val="001652C4"/>
    <w:rsid w:val="0016571F"/>
    <w:rsid w:val="00165A4B"/>
    <w:rsid w:val="00165C29"/>
    <w:rsid w:val="00165F85"/>
    <w:rsid w:val="00165F9C"/>
    <w:rsid w:val="00165FB8"/>
    <w:rsid w:val="001660C5"/>
    <w:rsid w:val="00166702"/>
    <w:rsid w:val="0016676D"/>
    <w:rsid w:val="00166C6B"/>
    <w:rsid w:val="001672FC"/>
    <w:rsid w:val="00167481"/>
    <w:rsid w:val="0016789F"/>
    <w:rsid w:val="001678D7"/>
    <w:rsid w:val="001678F5"/>
    <w:rsid w:val="0016793E"/>
    <w:rsid w:val="00167A2E"/>
    <w:rsid w:val="00167AEB"/>
    <w:rsid w:val="00170772"/>
    <w:rsid w:val="0017101B"/>
    <w:rsid w:val="00171194"/>
    <w:rsid w:val="001712FB"/>
    <w:rsid w:val="001712FE"/>
    <w:rsid w:val="001714AC"/>
    <w:rsid w:val="00171727"/>
    <w:rsid w:val="00171815"/>
    <w:rsid w:val="00171931"/>
    <w:rsid w:val="00171B3A"/>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7356"/>
    <w:rsid w:val="001808E5"/>
    <w:rsid w:val="00180EC9"/>
    <w:rsid w:val="001813BF"/>
    <w:rsid w:val="0018186A"/>
    <w:rsid w:val="00181A47"/>
    <w:rsid w:val="00181E23"/>
    <w:rsid w:val="00183193"/>
    <w:rsid w:val="001831BE"/>
    <w:rsid w:val="00183241"/>
    <w:rsid w:val="00183E59"/>
    <w:rsid w:val="00183EC0"/>
    <w:rsid w:val="00184031"/>
    <w:rsid w:val="0018406B"/>
    <w:rsid w:val="00184599"/>
    <w:rsid w:val="00184710"/>
    <w:rsid w:val="00185A02"/>
    <w:rsid w:val="00185A40"/>
    <w:rsid w:val="00185E82"/>
    <w:rsid w:val="001866D9"/>
    <w:rsid w:val="00187BED"/>
    <w:rsid w:val="00187D2C"/>
    <w:rsid w:val="00187D70"/>
    <w:rsid w:val="00187F98"/>
    <w:rsid w:val="001900E7"/>
    <w:rsid w:val="00190206"/>
    <w:rsid w:val="001904F1"/>
    <w:rsid w:val="0019054B"/>
    <w:rsid w:val="00190F17"/>
    <w:rsid w:val="0019183B"/>
    <w:rsid w:val="001918C5"/>
    <w:rsid w:val="001918D9"/>
    <w:rsid w:val="0019266F"/>
    <w:rsid w:val="00192BD7"/>
    <w:rsid w:val="00192E2B"/>
    <w:rsid w:val="001934C0"/>
    <w:rsid w:val="0019366A"/>
    <w:rsid w:val="00193AD1"/>
    <w:rsid w:val="00194264"/>
    <w:rsid w:val="001944E2"/>
    <w:rsid w:val="001945B7"/>
    <w:rsid w:val="00194661"/>
    <w:rsid w:val="00194A11"/>
    <w:rsid w:val="00194AF8"/>
    <w:rsid w:val="00195216"/>
    <w:rsid w:val="001953E4"/>
    <w:rsid w:val="001955B3"/>
    <w:rsid w:val="0019572F"/>
    <w:rsid w:val="00196D68"/>
    <w:rsid w:val="00197356"/>
    <w:rsid w:val="00197FEA"/>
    <w:rsid w:val="001A0044"/>
    <w:rsid w:val="001A01BD"/>
    <w:rsid w:val="001A0326"/>
    <w:rsid w:val="001A0576"/>
    <w:rsid w:val="001A0846"/>
    <w:rsid w:val="001A098F"/>
    <w:rsid w:val="001A0F83"/>
    <w:rsid w:val="001A0FC2"/>
    <w:rsid w:val="001A0FDB"/>
    <w:rsid w:val="001A1684"/>
    <w:rsid w:val="001A1C28"/>
    <w:rsid w:val="001A1C6C"/>
    <w:rsid w:val="001A1E3A"/>
    <w:rsid w:val="001A2469"/>
    <w:rsid w:val="001A26C3"/>
    <w:rsid w:val="001A27B0"/>
    <w:rsid w:val="001A2B11"/>
    <w:rsid w:val="001A2F59"/>
    <w:rsid w:val="001A2F5F"/>
    <w:rsid w:val="001A30D4"/>
    <w:rsid w:val="001A3803"/>
    <w:rsid w:val="001A3A65"/>
    <w:rsid w:val="001A3F50"/>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864"/>
    <w:rsid w:val="001B4C7F"/>
    <w:rsid w:val="001B50C4"/>
    <w:rsid w:val="001B53B4"/>
    <w:rsid w:val="001B53FC"/>
    <w:rsid w:val="001B5513"/>
    <w:rsid w:val="001B5637"/>
    <w:rsid w:val="001B5E3F"/>
    <w:rsid w:val="001B5FBF"/>
    <w:rsid w:val="001B62B2"/>
    <w:rsid w:val="001B62EC"/>
    <w:rsid w:val="001B656D"/>
    <w:rsid w:val="001B668B"/>
    <w:rsid w:val="001B6B0E"/>
    <w:rsid w:val="001B71B2"/>
    <w:rsid w:val="001B7543"/>
    <w:rsid w:val="001B76CA"/>
    <w:rsid w:val="001B76F1"/>
    <w:rsid w:val="001C01AD"/>
    <w:rsid w:val="001C0BD5"/>
    <w:rsid w:val="001C1177"/>
    <w:rsid w:val="001C1753"/>
    <w:rsid w:val="001C24C3"/>
    <w:rsid w:val="001C252B"/>
    <w:rsid w:val="001C26CF"/>
    <w:rsid w:val="001C2C25"/>
    <w:rsid w:val="001C2C50"/>
    <w:rsid w:val="001C2E59"/>
    <w:rsid w:val="001C3071"/>
    <w:rsid w:val="001C3237"/>
    <w:rsid w:val="001C32C2"/>
    <w:rsid w:val="001C3332"/>
    <w:rsid w:val="001C345C"/>
    <w:rsid w:val="001C3E5B"/>
    <w:rsid w:val="001C42E8"/>
    <w:rsid w:val="001C4321"/>
    <w:rsid w:val="001C4463"/>
    <w:rsid w:val="001C456A"/>
    <w:rsid w:val="001C47A1"/>
    <w:rsid w:val="001C4F6A"/>
    <w:rsid w:val="001C529F"/>
    <w:rsid w:val="001C5320"/>
    <w:rsid w:val="001C5398"/>
    <w:rsid w:val="001C55DD"/>
    <w:rsid w:val="001C5920"/>
    <w:rsid w:val="001C5E68"/>
    <w:rsid w:val="001C5FF8"/>
    <w:rsid w:val="001C60B0"/>
    <w:rsid w:val="001C60E7"/>
    <w:rsid w:val="001C6D3C"/>
    <w:rsid w:val="001C6E16"/>
    <w:rsid w:val="001C73B4"/>
    <w:rsid w:val="001C7C4A"/>
    <w:rsid w:val="001D00DA"/>
    <w:rsid w:val="001D07D5"/>
    <w:rsid w:val="001D0C1A"/>
    <w:rsid w:val="001D1959"/>
    <w:rsid w:val="001D26D1"/>
    <w:rsid w:val="001D29AF"/>
    <w:rsid w:val="001D37CD"/>
    <w:rsid w:val="001D3DAF"/>
    <w:rsid w:val="001D4A50"/>
    <w:rsid w:val="001D4A8F"/>
    <w:rsid w:val="001D4E96"/>
    <w:rsid w:val="001D54D7"/>
    <w:rsid w:val="001D557F"/>
    <w:rsid w:val="001D5BB8"/>
    <w:rsid w:val="001D64CD"/>
    <w:rsid w:val="001D6B20"/>
    <w:rsid w:val="001D6CF2"/>
    <w:rsid w:val="001D715E"/>
    <w:rsid w:val="001D76F0"/>
    <w:rsid w:val="001D7A4E"/>
    <w:rsid w:val="001E0288"/>
    <w:rsid w:val="001E0647"/>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55AC"/>
    <w:rsid w:val="001E5681"/>
    <w:rsid w:val="001E5992"/>
    <w:rsid w:val="001E5B85"/>
    <w:rsid w:val="001E60EF"/>
    <w:rsid w:val="001E6334"/>
    <w:rsid w:val="001E65AD"/>
    <w:rsid w:val="001E67A8"/>
    <w:rsid w:val="001E6B30"/>
    <w:rsid w:val="001E6B6A"/>
    <w:rsid w:val="001E6D77"/>
    <w:rsid w:val="001E7400"/>
    <w:rsid w:val="001E7548"/>
    <w:rsid w:val="001E75EC"/>
    <w:rsid w:val="001E77E0"/>
    <w:rsid w:val="001E7BCB"/>
    <w:rsid w:val="001E7CDD"/>
    <w:rsid w:val="001E7F45"/>
    <w:rsid w:val="001E7FD4"/>
    <w:rsid w:val="001F00F0"/>
    <w:rsid w:val="001F02B0"/>
    <w:rsid w:val="001F082F"/>
    <w:rsid w:val="001F10E0"/>
    <w:rsid w:val="001F1670"/>
    <w:rsid w:val="001F1DE2"/>
    <w:rsid w:val="001F1E58"/>
    <w:rsid w:val="001F211B"/>
    <w:rsid w:val="001F28E4"/>
    <w:rsid w:val="001F2C86"/>
    <w:rsid w:val="001F3588"/>
    <w:rsid w:val="001F37F1"/>
    <w:rsid w:val="001F38C4"/>
    <w:rsid w:val="001F3951"/>
    <w:rsid w:val="001F3DC8"/>
    <w:rsid w:val="001F3E00"/>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1399"/>
    <w:rsid w:val="0020148D"/>
    <w:rsid w:val="002018EA"/>
    <w:rsid w:val="00201B2F"/>
    <w:rsid w:val="00201D56"/>
    <w:rsid w:val="00201E24"/>
    <w:rsid w:val="002021D2"/>
    <w:rsid w:val="002023CE"/>
    <w:rsid w:val="002024A8"/>
    <w:rsid w:val="0020283B"/>
    <w:rsid w:val="00202E2C"/>
    <w:rsid w:val="002041D4"/>
    <w:rsid w:val="00204505"/>
    <w:rsid w:val="00204716"/>
    <w:rsid w:val="002047AE"/>
    <w:rsid w:val="0020481F"/>
    <w:rsid w:val="0020525F"/>
    <w:rsid w:val="00205D48"/>
    <w:rsid w:val="00205E20"/>
    <w:rsid w:val="00205F00"/>
    <w:rsid w:val="00205FB4"/>
    <w:rsid w:val="002067BE"/>
    <w:rsid w:val="00206C6A"/>
    <w:rsid w:val="00207590"/>
    <w:rsid w:val="00207798"/>
    <w:rsid w:val="00207C18"/>
    <w:rsid w:val="00207E24"/>
    <w:rsid w:val="00207F68"/>
    <w:rsid w:val="0021077C"/>
    <w:rsid w:val="00210986"/>
    <w:rsid w:val="0021104B"/>
    <w:rsid w:val="002110A5"/>
    <w:rsid w:val="002123C3"/>
    <w:rsid w:val="0021253C"/>
    <w:rsid w:val="00212D8B"/>
    <w:rsid w:val="00213707"/>
    <w:rsid w:val="002138A1"/>
    <w:rsid w:val="00213BF0"/>
    <w:rsid w:val="00213C5A"/>
    <w:rsid w:val="00213E4E"/>
    <w:rsid w:val="00213FA0"/>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6E2"/>
    <w:rsid w:val="00224F60"/>
    <w:rsid w:val="002252A9"/>
    <w:rsid w:val="0022530C"/>
    <w:rsid w:val="002253E7"/>
    <w:rsid w:val="00225976"/>
    <w:rsid w:val="00225C07"/>
    <w:rsid w:val="002267A8"/>
    <w:rsid w:val="00226DF4"/>
    <w:rsid w:val="00226E22"/>
    <w:rsid w:val="002270E2"/>
    <w:rsid w:val="0022722E"/>
    <w:rsid w:val="002278D1"/>
    <w:rsid w:val="002278FC"/>
    <w:rsid w:val="00227A40"/>
    <w:rsid w:val="0023004E"/>
    <w:rsid w:val="00230111"/>
    <w:rsid w:val="0023042B"/>
    <w:rsid w:val="0023060D"/>
    <w:rsid w:val="00230B84"/>
    <w:rsid w:val="00231443"/>
    <w:rsid w:val="0023183B"/>
    <w:rsid w:val="0023187E"/>
    <w:rsid w:val="002319C2"/>
    <w:rsid w:val="00231D82"/>
    <w:rsid w:val="00231E84"/>
    <w:rsid w:val="002325F4"/>
    <w:rsid w:val="0023271E"/>
    <w:rsid w:val="00232B3C"/>
    <w:rsid w:val="00233508"/>
    <w:rsid w:val="00233626"/>
    <w:rsid w:val="002336D4"/>
    <w:rsid w:val="00233A8B"/>
    <w:rsid w:val="00234BA2"/>
    <w:rsid w:val="00234C85"/>
    <w:rsid w:val="00234E20"/>
    <w:rsid w:val="0023501A"/>
    <w:rsid w:val="002350C8"/>
    <w:rsid w:val="00235491"/>
    <w:rsid w:val="00235593"/>
    <w:rsid w:val="00235965"/>
    <w:rsid w:val="00236994"/>
    <w:rsid w:val="00237257"/>
    <w:rsid w:val="00237377"/>
    <w:rsid w:val="00237842"/>
    <w:rsid w:val="00237987"/>
    <w:rsid w:val="00237C22"/>
    <w:rsid w:val="00237D05"/>
    <w:rsid w:val="0024000B"/>
    <w:rsid w:val="002405AC"/>
    <w:rsid w:val="00240AD5"/>
    <w:rsid w:val="00241279"/>
    <w:rsid w:val="00241345"/>
    <w:rsid w:val="0024140C"/>
    <w:rsid w:val="00242B88"/>
    <w:rsid w:val="00242D36"/>
    <w:rsid w:val="00242DC7"/>
    <w:rsid w:val="00243184"/>
    <w:rsid w:val="00243D29"/>
    <w:rsid w:val="002441CF"/>
    <w:rsid w:val="002441E0"/>
    <w:rsid w:val="0024422D"/>
    <w:rsid w:val="00244361"/>
    <w:rsid w:val="00244491"/>
    <w:rsid w:val="00244589"/>
    <w:rsid w:val="00244785"/>
    <w:rsid w:val="00244E71"/>
    <w:rsid w:val="00244FD1"/>
    <w:rsid w:val="002457D1"/>
    <w:rsid w:val="0024585A"/>
    <w:rsid w:val="00245B40"/>
    <w:rsid w:val="00245DCE"/>
    <w:rsid w:val="0024605A"/>
    <w:rsid w:val="00246719"/>
    <w:rsid w:val="00246722"/>
    <w:rsid w:val="00246A2D"/>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3F45"/>
    <w:rsid w:val="0025426E"/>
    <w:rsid w:val="002543C3"/>
    <w:rsid w:val="00254A1B"/>
    <w:rsid w:val="00254BF3"/>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AE3"/>
    <w:rsid w:val="00261CD5"/>
    <w:rsid w:val="00261D75"/>
    <w:rsid w:val="00261FE6"/>
    <w:rsid w:val="00262136"/>
    <w:rsid w:val="00262423"/>
    <w:rsid w:val="00262439"/>
    <w:rsid w:val="0026298F"/>
    <w:rsid w:val="002631AD"/>
    <w:rsid w:val="0026352D"/>
    <w:rsid w:val="0026362B"/>
    <w:rsid w:val="00263922"/>
    <w:rsid w:val="0026467A"/>
    <w:rsid w:val="00264831"/>
    <w:rsid w:val="00264BBA"/>
    <w:rsid w:val="00264C6C"/>
    <w:rsid w:val="00265F27"/>
    <w:rsid w:val="00265FD0"/>
    <w:rsid w:val="002661C0"/>
    <w:rsid w:val="00266237"/>
    <w:rsid w:val="00267417"/>
    <w:rsid w:val="002676F3"/>
    <w:rsid w:val="0026784D"/>
    <w:rsid w:val="00267BB4"/>
    <w:rsid w:val="00267E20"/>
    <w:rsid w:val="00270A80"/>
    <w:rsid w:val="00270F7E"/>
    <w:rsid w:val="002710E9"/>
    <w:rsid w:val="00271447"/>
    <w:rsid w:val="00271700"/>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5D8"/>
    <w:rsid w:val="00275630"/>
    <w:rsid w:val="00275770"/>
    <w:rsid w:val="00275EC4"/>
    <w:rsid w:val="00276D1D"/>
    <w:rsid w:val="00276F45"/>
    <w:rsid w:val="00276F67"/>
    <w:rsid w:val="0027704D"/>
    <w:rsid w:val="002770FC"/>
    <w:rsid w:val="002777FC"/>
    <w:rsid w:val="00280104"/>
    <w:rsid w:val="002807B9"/>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4F3"/>
    <w:rsid w:val="0028370C"/>
    <w:rsid w:val="00283CC4"/>
    <w:rsid w:val="00284FED"/>
    <w:rsid w:val="002851A0"/>
    <w:rsid w:val="00285532"/>
    <w:rsid w:val="002856B5"/>
    <w:rsid w:val="0028692B"/>
    <w:rsid w:val="00286938"/>
    <w:rsid w:val="0028742B"/>
    <w:rsid w:val="002875C9"/>
    <w:rsid w:val="002877F7"/>
    <w:rsid w:val="00287DAA"/>
    <w:rsid w:val="00290063"/>
    <w:rsid w:val="002905C4"/>
    <w:rsid w:val="0029066E"/>
    <w:rsid w:val="00290B20"/>
    <w:rsid w:val="00291353"/>
    <w:rsid w:val="00291920"/>
    <w:rsid w:val="0029195D"/>
    <w:rsid w:val="00291B77"/>
    <w:rsid w:val="002922FE"/>
    <w:rsid w:val="00292497"/>
    <w:rsid w:val="0029286E"/>
    <w:rsid w:val="0029292C"/>
    <w:rsid w:val="002929DF"/>
    <w:rsid w:val="00293440"/>
    <w:rsid w:val="00293A30"/>
    <w:rsid w:val="00293D80"/>
    <w:rsid w:val="00293F68"/>
    <w:rsid w:val="002943EA"/>
    <w:rsid w:val="0029485F"/>
    <w:rsid w:val="00294A7B"/>
    <w:rsid w:val="00295367"/>
    <w:rsid w:val="0029550B"/>
    <w:rsid w:val="0029575B"/>
    <w:rsid w:val="002958C5"/>
    <w:rsid w:val="002959A7"/>
    <w:rsid w:val="00295B5D"/>
    <w:rsid w:val="00295B8F"/>
    <w:rsid w:val="00295CBB"/>
    <w:rsid w:val="00296164"/>
    <w:rsid w:val="002966E3"/>
    <w:rsid w:val="0029695C"/>
    <w:rsid w:val="00296E36"/>
    <w:rsid w:val="0029726D"/>
    <w:rsid w:val="00297669"/>
    <w:rsid w:val="00297BB2"/>
    <w:rsid w:val="002A037E"/>
    <w:rsid w:val="002A0600"/>
    <w:rsid w:val="002A076D"/>
    <w:rsid w:val="002A13CE"/>
    <w:rsid w:val="002A1453"/>
    <w:rsid w:val="002A14B2"/>
    <w:rsid w:val="002A18B3"/>
    <w:rsid w:val="002A18BB"/>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559"/>
    <w:rsid w:val="002A780E"/>
    <w:rsid w:val="002A7B27"/>
    <w:rsid w:val="002A7D05"/>
    <w:rsid w:val="002B00A9"/>
    <w:rsid w:val="002B05F4"/>
    <w:rsid w:val="002B0ABC"/>
    <w:rsid w:val="002B0B15"/>
    <w:rsid w:val="002B0C47"/>
    <w:rsid w:val="002B1004"/>
    <w:rsid w:val="002B11A5"/>
    <w:rsid w:val="002B1239"/>
    <w:rsid w:val="002B1672"/>
    <w:rsid w:val="002B18E5"/>
    <w:rsid w:val="002B1EB7"/>
    <w:rsid w:val="002B2187"/>
    <w:rsid w:val="002B2A09"/>
    <w:rsid w:val="002B2A3A"/>
    <w:rsid w:val="002B3152"/>
    <w:rsid w:val="002B42A0"/>
    <w:rsid w:val="002B49B3"/>
    <w:rsid w:val="002B4DAF"/>
    <w:rsid w:val="002B613B"/>
    <w:rsid w:val="002B7070"/>
    <w:rsid w:val="002B7513"/>
    <w:rsid w:val="002B7A68"/>
    <w:rsid w:val="002C0046"/>
    <w:rsid w:val="002C0079"/>
    <w:rsid w:val="002C0678"/>
    <w:rsid w:val="002C0CDD"/>
    <w:rsid w:val="002C18CD"/>
    <w:rsid w:val="002C1938"/>
    <w:rsid w:val="002C1EC4"/>
    <w:rsid w:val="002C3303"/>
    <w:rsid w:val="002C37F9"/>
    <w:rsid w:val="002C3E79"/>
    <w:rsid w:val="002C3E7E"/>
    <w:rsid w:val="002C405B"/>
    <w:rsid w:val="002C4490"/>
    <w:rsid w:val="002C4D19"/>
    <w:rsid w:val="002C50E2"/>
    <w:rsid w:val="002C532E"/>
    <w:rsid w:val="002C5EEC"/>
    <w:rsid w:val="002C6282"/>
    <w:rsid w:val="002C66BB"/>
    <w:rsid w:val="002C6EAC"/>
    <w:rsid w:val="002C7479"/>
    <w:rsid w:val="002C7659"/>
    <w:rsid w:val="002C7AB2"/>
    <w:rsid w:val="002C7BFE"/>
    <w:rsid w:val="002D01FB"/>
    <w:rsid w:val="002D0388"/>
    <w:rsid w:val="002D0ABF"/>
    <w:rsid w:val="002D0E9C"/>
    <w:rsid w:val="002D1453"/>
    <w:rsid w:val="002D1BB2"/>
    <w:rsid w:val="002D1EB9"/>
    <w:rsid w:val="002D1F6C"/>
    <w:rsid w:val="002D24A9"/>
    <w:rsid w:val="002D32AB"/>
    <w:rsid w:val="002D3A5A"/>
    <w:rsid w:val="002D3BF5"/>
    <w:rsid w:val="002D43D6"/>
    <w:rsid w:val="002D4561"/>
    <w:rsid w:val="002D4A11"/>
    <w:rsid w:val="002D4A58"/>
    <w:rsid w:val="002D4FC4"/>
    <w:rsid w:val="002D52F8"/>
    <w:rsid w:val="002D54A5"/>
    <w:rsid w:val="002D563F"/>
    <w:rsid w:val="002D5A8D"/>
    <w:rsid w:val="002D6246"/>
    <w:rsid w:val="002D62D1"/>
    <w:rsid w:val="002D6B3E"/>
    <w:rsid w:val="002D6CC3"/>
    <w:rsid w:val="002D6FBF"/>
    <w:rsid w:val="002D7505"/>
    <w:rsid w:val="002D76D2"/>
    <w:rsid w:val="002D7785"/>
    <w:rsid w:val="002E076C"/>
    <w:rsid w:val="002E07F7"/>
    <w:rsid w:val="002E0E49"/>
    <w:rsid w:val="002E0FE6"/>
    <w:rsid w:val="002E145C"/>
    <w:rsid w:val="002E18AF"/>
    <w:rsid w:val="002E1B29"/>
    <w:rsid w:val="002E1DD5"/>
    <w:rsid w:val="002E275E"/>
    <w:rsid w:val="002E287F"/>
    <w:rsid w:val="002E28D9"/>
    <w:rsid w:val="002E2A19"/>
    <w:rsid w:val="002E2ED0"/>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0DA"/>
    <w:rsid w:val="00300626"/>
    <w:rsid w:val="00300727"/>
    <w:rsid w:val="00300EC9"/>
    <w:rsid w:val="003017A2"/>
    <w:rsid w:val="003018C4"/>
    <w:rsid w:val="00301AD9"/>
    <w:rsid w:val="00302A52"/>
    <w:rsid w:val="00302C2B"/>
    <w:rsid w:val="00302C52"/>
    <w:rsid w:val="00302D71"/>
    <w:rsid w:val="0030375F"/>
    <w:rsid w:val="00303D20"/>
    <w:rsid w:val="00304064"/>
    <w:rsid w:val="00304628"/>
    <w:rsid w:val="003048C1"/>
    <w:rsid w:val="00304B0F"/>
    <w:rsid w:val="00304B86"/>
    <w:rsid w:val="00304DBE"/>
    <w:rsid w:val="00304FC6"/>
    <w:rsid w:val="0030552F"/>
    <w:rsid w:val="0030563E"/>
    <w:rsid w:val="003057A0"/>
    <w:rsid w:val="00305C35"/>
    <w:rsid w:val="003060DF"/>
    <w:rsid w:val="003062A2"/>
    <w:rsid w:val="0030658B"/>
    <w:rsid w:val="003065CE"/>
    <w:rsid w:val="00306EBD"/>
    <w:rsid w:val="00307075"/>
    <w:rsid w:val="00307DDE"/>
    <w:rsid w:val="0031030C"/>
    <w:rsid w:val="0031063E"/>
    <w:rsid w:val="003107A0"/>
    <w:rsid w:val="003107F0"/>
    <w:rsid w:val="003109B9"/>
    <w:rsid w:val="00310A10"/>
    <w:rsid w:val="00310B2C"/>
    <w:rsid w:val="00310BAE"/>
    <w:rsid w:val="00310C05"/>
    <w:rsid w:val="003111F5"/>
    <w:rsid w:val="00311235"/>
    <w:rsid w:val="003118FC"/>
    <w:rsid w:val="0031196F"/>
    <w:rsid w:val="00311D15"/>
    <w:rsid w:val="00311E6C"/>
    <w:rsid w:val="0031332B"/>
    <w:rsid w:val="00313918"/>
    <w:rsid w:val="00313985"/>
    <w:rsid w:val="00313AA6"/>
    <w:rsid w:val="00313CD0"/>
    <w:rsid w:val="00313FFC"/>
    <w:rsid w:val="00314893"/>
    <w:rsid w:val="00314AC4"/>
    <w:rsid w:val="0031510A"/>
    <w:rsid w:val="003156C6"/>
    <w:rsid w:val="00315862"/>
    <w:rsid w:val="00315925"/>
    <w:rsid w:val="00315B36"/>
    <w:rsid w:val="00315D68"/>
    <w:rsid w:val="00316191"/>
    <w:rsid w:val="0031621B"/>
    <w:rsid w:val="003165CA"/>
    <w:rsid w:val="00316747"/>
    <w:rsid w:val="00316A08"/>
    <w:rsid w:val="00316DE2"/>
    <w:rsid w:val="00317368"/>
    <w:rsid w:val="0031741E"/>
    <w:rsid w:val="00317437"/>
    <w:rsid w:val="00317AD7"/>
    <w:rsid w:val="00317B60"/>
    <w:rsid w:val="003202DD"/>
    <w:rsid w:val="00320555"/>
    <w:rsid w:val="003206CB"/>
    <w:rsid w:val="00320ABF"/>
    <w:rsid w:val="00320C4A"/>
    <w:rsid w:val="00320DE6"/>
    <w:rsid w:val="00320E56"/>
    <w:rsid w:val="00320E57"/>
    <w:rsid w:val="00320FE2"/>
    <w:rsid w:val="0032106E"/>
    <w:rsid w:val="003212D6"/>
    <w:rsid w:val="003214BE"/>
    <w:rsid w:val="003220EC"/>
    <w:rsid w:val="00322F6D"/>
    <w:rsid w:val="00323288"/>
    <w:rsid w:val="003232BB"/>
    <w:rsid w:val="0032341F"/>
    <w:rsid w:val="00323626"/>
    <w:rsid w:val="00323680"/>
    <w:rsid w:val="0032368C"/>
    <w:rsid w:val="00323CFB"/>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9E2"/>
    <w:rsid w:val="003312FE"/>
    <w:rsid w:val="0033142A"/>
    <w:rsid w:val="00331606"/>
    <w:rsid w:val="003318C8"/>
    <w:rsid w:val="00331A22"/>
    <w:rsid w:val="00331BF9"/>
    <w:rsid w:val="00331E8F"/>
    <w:rsid w:val="00332A89"/>
    <w:rsid w:val="00332DCD"/>
    <w:rsid w:val="003330E0"/>
    <w:rsid w:val="0033378C"/>
    <w:rsid w:val="00333C76"/>
    <w:rsid w:val="00334552"/>
    <w:rsid w:val="00334B78"/>
    <w:rsid w:val="003356C4"/>
    <w:rsid w:val="00335CDB"/>
    <w:rsid w:val="0033664A"/>
    <w:rsid w:val="003366EA"/>
    <w:rsid w:val="00336764"/>
    <w:rsid w:val="00336D73"/>
    <w:rsid w:val="00336DCB"/>
    <w:rsid w:val="00336F4C"/>
    <w:rsid w:val="00337010"/>
    <w:rsid w:val="003374A9"/>
    <w:rsid w:val="00337792"/>
    <w:rsid w:val="00337B75"/>
    <w:rsid w:val="00340102"/>
    <w:rsid w:val="00340A48"/>
    <w:rsid w:val="00340D2B"/>
    <w:rsid w:val="0034137B"/>
    <w:rsid w:val="0034152D"/>
    <w:rsid w:val="00341F3B"/>
    <w:rsid w:val="0034221E"/>
    <w:rsid w:val="003424DE"/>
    <w:rsid w:val="00342510"/>
    <w:rsid w:val="003425DB"/>
    <w:rsid w:val="003427F9"/>
    <w:rsid w:val="00342933"/>
    <w:rsid w:val="00342F04"/>
    <w:rsid w:val="00343048"/>
    <w:rsid w:val="00343171"/>
    <w:rsid w:val="0034426C"/>
    <w:rsid w:val="00344511"/>
    <w:rsid w:val="00344F46"/>
    <w:rsid w:val="00345043"/>
    <w:rsid w:val="00345537"/>
    <w:rsid w:val="00345777"/>
    <w:rsid w:val="0034581C"/>
    <w:rsid w:val="00345F2C"/>
    <w:rsid w:val="003460DE"/>
    <w:rsid w:val="003461F3"/>
    <w:rsid w:val="00346360"/>
    <w:rsid w:val="00346465"/>
    <w:rsid w:val="00346665"/>
    <w:rsid w:val="00346A30"/>
    <w:rsid w:val="00346B61"/>
    <w:rsid w:val="00346BC5"/>
    <w:rsid w:val="00346EA1"/>
    <w:rsid w:val="00347227"/>
    <w:rsid w:val="00347876"/>
    <w:rsid w:val="003502C8"/>
    <w:rsid w:val="003504CA"/>
    <w:rsid w:val="0035058D"/>
    <w:rsid w:val="003505B3"/>
    <w:rsid w:val="003506F4"/>
    <w:rsid w:val="00351028"/>
    <w:rsid w:val="003514A9"/>
    <w:rsid w:val="00351527"/>
    <w:rsid w:val="00351591"/>
    <w:rsid w:val="00351C2D"/>
    <w:rsid w:val="00351FDC"/>
    <w:rsid w:val="00352214"/>
    <w:rsid w:val="003522CA"/>
    <w:rsid w:val="003523B1"/>
    <w:rsid w:val="0035256F"/>
    <w:rsid w:val="00352849"/>
    <w:rsid w:val="00352EDA"/>
    <w:rsid w:val="0035314B"/>
    <w:rsid w:val="00353284"/>
    <w:rsid w:val="003536C2"/>
    <w:rsid w:val="003539B9"/>
    <w:rsid w:val="00353BA2"/>
    <w:rsid w:val="00354113"/>
    <w:rsid w:val="00354355"/>
    <w:rsid w:val="00354AA2"/>
    <w:rsid w:val="00354D0F"/>
    <w:rsid w:val="00354FFA"/>
    <w:rsid w:val="00355557"/>
    <w:rsid w:val="003556C2"/>
    <w:rsid w:val="0035612F"/>
    <w:rsid w:val="00356517"/>
    <w:rsid w:val="00356954"/>
    <w:rsid w:val="00356C33"/>
    <w:rsid w:val="00357623"/>
    <w:rsid w:val="00357F0D"/>
    <w:rsid w:val="00360226"/>
    <w:rsid w:val="003608D8"/>
    <w:rsid w:val="003609D8"/>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137B"/>
    <w:rsid w:val="00371B8E"/>
    <w:rsid w:val="00372307"/>
    <w:rsid w:val="00372581"/>
    <w:rsid w:val="00372E96"/>
    <w:rsid w:val="00373316"/>
    <w:rsid w:val="00373319"/>
    <w:rsid w:val="00373BAA"/>
    <w:rsid w:val="00373EBE"/>
    <w:rsid w:val="00374C5D"/>
    <w:rsid w:val="00374C6B"/>
    <w:rsid w:val="00374D03"/>
    <w:rsid w:val="003751C3"/>
    <w:rsid w:val="0037569F"/>
    <w:rsid w:val="0037609E"/>
    <w:rsid w:val="003763BD"/>
    <w:rsid w:val="0037680E"/>
    <w:rsid w:val="00376B41"/>
    <w:rsid w:val="00376C38"/>
    <w:rsid w:val="0038080A"/>
    <w:rsid w:val="00380887"/>
    <w:rsid w:val="00380D17"/>
    <w:rsid w:val="00380D8F"/>
    <w:rsid w:val="00380F16"/>
    <w:rsid w:val="00381023"/>
    <w:rsid w:val="00381361"/>
    <w:rsid w:val="0038142C"/>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4F5"/>
    <w:rsid w:val="00386941"/>
    <w:rsid w:val="00386C68"/>
    <w:rsid w:val="00386E8E"/>
    <w:rsid w:val="00390E8C"/>
    <w:rsid w:val="00391126"/>
    <w:rsid w:val="003917E2"/>
    <w:rsid w:val="00391B2F"/>
    <w:rsid w:val="003924E0"/>
    <w:rsid w:val="00392917"/>
    <w:rsid w:val="00392DC8"/>
    <w:rsid w:val="00392E36"/>
    <w:rsid w:val="0039364F"/>
    <w:rsid w:val="003938BE"/>
    <w:rsid w:val="00394011"/>
    <w:rsid w:val="0039406D"/>
    <w:rsid w:val="00394875"/>
    <w:rsid w:val="003951B4"/>
    <w:rsid w:val="003951C7"/>
    <w:rsid w:val="003952F1"/>
    <w:rsid w:val="003953FF"/>
    <w:rsid w:val="00395E8A"/>
    <w:rsid w:val="003964C1"/>
    <w:rsid w:val="0039659A"/>
    <w:rsid w:val="00396A86"/>
    <w:rsid w:val="00396F82"/>
    <w:rsid w:val="003971B1"/>
    <w:rsid w:val="00397338"/>
    <w:rsid w:val="003973BC"/>
    <w:rsid w:val="00397CC8"/>
    <w:rsid w:val="00397EB5"/>
    <w:rsid w:val="003A026B"/>
    <w:rsid w:val="003A04F8"/>
    <w:rsid w:val="003A174E"/>
    <w:rsid w:val="003A1A87"/>
    <w:rsid w:val="003A1B82"/>
    <w:rsid w:val="003A1CB0"/>
    <w:rsid w:val="003A1EE7"/>
    <w:rsid w:val="003A1FAF"/>
    <w:rsid w:val="003A25FC"/>
    <w:rsid w:val="003A26F2"/>
    <w:rsid w:val="003A2742"/>
    <w:rsid w:val="003A2AD9"/>
    <w:rsid w:val="003A306D"/>
    <w:rsid w:val="003A3127"/>
    <w:rsid w:val="003A3A81"/>
    <w:rsid w:val="003A3AA7"/>
    <w:rsid w:val="003A3E20"/>
    <w:rsid w:val="003A42A0"/>
    <w:rsid w:val="003A4568"/>
    <w:rsid w:val="003A468E"/>
    <w:rsid w:val="003A47F1"/>
    <w:rsid w:val="003A4F09"/>
    <w:rsid w:val="003A5ADB"/>
    <w:rsid w:val="003A6037"/>
    <w:rsid w:val="003A604A"/>
    <w:rsid w:val="003A61FF"/>
    <w:rsid w:val="003A6289"/>
    <w:rsid w:val="003A6588"/>
    <w:rsid w:val="003A6C66"/>
    <w:rsid w:val="003A6CA8"/>
    <w:rsid w:val="003A6EB2"/>
    <w:rsid w:val="003A70B6"/>
    <w:rsid w:val="003A75DF"/>
    <w:rsid w:val="003A7C41"/>
    <w:rsid w:val="003B04E3"/>
    <w:rsid w:val="003B0A83"/>
    <w:rsid w:val="003B0AB9"/>
    <w:rsid w:val="003B1157"/>
    <w:rsid w:val="003B166B"/>
    <w:rsid w:val="003B2A86"/>
    <w:rsid w:val="003B2BD7"/>
    <w:rsid w:val="003B2E87"/>
    <w:rsid w:val="003B301B"/>
    <w:rsid w:val="003B349D"/>
    <w:rsid w:val="003B37E4"/>
    <w:rsid w:val="003B4313"/>
    <w:rsid w:val="003B4324"/>
    <w:rsid w:val="003B47DD"/>
    <w:rsid w:val="003B4D8F"/>
    <w:rsid w:val="003B5272"/>
    <w:rsid w:val="003B5534"/>
    <w:rsid w:val="003B55F2"/>
    <w:rsid w:val="003B58C1"/>
    <w:rsid w:val="003B58EC"/>
    <w:rsid w:val="003B5FFF"/>
    <w:rsid w:val="003B6B4D"/>
    <w:rsid w:val="003B6EFF"/>
    <w:rsid w:val="003B7684"/>
    <w:rsid w:val="003B7773"/>
    <w:rsid w:val="003B7819"/>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461"/>
    <w:rsid w:val="003D081A"/>
    <w:rsid w:val="003D0B5B"/>
    <w:rsid w:val="003D0CAF"/>
    <w:rsid w:val="003D0D05"/>
    <w:rsid w:val="003D0F54"/>
    <w:rsid w:val="003D15CA"/>
    <w:rsid w:val="003D1619"/>
    <w:rsid w:val="003D16F6"/>
    <w:rsid w:val="003D1903"/>
    <w:rsid w:val="003D1D84"/>
    <w:rsid w:val="003D21FC"/>
    <w:rsid w:val="003D2286"/>
    <w:rsid w:val="003D251D"/>
    <w:rsid w:val="003D2B60"/>
    <w:rsid w:val="003D2C4C"/>
    <w:rsid w:val="003D38B8"/>
    <w:rsid w:val="003D3D4C"/>
    <w:rsid w:val="003D3E81"/>
    <w:rsid w:val="003D3E91"/>
    <w:rsid w:val="003D49E0"/>
    <w:rsid w:val="003D53C6"/>
    <w:rsid w:val="003D54A6"/>
    <w:rsid w:val="003D62C9"/>
    <w:rsid w:val="003D6A76"/>
    <w:rsid w:val="003D6F61"/>
    <w:rsid w:val="003D729D"/>
    <w:rsid w:val="003D75B8"/>
    <w:rsid w:val="003D79E8"/>
    <w:rsid w:val="003D7CF0"/>
    <w:rsid w:val="003D7DCA"/>
    <w:rsid w:val="003E0027"/>
    <w:rsid w:val="003E00DA"/>
    <w:rsid w:val="003E0299"/>
    <w:rsid w:val="003E09FF"/>
    <w:rsid w:val="003E0D2F"/>
    <w:rsid w:val="003E13EB"/>
    <w:rsid w:val="003E1A8B"/>
    <w:rsid w:val="003E1ABE"/>
    <w:rsid w:val="003E2DC7"/>
    <w:rsid w:val="003E3A3A"/>
    <w:rsid w:val="003E41E7"/>
    <w:rsid w:val="003E54C9"/>
    <w:rsid w:val="003E5665"/>
    <w:rsid w:val="003E56D3"/>
    <w:rsid w:val="003E5DD5"/>
    <w:rsid w:val="003E5FC3"/>
    <w:rsid w:val="003E60B5"/>
    <w:rsid w:val="003E63FC"/>
    <w:rsid w:val="003E686E"/>
    <w:rsid w:val="003E6A9E"/>
    <w:rsid w:val="003E6AAD"/>
    <w:rsid w:val="003E6FE9"/>
    <w:rsid w:val="003E750D"/>
    <w:rsid w:val="003E75EB"/>
    <w:rsid w:val="003E7AD9"/>
    <w:rsid w:val="003E7C88"/>
    <w:rsid w:val="003E7CFC"/>
    <w:rsid w:val="003F01BC"/>
    <w:rsid w:val="003F04F7"/>
    <w:rsid w:val="003F07CE"/>
    <w:rsid w:val="003F093C"/>
    <w:rsid w:val="003F0DB5"/>
    <w:rsid w:val="003F0FD1"/>
    <w:rsid w:val="003F13A4"/>
    <w:rsid w:val="003F13EF"/>
    <w:rsid w:val="003F1C1F"/>
    <w:rsid w:val="003F2960"/>
    <w:rsid w:val="003F2FBB"/>
    <w:rsid w:val="003F315A"/>
    <w:rsid w:val="003F3214"/>
    <w:rsid w:val="003F3766"/>
    <w:rsid w:val="003F3817"/>
    <w:rsid w:val="003F3C77"/>
    <w:rsid w:val="003F3DC1"/>
    <w:rsid w:val="003F3E33"/>
    <w:rsid w:val="003F3F4A"/>
    <w:rsid w:val="003F498F"/>
    <w:rsid w:val="003F4ABD"/>
    <w:rsid w:val="003F4D33"/>
    <w:rsid w:val="003F4F27"/>
    <w:rsid w:val="003F5069"/>
    <w:rsid w:val="003F50DC"/>
    <w:rsid w:val="003F5380"/>
    <w:rsid w:val="003F53B4"/>
    <w:rsid w:val="003F5572"/>
    <w:rsid w:val="003F5AA5"/>
    <w:rsid w:val="003F5C9B"/>
    <w:rsid w:val="003F5EF3"/>
    <w:rsid w:val="003F5F89"/>
    <w:rsid w:val="003F600F"/>
    <w:rsid w:val="003F6813"/>
    <w:rsid w:val="003F6CC6"/>
    <w:rsid w:val="003F709A"/>
    <w:rsid w:val="003F72AA"/>
    <w:rsid w:val="00400389"/>
    <w:rsid w:val="00400B9F"/>
    <w:rsid w:val="004011F4"/>
    <w:rsid w:val="004014FE"/>
    <w:rsid w:val="0040165E"/>
    <w:rsid w:val="004017EC"/>
    <w:rsid w:val="0040222A"/>
    <w:rsid w:val="00402435"/>
    <w:rsid w:val="0040293E"/>
    <w:rsid w:val="0040297D"/>
    <w:rsid w:val="00402B46"/>
    <w:rsid w:val="00402CFD"/>
    <w:rsid w:val="00402EF5"/>
    <w:rsid w:val="00402F65"/>
    <w:rsid w:val="004030A0"/>
    <w:rsid w:val="004030C5"/>
    <w:rsid w:val="0040322A"/>
    <w:rsid w:val="00403599"/>
    <w:rsid w:val="00403BC3"/>
    <w:rsid w:val="004040ED"/>
    <w:rsid w:val="004041A7"/>
    <w:rsid w:val="00404215"/>
    <w:rsid w:val="004044E0"/>
    <w:rsid w:val="00404A0B"/>
    <w:rsid w:val="00404CAC"/>
    <w:rsid w:val="00404D35"/>
    <w:rsid w:val="00404EE7"/>
    <w:rsid w:val="00404F1F"/>
    <w:rsid w:val="004050A4"/>
    <w:rsid w:val="0040526D"/>
    <w:rsid w:val="00405398"/>
    <w:rsid w:val="004053F3"/>
    <w:rsid w:val="004054F6"/>
    <w:rsid w:val="0040599F"/>
    <w:rsid w:val="00405B6F"/>
    <w:rsid w:val="0040685D"/>
    <w:rsid w:val="00406EFD"/>
    <w:rsid w:val="00407149"/>
    <w:rsid w:val="00407956"/>
    <w:rsid w:val="00407D3C"/>
    <w:rsid w:val="00407F5B"/>
    <w:rsid w:val="00410380"/>
    <w:rsid w:val="0041091F"/>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6A7"/>
    <w:rsid w:val="004157EC"/>
    <w:rsid w:val="004159B1"/>
    <w:rsid w:val="00415E19"/>
    <w:rsid w:val="004168E0"/>
    <w:rsid w:val="00416987"/>
    <w:rsid w:val="00417043"/>
    <w:rsid w:val="00417322"/>
    <w:rsid w:val="00417721"/>
    <w:rsid w:val="00417C4B"/>
    <w:rsid w:val="004203DE"/>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024"/>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290"/>
    <w:rsid w:val="00434FDB"/>
    <w:rsid w:val="0043509D"/>
    <w:rsid w:val="004350ED"/>
    <w:rsid w:val="0043511C"/>
    <w:rsid w:val="00435493"/>
    <w:rsid w:val="00435653"/>
    <w:rsid w:val="00435999"/>
    <w:rsid w:val="00435C0B"/>
    <w:rsid w:val="00435C29"/>
    <w:rsid w:val="00435ECE"/>
    <w:rsid w:val="0043631A"/>
    <w:rsid w:val="00436FA6"/>
    <w:rsid w:val="004373D5"/>
    <w:rsid w:val="004374C0"/>
    <w:rsid w:val="0043799A"/>
    <w:rsid w:val="004379BB"/>
    <w:rsid w:val="00440858"/>
    <w:rsid w:val="00440A48"/>
    <w:rsid w:val="00440AED"/>
    <w:rsid w:val="0044148A"/>
    <w:rsid w:val="00441E4A"/>
    <w:rsid w:val="004427CA"/>
    <w:rsid w:val="00442A56"/>
    <w:rsid w:val="00442E1E"/>
    <w:rsid w:val="00443399"/>
    <w:rsid w:val="0044339A"/>
    <w:rsid w:val="004437D4"/>
    <w:rsid w:val="0044393F"/>
    <w:rsid w:val="00443D5B"/>
    <w:rsid w:val="00444393"/>
    <w:rsid w:val="0044460B"/>
    <w:rsid w:val="004449B4"/>
    <w:rsid w:val="00444B67"/>
    <w:rsid w:val="00445196"/>
    <w:rsid w:val="00445354"/>
    <w:rsid w:val="00445876"/>
    <w:rsid w:val="00445F88"/>
    <w:rsid w:val="00446617"/>
    <w:rsid w:val="00446641"/>
    <w:rsid w:val="00446652"/>
    <w:rsid w:val="0044698D"/>
    <w:rsid w:val="00446ACF"/>
    <w:rsid w:val="00447191"/>
    <w:rsid w:val="004473A2"/>
    <w:rsid w:val="00447440"/>
    <w:rsid w:val="00447F8D"/>
    <w:rsid w:val="004500C7"/>
    <w:rsid w:val="00450BBB"/>
    <w:rsid w:val="004512EE"/>
    <w:rsid w:val="004514EE"/>
    <w:rsid w:val="00451CC8"/>
    <w:rsid w:val="004529A0"/>
    <w:rsid w:val="004532B1"/>
    <w:rsid w:val="004538B1"/>
    <w:rsid w:val="00453FD5"/>
    <w:rsid w:val="00453FDD"/>
    <w:rsid w:val="004542F5"/>
    <w:rsid w:val="0045446A"/>
    <w:rsid w:val="004548F8"/>
    <w:rsid w:val="00454BCA"/>
    <w:rsid w:val="00454D83"/>
    <w:rsid w:val="0045531C"/>
    <w:rsid w:val="00455853"/>
    <w:rsid w:val="00455891"/>
    <w:rsid w:val="00455F9D"/>
    <w:rsid w:val="0045624A"/>
    <w:rsid w:val="004568A7"/>
    <w:rsid w:val="004568BC"/>
    <w:rsid w:val="00456AB9"/>
    <w:rsid w:val="004572D9"/>
    <w:rsid w:val="0045799F"/>
    <w:rsid w:val="00460990"/>
    <w:rsid w:val="00460DEC"/>
    <w:rsid w:val="0046114E"/>
    <w:rsid w:val="004612F2"/>
    <w:rsid w:val="00461AF3"/>
    <w:rsid w:val="00461C09"/>
    <w:rsid w:val="0046205E"/>
    <w:rsid w:val="004620B7"/>
    <w:rsid w:val="004622FE"/>
    <w:rsid w:val="00462928"/>
    <w:rsid w:val="004632E7"/>
    <w:rsid w:val="00463CD0"/>
    <w:rsid w:val="00463DE0"/>
    <w:rsid w:val="004646B5"/>
    <w:rsid w:val="00464A69"/>
    <w:rsid w:val="00464BED"/>
    <w:rsid w:val="00464D16"/>
    <w:rsid w:val="00464D3C"/>
    <w:rsid w:val="0046527D"/>
    <w:rsid w:val="0046538F"/>
    <w:rsid w:val="00465859"/>
    <w:rsid w:val="00465880"/>
    <w:rsid w:val="00465984"/>
    <w:rsid w:val="00465FF2"/>
    <w:rsid w:val="0046602B"/>
    <w:rsid w:val="00466771"/>
    <w:rsid w:val="00466C16"/>
    <w:rsid w:val="00467349"/>
    <w:rsid w:val="004673B8"/>
    <w:rsid w:val="0046744A"/>
    <w:rsid w:val="00467C5B"/>
    <w:rsid w:val="00467CC8"/>
    <w:rsid w:val="00470CF3"/>
    <w:rsid w:val="00471146"/>
    <w:rsid w:val="004715F7"/>
    <w:rsid w:val="004716E2"/>
    <w:rsid w:val="00471B90"/>
    <w:rsid w:val="00471E26"/>
    <w:rsid w:val="004720BE"/>
    <w:rsid w:val="0047217C"/>
    <w:rsid w:val="004721D2"/>
    <w:rsid w:val="0047264E"/>
    <w:rsid w:val="004731F7"/>
    <w:rsid w:val="00473B4B"/>
    <w:rsid w:val="00473E06"/>
    <w:rsid w:val="004744D8"/>
    <w:rsid w:val="0047479F"/>
    <w:rsid w:val="00475E9B"/>
    <w:rsid w:val="004760FA"/>
    <w:rsid w:val="00476415"/>
    <w:rsid w:val="00476652"/>
    <w:rsid w:val="00476805"/>
    <w:rsid w:val="00476844"/>
    <w:rsid w:val="00476F6A"/>
    <w:rsid w:val="00477099"/>
    <w:rsid w:val="00477217"/>
    <w:rsid w:val="0047765A"/>
    <w:rsid w:val="00477BAC"/>
    <w:rsid w:val="00480B9B"/>
    <w:rsid w:val="004814C1"/>
    <w:rsid w:val="00481C62"/>
    <w:rsid w:val="00481D30"/>
    <w:rsid w:val="00481DE9"/>
    <w:rsid w:val="00481ED6"/>
    <w:rsid w:val="00482576"/>
    <w:rsid w:val="00482D5A"/>
    <w:rsid w:val="00482F12"/>
    <w:rsid w:val="00483193"/>
    <w:rsid w:val="004834EA"/>
    <w:rsid w:val="00483D38"/>
    <w:rsid w:val="00483EF5"/>
    <w:rsid w:val="00483F28"/>
    <w:rsid w:val="00483F2F"/>
    <w:rsid w:val="00484514"/>
    <w:rsid w:val="004847B2"/>
    <w:rsid w:val="00484C78"/>
    <w:rsid w:val="00484D11"/>
    <w:rsid w:val="00484F9B"/>
    <w:rsid w:val="004855B7"/>
    <w:rsid w:val="00485A17"/>
    <w:rsid w:val="00485B76"/>
    <w:rsid w:val="00485B8B"/>
    <w:rsid w:val="00485F25"/>
    <w:rsid w:val="004862BA"/>
    <w:rsid w:val="00486A05"/>
    <w:rsid w:val="00486AF9"/>
    <w:rsid w:val="00486C7C"/>
    <w:rsid w:val="00486D4B"/>
    <w:rsid w:val="00487503"/>
    <w:rsid w:val="00487F4C"/>
    <w:rsid w:val="00490C0F"/>
    <w:rsid w:val="00490E30"/>
    <w:rsid w:val="004910B5"/>
    <w:rsid w:val="00491576"/>
    <w:rsid w:val="004917D9"/>
    <w:rsid w:val="00491F01"/>
    <w:rsid w:val="0049224C"/>
    <w:rsid w:val="00492349"/>
    <w:rsid w:val="00492518"/>
    <w:rsid w:val="00492524"/>
    <w:rsid w:val="004927C4"/>
    <w:rsid w:val="00492A17"/>
    <w:rsid w:val="00492EE5"/>
    <w:rsid w:val="0049359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08CA"/>
    <w:rsid w:val="004A11A7"/>
    <w:rsid w:val="004A1E5B"/>
    <w:rsid w:val="004A207A"/>
    <w:rsid w:val="004A29F3"/>
    <w:rsid w:val="004A3549"/>
    <w:rsid w:val="004A3B29"/>
    <w:rsid w:val="004A3F14"/>
    <w:rsid w:val="004A3F63"/>
    <w:rsid w:val="004A4151"/>
    <w:rsid w:val="004A46E2"/>
    <w:rsid w:val="004A4716"/>
    <w:rsid w:val="004A4731"/>
    <w:rsid w:val="004A48A0"/>
    <w:rsid w:val="004A4AF4"/>
    <w:rsid w:val="004A4B39"/>
    <w:rsid w:val="004A4C17"/>
    <w:rsid w:val="004A4E46"/>
    <w:rsid w:val="004A4EAD"/>
    <w:rsid w:val="004A51E2"/>
    <w:rsid w:val="004A5212"/>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647"/>
    <w:rsid w:val="004B3736"/>
    <w:rsid w:val="004B3856"/>
    <w:rsid w:val="004B39DF"/>
    <w:rsid w:val="004B3AF8"/>
    <w:rsid w:val="004B3BDB"/>
    <w:rsid w:val="004B4259"/>
    <w:rsid w:val="004B4536"/>
    <w:rsid w:val="004B45D0"/>
    <w:rsid w:val="004B58C5"/>
    <w:rsid w:val="004B5996"/>
    <w:rsid w:val="004B5ADE"/>
    <w:rsid w:val="004B5B84"/>
    <w:rsid w:val="004B67F6"/>
    <w:rsid w:val="004B6AB9"/>
    <w:rsid w:val="004B6AE0"/>
    <w:rsid w:val="004B6EA5"/>
    <w:rsid w:val="004B7134"/>
    <w:rsid w:val="004B7ADB"/>
    <w:rsid w:val="004B7B22"/>
    <w:rsid w:val="004B7B79"/>
    <w:rsid w:val="004B7C37"/>
    <w:rsid w:val="004C0296"/>
    <w:rsid w:val="004C02A2"/>
    <w:rsid w:val="004C0E19"/>
    <w:rsid w:val="004C1787"/>
    <w:rsid w:val="004C2106"/>
    <w:rsid w:val="004C21E8"/>
    <w:rsid w:val="004C23DE"/>
    <w:rsid w:val="004C255F"/>
    <w:rsid w:val="004C25FB"/>
    <w:rsid w:val="004C2D56"/>
    <w:rsid w:val="004C2D68"/>
    <w:rsid w:val="004C31A5"/>
    <w:rsid w:val="004C36E2"/>
    <w:rsid w:val="004C36F1"/>
    <w:rsid w:val="004C3830"/>
    <w:rsid w:val="004C3B71"/>
    <w:rsid w:val="004C3C79"/>
    <w:rsid w:val="004C42FD"/>
    <w:rsid w:val="004C4647"/>
    <w:rsid w:val="004C4D06"/>
    <w:rsid w:val="004C5513"/>
    <w:rsid w:val="004C5948"/>
    <w:rsid w:val="004C5A25"/>
    <w:rsid w:val="004C5C43"/>
    <w:rsid w:val="004C5FB6"/>
    <w:rsid w:val="004C613E"/>
    <w:rsid w:val="004C61A2"/>
    <w:rsid w:val="004C67E7"/>
    <w:rsid w:val="004C68FB"/>
    <w:rsid w:val="004C6BC2"/>
    <w:rsid w:val="004C71C2"/>
    <w:rsid w:val="004C72CE"/>
    <w:rsid w:val="004C72F2"/>
    <w:rsid w:val="004C787A"/>
    <w:rsid w:val="004D0494"/>
    <w:rsid w:val="004D2BA1"/>
    <w:rsid w:val="004D2FDD"/>
    <w:rsid w:val="004D30E9"/>
    <w:rsid w:val="004D31C0"/>
    <w:rsid w:val="004D3288"/>
    <w:rsid w:val="004D3796"/>
    <w:rsid w:val="004D41CC"/>
    <w:rsid w:val="004D41FE"/>
    <w:rsid w:val="004D4353"/>
    <w:rsid w:val="004D493E"/>
    <w:rsid w:val="004D4A6C"/>
    <w:rsid w:val="004D4B0E"/>
    <w:rsid w:val="004D4C02"/>
    <w:rsid w:val="004D4F37"/>
    <w:rsid w:val="004D530E"/>
    <w:rsid w:val="004D5957"/>
    <w:rsid w:val="004D5E73"/>
    <w:rsid w:val="004D64C6"/>
    <w:rsid w:val="004D6D1B"/>
    <w:rsid w:val="004D7272"/>
    <w:rsid w:val="004D74F1"/>
    <w:rsid w:val="004D758D"/>
    <w:rsid w:val="004D76F0"/>
    <w:rsid w:val="004D78F7"/>
    <w:rsid w:val="004D7BEC"/>
    <w:rsid w:val="004E055E"/>
    <w:rsid w:val="004E0699"/>
    <w:rsid w:val="004E0785"/>
    <w:rsid w:val="004E0791"/>
    <w:rsid w:val="004E09C6"/>
    <w:rsid w:val="004E12C1"/>
    <w:rsid w:val="004E155A"/>
    <w:rsid w:val="004E17DD"/>
    <w:rsid w:val="004E28D0"/>
    <w:rsid w:val="004E2A24"/>
    <w:rsid w:val="004E2B65"/>
    <w:rsid w:val="004E2EB1"/>
    <w:rsid w:val="004E3A4D"/>
    <w:rsid w:val="004E40E2"/>
    <w:rsid w:val="004E428B"/>
    <w:rsid w:val="004E4438"/>
    <w:rsid w:val="004E4F74"/>
    <w:rsid w:val="004E55BA"/>
    <w:rsid w:val="004E5756"/>
    <w:rsid w:val="004E57B0"/>
    <w:rsid w:val="004E5CB2"/>
    <w:rsid w:val="004E65A7"/>
    <w:rsid w:val="004E683D"/>
    <w:rsid w:val="004E6A79"/>
    <w:rsid w:val="004E6B14"/>
    <w:rsid w:val="004E6C53"/>
    <w:rsid w:val="004E6D68"/>
    <w:rsid w:val="004E708E"/>
    <w:rsid w:val="004E7204"/>
    <w:rsid w:val="004E743B"/>
    <w:rsid w:val="004E75E5"/>
    <w:rsid w:val="004E7882"/>
    <w:rsid w:val="004F0186"/>
    <w:rsid w:val="004F0870"/>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D2"/>
    <w:rsid w:val="004F7CD4"/>
    <w:rsid w:val="004F7E2B"/>
    <w:rsid w:val="00500452"/>
    <w:rsid w:val="0050046F"/>
    <w:rsid w:val="0050094D"/>
    <w:rsid w:val="00500B19"/>
    <w:rsid w:val="00500F1F"/>
    <w:rsid w:val="005015C2"/>
    <w:rsid w:val="00501918"/>
    <w:rsid w:val="00501A53"/>
    <w:rsid w:val="0050211B"/>
    <w:rsid w:val="005024D3"/>
    <w:rsid w:val="005024F1"/>
    <w:rsid w:val="00502E23"/>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6F8"/>
    <w:rsid w:val="00510BB0"/>
    <w:rsid w:val="00510EFC"/>
    <w:rsid w:val="00511025"/>
    <w:rsid w:val="005111EF"/>
    <w:rsid w:val="0051150A"/>
    <w:rsid w:val="00511A0F"/>
    <w:rsid w:val="00511D8F"/>
    <w:rsid w:val="00511F06"/>
    <w:rsid w:val="005121BA"/>
    <w:rsid w:val="005121BE"/>
    <w:rsid w:val="005133C8"/>
    <w:rsid w:val="0051354B"/>
    <w:rsid w:val="00513ED8"/>
    <w:rsid w:val="00514508"/>
    <w:rsid w:val="0051457F"/>
    <w:rsid w:val="00514693"/>
    <w:rsid w:val="00514731"/>
    <w:rsid w:val="00514AC8"/>
    <w:rsid w:val="00514BE8"/>
    <w:rsid w:val="00514FBF"/>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6B3"/>
    <w:rsid w:val="00523232"/>
    <w:rsid w:val="00523356"/>
    <w:rsid w:val="005237ED"/>
    <w:rsid w:val="00524360"/>
    <w:rsid w:val="00524CB7"/>
    <w:rsid w:val="00524ED8"/>
    <w:rsid w:val="0052596B"/>
    <w:rsid w:val="00525CD1"/>
    <w:rsid w:val="00525EFA"/>
    <w:rsid w:val="00526A93"/>
    <w:rsid w:val="005279FF"/>
    <w:rsid w:val="005301C3"/>
    <w:rsid w:val="00530450"/>
    <w:rsid w:val="00530836"/>
    <w:rsid w:val="005308C1"/>
    <w:rsid w:val="00530DBD"/>
    <w:rsid w:val="005317A2"/>
    <w:rsid w:val="005319A2"/>
    <w:rsid w:val="00531FB3"/>
    <w:rsid w:val="0053254F"/>
    <w:rsid w:val="0053260B"/>
    <w:rsid w:val="00532AED"/>
    <w:rsid w:val="00532D70"/>
    <w:rsid w:val="00532D94"/>
    <w:rsid w:val="00532F60"/>
    <w:rsid w:val="00533215"/>
    <w:rsid w:val="00533357"/>
    <w:rsid w:val="005333B3"/>
    <w:rsid w:val="005335E0"/>
    <w:rsid w:val="005335F0"/>
    <w:rsid w:val="00533A05"/>
    <w:rsid w:val="00533B89"/>
    <w:rsid w:val="00534376"/>
    <w:rsid w:val="0053469A"/>
    <w:rsid w:val="005346C6"/>
    <w:rsid w:val="005347A3"/>
    <w:rsid w:val="00534D47"/>
    <w:rsid w:val="00535B84"/>
    <w:rsid w:val="00535BC0"/>
    <w:rsid w:val="00535C54"/>
    <w:rsid w:val="005360C8"/>
    <w:rsid w:val="00536446"/>
    <w:rsid w:val="005366C3"/>
    <w:rsid w:val="00537150"/>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AC4"/>
    <w:rsid w:val="005431FE"/>
    <w:rsid w:val="00544107"/>
    <w:rsid w:val="005441C1"/>
    <w:rsid w:val="0054448F"/>
    <w:rsid w:val="00544929"/>
    <w:rsid w:val="00544C83"/>
    <w:rsid w:val="00544FD1"/>
    <w:rsid w:val="00546216"/>
    <w:rsid w:val="0054694F"/>
    <w:rsid w:val="00546F9B"/>
    <w:rsid w:val="00547019"/>
    <w:rsid w:val="0054717C"/>
    <w:rsid w:val="0054743E"/>
    <w:rsid w:val="005478A8"/>
    <w:rsid w:val="00547CEE"/>
    <w:rsid w:val="00550CE7"/>
    <w:rsid w:val="00550EB7"/>
    <w:rsid w:val="005513F2"/>
    <w:rsid w:val="005513FE"/>
    <w:rsid w:val="0055161E"/>
    <w:rsid w:val="00551FFE"/>
    <w:rsid w:val="00552948"/>
    <w:rsid w:val="00552968"/>
    <w:rsid w:val="00553351"/>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6A5"/>
    <w:rsid w:val="00564928"/>
    <w:rsid w:val="00564EF0"/>
    <w:rsid w:val="0056506F"/>
    <w:rsid w:val="00565A1A"/>
    <w:rsid w:val="00565A1E"/>
    <w:rsid w:val="00565AF5"/>
    <w:rsid w:val="00565EE2"/>
    <w:rsid w:val="00566927"/>
    <w:rsid w:val="00566C01"/>
    <w:rsid w:val="00567263"/>
    <w:rsid w:val="005673FD"/>
    <w:rsid w:val="0056746A"/>
    <w:rsid w:val="00567C63"/>
    <w:rsid w:val="00570731"/>
    <w:rsid w:val="0057090A"/>
    <w:rsid w:val="00570DB4"/>
    <w:rsid w:val="00570FC1"/>
    <w:rsid w:val="0057103F"/>
    <w:rsid w:val="005716E9"/>
    <w:rsid w:val="00571D32"/>
    <w:rsid w:val="00571F2E"/>
    <w:rsid w:val="00572518"/>
    <w:rsid w:val="00572FDC"/>
    <w:rsid w:val="00573103"/>
    <w:rsid w:val="005732AD"/>
    <w:rsid w:val="0057332C"/>
    <w:rsid w:val="005738C9"/>
    <w:rsid w:val="005739D4"/>
    <w:rsid w:val="00573CA9"/>
    <w:rsid w:val="00573FE3"/>
    <w:rsid w:val="005749F1"/>
    <w:rsid w:val="00574F23"/>
    <w:rsid w:val="00575662"/>
    <w:rsid w:val="005758F7"/>
    <w:rsid w:val="00575BB2"/>
    <w:rsid w:val="00575F68"/>
    <w:rsid w:val="005762DE"/>
    <w:rsid w:val="00576828"/>
    <w:rsid w:val="00576AA3"/>
    <w:rsid w:val="00576DFC"/>
    <w:rsid w:val="00577BDD"/>
    <w:rsid w:val="00577D00"/>
    <w:rsid w:val="00580420"/>
    <w:rsid w:val="00580851"/>
    <w:rsid w:val="005809EC"/>
    <w:rsid w:val="00580FAD"/>
    <w:rsid w:val="00581135"/>
    <w:rsid w:val="00581476"/>
    <w:rsid w:val="00581873"/>
    <w:rsid w:val="00582AD7"/>
    <w:rsid w:val="00582FF2"/>
    <w:rsid w:val="00583067"/>
    <w:rsid w:val="00583279"/>
    <w:rsid w:val="005835C4"/>
    <w:rsid w:val="00583CFC"/>
    <w:rsid w:val="00583DEF"/>
    <w:rsid w:val="00583FE2"/>
    <w:rsid w:val="00584718"/>
    <w:rsid w:val="005847A4"/>
    <w:rsid w:val="00584969"/>
    <w:rsid w:val="00584A7E"/>
    <w:rsid w:val="00585CDA"/>
    <w:rsid w:val="00586BBF"/>
    <w:rsid w:val="0058793A"/>
    <w:rsid w:val="005879BE"/>
    <w:rsid w:val="00587E66"/>
    <w:rsid w:val="00590299"/>
    <w:rsid w:val="005906FE"/>
    <w:rsid w:val="0059080A"/>
    <w:rsid w:val="00590B77"/>
    <w:rsid w:val="00590C7F"/>
    <w:rsid w:val="00591453"/>
    <w:rsid w:val="00591562"/>
    <w:rsid w:val="005920C9"/>
    <w:rsid w:val="005922E8"/>
    <w:rsid w:val="0059254B"/>
    <w:rsid w:val="005927D3"/>
    <w:rsid w:val="00592843"/>
    <w:rsid w:val="00592B3E"/>
    <w:rsid w:val="00593128"/>
    <w:rsid w:val="005933B8"/>
    <w:rsid w:val="005935D5"/>
    <w:rsid w:val="00593D4D"/>
    <w:rsid w:val="00594228"/>
    <w:rsid w:val="005947C2"/>
    <w:rsid w:val="00595513"/>
    <w:rsid w:val="005956C9"/>
    <w:rsid w:val="00595F0E"/>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42B6"/>
    <w:rsid w:val="005A5237"/>
    <w:rsid w:val="005A54C3"/>
    <w:rsid w:val="005A651A"/>
    <w:rsid w:val="005A665C"/>
    <w:rsid w:val="005A6E3A"/>
    <w:rsid w:val="005A73FC"/>
    <w:rsid w:val="005A74D3"/>
    <w:rsid w:val="005A7784"/>
    <w:rsid w:val="005A7CA4"/>
    <w:rsid w:val="005B06C8"/>
    <w:rsid w:val="005B0811"/>
    <w:rsid w:val="005B0A7C"/>
    <w:rsid w:val="005B0CC9"/>
    <w:rsid w:val="005B0D6B"/>
    <w:rsid w:val="005B0E34"/>
    <w:rsid w:val="005B1112"/>
    <w:rsid w:val="005B130D"/>
    <w:rsid w:val="005B163E"/>
    <w:rsid w:val="005B1CF3"/>
    <w:rsid w:val="005B2BD3"/>
    <w:rsid w:val="005B3328"/>
    <w:rsid w:val="005B3734"/>
    <w:rsid w:val="005B3735"/>
    <w:rsid w:val="005B3837"/>
    <w:rsid w:val="005B39FF"/>
    <w:rsid w:val="005B43CD"/>
    <w:rsid w:val="005B47CC"/>
    <w:rsid w:val="005B5C05"/>
    <w:rsid w:val="005B6004"/>
    <w:rsid w:val="005B70B4"/>
    <w:rsid w:val="005B72B9"/>
    <w:rsid w:val="005C026D"/>
    <w:rsid w:val="005C060E"/>
    <w:rsid w:val="005C096E"/>
    <w:rsid w:val="005C0C89"/>
    <w:rsid w:val="005C0D0B"/>
    <w:rsid w:val="005C10CD"/>
    <w:rsid w:val="005C1863"/>
    <w:rsid w:val="005C1C10"/>
    <w:rsid w:val="005C1F74"/>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34A"/>
    <w:rsid w:val="005E2668"/>
    <w:rsid w:val="005E269F"/>
    <w:rsid w:val="005E287C"/>
    <w:rsid w:val="005E38E1"/>
    <w:rsid w:val="005E4328"/>
    <w:rsid w:val="005E443B"/>
    <w:rsid w:val="005E4A50"/>
    <w:rsid w:val="005E5658"/>
    <w:rsid w:val="005E5BB2"/>
    <w:rsid w:val="005E5C0B"/>
    <w:rsid w:val="005E63B4"/>
    <w:rsid w:val="005E642C"/>
    <w:rsid w:val="005E65B1"/>
    <w:rsid w:val="005E71CE"/>
    <w:rsid w:val="005E7209"/>
    <w:rsid w:val="005E73D8"/>
    <w:rsid w:val="005E7A4E"/>
    <w:rsid w:val="005F044D"/>
    <w:rsid w:val="005F0468"/>
    <w:rsid w:val="005F049B"/>
    <w:rsid w:val="005F0658"/>
    <w:rsid w:val="005F0D7B"/>
    <w:rsid w:val="005F11E8"/>
    <w:rsid w:val="005F12FD"/>
    <w:rsid w:val="005F1489"/>
    <w:rsid w:val="005F1909"/>
    <w:rsid w:val="005F1A75"/>
    <w:rsid w:val="005F1AEF"/>
    <w:rsid w:val="005F1BC7"/>
    <w:rsid w:val="005F201E"/>
    <w:rsid w:val="005F23FF"/>
    <w:rsid w:val="005F2832"/>
    <w:rsid w:val="005F2865"/>
    <w:rsid w:val="005F2A11"/>
    <w:rsid w:val="005F37D9"/>
    <w:rsid w:val="005F4197"/>
    <w:rsid w:val="005F4228"/>
    <w:rsid w:val="005F470E"/>
    <w:rsid w:val="005F47AB"/>
    <w:rsid w:val="005F47D6"/>
    <w:rsid w:val="005F4F47"/>
    <w:rsid w:val="005F4F58"/>
    <w:rsid w:val="005F54A1"/>
    <w:rsid w:val="005F565C"/>
    <w:rsid w:val="005F59FE"/>
    <w:rsid w:val="005F5BCB"/>
    <w:rsid w:val="005F5E7D"/>
    <w:rsid w:val="005F6252"/>
    <w:rsid w:val="005F6689"/>
    <w:rsid w:val="005F67CA"/>
    <w:rsid w:val="005F6926"/>
    <w:rsid w:val="005F6FC8"/>
    <w:rsid w:val="005F7080"/>
    <w:rsid w:val="005F768E"/>
    <w:rsid w:val="005F7AFD"/>
    <w:rsid w:val="005F7B95"/>
    <w:rsid w:val="0060064E"/>
    <w:rsid w:val="006006E5"/>
    <w:rsid w:val="0060097B"/>
    <w:rsid w:val="00600B20"/>
    <w:rsid w:val="00600ED5"/>
    <w:rsid w:val="006014B2"/>
    <w:rsid w:val="006015AC"/>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FD5"/>
    <w:rsid w:val="006124A1"/>
    <w:rsid w:val="006125DC"/>
    <w:rsid w:val="00612827"/>
    <w:rsid w:val="00613083"/>
    <w:rsid w:val="00613475"/>
    <w:rsid w:val="006137D5"/>
    <w:rsid w:val="0061380A"/>
    <w:rsid w:val="00613A41"/>
    <w:rsid w:val="006142CC"/>
    <w:rsid w:val="006145E8"/>
    <w:rsid w:val="006148EA"/>
    <w:rsid w:val="00614989"/>
    <w:rsid w:val="00614D10"/>
    <w:rsid w:val="00614D1C"/>
    <w:rsid w:val="00614D6D"/>
    <w:rsid w:val="00615175"/>
    <w:rsid w:val="00615653"/>
    <w:rsid w:val="00615C7E"/>
    <w:rsid w:val="00616376"/>
    <w:rsid w:val="00616F4B"/>
    <w:rsid w:val="00617422"/>
    <w:rsid w:val="00617856"/>
    <w:rsid w:val="00617A94"/>
    <w:rsid w:val="00617C8D"/>
    <w:rsid w:val="00617EB4"/>
    <w:rsid w:val="006200EA"/>
    <w:rsid w:val="0062084C"/>
    <w:rsid w:val="00620B08"/>
    <w:rsid w:val="00620D90"/>
    <w:rsid w:val="00620E58"/>
    <w:rsid w:val="00621518"/>
    <w:rsid w:val="00621EDF"/>
    <w:rsid w:val="00622031"/>
    <w:rsid w:val="00622091"/>
    <w:rsid w:val="00622265"/>
    <w:rsid w:val="006225A3"/>
    <w:rsid w:val="006225FF"/>
    <w:rsid w:val="00622609"/>
    <w:rsid w:val="00622943"/>
    <w:rsid w:val="006232A6"/>
    <w:rsid w:val="00623D48"/>
    <w:rsid w:val="00623DC9"/>
    <w:rsid w:val="006248D7"/>
    <w:rsid w:val="0062563A"/>
    <w:rsid w:val="00625752"/>
    <w:rsid w:val="00625B9E"/>
    <w:rsid w:val="00625D2B"/>
    <w:rsid w:val="006262F2"/>
    <w:rsid w:val="00626602"/>
    <w:rsid w:val="00626609"/>
    <w:rsid w:val="00626823"/>
    <w:rsid w:val="0062718D"/>
    <w:rsid w:val="006271F5"/>
    <w:rsid w:val="006274F5"/>
    <w:rsid w:val="00627A5D"/>
    <w:rsid w:val="006303B4"/>
    <w:rsid w:val="0063075F"/>
    <w:rsid w:val="00630834"/>
    <w:rsid w:val="006316ED"/>
    <w:rsid w:val="006317B6"/>
    <w:rsid w:val="006322D0"/>
    <w:rsid w:val="0063255C"/>
    <w:rsid w:val="00632580"/>
    <w:rsid w:val="00632CC7"/>
    <w:rsid w:val="00633666"/>
    <w:rsid w:val="00633D8A"/>
    <w:rsid w:val="00633E29"/>
    <w:rsid w:val="00633EE0"/>
    <w:rsid w:val="00634107"/>
    <w:rsid w:val="00634855"/>
    <w:rsid w:val="006351C2"/>
    <w:rsid w:val="00635241"/>
    <w:rsid w:val="0063537D"/>
    <w:rsid w:val="00635AAB"/>
    <w:rsid w:val="0063601A"/>
    <w:rsid w:val="006365EF"/>
    <w:rsid w:val="00636D36"/>
    <w:rsid w:val="00636D41"/>
    <w:rsid w:val="006371D7"/>
    <w:rsid w:val="006375A4"/>
    <w:rsid w:val="0063761F"/>
    <w:rsid w:val="006377A1"/>
    <w:rsid w:val="00637A1E"/>
    <w:rsid w:val="00637BBA"/>
    <w:rsid w:val="00637F06"/>
    <w:rsid w:val="00637FAD"/>
    <w:rsid w:val="00640620"/>
    <w:rsid w:val="00640835"/>
    <w:rsid w:val="00640BAB"/>
    <w:rsid w:val="00640D79"/>
    <w:rsid w:val="00642406"/>
    <w:rsid w:val="00642A5C"/>
    <w:rsid w:val="0064329A"/>
    <w:rsid w:val="0064399B"/>
    <w:rsid w:val="00643D1C"/>
    <w:rsid w:val="00643F75"/>
    <w:rsid w:val="006441AD"/>
    <w:rsid w:val="00644999"/>
    <w:rsid w:val="0064509D"/>
    <w:rsid w:val="006451FF"/>
    <w:rsid w:val="00645EFF"/>
    <w:rsid w:val="00645F4F"/>
    <w:rsid w:val="0064669D"/>
    <w:rsid w:val="00646F27"/>
    <w:rsid w:val="006470EE"/>
    <w:rsid w:val="0064754E"/>
    <w:rsid w:val="00647550"/>
    <w:rsid w:val="006475F0"/>
    <w:rsid w:val="00647C54"/>
    <w:rsid w:val="00647CCD"/>
    <w:rsid w:val="00647ECB"/>
    <w:rsid w:val="00650049"/>
    <w:rsid w:val="00650128"/>
    <w:rsid w:val="0065022D"/>
    <w:rsid w:val="006502D1"/>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6C1C"/>
    <w:rsid w:val="006572F6"/>
    <w:rsid w:val="0065744E"/>
    <w:rsid w:val="00657664"/>
    <w:rsid w:val="00657E09"/>
    <w:rsid w:val="00657F1F"/>
    <w:rsid w:val="00660073"/>
    <w:rsid w:val="006605BF"/>
    <w:rsid w:val="006608AA"/>
    <w:rsid w:val="006610B1"/>
    <w:rsid w:val="00661476"/>
    <w:rsid w:val="00661637"/>
    <w:rsid w:val="00661AB5"/>
    <w:rsid w:val="006620E9"/>
    <w:rsid w:val="00662180"/>
    <w:rsid w:val="006623A3"/>
    <w:rsid w:val="006623D5"/>
    <w:rsid w:val="00662590"/>
    <w:rsid w:val="0066293B"/>
    <w:rsid w:val="0066314B"/>
    <w:rsid w:val="006635CE"/>
    <w:rsid w:val="00663B1C"/>
    <w:rsid w:val="006642BD"/>
    <w:rsid w:val="006643D0"/>
    <w:rsid w:val="00664568"/>
    <w:rsid w:val="00664E46"/>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138F"/>
    <w:rsid w:val="006715BC"/>
    <w:rsid w:val="00671836"/>
    <w:rsid w:val="006721D6"/>
    <w:rsid w:val="006727FA"/>
    <w:rsid w:val="006728C2"/>
    <w:rsid w:val="00672B24"/>
    <w:rsid w:val="00672E4F"/>
    <w:rsid w:val="00673232"/>
    <w:rsid w:val="00673251"/>
    <w:rsid w:val="0067348B"/>
    <w:rsid w:val="006736A4"/>
    <w:rsid w:val="006739CD"/>
    <w:rsid w:val="00673A8A"/>
    <w:rsid w:val="00673E17"/>
    <w:rsid w:val="0067404E"/>
    <w:rsid w:val="0067484C"/>
    <w:rsid w:val="00675075"/>
    <w:rsid w:val="00676D62"/>
    <w:rsid w:val="00677106"/>
    <w:rsid w:val="006774EE"/>
    <w:rsid w:val="006778BE"/>
    <w:rsid w:val="0067795C"/>
    <w:rsid w:val="006800D1"/>
    <w:rsid w:val="00680607"/>
    <w:rsid w:val="00680BEA"/>
    <w:rsid w:val="0068141F"/>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0E"/>
    <w:rsid w:val="006861DC"/>
    <w:rsid w:val="00687139"/>
    <w:rsid w:val="0068716D"/>
    <w:rsid w:val="00687370"/>
    <w:rsid w:val="006878BB"/>
    <w:rsid w:val="00687BBC"/>
    <w:rsid w:val="00687EFC"/>
    <w:rsid w:val="00690011"/>
    <w:rsid w:val="00690322"/>
    <w:rsid w:val="00690595"/>
    <w:rsid w:val="00690CEA"/>
    <w:rsid w:val="00691056"/>
    <w:rsid w:val="006913CA"/>
    <w:rsid w:val="00691C0F"/>
    <w:rsid w:val="00691CB8"/>
    <w:rsid w:val="00692311"/>
    <w:rsid w:val="00693A3A"/>
    <w:rsid w:val="00693B0B"/>
    <w:rsid w:val="00693C05"/>
    <w:rsid w:val="0069469F"/>
    <w:rsid w:val="00694754"/>
    <w:rsid w:val="00694853"/>
    <w:rsid w:val="006949CF"/>
    <w:rsid w:val="00694B41"/>
    <w:rsid w:val="00694C9F"/>
    <w:rsid w:val="00695155"/>
    <w:rsid w:val="006955B1"/>
    <w:rsid w:val="00695959"/>
    <w:rsid w:val="00695B54"/>
    <w:rsid w:val="0069620F"/>
    <w:rsid w:val="00696847"/>
    <w:rsid w:val="00696A9C"/>
    <w:rsid w:val="00696B9E"/>
    <w:rsid w:val="006970CF"/>
    <w:rsid w:val="00697962"/>
    <w:rsid w:val="006A013A"/>
    <w:rsid w:val="006A0701"/>
    <w:rsid w:val="006A0CB9"/>
    <w:rsid w:val="006A0D0E"/>
    <w:rsid w:val="006A1345"/>
    <w:rsid w:val="006A1698"/>
    <w:rsid w:val="006A1B4F"/>
    <w:rsid w:val="006A23CD"/>
    <w:rsid w:val="006A2501"/>
    <w:rsid w:val="006A2667"/>
    <w:rsid w:val="006A2838"/>
    <w:rsid w:val="006A2A47"/>
    <w:rsid w:val="006A3049"/>
    <w:rsid w:val="006A352D"/>
    <w:rsid w:val="006A36DE"/>
    <w:rsid w:val="006A38D6"/>
    <w:rsid w:val="006A3994"/>
    <w:rsid w:val="006A3D9A"/>
    <w:rsid w:val="006A3EDC"/>
    <w:rsid w:val="006A4129"/>
    <w:rsid w:val="006A443D"/>
    <w:rsid w:val="006A4489"/>
    <w:rsid w:val="006A4808"/>
    <w:rsid w:val="006A4DB1"/>
    <w:rsid w:val="006A4F5A"/>
    <w:rsid w:val="006A51C2"/>
    <w:rsid w:val="006A5580"/>
    <w:rsid w:val="006A5979"/>
    <w:rsid w:val="006A5A9C"/>
    <w:rsid w:val="006A5DED"/>
    <w:rsid w:val="006A5F95"/>
    <w:rsid w:val="006A62E7"/>
    <w:rsid w:val="006A639B"/>
    <w:rsid w:val="006A6B8D"/>
    <w:rsid w:val="006A6CAB"/>
    <w:rsid w:val="006A6ECF"/>
    <w:rsid w:val="006A7885"/>
    <w:rsid w:val="006A7C68"/>
    <w:rsid w:val="006B05C0"/>
    <w:rsid w:val="006B082A"/>
    <w:rsid w:val="006B0B11"/>
    <w:rsid w:val="006B1579"/>
    <w:rsid w:val="006B19F3"/>
    <w:rsid w:val="006B1D04"/>
    <w:rsid w:val="006B2967"/>
    <w:rsid w:val="006B2A09"/>
    <w:rsid w:val="006B2ED2"/>
    <w:rsid w:val="006B392E"/>
    <w:rsid w:val="006B402D"/>
    <w:rsid w:val="006B40C7"/>
    <w:rsid w:val="006B44A2"/>
    <w:rsid w:val="006B467E"/>
    <w:rsid w:val="006B4739"/>
    <w:rsid w:val="006B48EA"/>
    <w:rsid w:val="006B4DA0"/>
    <w:rsid w:val="006B4DA7"/>
    <w:rsid w:val="006B4FDA"/>
    <w:rsid w:val="006B525B"/>
    <w:rsid w:val="006B5551"/>
    <w:rsid w:val="006B56C6"/>
    <w:rsid w:val="006B5B45"/>
    <w:rsid w:val="006B5EB1"/>
    <w:rsid w:val="006B6024"/>
    <w:rsid w:val="006B62B0"/>
    <w:rsid w:val="006B652F"/>
    <w:rsid w:val="006B708E"/>
    <w:rsid w:val="006B74B0"/>
    <w:rsid w:val="006B7A22"/>
    <w:rsid w:val="006C001C"/>
    <w:rsid w:val="006C04FD"/>
    <w:rsid w:val="006C1008"/>
    <w:rsid w:val="006C22CC"/>
    <w:rsid w:val="006C254F"/>
    <w:rsid w:val="006C269F"/>
    <w:rsid w:val="006C2EFC"/>
    <w:rsid w:val="006C308C"/>
    <w:rsid w:val="006C351B"/>
    <w:rsid w:val="006C38D8"/>
    <w:rsid w:val="006C3944"/>
    <w:rsid w:val="006C3A8E"/>
    <w:rsid w:val="006C3C51"/>
    <w:rsid w:val="006C3DDC"/>
    <w:rsid w:val="006C3DFF"/>
    <w:rsid w:val="006C4069"/>
    <w:rsid w:val="006C4285"/>
    <w:rsid w:val="006C4320"/>
    <w:rsid w:val="006C49D0"/>
    <w:rsid w:val="006C4B7B"/>
    <w:rsid w:val="006C4D1F"/>
    <w:rsid w:val="006C4DDF"/>
    <w:rsid w:val="006C4F0A"/>
    <w:rsid w:val="006C5134"/>
    <w:rsid w:val="006C522E"/>
    <w:rsid w:val="006C561D"/>
    <w:rsid w:val="006C6068"/>
    <w:rsid w:val="006C65E2"/>
    <w:rsid w:val="006C6950"/>
    <w:rsid w:val="006C6A3A"/>
    <w:rsid w:val="006C6AB3"/>
    <w:rsid w:val="006C6DD8"/>
    <w:rsid w:val="006C7E20"/>
    <w:rsid w:val="006C7F57"/>
    <w:rsid w:val="006D092C"/>
    <w:rsid w:val="006D0AB4"/>
    <w:rsid w:val="006D1545"/>
    <w:rsid w:val="006D1A6B"/>
    <w:rsid w:val="006D1B0C"/>
    <w:rsid w:val="006D1B88"/>
    <w:rsid w:val="006D1CC3"/>
    <w:rsid w:val="006D2602"/>
    <w:rsid w:val="006D2803"/>
    <w:rsid w:val="006D2BBD"/>
    <w:rsid w:val="006D2C8F"/>
    <w:rsid w:val="006D2CC3"/>
    <w:rsid w:val="006D2D51"/>
    <w:rsid w:val="006D33EC"/>
    <w:rsid w:val="006D3A70"/>
    <w:rsid w:val="006D3A8A"/>
    <w:rsid w:val="006D4077"/>
    <w:rsid w:val="006D4714"/>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9C8"/>
    <w:rsid w:val="006E4DC8"/>
    <w:rsid w:val="006E5A12"/>
    <w:rsid w:val="006E5A24"/>
    <w:rsid w:val="006E6239"/>
    <w:rsid w:val="006E6685"/>
    <w:rsid w:val="006E6823"/>
    <w:rsid w:val="006E6F20"/>
    <w:rsid w:val="006E750B"/>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814"/>
    <w:rsid w:val="006F19AF"/>
    <w:rsid w:val="006F1C48"/>
    <w:rsid w:val="006F1D61"/>
    <w:rsid w:val="006F1DF0"/>
    <w:rsid w:val="006F1EA4"/>
    <w:rsid w:val="006F207E"/>
    <w:rsid w:val="006F2444"/>
    <w:rsid w:val="006F2749"/>
    <w:rsid w:val="006F2975"/>
    <w:rsid w:val="006F2C65"/>
    <w:rsid w:val="006F2D11"/>
    <w:rsid w:val="006F3C1A"/>
    <w:rsid w:val="006F4072"/>
    <w:rsid w:val="006F4E6B"/>
    <w:rsid w:val="006F4FA3"/>
    <w:rsid w:val="006F4FD9"/>
    <w:rsid w:val="006F56D4"/>
    <w:rsid w:val="006F58F3"/>
    <w:rsid w:val="006F5BE6"/>
    <w:rsid w:val="006F5C6A"/>
    <w:rsid w:val="006F5CC9"/>
    <w:rsid w:val="006F5ECA"/>
    <w:rsid w:val="006F6539"/>
    <w:rsid w:val="006F6974"/>
    <w:rsid w:val="006F69EA"/>
    <w:rsid w:val="006F6A74"/>
    <w:rsid w:val="006F6C96"/>
    <w:rsid w:val="006F7905"/>
    <w:rsid w:val="006F7AFB"/>
    <w:rsid w:val="006F7E6C"/>
    <w:rsid w:val="00700C13"/>
    <w:rsid w:val="00700D48"/>
    <w:rsid w:val="00700E2A"/>
    <w:rsid w:val="007020C8"/>
    <w:rsid w:val="007022FB"/>
    <w:rsid w:val="00702366"/>
    <w:rsid w:val="007025E1"/>
    <w:rsid w:val="007028CA"/>
    <w:rsid w:val="0070296E"/>
    <w:rsid w:val="00702A8D"/>
    <w:rsid w:val="007032DD"/>
    <w:rsid w:val="00703B03"/>
    <w:rsid w:val="0070429A"/>
    <w:rsid w:val="00704777"/>
    <w:rsid w:val="0070497F"/>
    <w:rsid w:val="00705CB8"/>
    <w:rsid w:val="00706433"/>
    <w:rsid w:val="00706B37"/>
    <w:rsid w:val="00706C2A"/>
    <w:rsid w:val="00707260"/>
    <w:rsid w:val="00707493"/>
    <w:rsid w:val="00707A77"/>
    <w:rsid w:val="00707CBB"/>
    <w:rsid w:val="00707ED5"/>
    <w:rsid w:val="00710259"/>
    <w:rsid w:val="00710CED"/>
    <w:rsid w:val="00710F99"/>
    <w:rsid w:val="00711402"/>
    <w:rsid w:val="00711669"/>
    <w:rsid w:val="00711F16"/>
    <w:rsid w:val="0071236E"/>
    <w:rsid w:val="007124CE"/>
    <w:rsid w:val="007125E9"/>
    <w:rsid w:val="00712AF9"/>
    <w:rsid w:val="00712B0E"/>
    <w:rsid w:val="00712B69"/>
    <w:rsid w:val="00712E19"/>
    <w:rsid w:val="00712EC8"/>
    <w:rsid w:val="00713180"/>
    <w:rsid w:val="00713487"/>
    <w:rsid w:val="00713768"/>
    <w:rsid w:val="00713858"/>
    <w:rsid w:val="007139B2"/>
    <w:rsid w:val="007139DA"/>
    <w:rsid w:val="00713A27"/>
    <w:rsid w:val="00713FEF"/>
    <w:rsid w:val="00714C1C"/>
    <w:rsid w:val="00715317"/>
    <w:rsid w:val="00715579"/>
    <w:rsid w:val="00715B79"/>
    <w:rsid w:val="00715C05"/>
    <w:rsid w:val="0071621F"/>
    <w:rsid w:val="00716AA2"/>
    <w:rsid w:val="00717278"/>
    <w:rsid w:val="00717735"/>
    <w:rsid w:val="0071780F"/>
    <w:rsid w:val="00717CB1"/>
    <w:rsid w:val="00717D5F"/>
    <w:rsid w:val="00717F83"/>
    <w:rsid w:val="00720186"/>
    <w:rsid w:val="007201DC"/>
    <w:rsid w:val="0072128D"/>
    <w:rsid w:val="007216AD"/>
    <w:rsid w:val="00721917"/>
    <w:rsid w:val="0072195E"/>
    <w:rsid w:val="00721989"/>
    <w:rsid w:val="007219D7"/>
    <w:rsid w:val="007219E5"/>
    <w:rsid w:val="00721A0E"/>
    <w:rsid w:val="00721BF1"/>
    <w:rsid w:val="00721E63"/>
    <w:rsid w:val="00721F21"/>
    <w:rsid w:val="00722A31"/>
    <w:rsid w:val="00722E5C"/>
    <w:rsid w:val="007231F3"/>
    <w:rsid w:val="007232D1"/>
    <w:rsid w:val="00723350"/>
    <w:rsid w:val="00723565"/>
    <w:rsid w:val="0072359F"/>
    <w:rsid w:val="00723F39"/>
    <w:rsid w:val="0072424D"/>
    <w:rsid w:val="00724277"/>
    <w:rsid w:val="007242C3"/>
    <w:rsid w:val="00724C17"/>
    <w:rsid w:val="007250CB"/>
    <w:rsid w:val="00725435"/>
    <w:rsid w:val="0072573D"/>
    <w:rsid w:val="007258F9"/>
    <w:rsid w:val="00725EC4"/>
    <w:rsid w:val="00726259"/>
    <w:rsid w:val="00726285"/>
    <w:rsid w:val="007263D7"/>
    <w:rsid w:val="007263E8"/>
    <w:rsid w:val="00726D2F"/>
    <w:rsid w:val="0072704F"/>
    <w:rsid w:val="00727171"/>
    <w:rsid w:val="00727614"/>
    <w:rsid w:val="0072772E"/>
    <w:rsid w:val="00727E89"/>
    <w:rsid w:val="007306DC"/>
    <w:rsid w:val="0073084D"/>
    <w:rsid w:val="007309BC"/>
    <w:rsid w:val="00730D13"/>
    <w:rsid w:val="00730F86"/>
    <w:rsid w:val="00731155"/>
    <w:rsid w:val="007317A1"/>
    <w:rsid w:val="00731918"/>
    <w:rsid w:val="00731B95"/>
    <w:rsid w:val="00731DB4"/>
    <w:rsid w:val="00731ED6"/>
    <w:rsid w:val="00732719"/>
    <w:rsid w:val="00733724"/>
    <w:rsid w:val="00733742"/>
    <w:rsid w:val="0073386B"/>
    <w:rsid w:val="00733885"/>
    <w:rsid w:val="00734C84"/>
    <w:rsid w:val="00734E9B"/>
    <w:rsid w:val="00735173"/>
    <w:rsid w:val="00735601"/>
    <w:rsid w:val="007356E6"/>
    <w:rsid w:val="00735A5A"/>
    <w:rsid w:val="00735DF9"/>
    <w:rsid w:val="00735FA1"/>
    <w:rsid w:val="0073646E"/>
    <w:rsid w:val="00736C7B"/>
    <w:rsid w:val="00737172"/>
    <w:rsid w:val="00737388"/>
    <w:rsid w:val="00737B7C"/>
    <w:rsid w:val="0074023B"/>
    <w:rsid w:val="007402F6"/>
    <w:rsid w:val="00740496"/>
    <w:rsid w:val="0074057A"/>
    <w:rsid w:val="00740BD7"/>
    <w:rsid w:val="00740E80"/>
    <w:rsid w:val="00741296"/>
    <w:rsid w:val="0074158B"/>
    <w:rsid w:val="0074171B"/>
    <w:rsid w:val="007417F5"/>
    <w:rsid w:val="00741A8D"/>
    <w:rsid w:val="00741AF0"/>
    <w:rsid w:val="00741E5E"/>
    <w:rsid w:val="007421AC"/>
    <w:rsid w:val="007421BE"/>
    <w:rsid w:val="00742E08"/>
    <w:rsid w:val="00742E86"/>
    <w:rsid w:val="00742EC9"/>
    <w:rsid w:val="00742EF1"/>
    <w:rsid w:val="00743208"/>
    <w:rsid w:val="00743C7C"/>
    <w:rsid w:val="00743D39"/>
    <w:rsid w:val="00743EE9"/>
    <w:rsid w:val="007440E1"/>
    <w:rsid w:val="007443A4"/>
    <w:rsid w:val="007443CF"/>
    <w:rsid w:val="00744961"/>
    <w:rsid w:val="007454E4"/>
    <w:rsid w:val="00745685"/>
    <w:rsid w:val="00745AF4"/>
    <w:rsid w:val="00745E6B"/>
    <w:rsid w:val="007462DC"/>
    <w:rsid w:val="00746752"/>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8A"/>
    <w:rsid w:val="00752BDD"/>
    <w:rsid w:val="00752EE9"/>
    <w:rsid w:val="0075318A"/>
    <w:rsid w:val="007531EB"/>
    <w:rsid w:val="00753CA8"/>
    <w:rsid w:val="00753DF9"/>
    <w:rsid w:val="00753F58"/>
    <w:rsid w:val="00754170"/>
    <w:rsid w:val="00754193"/>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9A8"/>
    <w:rsid w:val="00760A73"/>
    <w:rsid w:val="00760B20"/>
    <w:rsid w:val="007610D8"/>
    <w:rsid w:val="0076113F"/>
    <w:rsid w:val="00761409"/>
    <w:rsid w:val="007615E2"/>
    <w:rsid w:val="0076169D"/>
    <w:rsid w:val="007617B3"/>
    <w:rsid w:val="00761ABB"/>
    <w:rsid w:val="00762296"/>
    <w:rsid w:val="007624A5"/>
    <w:rsid w:val="00762526"/>
    <w:rsid w:val="00763C10"/>
    <w:rsid w:val="007643AD"/>
    <w:rsid w:val="0076459F"/>
    <w:rsid w:val="00765581"/>
    <w:rsid w:val="0076608B"/>
    <w:rsid w:val="00766973"/>
    <w:rsid w:val="00766D21"/>
    <w:rsid w:val="00766E3A"/>
    <w:rsid w:val="00767619"/>
    <w:rsid w:val="00767838"/>
    <w:rsid w:val="007679C5"/>
    <w:rsid w:val="00767EAC"/>
    <w:rsid w:val="0077006D"/>
    <w:rsid w:val="0077018D"/>
    <w:rsid w:val="007702DD"/>
    <w:rsid w:val="007707BA"/>
    <w:rsid w:val="007715BF"/>
    <w:rsid w:val="00771D8A"/>
    <w:rsid w:val="00771F26"/>
    <w:rsid w:val="00771FC6"/>
    <w:rsid w:val="00772094"/>
    <w:rsid w:val="00772509"/>
    <w:rsid w:val="00772615"/>
    <w:rsid w:val="00772761"/>
    <w:rsid w:val="00772B0B"/>
    <w:rsid w:val="00772FAA"/>
    <w:rsid w:val="00773324"/>
    <w:rsid w:val="007734FE"/>
    <w:rsid w:val="00773E8E"/>
    <w:rsid w:val="0077466B"/>
    <w:rsid w:val="0077492D"/>
    <w:rsid w:val="00774D2F"/>
    <w:rsid w:val="00775718"/>
    <w:rsid w:val="00775D57"/>
    <w:rsid w:val="007765D1"/>
    <w:rsid w:val="00776911"/>
    <w:rsid w:val="00776F4E"/>
    <w:rsid w:val="007771F8"/>
    <w:rsid w:val="00777498"/>
    <w:rsid w:val="00777844"/>
    <w:rsid w:val="00777C25"/>
    <w:rsid w:val="00780008"/>
    <w:rsid w:val="00780276"/>
    <w:rsid w:val="0078050D"/>
    <w:rsid w:val="0078077D"/>
    <w:rsid w:val="007811E6"/>
    <w:rsid w:val="00781C73"/>
    <w:rsid w:val="00781FA1"/>
    <w:rsid w:val="0078210E"/>
    <w:rsid w:val="0078248B"/>
    <w:rsid w:val="007829E6"/>
    <w:rsid w:val="00782BC4"/>
    <w:rsid w:val="00782DF6"/>
    <w:rsid w:val="00783D9F"/>
    <w:rsid w:val="00784128"/>
    <w:rsid w:val="0078441E"/>
    <w:rsid w:val="0078465E"/>
    <w:rsid w:val="0078500F"/>
    <w:rsid w:val="007850F3"/>
    <w:rsid w:val="00785222"/>
    <w:rsid w:val="007853F2"/>
    <w:rsid w:val="0078574F"/>
    <w:rsid w:val="00785935"/>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20F6"/>
    <w:rsid w:val="00792283"/>
    <w:rsid w:val="00792458"/>
    <w:rsid w:val="007929FB"/>
    <w:rsid w:val="00792C11"/>
    <w:rsid w:val="00792CA6"/>
    <w:rsid w:val="00793A14"/>
    <w:rsid w:val="00793AA6"/>
    <w:rsid w:val="00793DB8"/>
    <w:rsid w:val="007941A4"/>
    <w:rsid w:val="007942F0"/>
    <w:rsid w:val="007949D4"/>
    <w:rsid w:val="00794AEF"/>
    <w:rsid w:val="00794D40"/>
    <w:rsid w:val="00794FDE"/>
    <w:rsid w:val="00795536"/>
    <w:rsid w:val="00795CF5"/>
    <w:rsid w:val="00795D68"/>
    <w:rsid w:val="007962BF"/>
    <w:rsid w:val="0079668E"/>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A2"/>
    <w:rsid w:val="007A55AC"/>
    <w:rsid w:val="007A5918"/>
    <w:rsid w:val="007A6768"/>
    <w:rsid w:val="007A679C"/>
    <w:rsid w:val="007A71C6"/>
    <w:rsid w:val="007A766C"/>
    <w:rsid w:val="007A78D9"/>
    <w:rsid w:val="007B0168"/>
    <w:rsid w:val="007B03EB"/>
    <w:rsid w:val="007B0953"/>
    <w:rsid w:val="007B0B0D"/>
    <w:rsid w:val="007B10C9"/>
    <w:rsid w:val="007B13DE"/>
    <w:rsid w:val="007B1573"/>
    <w:rsid w:val="007B1862"/>
    <w:rsid w:val="007B1C1A"/>
    <w:rsid w:val="007B1C73"/>
    <w:rsid w:val="007B1F63"/>
    <w:rsid w:val="007B2338"/>
    <w:rsid w:val="007B260A"/>
    <w:rsid w:val="007B2C62"/>
    <w:rsid w:val="007B2F0F"/>
    <w:rsid w:val="007B3C6E"/>
    <w:rsid w:val="007B3C88"/>
    <w:rsid w:val="007B3FE3"/>
    <w:rsid w:val="007B4190"/>
    <w:rsid w:val="007B4621"/>
    <w:rsid w:val="007B499E"/>
    <w:rsid w:val="007B4D4E"/>
    <w:rsid w:val="007B4D6A"/>
    <w:rsid w:val="007B5041"/>
    <w:rsid w:val="007B53BC"/>
    <w:rsid w:val="007B5422"/>
    <w:rsid w:val="007B6053"/>
    <w:rsid w:val="007B6404"/>
    <w:rsid w:val="007B67D8"/>
    <w:rsid w:val="007B6C3D"/>
    <w:rsid w:val="007B71AA"/>
    <w:rsid w:val="007B7679"/>
    <w:rsid w:val="007B79F2"/>
    <w:rsid w:val="007B7EBF"/>
    <w:rsid w:val="007B7F82"/>
    <w:rsid w:val="007B7FF0"/>
    <w:rsid w:val="007C0592"/>
    <w:rsid w:val="007C1774"/>
    <w:rsid w:val="007C1913"/>
    <w:rsid w:val="007C1F25"/>
    <w:rsid w:val="007C1FAE"/>
    <w:rsid w:val="007C249E"/>
    <w:rsid w:val="007C2B2A"/>
    <w:rsid w:val="007C3393"/>
    <w:rsid w:val="007C3519"/>
    <w:rsid w:val="007C35FD"/>
    <w:rsid w:val="007C411E"/>
    <w:rsid w:val="007C491F"/>
    <w:rsid w:val="007C4A83"/>
    <w:rsid w:val="007C4B17"/>
    <w:rsid w:val="007C4C11"/>
    <w:rsid w:val="007C4CE9"/>
    <w:rsid w:val="007C4F98"/>
    <w:rsid w:val="007C4F9C"/>
    <w:rsid w:val="007C5106"/>
    <w:rsid w:val="007C544F"/>
    <w:rsid w:val="007C54B9"/>
    <w:rsid w:val="007C5CBF"/>
    <w:rsid w:val="007C5F30"/>
    <w:rsid w:val="007C6760"/>
    <w:rsid w:val="007C6F09"/>
    <w:rsid w:val="007C75D3"/>
    <w:rsid w:val="007C77CF"/>
    <w:rsid w:val="007C7A3A"/>
    <w:rsid w:val="007D0069"/>
    <w:rsid w:val="007D0190"/>
    <w:rsid w:val="007D07CF"/>
    <w:rsid w:val="007D0A76"/>
    <w:rsid w:val="007D0B63"/>
    <w:rsid w:val="007D0C9B"/>
    <w:rsid w:val="007D134D"/>
    <w:rsid w:val="007D1913"/>
    <w:rsid w:val="007D1937"/>
    <w:rsid w:val="007D1CCE"/>
    <w:rsid w:val="007D1E32"/>
    <w:rsid w:val="007D2205"/>
    <w:rsid w:val="007D2336"/>
    <w:rsid w:val="007D2DAD"/>
    <w:rsid w:val="007D3E33"/>
    <w:rsid w:val="007D3EAD"/>
    <w:rsid w:val="007D3F61"/>
    <w:rsid w:val="007D41DA"/>
    <w:rsid w:val="007D4CBB"/>
    <w:rsid w:val="007D52C5"/>
    <w:rsid w:val="007D5D1A"/>
    <w:rsid w:val="007D5E80"/>
    <w:rsid w:val="007D69A2"/>
    <w:rsid w:val="007D6D40"/>
    <w:rsid w:val="007D7CB2"/>
    <w:rsid w:val="007D7CF7"/>
    <w:rsid w:val="007D7E3A"/>
    <w:rsid w:val="007E028A"/>
    <w:rsid w:val="007E053E"/>
    <w:rsid w:val="007E05AE"/>
    <w:rsid w:val="007E06C5"/>
    <w:rsid w:val="007E0E38"/>
    <w:rsid w:val="007E1693"/>
    <w:rsid w:val="007E1E0E"/>
    <w:rsid w:val="007E1FD6"/>
    <w:rsid w:val="007E271F"/>
    <w:rsid w:val="007E28AA"/>
    <w:rsid w:val="007E2EE1"/>
    <w:rsid w:val="007E3264"/>
    <w:rsid w:val="007E360F"/>
    <w:rsid w:val="007E398A"/>
    <w:rsid w:val="007E3FA8"/>
    <w:rsid w:val="007E420C"/>
    <w:rsid w:val="007E421B"/>
    <w:rsid w:val="007E4A66"/>
    <w:rsid w:val="007E4F0F"/>
    <w:rsid w:val="007E5061"/>
    <w:rsid w:val="007E51C1"/>
    <w:rsid w:val="007E5EF6"/>
    <w:rsid w:val="007E6051"/>
    <w:rsid w:val="007E6175"/>
    <w:rsid w:val="007E6381"/>
    <w:rsid w:val="007E650C"/>
    <w:rsid w:val="007E6D7E"/>
    <w:rsid w:val="007E6E49"/>
    <w:rsid w:val="007E746A"/>
    <w:rsid w:val="007E7716"/>
    <w:rsid w:val="007E7A9D"/>
    <w:rsid w:val="007E7D47"/>
    <w:rsid w:val="007F0474"/>
    <w:rsid w:val="007F0601"/>
    <w:rsid w:val="007F074B"/>
    <w:rsid w:val="007F133A"/>
    <w:rsid w:val="007F14AC"/>
    <w:rsid w:val="007F1579"/>
    <w:rsid w:val="007F1DFD"/>
    <w:rsid w:val="007F237B"/>
    <w:rsid w:val="007F2C35"/>
    <w:rsid w:val="007F2DC6"/>
    <w:rsid w:val="007F3313"/>
    <w:rsid w:val="007F355E"/>
    <w:rsid w:val="007F367B"/>
    <w:rsid w:val="007F3B17"/>
    <w:rsid w:val="007F3B7B"/>
    <w:rsid w:val="007F3DA7"/>
    <w:rsid w:val="007F4B21"/>
    <w:rsid w:val="007F532B"/>
    <w:rsid w:val="007F55F3"/>
    <w:rsid w:val="007F5661"/>
    <w:rsid w:val="007F59B9"/>
    <w:rsid w:val="007F5D05"/>
    <w:rsid w:val="007F5EB2"/>
    <w:rsid w:val="007F6B14"/>
    <w:rsid w:val="007F6D9D"/>
    <w:rsid w:val="007F6DB7"/>
    <w:rsid w:val="007F6E95"/>
    <w:rsid w:val="007F706E"/>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002"/>
    <w:rsid w:val="0080612E"/>
    <w:rsid w:val="00806325"/>
    <w:rsid w:val="00806943"/>
    <w:rsid w:val="00806BC3"/>
    <w:rsid w:val="008078F9"/>
    <w:rsid w:val="0081010A"/>
    <w:rsid w:val="008105F9"/>
    <w:rsid w:val="00810908"/>
    <w:rsid w:val="00810998"/>
    <w:rsid w:val="00810E54"/>
    <w:rsid w:val="00811006"/>
    <w:rsid w:val="0081134E"/>
    <w:rsid w:val="00811745"/>
    <w:rsid w:val="00812298"/>
    <w:rsid w:val="00812DC0"/>
    <w:rsid w:val="00813134"/>
    <w:rsid w:val="0081367E"/>
    <w:rsid w:val="00813B12"/>
    <w:rsid w:val="00813F9B"/>
    <w:rsid w:val="008145D9"/>
    <w:rsid w:val="00814AA9"/>
    <w:rsid w:val="00815532"/>
    <w:rsid w:val="00815E2D"/>
    <w:rsid w:val="00816211"/>
    <w:rsid w:val="0081621D"/>
    <w:rsid w:val="008171D7"/>
    <w:rsid w:val="00817AE7"/>
    <w:rsid w:val="00820119"/>
    <w:rsid w:val="0082060E"/>
    <w:rsid w:val="00820DCB"/>
    <w:rsid w:val="00821506"/>
    <w:rsid w:val="00821692"/>
    <w:rsid w:val="00821D62"/>
    <w:rsid w:val="008220EF"/>
    <w:rsid w:val="008222A6"/>
    <w:rsid w:val="00822691"/>
    <w:rsid w:val="00822A84"/>
    <w:rsid w:val="00822D71"/>
    <w:rsid w:val="00822F5D"/>
    <w:rsid w:val="00823572"/>
    <w:rsid w:val="008236E6"/>
    <w:rsid w:val="008237C1"/>
    <w:rsid w:val="00823813"/>
    <w:rsid w:val="00823A34"/>
    <w:rsid w:val="00823C4F"/>
    <w:rsid w:val="00823C77"/>
    <w:rsid w:val="00823D00"/>
    <w:rsid w:val="008243A3"/>
    <w:rsid w:val="008249AF"/>
    <w:rsid w:val="00824D11"/>
    <w:rsid w:val="00824FF7"/>
    <w:rsid w:val="00825029"/>
    <w:rsid w:val="00825266"/>
    <w:rsid w:val="008257B5"/>
    <w:rsid w:val="0082589D"/>
    <w:rsid w:val="00825CAE"/>
    <w:rsid w:val="00825D0B"/>
    <w:rsid w:val="00826400"/>
    <w:rsid w:val="0082663E"/>
    <w:rsid w:val="0082672C"/>
    <w:rsid w:val="00827444"/>
    <w:rsid w:val="00827783"/>
    <w:rsid w:val="00827C6F"/>
    <w:rsid w:val="00827DE3"/>
    <w:rsid w:val="008306F0"/>
    <w:rsid w:val="008309DB"/>
    <w:rsid w:val="00830CAD"/>
    <w:rsid w:val="00830DB3"/>
    <w:rsid w:val="00831D34"/>
    <w:rsid w:val="008323D8"/>
    <w:rsid w:val="00832A44"/>
    <w:rsid w:val="00832DF9"/>
    <w:rsid w:val="00832E1F"/>
    <w:rsid w:val="00832F4E"/>
    <w:rsid w:val="00832FB3"/>
    <w:rsid w:val="008331BB"/>
    <w:rsid w:val="00833290"/>
    <w:rsid w:val="008332B7"/>
    <w:rsid w:val="0083347C"/>
    <w:rsid w:val="00833951"/>
    <w:rsid w:val="008345EC"/>
    <w:rsid w:val="008348CC"/>
    <w:rsid w:val="00834C5F"/>
    <w:rsid w:val="008357B4"/>
    <w:rsid w:val="008358ED"/>
    <w:rsid w:val="00835979"/>
    <w:rsid w:val="00835A55"/>
    <w:rsid w:val="00835D45"/>
    <w:rsid w:val="00835F92"/>
    <w:rsid w:val="008361ED"/>
    <w:rsid w:val="008364C5"/>
    <w:rsid w:val="00836D6C"/>
    <w:rsid w:val="00836E18"/>
    <w:rsid w:val="00837107"/>
    <w:rsid w:val="00837207"/>
    <w:rsid w:val="00837C25"/>
    <w:rsid w:val="008402DD"/>
    <w:rsid w:val="00840E8B"/>
    <w:rsid w:val="0084129D"/>
    <w:rsid w:val="00841A24"/>
    <w:rsid w:val="00842B55"/>
    <w:rsid w:val="00842BC8"/>
    <w:rsid w:val="00842EE9"/>
    <w:rsid w:val="0084308D"/>
    <w:rsid w:val="00843AD0"/>
    <w:rsid w:val="00843C55"/>
    <w:rsid w:val="00843C90"/>
    <w:rsid w:val="00843F44"/>
    <w:rsid w:val="00844079"/>
    <w:rsid w:val="00844629"/>
    <w:rsid w:val="00844B39"/>
    <w:rsid w:val="00844C5C"/>
    <w:rsid w:val="00844E7A"/>
    <w:rsid w:val="00845331"/>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51E"/>
    <w:rsid w:val="00852584"/>
    <w:rsid w:val="0085295A"/>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069"/>
    <w:rsid w:val="00857309"/>
    <w:rsid w:val="0085759D"/>
    <w:rsid w:val="00857806"/>
    <w:rsid w:val="00857E59"/>
    <w:rsid w:val="008600BD"/>
    <w:rsid w:val="00860659"/>
    <w:rsid w:val="0086097A"/>
    <w:rsid w:val="0086098A"/>
    <w:rsid w:val="00860B5E"/>
    <w:rsid w:val="00860CF7"/>
    <w:rsid w:val="008620C6"/>
    <w:rsid w:val="00862550"/>
    <w:rsid w:val="00862CF5"/>
    <w:rsid w:val="00864057"/>
    <w:rsid w:val="008644A7"/>
    <w:rsid w:val="00865B7E"/>
    <w:rsid w:val="00866059"/>
    <w:rsid w:val="008667AA"/>
    <w:rsid w:val="008672DD"/>
    <w:rsid w:val="00867776"/>
    <w:rsid w:val="00867982"/>
    <w:rsid w:val="00870671"/>
    <w:rsid w:val="00870716"/>
    <w:rsid w:val="00870D05"/>
    <w:rsid w:val="00870DC3"/>
    <w:rsid w:val="00870DE2"/>
    <w:rsid w:val="0087149A"/>
    <w:rsid w:val="00871604"/>
    <w:rsid w:val="0087178A"/>
    <w:rsid w:val="008722A0"/>
    <w:rsid w:val="0087253F"/>
    <w:rsid w:val="0087261A"/>
    <w:rsid w:val="00872C4B"/>
    <w:rsid w:val="00872DB5"/>
    <w:rsid w:val="008737F1"/>
    <w:rsid w:val="00873B0C"/>
    <w:rsid w:val="00873BA9"/>
    <w:rsid w:val="00874174"/>
    <w:rsid w:val="0087419A"/>
    <w:rsid w:val="00874288"/>
    <w:rsid w:val="00874420"/>
    <w:rsid w:val="00874559"/>
    <w:rsid w:val="008749E4"/>
    <w:rsid w:val="00874AF0"/>
    <w:rsid w:val="00874E22"/>
    <w:rsid w:val="00875037"/>
    <w:rsid w:val="008756B6"/>
    <w:rsid w:val="008759BD"/>
    <w:rsid w:val="00875D4D"/>
    <w:rsid w:val="00875F1C"/>
    <w:rsid w:val="008760DB"/>
    <w:rsid w:val="00876184"/>
    <w:rsid w:val="00876615"/>
    <w:rsid w:val="00876F97"/>
    <w:rsid w:val="00877549"/>
    <w:rsid w:val="008776AE"/>
    <w:rsid w:val="008779A7"/>
    <w:rsid w:val="008800CC"/>
    <w:rsid w:val="0088060F"/>
    <w:rsid w:val="008806CB"/>
    <w:rsid w:val="00880714"/>
    <w:rsid w:val="00880843"/>
    <w:rsid w:val="00880B81"/>
    <w:rsid w:val="0088205A"/>
    <w:rsid w:val="0088269B"/>
    <w:rsid w:val="00883010"/>
    <w:rsid w:val="0088348B"/>
    <w:rsid w:val="00883539"/>
    <w:rsid w:val="00884547"/>
    <w:rsid w:val="00884D87"/>
    <w:rsid w:val="00884F8D"/>
    <w:rsid w:val="008858D6"/>
    <w:rsid w:val="008862DC"/>
    <w:rsid w:val="00886BA0"/>
    <w:rsid w:val="008872B0"/>
    <w:rsid w:val="00887608"/>
    <w:rsid w:val="00890015"/>
    <w:rsid w:val="0089036C"/>
    <w:rsid w:val="00890815"/>
    <w:rsid w:val="008908A0"/>
    <w:rsid w:val="00890EE8"/>
    <w:rsid w:val="0089104C"/>
    <w:rsid w:val="008911C4"/>
    <w:rsid w:val="008912F5"/>
    <w:rsid w:val="00891315"/>
    <w:rsid w:val="008913DB"/>
    <w:rsid w:val="008919AE"/>
    <w:rsid w:val="008922F9"/>
    <w:rsid w:val="00892D4A"/>
    <w:rsid w:val="00893104"/>
    <w:rsid w:val="00893A26"/>
    <w:rsid w:val="00893DC8"/>
    <w:rsid w:val="00893E93"/>
    <w:rsid w:val="0089479E"/>
    <w:rsid w:val="00894A6C"/>
    <w:rsid w:val="0089535E"/>
    <w:rsid w:val="00895743"/>
    <w:rsid w:val="008958BB"/>
    <w:rsid w:val="00895B53"/>
    <w:rsid w:val="00895C72"/>
    <w:rsid w:val="00896378"/>
    <w:rsid w:val="00896736"/>
    <w:rsid w:val="008967BF"/>
    <w:rsid w:val="0089778D"/>
    <w:rsid w:val="00897818"/>
    <w:rsid w:val="00897A8D"/>
    <w:rsid w:val="00897CAD"/>
    <w:rsid w:val="008A04D6"/>
    <w:rsid w:val="008A0525"/>
    <w:rsid w:val="008A1F57"/>
    <w:rsid w:val="008A20F4"/>
    <w:rsid w:val="008A2D1F"/>
    <w:rsid w:val="008A2DB5"/>
    <w:rsid w:val="008A34C0"/>
    <w:rsid w:val="008A3575"/>
    <w:rsid w:val="008A359A"/>
    <w:rsid w:val="008A3C4F"/>
    <w:rsid w:val="008A3C9F"/>
    <w:rsid w:val="008A3DB8"/>
    <w:rsid w:val="008A4321"/>
    <w:rsid w:val="008A4704"/>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065"/>
    <w:rsid w:val="008B0156"/>
    <w:rsid w:val="008B0B2E"/>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6C39"/>
    <w:rsid w:val="008B7905"/>
    <w:rsid w:val="008B795E"/>
    <w:rsid w:val="008B7DC7"/>
    <w:rsid w:val="008C01A6"/>
    <w:rsid w:val="008C10D6"/>
    <w:rsid w:val="008C1294"/>
    <w:rsid w:val="008C131D"/>
    <w:rsid w:val="008C13CE"/>
    <w:rsid w:val="008C1836"/>
    <w:rsid w:val="008C1EED"/>
    <w:rsid w:val="008C1FF8"/>
    <w:rsid w:val="008C2077"/>
    <w:rsid w:val="008C22AA"/>
    <w:rsid w:val="008C26B8"/>
    <w:rsid w:val="008C2AC0"/>
    <w:rsid w:val="008C300B"/>
    <w:rsid w:val="008C3467"/>
    <w:rsid w:val="008C3954"/>
    <w:rsid w:val="008C3C02"/>
    <w:rsid w:val="008C3DE3"/>
    <w:rsid w:val="008C3E08"/>
    <w:rsid w:val="008C41FC"/>
    <w:rsid w:val="008C5098"/>
    <w:rsid w:val="008C5A27"/>
    <w:rsid w:val="008C62A4"/>
    <w:rsid w:val="008C66FA"/>
    <w:rsid w:val="008C698E"/>
    <w:rsid w:val="008C7376"/>
    <w:rsid w:val="008C779D"/>
    <w:rsid w:val="008C77BA"/>
    <w:rsid w:val="008C78B7"/>
    <w:rsid w:val="008C7C2C"/>
    <w:rsid w:val="008C7F6F"/>
    <w:rsid w:val="008D0228"/>
    <w:rsid w:val="008D0264"/>
    <w:rsid w:val="008D03F6"/>
    <w:rsid w:val="008D1937"/>
    <w:rsid w:val="008D1CAC"/>
    <w:rsid w:val="008D2340"/>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5A7"/>
    <w:rsid w:val="008D4A08"/>
    <w:rsid w:val="008D4A5E"/>
    <w:rsid w:val="008D4D58"/>
    <w:rsid w:val="008D4F1F"/>
    <w:rsid w:val="008D4FF8"/>
    <w:rsid w:val="008D52C9"/>
    <w:rsid w:val="008D53FC"/>
    <w:rsid w:val="008D5B2C"/>
    <w:rsid w:val="008D5BD8"/>
    <w:rsid w:val="008D6457"/>
    <w:rsid w:val="008D6CE7"/>
    <w:rsid w:val="008D6FBF"/>
    <w:rsid w:val="008D7258"/>
    <w:rsid w:val="008D7493"/>
    <w:rsid w:val="008D74D8"/>
    <w:rsid w:val="008D75CD"/>
    <w:rsid w:val="008D7ABB"/>
    <w:rsid w:val="008E00FA"/>
    <w:rsid w:val="008E0125"/>
    <w:rsid w:val="008E0616"/>
    <w:rsid w:val="008E0647"/>
    <w:rsid w:val="008E066A"/>
    <w:rsid w:val="008E067D"/>
    <w:rsid w:val="008E0850"/>
    <w:rsid w:val="008E127A"/>
    <w:rsid w:val="008E1C1D"/>
    <w:rsid w:val="008E2022"/>
    <w:rsid w:val="008E2434"/>
    <w:rsid w:val="008E2825"/>
    <w:rsid w:val="008E2BBC"/>
    <w:rsid w:val="008E2F82"/>
    <w:rsid w:val="008E44A2"/>
    <w:rsid w:val="008E493B"/>
    <w:rsid w:val="008E4990"/>
    <w:rsid w:val="008E4D82"/>
    <w:rsid w:val="008E5658"/>
    <w:rsid w:val="008E67BA"/>
    <w:rsid w:val="008E72E7"/>
    <w:rsid w:val="008E763B"/>
    <w:rsid w:val="008E7689"/>
    <w:rsid w:val="008E7DC2"/>
    <w:rsid w:val="008F0061"/>
    <w:rsid w:val="008F0071"/>
    <w:rsid w:val="008F0480"/>
    <w:rsid w:val="008F07B2"/>
    <w:rsid w:val="008F086F"/>
    <w:rsid w:val="008F0880"/>
    <w:rsid w:val="008F1076"/>
    <w:rsid w:val="008F116E"/>
    <w:rsid w:val="008F1604"/>
    <w:rsid w:val="008F1A9E"/>
    <w:rsid w:val="008F229F"/>
    <w:rsid w:val="008F2569"/>
    <w:rsid w:val="008F30F2"/>
    <w:rsid w:val="008F358D"/>
    <w:rsid w:val="008F361A"/>
    <w:rsid w:val="008F3B14"/>
    <w:rsid w:val="008F3DFE"/>
    <w:rsid w:val="008F40C9"/>
    <w:rsid w:val="008F412A"/>
    <w:rsid w:val="008F4508"/>
    <w:rsid w:val="008F4543"/>
    <w:rsid w:val="008F45A7"/>
    <w:rsid w:val="008F48E7"/>
    <w:rsid w:val="008F4F75"/>
    <w:rsid w:val="008F52B9"/>
    <w:rsid w:val="008F53FE"/>
    <w:rsid w:val="008F5B27"/>
    <w:rsid w:val="008F5DC9"/>
    <w:rsid w:val="008F6155"/>
    <w:rsid w:val="008F6250"/>
    <w:rsid w:val="008F71AF"/>
    <w:rsid w:val="008F72FC"/>
    <w:rsid w:val="008F7A4D"/>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899"/>
    <w:rsid w:val="00904DE4"/>
    <w:rsid w:val="0090511F"/>
    <w:rsid w:val="00905406"/>
    <w:rsid w:val="00905692"/>
    <w:rsid w:val="00905EEE"/>
    <w:rsid w:val="00905F6E"/>
    <w:rsid w:val="00906831"/>
    <w:rsid w:val="009068FB"/>
    <w:rsid w:val="00906AA2"/>
    <w:rsid w:val="00906B94"/>
    <w:rsid w:val="00906BBC"/>
    <w:rsid w:val="009075C1"/>
    <w:rsid w:val="00907B75"/>
    <w:rsid w:val="009101DD"/>
    <w:rsid w:val="0091023D"/>
    <w:rsid w:val="009108C2"/>
    <w:rsid w:val="00910E5D"/>
    <w:rsid w:val="00910FA6"/>
    <w:rsid w:val="00911ADC"/>
    <w:rsid w:val="00912040"/>
    <w:rsid w:val="00912514"/>
    <w:rsid w:val="00912946"/>
    <w:rsid w:val="00912DC8"/>
    <w:rsid w:val="00912FFE"/>
    <w:rsid w:val="009130A1"/>
    <w:rsid w:val="009132B0"/>
    <w:rsid w:val="009133AD"/>
    <w:rsid w:val="00913DA5"/>
    <w:rsid w:val="009140F3"/>
    <w:rsid w:val="009142AD"/>
    <w:rsid w:val="009145FE"/>
    <w:rsid w:val="00914957"/>
    <w:rsid w:val="00914BDF"/>
    <w:rsid w:val="00915114"/>
    <w:rsid w:val="009155BD"/>
    <w:rsid w:val="009155CE"/>
    <w:rsid w:val="00915822"/>
    <w:rsid w:val="0091675A"/>
    <w:rsid w:val="0091688E"/>
    <w:rsid w:val="00916B98"/>
    <w:rsid w:val="00917976"/>
    <w:rsid w:val="009179A6"/>
    <w:rsid w:val="00920156"/>
    <w:rsid w:val="009207EB"/>
    <w:rsid w:val="009212E7"/>
    <w:rsid w:val="00921309"/>
    <w:rsid w:val="00921362"/>
    <w:rsid w:val="00921471"/>
    <w:rsid w:val="00921950"/>
    <w:rsid w:val="0092216C"/>
    <w:rsid w:val="00922756"/>
    <w:rsid w:val="009228E6"/>
    <w:rsid w:val="00922B12"/>
    <w:rsid w:val="00922B54"/>
    <w:rsid w:val="00922B8B"/>
    <w:rsid w:val="00922BAA"/>
    <w:rsid w:val="00922E49"/>
    <w:rsid w:val="00922EEC"/>
    <w:rsid w:val="0092312B"/>
    <w:rsid w:val="0092332C"/>
    <w:rsid w:val="0092344D"/>
    <w:rsid w:val="009234F8"/>
    <w:rsid w:val="00923569"/>
    <w:rsid w:val="0092360C"/>
    <w:rsid w:val="0092390D"/>
    <w:rsid w:val="009241C1"/>
    <w:rsid w:val="0092447D"/>
    <w:rsid w:val="0092456D"/>
    <w:rsid w:val="009250EF"/>
    <w:rsid w:val="00925A35"/>
    <w:rsid w:val="00925D2F"/>
    <w:rsid w:val="009262D2"/>
    <w:rsid w:val="009262ED"/>
    <w:rsid w:val="0092694D"/>
    <w:rsid w:val="0092714A"/>
    <w:rsid w:val="00927341"/>
    <w:rsid w:val="00927484"/>
    <w:rsid w:val="009277A7"/>
    <w:rsid w:val="00927C58"/>
    <w:rsid w:val="00927E3F"/>
    <w:rsid w:val="00927F5E"/>
    <w:rsid w:val="009304C8"/>
    <w:rsid w:val="009308AB"/>
    <w:rsid w:val="00930912"/>
    <w:rsid w:val="00930936"/>
    <w:rsid w:val="0093095B"/>
    <w:rsid w:val="009316C4"/>
    <w:rsid w:val="00931AD6"/>
    <w:rsid w:val="00931C8E"/>
    <w:rsid w:val="00931F7A"/>
    <w:rsid w:val="009322F8"/>
    <w:rsid w:val="009327CA"/>
    <w:rsid w:val="00932B4C"/>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61AE"/>
    <w:rsid w:val="0094695E"/>
    <w:rsid w:val="0094703B"/>
    <w:rsid w:val="00947831"/>
    <w:rsid w:val="00947EB8"/>
    <w:rsid w:val="00947FF6"/>
    <w:rsid w:val="00950096"/>
    <w:rsid w:val="00950979"/>
    <w:rsid w:val="00950BAD"/>
    <w:rsid w:val="009519F4"/>
    <w:rsid w:val="00951A3D"/>
    <w:rsid w:val="00951AF4"/>
    <w:rsid w:val="00951EDE"/>
    <w:rsid w:val="00952341"/>
    <w:rsid w:val="00952639"/>
    <w:rsid w:val="00953C0D"/>
    <w:rsid w:val="0095406E"/>
    <w:rsid w:val="009547F6"/>
    <w:rsid w:val="009549CE"/>
    <w:rsid w:val="009552B2"/>
    <w:rsid w:val="00955591"/>
    <w:rsid w:val="009558EC"/>
    <w:rsid w:val="00955D8C"/>
    <w:rsid w:val="00955F6F"/>
    <w:rsid w:val="009560A8"/>
    <w:rsid w:val="009560C0"/>
    <w:rsid w:val="00956516"/>
    <w:rsid w:val="0095722E"/>
    <w:rsid w:val="009579CA"/>
    <w:rsid w:val="009579FE"/>
    <w:rsid w:val="00957A5A"/>
    <w:rsid w:val="00957B92"/>
    <w:rsid w:val="00957BF9"/>
    <w:rsid w:val="009602BD"/>
    <w:rsid w:val="00960815"/>
    <w:rsid w:val="00960C96"/>
    <w:rsid w:val="009618FA"/>
    <w:rsid w:val="009624D9"/>
    <w:rsid w:val="00962978"/>
    <w:rsid w:val="00962C77"/>
    <w:rsid w:val="00962F63"/>
    <w:rsid w:val="00962FC5"/>
    <w:rsid w:val="00963325"/>
    <w:rsid w:val="009634B4"/>
    <w:rsid w:val="009634C4"/>
    <w:rsid w:val="00963733"/>
    <w:rsid w:val="00963936"/>
    <w:rsid w:val="00963943"/>
    <w:rsid w:val="00963F71"/>
    <w:rsid w:val="00963F9C"/>
    <w:rsid w:val="00964BC4"/>
    <w:rsid w:val="00964E8E"/>
    <w:rsid w:val="00964FF4"/>
    <w:rsid w:val="00965899"/>
    <w:rsid w:val="00965F6A"/>
    <w:rsid w:val="00966048"/>
    <w:rsid w:val="009662A2"/>
    <w:rsid w:val="00966CEE"/>
    <w:rsid w:val="00966D3B"/>
    <w:rsid w:val="0096723D"/>
    <w:rsid w:val="009703A7"/>
    <w:rsid w:val="009709B6"/>
    <w:rsid w:val="009709B7"/>
    <w:rsid w:val="00970AAF"/>
    <w:rsid w:val="00971582"/>
    <w:rsid w:val="00971587"/>
    <w:rsid w:val="0097166C"/>
    <w:rsid w:val="00971AF2"/>
    <w:rsid w:val="00971F6B"/>
    <w:rsid w:val="009720FC"/>
    <w:rsid w:val="009721C7"/>
    <w:rsid w:val="00972AA6"/>
    <w:rsid w:val="00973619"/>
    <w:rsid w:val="00973BD0"/>
    <w:rsid w:val="009742C2"/>
    <w:rsid w:val="009746BF"/>
    <w:rsid w:val="009748E6"/>
    <w:rsid w:val="00974942"/>
    <w:rsid w:val="00975270"/>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D5C"/>
    <w:rsid w:val="00980FD2"/>
    <w:rsid w:val="00981277"/>
    <w:rsid w:val="00983D6A"/>
    <w:rsid w:val="00984DD5"/>
    <w:rsid w:val="00986085"/>
    <w:rsid w:val="009860EB"/>
    <w:rsid w:val="00986159"/>
    <w:rsid w:val="0098654A"/>
    <w:rsid w:val="009865A5"/>
    <w:rsid w:val="00986A35"/>
    <w:rsid w:val="00986B3B"/>
    <w:rsid w:val="00986EEA"/>
    <w:rsid w:val="009909F2"/>
    <w:rsid w:val="00990AE4"/>
    <w:rsid w:val="00990CB5"/>
    <w:rsid w:val="00991072"/>
    <w:rsid w:val="00991806"/>
    <w:rsid w:val="00992205"/>
    <w:rsid w:val="0099289E"/>
    <w:rsid w:val="009929E8"/>
    <w:rsid w:val="0099325E"/>
    <w:rsid w:val="009935E3"/>
    <w:rsid w:val="0099363F"/>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F15"/>
    <w:rsid w:val="009970AE"/>
    <w:rsid w:val="009970E6"/>
    <w:rsid w:val="00997637"/>
    <w:rsid w:val="00997A63"/>
    <w:rsid w:val="009A0323"/>
    <w:rsid w:val="009A0664"/>
    <w:rsid w:val="009A0A50"/>
    <w:rsid w:val="009A235A"/>
    <w:rsid w:val="009A2877"/>
    <w:rsid w:val="009A28A6"/>
    <w:rsid w:val="009A2A0B"/>
    <w:rsid w:val="009A2A38"/>
    <w:rsid w:val="009A32D9"/>
    <w:rsid w:val="009A3457"/>
    <w:rsid w:val="009A35E6"/>
    <w:rsid w:val="009A3699"/>
    <w:rsid w:val="009A3A7B"/>
    <w:rsid w:val="009A4766"/>
    <w:rsid w:val="009A49BF"/>
    <w:rsid w:val="009A513A"/>
    <w:rsid w:val="009A5472"/>
    <w:rsid w:val="009A570A"/>
    <w:rsid w:val="009A5ECC"/>
    <w:rsid w:val="009A60A0"/>
    <w:rsid w:val="009A61FD"/>
    <w:rsid w:val="009A6318"/>
    <w:rsid w:val="009A6B10"/>
    <w:rsid w:val="009A747E"/>
    <w:rsid w:val="009A76E1"/>
    <w:rsid w:val="009A7988"/>
    <w:rsid w:val="009A7FA2"/>
    <w:rsid w:val="009A7FB9"/>
    <w:rsid w:val="009B0B9E"/>
    <w:rsid w:val="009B1B34"/>
    <w:rsid w:val="009B1CE8"/>
    <w:rsid w:val="009B2136"/>
    <w:rsid w:val="009B2A86"/>
    <w:rsid w:val="009B2CA7"/>
    <w:rsid w:val="009B3681"/>
    <w:rsid w:val="009B3F3A"/>
    <w:rsid w:val="009B4330"/>
    <w:rsid w:val="009B460E"/>
    <w:rsid w:val="009B56B6"/>
    <w:rsid w:val="009B576B"/>
    <w:rsid w:val="009B5917"/>
    <w:rsid w:val="009B5E9A"/>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212"/>
    <w:rsid w:val="009C4357"/>
    <w:rsid w:val="009C438D"/>
    <w:rsid w:val="009C481F"/>
    <w:rsid w:val="009C4DD1"/>
    <w:rsid w:val="009C500B"/>
    <w:rsid w:val="009C6153"/>
    <w:rsid w:val="009C6E54"/>
    <w:rsid w:val="009C6F5D"/>
    <w:rsid w:val="009C74DF"/>
    <w:rsid w:val="009C7524"/>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370A"/>
    <w:rsid w:val="009D392B"/>
    <w:rsid w:val="009D4CBB"/>
    <w:rsid w:val="009D52AB"/>
    <w:rsid w:val="009D552E"/>
    <w:rsid w:val="009D582C"/>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7B3"/>
    <w:rsid w:val="009F3E86"/>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12F0"/>
    <w:rsid w:val="00A0146D"/>
    <w:rsid w:val="00A014C4"/>
    <w:rsid w:val="00A015F0"/>
    <w:rsid w:val="00A01AD2"/>
    <w:rsid w:val="00A01EB2"/>
    <w:rsid w:val="00A02510"/>
    <w:rsid w:val="00A02580"/>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0FB6"/>
    <w:rsid w:val="00A116D7"/>
    <w:rsid w:val="00A119B5"/>
    <w:rsid w:val="00A11A21"/>
    <w:rsid w:val="00A11A24"/>
    <w:rsid w:val="00A11C52"/>
    <w:rsid w:val="00A12046"/>
    <w:rsid w:val="00A125BE"/>
    <w:rsid w:val="00A12DBF"/>
    <w:rsid w:val="00A135B4"/>
    <w:rsid w:val="00A13671"/>
    <w:rsid w:val="00A1369F"/>
    <w:rsid w:val="00A13FA1"/>
    <w:rsid w:val="00A141BD"/>
    <w:rsid w:val="00A1445A"/>
    <w:rsid w:val="00A145E2"/>
    <w:rsid w:val="00A146F3"/>
    <w:rsid w:val="00A14C83"/>
    <w:rsid w:val="00A14CAA"/>
    <w:rsid w:val="00A14DCC"/>
    <w:rsid w:val="00A155AC"/>
    <w:rsid w:val="00A155D4"/>
    <w:rsid w:val="00A156B1"/>
    <w:rsid w:val="00A15C91"/>
    <w:rsid w:val="00A15E5B"/>
    <w:rsid w:val="00A15E9C"/>
    <w:rsid w:val="00A16155"/>
    <w:rsid w:val="00A1640C"/>
    <w:rsid w:val="00A170E6"/>
    <w:rsid w:val="00A17380"/>
    <w:rsid w:val="00A17414"/>
    <w:rsid w:val="00A17C0F"/>
    <w:rsid w:val="00A17E00"/>
    <w:rsid w:val="00A17E8B"/>
    <w:rsid w:val="00A201BE"/>
    <w:rsid w:val="00A20AB3"/>
    <w:rsid w:val="00A20D57"/>
    <w:rsid w:val="00A21472"/>
    <w:rsid w:val="00A21F77"/>
    <w:rsid w:val="00A222E4"/>
    <w:rsid w:val="00A22540"/>
    <w:rsid w:val="00A22967"/>
    <w:rsid w:val="00A2356E"/>
    <w:rsid w:val="00A23669"/>
    <w:rsid w:val="00A23718"/>
    <w:rsid w:val="00A23785"/>
    <w:rsid w:val="00A2394A"/>
    <w:rsid w:val="00A23AF9"/>
    <w:rsid w:val="00A23F86"/>
    <w:rsid w:val="00A248C5"/>
    <w:rsid w:val="00A248D7"/>
    <w:rsid w:val="00A24D24"/>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32D4"/>
    <w:rsid w:val="00A33352"/>
    <w:rsid w:val="00A33B87"/>
    <w:rsid w:val="00A33DCA"/>
    <w:rsid w:val="00A34059"/>
    <w:rsid w:val="00A343BC"/>
    <w:rsid w:val="00A34496"/>
    <w:rsid w:val="00A344EF"/>
    <w:rsid w:val="00A34894"/>
    <w:rsid w:val="00A355E0"/>
    <w:rsid w:val="00A366BB"/>
    <w:rsid w:val="00A36715"/>
    <w:rsid w:val="00A36F52"/>
    <w:rsid w:val="00A36FEE"/>
    <w:rsid w:val="00A37076"/>
    <w:rsid w:val="00A37358"/>
    <w:rsid w:val="00A376D6"/>
    <w:rsid w:val="00A4096D"/>
    <w:rsid w:val="00A40DDE"/>
    <w:rsid w:val="00A40E1F"/>
    <w:rsid w:val="00A412A8"/>
    <w:rsid w:val="00A4131E"/>
    <w:rsid w:val="00A414D7"/>
    <w:rsid w:val="00A4150E"/>
    <w:rsid w:val="00A41B1B"/>
    <w:rsid w:val="00A42368"/>
    <w:rsid w:val="00A4236D"/>
    <w:rsid w:val="00A42510"/>
    <w:rsid w:val="00A42A40"/>
    <w:rsid w:val="00A42C9C"/>
    <w:rsid w:val="00A42D36"/>
    <w:rsid w:val="00A4320A"/>
    <w:rsid w:val="00A43E8A"/>
    <w:rsid w:val="00A43FBA"/>
    <w:rsid w:val="00A44070"/>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841"/>
    <w:rsid w:val="00A47977"/>
    <w:rsid w:val="00A47AF9"/>
    <w:rsid w:val="00A47C82"/>
    <w:rsid w:val="00A47D11"/>
    <w:rsid w:val="00A507A4"/>
    <w:rsid w:val="00A50876"/>
    <w:rsid w:val="00A50D8C"/>
    <w:rsid w:val="00A51153"/>
    <w:rsid w:val="00A511D4"/>
    <w:rsid w:val="00A51288"/>
    <w:rsid w:val="00A512C7"/>
    <w:rsid w:val="00A5153E"/>
    <w:rsid w:val="00A517E8"/>
    <w:rsid w:val="00A51A5C"/>
    <w:rsid w:val="00A51F6C"/>
    <w:rsid w:val="00A52B12"/>
    <w:rsid w:val="00A52EE3"/>
    <w:rsid w:val="00A53236"/>
    <w:rsid w:val="00A53644"/>
    <w:rsid w:val="00A5366C"/>
    <w:rsid w:val="00A53699"/>
    <w:rsid w:val="00A540BC"/>
    <w:rsid w:val="00A54134"/>
    <w:rsid w:val="00A542E2"/>
    <w:rsid w:val="00A543F2"/>
    <w:rsid w:val="00A549AA"/>
    <w:rsid w:val="00A54A21"/>
    <w:rsid w:val="00A54E6F"/>
    <w:rsid w:val="00A55AC8"/>
    <w:rsid w:val="00A55C9C"/>
    <w:rsid w:val="00A55D9F"/>
    <w:rsid w:val="00A561C6"/>
    <w:rsid w:val="00A56E2D"/>
    <w:rsid w:val="00A570A8"/>
    <w:rsid w:val="00A5772F"/>
    <w:rsid w:val="00A57B90"/>
    <w:rsid w:val="00A603A9"/>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5048"/>
    <w:rsid w:val="00A650D1"/>
    <w:rsid w:val="00A663C7"/>
    <w:rsid w:val="00A6648F"/>
    <w:rsid w:val="00A6665E"/>
    <w:rsid w:val="00A6667A"/>
    <w:rsid w:val="00A66DEE"/>
    <w:rsid w:val="00A66E03"/>
    <w:rsid w:val="00A66FE5"/>
    <w:rsid w:val="00A67527"/>
    <w:rsid w:val="00A67BFC"/>
    <w:rsid w:val="00A67E9C"/>
    <w:rsid w:val="00A71623"/>
    <w:rsid w:val="00A71688"/>
    <w:rsid w:val="00A71704"/>
    <w:rsid w:val="00A71A8E"/>
    <w:rsid w:val="00A71ACB"/>
    <w:rsid w:val="00A71B37"/>
    <w:rsid w:val="00A71F14"/>
    <w:rsid w:val="00A72332"/>
    <w:rsid w:val="00A723AE"/>
    <w:rsid w:val="00A7270B"/>
    <w:rsid w:val="00A72A1B"/>
    <w:rsid w:val="00A72AA0"/>
    <w:rsid w:val="00A7326E"/>
    <w:rsid w:val="00A733F8"/>
    <w:rsid w:val="00A735F8"/>
    <w:rsid w:val="00A73618"/>
    <w:rsid w:val="00A73D6C"/>
    <w:rsid w:val="00A7410B"/>
    <w:rsid w:val="00A7424A"/>
    <w:rsid w:val="00A742E0"/>
    <w:rsid w:val="00A746BD"/>
    <w:rsid w:val="00A74E5A"/>
    <w:rsid w:val="00A74F25"/>
    <w:rsid w:val="00A751B3"/>
    <w:rsid w:val="00A755E6"/>
    <w:rsid w:val="00A75633"/>
    <w:rsid w:val="00A756D5"/>
    <w:rsid w:val="00A7599A"/>
    <w:rsid w:val="00A75F0E"/>
    <w:rsid w:val="00A767D6"/>
    <w:rsid w:val="00A770E6"/>
    <w:rsid w:val="00A77205"/>
    <w:rsid w:val="00A774FC"/>
    <w:rsid w:val="00A77C12"/>
    <w:rsid w:val="00A77E45"/>
    <w:rsid w:val="00A80011"/>
    <w:rsid w:val="00A803EC"/>
    <w:rsid w:val="00A80B53"/>
    <w:rsid w:val="00A8172A"/>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505"/>
    <w:rsid w:val="00A855DC"/>
    <w:rsid w:val="00A85A37"/>
    <w:rsid w:val="00A85F44"/>
    <w:rsid w:val="00A86256"/>
    <w:rsid w:val="00A867FB"/>
    <w:rsid w:val="00A868BF"/>
    <w:rsid w:val="00A86ABA"/>
    <w:rsid w:val="00A8730C"/>
    <w:rsid w:val="00A87898"/>
    <w:rsid w:val="00A87CDD"/>
    <w:rsid w:val="00A9039D"/>
    <w:rsid w:val="00A90656"/>
    <w:rsid w:val="00A906A3"/>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E49"/>
    <w:rsid w:val="00A95F55"/>
    <w:rsid w:val="00A95F6D"/>
    <w:rsid w:val="00A95FA2"/>
    <w:rsid w:val="00A962B9"/>
    <w:rsid w:val="00A965B9"/>
    <w:rsid w:val="00A96937"/>
    <w:rsid w:val="00A97277"/>
    <w:rsid w:val="00A974BD"/>
    <w:rsid w:val="00A97548"/>
    <w:rsid w:val="00AA04A5"/>
    <w:rsid w:val="00AA076B"/>
    <w:rsid w:val="00AA0A95"/>
    <w:rsid w:val="00AA0BB8"/>
    <w:rsid w:val="00AA0C56"/>
    <w:rsid w:val="00AA16A9"/>
    <w:rsid w:val="00AA1AC1"/>
    <w:rsid w:val="00AA1E59"/>
    <w:rsid w:val="00AA1F36"/>
    <w:rsid w:val="00AA1F4A"/>
    <w:rsid w:val="00AA1FB8"/>
    <w:rsid w:val="00AA2FC8"/>
    <w:rsid w:val="00AA35F7"/>
    <w:rsid w:val="00AA5508"/>
    <w:rsid w:val="00AA6119"/>
    <w:rsid w:val="00AA628D"/>
    <w:rsid w:val="00AA69D4"/>
    <w:rsid w:val="00AA6FD2"/>
    <w:rsid w:val="00AA743E"/>
    <w:rsid w:val="00AA7851"/>
    <w:rsid w:val="00AA7ACF"/>
    <w:rsid w:val="00AA7D7D"/>
    <w:rsid w:val="00AA7EBA"/>
    <w:rsid w:val="00AB00F6"/>
    <w:rsid w:val="00AB06E0"/>
    <w:rsid w:val="00AB0DD3"/>
    <w:rsid w:val="00AB1ABB"/>
    <w:rsid w:val="00AB2217"/>
    <w:rsid w:val="00AB2643"/>
    <w:rsid w:val="00AB2A08"/>
    <w:rsid w:val="00AB2A30"/>
    <w:rsid w:val="00AB2CC9"/>
    <w:rsid w:val="00AB2F45"/>
    <w:rsid w:val="00AB3580"/>
    <w:rsid w:val="00AB3BB6"/>
    <w:rsid w:val="00AB41E5"/>
    <w:rsid w:val="00AB4EBA"/>
    <w:rsid w:val="00AB512E"/>
    <w:rsid w:val="00AB5138"/>
    <w:rsid w:val="00AB5556"/>
    <w:rsid w:val="00AB67D3"/>
    <w:rsid w:val="00AB6915"/>
    <w:rsid w:val="00AB6B7C"/>
    <w:rsid w:val="00AB74C5"/>
    <w:rsid w:val="00AB7FFA"/>
    <w:rsid w:val="00AC0251"/>
    <w:rsid w:val="00AC0448"/>
    <w:rsid w:val="00AC0530"/>
    <w:rsid w:val="00AC0FF7"/>
    <w:rsid w:val="00AC103F"/>
    <w:rsid w:val="00AC1886"/>
    <w:rsid w:val="00AC18B4"/>
    <w:rsid w:val="00AC1C3E"/>
    <w:rsid w:val="00AC1CC5"/>
    <w:rsid w:val="00AC1E63"/>
    <w:rsid w:val="00AC22BF"/>
    <w:rsid w:val="00AC235D"/>
    <w:rsid w:val="00AC268F"/>
    <w:rsid w:val="00AC28A5"/>
    <w:rsid w:val="00AC2EC3"/>
    <w:rsid w:val="00AC2FFB"/>
    <w:rsid w:val="00AC3065"/>
    <w:rsid w:val="00AC31AD"/>
    <w:rsid w:val="00AC3479"/>
    <w:rsid w:val="00AC389E"/>
    <w:rsid w:val="00AC39BB"/>
    <w:rsid w:val="00AC3CC5"/>
    <w:rsid w:val="00AC3FD6"/>
    <w:rsid w:val="00AC41AA"/>
    <w:rsid w:val="00AC4479"/>
    <w:rsid w:val="00AC5178"/>
    <w:rsid w:val="00AC57FF"/>
    <w:rsid w:val="00AC5B19"/>
    <w:rsid w:val="00AC5C4A"/>
    <w:rsid w:val="00AC5C94"/>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4E0"/>
    <w:rsid w:val="00AD4F87"/>
    <w:rsid w:val="00AD501D"/>
    <w:rsid w:val="00AD5571"/>
    <w:rsid w:val="00AD5646"/>
    <w:rsid w:val="00AD5DEA"/>
    <w:rsid w:val="00AD5E5C"/>
    <w:rsid w:val="00AD5F84"/>
    <w:rsid w:val="00AD6120"/>
    <w:rsid w:val="00AD6670"/>
    <w:rsid w:val="00AD6866"/>
    <w:rsid w:val="00AD68D6"/>
    <w:rsid w:val="00AD699A"/>
    <w:rsid w:val="00AD7427"/>
    <w:rsid w:val="00AE0352"/>
    <w:rsid w:val="00AE0616"/>
    <w:rsid w:val="00AE128E"/>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8B0"/>
    <w:rsid w:val="00AE7B0B"/>
    <w:rsid w:val="00AF0EB0"/>
    <w:rsid w:val="00AF15E5"/>
    <w:rsid w:val="00AF172C"/>
    <w:rsid w:val="00AF18EB"/>
    <w:rsid w:val="00AF1B9F"/>
    <w:rsid w:val="00AF25E6"/>
    <w:rsid w:val="00AF2D90"/>
    <w:rsid w:val="00AF3913"/>
    <w:rsid w:val="00AF3BCD"/>
    <w:rsid w:val="00AF4150"/>
    <w:rsid w:val="00AF4C74"/>
    <w:rsid w:val="00AF4F5E"/>
    <w:rsid w:val="00AF516E"/>
    <w:rsid w:val="00AF5922"/>
    <w:rsid w:val="00AF5927"/>
    <w:rsid w:val="00AF5B70"/>
    <w:rsid w:val="00AF5B83"/>
    <w:rsid w:val="00AF6273"/>
    <w:rsid w:val="00AF6478"/>
    <w:rsid w:val="00AF65E5"/>
    <w:rsid w:val="00AF7233"/>
    <w:rsid w:val="00AF7665"/>
    <w:rsid w:val="00AF76A2"/>
    <w:rsid w:val="00AF7851"/>
    <w:rsid w:val="00AF793D"/>
    <w:rsid w:val="00AF7CF1"/>
    <w:rsid w:val="00B004B6"/>
    <w:rsid w:val="00B00673"/>
    <w:rsid w:val="00B006C4"/>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22D"/>
    <w:rsid w:val="00B04962"/>
    <w:rsid w:val="00B04A62"/>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215"/>
    <w:rsid w:val="00B15B6A"/>
    <w:rsid w:val="00B16285"/>
    <w:rsid w:val="00B1676F"/>
    <w:rsid w:val="00B17649"/>
    <w:rsid w:val="00B17760"/>
    <w:rsid w:val="00B178D0"/>
    <w:rsid w:val="00B179E5"/>
    <w:rsid w:val="00B17FC9"/>
    <w:rsid w:val="00B20054"/>
    <w:rsid w:val="00B21849"/>
    <w:rsid w:val="00B21A48"/>
    <w:rsid w:val="00B21F24"/>
    <w:rsid w:val="00B21FA4"/>
    <w:rsid w:val="00B221E5"/>
    <w:rsid w:val="00B2243F"/>
    <w:rsid w:val="00B22C87"/>
    <w:rsid w:val="00B22CDF"/>
    <w:rsid w:val="00B22DA8"/>
    <w:rsid w:val="00B22EE7"/>
    <w:rsid w:val="00B2330B"/>
    <w:rsid w:val="00B239E8"/>
    <w:rsid w:val="00B23D2B"/>
    <w:rsid w:val="00B24291"/>
    <w:rsid w:val="00B24767"/>
    <w:rsid w:val="00B248CB"/>
    <w:rsid w:val="00B249F2"/>
    <w:rsid w:val="00B24CD0"/>
    <w:rsid w:val="00B25027"/>
    <w:rsid w:val="00B25730"/>
    <w:rsid w:val="00B258AD"/>
    <w:rsid w:val="00B25D55"/>
    <w:rsid w:val="00B25F45"/>
    <w:rsid w:val="00B25FC4"/>
    <w:rsid w:val="00B26B50"/>
    <w:rsid w:val="00B26DA0"/>
    <w:rsid w:val="00B27034"/>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2EEA"/>
    <w:rsid w:val="00B337BB"/>
    <w:rsid w:val="00B339CC"/>
    <w:rsid w:val="00B34468"/>
    <w:rsid w:val="00B3484F"/>
    <w:rsid w:val="00B34CBD"/>
    <w:rsid w:val="00B3541A"/>
    <w:rsid w:val="00B35C2D"/>
    <w:rsid w:val="00B35C80"/>
    <w:rsid w:val="00B36A90"/>
    <w:rsid w:val="00B36D4F"/>
    <w:rsid w:val="00B36ECB"/>
    <w:rsid w:val="00B37A78"/>
    <w:rsid w:val="00B37D67"/>
    <w:rsid w:val="00B37F7D"/>
    <w:rsid w:val="00B401F9"/>
    <w:rsid w:val="00B4021C"/>
    <w:rsid w:val="00B407FC"/>
    <w:rsid w:val="00B40F89"/>
    <w:rsid w:val="00B410C9"/>
    <w:rsid w:val="00B417F1"/>
    <w:rsid w:val="00B41995"/>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E89"/>
    <w:rsid w:val="00B501B0"/>
    <w:rsid w:val="00B5026C"/>
    <w:rsid w:val="00B505DF"/>
    <w:rsid w:val="00B50B6B"/>
    <w:rsid w:val="00B514BA"/>
    <w:rsid w:val="00B51612"/>
    <w:rsid w:val="00B51906"/>
    <w:rsid w:val="00B51C7F"/>
    <w:rsid w:val="00B51CE4"/>
    <w:rsid w:val="00B5271F"/>
    <w:rsid w:val="00B52839"/>
    <w:rsid w:val="00B52F2D"/>
    <w:rsid w:val="00B53427"/>
    <w:rsid w:val="00B53818"/>
    <w:rsid w:val="00B53CC8"/>
    <w:rsid w:val="00B53D72"/>
    <w:rsid w:val="00B53E88"/>
    <w:rsid w:val="00B53F69"/>
    <w:rsid w:val="00B54284"/>
    <w:rsid w:val="00B546A4"/>
    <w:rsid w:val="00B54BA8"/>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5DF"/>
    <w:rsid w:val="00B626AD"/>
    <w:rsid w:val="00B62F25"/>
    <w:rsid w:val="00B63397"/>
    <w:rsid w:val="00B63496"/>
    <w:rsid w:val="00B6354D"/>
    <w:rsid w:val="00B639B9"/>
    <w:rsid w:val="00B6425A"/>
    <w:rsid w:val="00B6549E"/>
    <w:rsid w:val="00B6573F"/>
    <w:rsid w:val="00B65752"/>
    <w:rsid w:val="00B65783"/>
    <w:rsid w:val="00B65CF8"/>
    <w:rsid w:val="00B661B9"/>
    <w:rsid w:val="00B66333"/>
    <w:rsid w:val="00B665B4"/>
    <w:rsid w:val="00B66A63"/>
    <w:rsid w:val="00B67229"/>
    <w:rsid w:val="00B67565"/>
    <w:rsid w:val="00B67C09"/>
    <w:rsid w:val="00B70091"/>
    <w:rsid w:val="00B70180"/>
    <w:rsid w:val="00B70450"/>
    <w:rsid w:val="00B7052F"/>
    <w:rsid w:val="00B70A04"/>
    <w:rsid w:val="00B728CD"/>
    <w:rsid w:val="00B72AA5"/>
    <w:rsid w:val="00B72EAF"/>
    <w:rsid w:val="00B73321"/>
    <w:rsid w:val="00B737EC"/>
    <w:rsid w:val="00B73991"/>
    <w:rsid w:val="00B73F54"/>
    <w:rsid w:val="00B742B9"/>
    <w:rsid w:val="00B7439C"/>
    <w:rsid w:val="00B7472A"/>
    <w:rsid w:val="00B74A2F"/>
    <w:rsid w:val="00B74BE2"/>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467"/>
    <w:rsid w:val="00B805DA"/>
    <w:rsid w:val="00B80823"/>
    <w:rsid w:val="00B80DA0"/>
    <w:rsid w:val="00B81350"/>
    <w:rsid w:val="00B815BE"/>
    <w:rsid w:val="00B81B0A"/>
    <w:rsid w:val="00B81B9D"/>
    <w:rsid w:val="00B82260"/>
    <w:rsid w:val="00B833E6"/>
    <w:rsid w:val="00B83905"/>
    <w:rsid w:val="00B83EB0"/>
    <w:rsid w:val="00B84592"/>
    <w:rsid w:val="00B8480A"/>
    <w:rsid w:val="00B84A7F"/>
    <w:rsid w:val="00B84B07"/>
    <w:rsid w:val="00B84CE4"/>
    <w:rsid w:val="00B8506D"/>
    <w:rsid w:val="00B859C5"/>
    <w:rsid w:val="00B86119"/>
    <w:rsid w:val="00B863F0"/>
    <w:rsid w:val="00B8678D"/>
    <w:rsid w:val="00B86E70"/>
    <w:rsid w:val="00B8738D"/>
    <w:rsid w:val="00B8773D"/>
    <w:rsid w:val="00B87F84"/>
    <w:rsid w:val="00B90AD7"/>
    <w:rsid w:val="00B9104A"/>
    <w:rsid w:val="00B917CA"/>
    <w:rsid w:val="00B91AE8"/>
    <w:rsid w:val="00B91B09"/>
    <w:rsid w:val="00B91BF7"/>
    <w:rsid w:val="00B91F7D"/>
    <w:rsid w:val="00B92043"/>
    <w:rsid w:val="00B92237"/>
    <w:rsid w:val="00B924B2"/>
    <w:rsid w:val="00B92577"/>
    <w:rsid w:val="00B9333C"/>
    <w:rsid w:val="00B9343E"/>
    <w:rsid w:val="00B93506"/>
    <w:rsid w:val="00B93A63"/>
    <w:rsid w:val="00B948C5"/>
    <w:rsid w:val="00B94CEC"/>
    <w:rsid w:val="00B94E2B"/>
    <w:rsid w:val="00B9522F"/>
    <w:rsid w:val="00B95339"/>
    <w:rsid w:val="00B95578"/>
    <w:rsid w:val="00B959A8"/>
    <w:rsid w:val="00B95DB3"/>
    <w:rsid w:val="00B95ED2"/>
    <w:rsid w:val="00B9600C"/>
    <w:rsid w:val="00B9612E"/>
    <w:rsid w:val="00B963F0"/>
    <w:rsid w:val="00B96622"/>
    <w:rsid w:val="00B96942"/>
    <w:rsid w:val="00B96C6F"/>
    <w:rsid w:val="00B97C03"/>
    <w:rsid w:val="00BA01E1"/>
    <w:rsid w:val="00BA042A"/>
    <w:rsid w:val="00BA052B"/>
    <w:rsid w:val="00BA119A"/>
    <w:rsid w:val="00BA11DE"/>
    <w:rsid w:val="00BA1522"/>
    <w:rsid w:val="00BA28D8"/>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055F"/>
    <w:rsid w:val="00BB0C73"/>
    <w:rsid w:val="00BB157C"/>
    <w:rsid w:val="00BB163E"/>
    <w:rsid w:val="00BB165E"/>
    <w:rsid w:val="00BB1A34"/>
    <w:rsid w:val="00BB21D4"/>
    <w:rsid w:val="00BB22EC"/>
    <w:rsid w:val="00BB2B3E"/>
    <w:rsid w:val="00BB2C41"/>
    <w:rsid w:val="00BB2EA5"/>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EE8"/>
    <w:rsid w:val="00BC124B"/>
    <w:rsid w:val="00BC126E"/>
    <w:rsid w:val="00BC1782"/>
    <w:rsid w:val="00BC1851"/>
    <w:rsid w:val="00BC1975"/>
    <w:rsid w:val="00BC1BE8"/>
    <w:rsid w:val="00BC2307"/>
    <w:rsid w:val="00BC2D97"/>
    <w:rsid w:val="00BC3033"/>
    <w:rsid w:val="00BC3662"/>
    <w:rsid w:val="00BC3B7C"/>
    <w:rsid w:val="00BC3C96"/>
    <w:rsid w:val="00BC415E"/>
    <w:rsid w:val="00BC4DE6"/>
    <w:rsid w:val="00BC513A"/>
    <w:rsid w:val="00BC51EC"/>
    <w:rsid w:val="00BC582A"/>
    <w:rsid w:val="00BC5B6B"/>
    <w:rsid w:val="00BC5EBE"/>
    <w:rsid w:val="00BC5F03"/>
    <w:rsid w:val="00BC615E"/>
    <w:rsid w:val="00BC6164"/>
    <w:rsid w:val="00BC632F"/>
    <w:rsid w:val="00BC63A8"/>
    <w:rsid w:val="00BC725C"/>
    <w:rsid w:val="00BC7609"/>
    <w:rsid w:val="00BC7A8C"/>
    <w:rsid w:val="00BD0098"/>
    <w:rsid w:val="00BD056F"/>
    <w:rsid w:val="00BD057B"/>
    <w:rsid w:val="00BD0AA9"/>
    <w:rsid w:val="00BD0BE2"/>
    <w:rsid w:val="00BD0C3D"/>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58C"/>
    <w:rsid w:val="00BE1CC7"/>
    <w:rsid w:val="00BE21D8"/>
    <w:rsid w:val="00BE2A88"/>
    <w:rsid w:val="00BE2BFE"/>
    <w:rsid w:val="00BE2C9A"/>
    <w:rsid w:val="00BE2DAB"/>
    <w:rsid w:val="00BE2F0B"/>
    <w:rsid w:val="00BE3305"/>
    <w:rsid w:val="00BE3BD1"/>
    <w:rsid w:val="00BE3CC4"/>
    <w:rsid w:val="00BE3E20"/>
    <w:rsid w:val="00BE400E"/>
    <w:rsid w:val="00BE4026"/>
    <w:rsid w:val="00BE431F"/>
    <w:rsid w:val="00BE432E"/>
    <w:rsid w:val="00BE4A9F"/>
    <w:rsid w:val="00BE5DF5"/>
    <w:rsid w:val="00BE617F"/>
    <w:rsid w:val="00BE62F2"/>
    <w:rsid w:val="00BE6A74"/>
    <w:rsid w:val="00BE6AA3"/>
    <w:rsid w:val="00BE6B88"/>
    <w:rsid w:val="00BE6C50"/>
    <w:rsid w:val="00BE725A"/>
    <w:rsid w:val="00BE79E4"/>
    <w:rsid w:val="00BE7A96"/>
    <w:rsid w:val="00BE7B95"/>
    <w:rsid w:val="00BE7BFF"/>
    <w:rsid w:val="00BF0037"/>
    <w:rsid w:val="00BF02B4"/>
    <w:rsid w:val="00BF0A8C"/>
    <w:rsid w:val="00BF0BF4"/>
    <w:rsid w:val="00BF0ECB"/>
    <w:rsid w:val="00BF143C"/>
    <w:rsid w:val="00BF1464"/>
    <w:rsid w:val="00BF16F6"/>
    <w:rsid w:val="00BF1A38"/>
    <w:rsid w:val="00BF2AE4"/>
    <w:rsid w:val="00BF2BCB"/>
    <w:rsid w:val="00BF2FC1"/>
    <w:rsid w:val="00BF3B06"/>
    <w:rsid w:val="00BF3DBA"/>
    <w:rsid w:val="00BF3DD4"/>
    <w:rsid w:val="00BF46CC"/>
    <w:rsid w:val="00BF472D"/>
    <w:rsid w:val="00BF4DD6"/>
    <w:rsid w:val="00BF51CC"/>
    <w:rsid w:val="00BF5333"/>
    <w:rsid w:val="00BF550F"/>
    <w:rsid w:val="00BF5A79"/>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3FA8"/>
    <w:rsid w:val="00C040D6"/>
    <w:rsid w:val="00C04389"/>
    <w:rsid w:val="00C04673"/>
    <w:rsid w:val="00C04706"/>
    <w:rsid w:val="00C048C4"/>
    <w:rsid w:val="00C04CE2"/>
    <w:rsid w:val="00C05472"/>
    <w:rsid w:val="00C057D6"/>
    <w:rsid w:val="00C05828"/>
    <w:rsid w:val="00C059C7"/>
    <w:rsid w:val="00C05BD3"/>
    <w:rsid w:val="00C05E22"/>
    <w:rsid w:val="00C060FE"/>
    <w:rsid w:val="00C06777"/>
    <w:rsid w:val="00C069AE"/>
    <w:rsid w:val="00C06AAE"/>
    <w:rsid w:val="00C06D23"/>
    <w:rsid w:val="00C06E77"/>
    <w:rsid w:val="00C07BFD"/>
    <w:rsid w:val="00C10579"/>
    <w:rsid w:val="00C10911"/>
    <w:rsid w:val="00C1110A"/>
    <w:rsid w:val="00C11608"/>
    <w:rsid w:val="00C11A0E"/>
    <w:rsid w:val="00C11ABD"/>
    <w:rsid w:val="00C12563"/>
    <w:rsid w:val="00C128CF"/>
    <w:rsid w:val="00C12A14"/>
    <w:rsid w:val="00C132A3"/>
    <w:rsid w:val="00C1368A"/>
    <w:rsid w:val="00C136A5"/>
    <w:rsid w:val="00C13E5E"/>
    <w:rsid w:val="00C13F2C"/>
    <w:rsid w:val="00C1413F"/>
    <w:rsid w:val="00C14B12"/>
    <w:rsid w:val="00C14DDD"/>
    <w:rsid w:val="00C14EDE"/>
    <w:rsid w:val="00C150A3"/>
    <w:rsid w:val="00C1553E"/>
    <w:rsid w:val="00C15FB7"/>
    <w:rsid w:val="00C161B8"/>
    <w:rsid w:val="00C16632"/>
    <w:rsid w:val="00C16950"/>
    <w:rsid w:val="00C16AFA"/>
    <w:rsid w:val="00C16F86"/>
    <w:rsid w:val="00C170C5"/>
    <w:rsid w:val="00C170CC"/>
    <w:rsid w:val="00C173E8"/>
    <w:rsid w:val="00C17691"/>
    <w:rsid w:val="00C176B2"/>
    <w:rsid w:val="00C17FD2"/>
    <w:rsid w:val="00C2016E"/>
    <w:rsid w:val="00C20769"/>
    <w:rsid w:val="00C21355"/>
    <w:rsid w:val="00C219CF"/>
    <w:rsid w:val="00C21C37"/>
    <w:rsid w:val="00C21C94"/>
    <w:rsid w:val="00C22BA5"/>
    <w:rsid w:val="00C22C99"/>
    <w:rsid w:val="00C22EB6"/>
    <w:rsid w:val="00C23737"/>
    <w:rsid w:val="00C23C89"/>
    <w:rsid w:val="00C23CDF"/>
    <w:rsid w:val="00C23DD5"/>
    <w:rsid w:val="00C240DD"/>
    <w:rsid w:val="00C240FB"/>
    <w:rsid w:val="00C2416F"/>
    <w:rsid w:val="00C242CE"/>
    <w:rsid w:val="00C24E61"/>
    <w:rsid w:val="00C254E4"/>
    <w:rsid w:val="00C25D9F"/>
    <w:rsid w:val="00C26A71"/>
    <w:rsid w:val="00C26CE6"/>
    <w:rsid w:val="00C274F1"/>
    <w:rsid w:val="00C27ABD"/>
    <w:rsid w:val="00C27DF7"/>
    <w:rsid w:val="00C30B08"/>
    <w:rsid w:val="00C30BC7"/>
    <w:rsid w:val="00C3182B"/>
    <w:rsid w:val="00C31C38"/>
    <w:rsid w:val="00C32190"/>
    <w:rsid w:val="00C321E8"/>
    <w:rsid w:val="00C327AB"/>
    <w:rsid w:val="00C32B56"/>
    <w:rsid w:val="00C32F60"/>
    <w:rsid w:val="00C33125"/>
    <w:rsid w:val="00C33528"/>
    <w:rsid w:val="00C340CD"/>
    <w:rsid w:val="00C3462D"/>
    <w:rsid w:val="00C34823"/>
    <w:rsid w:val="00C34917"/>
    <w:rsid w:val="00C34B43"/>
    <w:rsid w:val="00C34CF1"/>
    <w:rsid w:val="00C34D5B"/>
    <w:rsid w:val="00C353CE"/>
    <w:rsid w:val="00C355CA"/>
    <w:rsid w:val="00C36455"/>
    <w:rsid w:val="00C364BD"/>
    <w:rsid w:val="00C3667C"/>
    <w:rsid w:val="00C36CF1"/>
    <w:rsid w:val="00C36F30"/>
    <w:rsid w:val="00C371BB"/>
    <w:rsid w:val="00C3732E"/>
    <w:rsid w:val="00C37B7F"/>
    <w:rsid w:val="00C37D13"/>
    <w:rsid w:val="00C37F03"/>
    <w:rsid w:val="00C4029B"/>
    <w:rsid w:val="00C402C4"/>
    <w:rsid w:val="00C40AF7"/>
    <w:rsid w:val="00C40CBB"/>
    <w:rsid w:val="00C41DED"/>
    <w:rsid w:val="00C42944"/>
    <w:rsid w:val="00C43150"/>
    <w:rsid w:val="00C4319D"/>
    <w:rsid w:val="00C434BC"/>
    <w:rsid w:val="00C434EF"/>
    <w:rsid w:val="00C43C4A"/>
    <w:rsid w:val="00C44048"/>
    <w:rsid w:val="00C4420C"/>
    <w:rsid w:val="00C44245"/>
    <w:rsid w:val="00C44360"/>
    <w:rsid w:val="00C4444A"/>
    <w:rsid w:val="00C453F8"/>
    <w:rsid w:val="00C45539"/>
    <w:rsid w:val="00C457AB"/>
    <w:rsid w:val="00C461B9"/>
    <w:rsid w:val="00C46270"/>
    <w:rsid w:val="00C46314"/>
    <w:rsid w:val="00C4631A"/>
    <w:rsid w:val="00C46368"/>
    <w:rsid w:val="00C46BD1"/>
    <w:rsid w:val="00C46F06"/>
    <w:rsid w:val="00C47B99"/>
    <w:rsid w:val="00C47F4A"/>
    <w:rsid w:val="00C47F5F"/>
    <w:rsid w:val="00C50308"/>
    <w:rsid w:val="00C50582"/>
    <w:rsid w:val="00C50D3B"/>
    <w:rsid w:val="00C511E4"/>
    <w:rsid w:val="00C51738"/>
    <w:rsid w:val="00C51BD3"/>
    <w:rsid w:val="00C51EDE"/>
    <w:rsid w:val="00C5282F"/>
    <w:rsid w:val="00C52EFB"/>
    <w:rsid w:val="00C52F96"/>
    <w:rsid w:val="00C5350B"/>
    <w:rsid w:val="00C5378A"/>
    <w:rsid w:val="00C537F4"/>
    <w:rsid w:val="00C53D6D"/>
    <w:rsid w:val="00C541D0"/>
    <w:rsid w:val="00C54A78"/>
    <w:rsid w:val="00C54E4E"/>
    <w:rsid w:val="00C55016"/>
    <w:rsid w:val="00C551F4"/>
    <w:rsid w:val="00C55322"/>
    <w:rsid w:val="00C55FA5"/>
    <w:rsid w:val="00C563ED"/>
    <w:rsid w:val="00C564F2"/>
    <w:rsid w:val="00C56561"/>
    <w:rsid w:val="00C56640"/>
    <w:rsid w:val="00C5683E"/>
    <w:rsid w:val="00C56895"/>
    <w:rsid w:val="00C56913"/>
    <w:rsid w:val="00C56E40"/>
    <w:rsid w:val="00C56F7F"/>
    <w:rsid w:val="00C5734E"/>
    <w:rsid w:val="00C57869"/>
    <w:rsid w:val="00C57A04"/>
    <w:rsid w:val="00C57D24"/>
    <w:rsid w:val="00C57E7A"/>
    <w:rsid w:val="00C606A5"/>
    <w:rsid w:val="00C6079D"/>
    <w:rsid w:val="00C60ADE"/>
    <w:rsid w:val="00C60FFD"/>
    <w:rsid w:val="00C611F1"/>
    <w:rsid w:val="00C6165F"/>
    <w:rsid w:val="00C61ECA"/>
    <w:rsid w:val="00C6245D"/>
    <w:rsid w:val="00C62D21"/>
    <w:rsid w:val="00C62D70"/>
    <w:rsid w:val="00C6337A"/>
    <w:rsid w:val="00C647DF"/>
    <w:rsid w:val="00C64D28"/>
    <w:rsid w:val="00C64D32"/>
    <w:rsid w:val="00C66036"/>
    <w:rsid w:val="00C6620A"/>
    <w:rsid w:val="00C665CA"/>
    <w:rsid w:val="00C6672B"/>
    <w:rsid w:val="00C669F6"/>
    <w:rsid w:val="00C673AD"/>
    <w:rsid w:val="00C67553"/>
    <w:rsid w:val="00C67A9D"/>
    <w:rsid w:val="00C67BB4"/>
    <w:rsid w:val="00C70194"/>
    <w:rsid w:val="00C70239"/>
    <w:rsid w:val="00C708CF"/>
    <w:rsid w:val="00C7104A"/>
    <w:rsid w:val="00C711E3"/>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6020"/>
    <w:rsid w:val="00C76454"/>
    <w:rsid w:val="00C7651F"/>
    <w:rsid w:val="00C76567"/>
    <w:rsid w:val="00C766BF"/>
    <w:rsid w:val="00C76907"/>
    <w:rsid w:val="00C76A6E"/>
    <w:rsid w:val="00C76A85"/>
    <w:rsid w:val="00C76D56"/>
    <w:rsid w:val="00C7732A"/>
    <w:rsid w:val="00C77C53"/>
    <w:rsid w:val="00C77E23"/>
    <w:rsid w:val="00C77E65"/>
    <w:rsid w:val="00C77EAB"/>
    <w:rsid w:val="00C80099"/>
    <w:rsid w:val="00C80126"/>
    <w:rsid w:val="00C801EE"/>
    <w:rsid w:val="00C80394"/>
    <w:rsid w:val="00C80540"/>
    <w:rsid w:val="00C80AF8"/>
    <w:rsid w:val="00C810B3"/>
    <w:rsid w:val="00C811AA"/>
    <w:rsid w:val="00C8143A"/>
    <w:rsid w:val="00C81DCA"/>
    <w:rsid w:val="00C821B7"/>
    <w:rsid w:val="00C822A1"/>
    <w:rsid w:val="00C82788"/>
    <w:rsid w:val="00C8278A"/>
    <w:rsid w:val="00C82E7F"/>
    <w:rsid w:val="00C83272"/>
    <w:rsid w:val="00C83390"/>
    <w:rsid w:val="00C8352C"/>
    <w:rsid w:val="00C838A2"/>
    <w:rsid w:val="00C83AD6"/>
    <w:rsid w:val="00C84D2F"/>
    <w:rsid w:val="00C84F44"/>
    <w:rsid w:val="00C85500"/>
    <w:rsid w:val="00C85A2E"/>
    <w:rsid w:val="00C863A0"/>
    <w:rsid w:val="00C86932"/>
    <w:rsid w:val="00C86A22"/>
    <w:rsid w:val="00C86AED"/>
    <w:rsid w:val="00C875BA"/>
    <w:rsid w:val="00C879B8"/>
    <w:rsid w:val="00C87A6B"/>
    <w:rsid w:val="00C87DFF"/>
    <w:rsid w:val="00C9031E"/>
    <w:rsid w:val="00C90BC8"/>
    <w:rsid w:val="00C90D7F"/>
    <w:rsid w:val="00C91487"/>
    <w:rsid w:val="00C918DC"/>
    <w:rsid w:val="00C91F96"/>
    <w:rsid w:val="00C926E3"/>
    <w:rsid w:val="00C92762"/>
    <w:rsid w:val="00C92780"/>
    <w:rsid w:val="00C9285A"/>
    <w:rsid w:val="00C9317A"/>
    <w:rsid w:val="00C931B2"/>
    <w:rsid w:val="00C93331"/>
    <w:rsid w:val="00C93831"/>
    <w:rsid w:val="00C93E12"/>
    <w:rsid w:val="00C93E4C"/>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0FA1"/>
    <w:rsid w:val="00CA135E"/>
    <w:rsid w:val="00CA24AC"/>
    <w:rsid w:val="00CA312E"/>
    <w:rsid w:val="00CA344F"/>
    <w:rsid w:val="00CA35D4"/>
    <w:rsid w:val="00CA3B96"/>
    <w:rsid w:val="00CA3C3E"/>
    <w:rsid w:val="00CA3CA8"/>
    <w:rsid w:val="00CA45A7"/>
    <w:rsid w:val="00CA46C4"/>
    <w:rsid w:val="00CA4763"/>
    <w:rsid w:val="00CA479F"/>
    <w:rsid w:val="00CA4DE6"/>
    <w:rsid w:val="00CA5501"/>
    <w:rsid w:val="00CA57F9"/>
    <w:rsid w:val="00CA5E1D"/>
    <w:rsid w:val="00CA6350"/>
    <w:rsid w:val="00CA653E"/>
    <w:rsid w:val="00CA69A2"/>
    <w:rsid w:val="00CA6AF0"/>
    <w:rsid w:val="00CA6F5F"/>
    <w:rsid w:val="00CA715F"/>
    <w:rsid w:val="00CA73C5"/>
    <w:rsid w:val="00CA73DD"/>
    <w:rsid w:val="00CA782B"/>
    <w:rsid w:val="00CA7AAA"/>
    <w:rsid w:val="00CA7BB8"/>
    <w:rsid w:val="00CB195E"/>
    <w:rsid w:val="00CB2007"/>
    <w:rsid w:val="00CB2202"/>
    <w:rsid w:val="00CB2382"/>
    <w:rsid w:val="00CB23A3"/>
    <w:rsid w:val="00CB27A0"/>
    <w:rsid w:val="00CB3138"/>
    <w:rsid w:val="00CB32B9"/>
    <w:rsid w:val="00CB3448"/>
    <w:rsid w:val="00CB3E77"/>
    <w:rsid w:val="00CB4C14"/>
    <w:rsid w:val="00CB51CC"/>
    <w:rsid w:val="00CB54D5"/>
    <w:rsid w:val="00CB59C0"/>
    <w:rsid w:val="00CB5BB5"/>
    <w:rsid w:val="00CB604E"/>
    <w:rsid w:val="00CB634D"/>
    <w:rsid w:val="00CB6389"/>
    <w:rsid w:val="00CB6938"/>
    <w:rsid w:val="00CB69D9"/>
    <w:rsid w:val="00CB6B5E"/>
    <w:rsid w:val="00CB6F4C"/>
    <w:rsid w:val="00CB7251"/>
    <w:rsid w:val="00CB7A3F"/>
    <w:rsid w:val="00CB7A5B"/>
    <w:rsid w:val="00CB7BF5"/>
    <w:rsid w:val="00CC05CF"/>
    <w:rsid w:val="00CC0A96"/>
    <w:rsid w:val="00CC1662"/>
    <w:rsid w:val="00CC1B93"/>
    <w:rsid w:val="00CC1E1E"/>
    <w:rsid w:val="00CC20C1"/>
    <w:rsid w:val="00CC282A"/>
    <w:rsid w:val="00CC286E"/>
    <w:rsid w:val="00CC2A5F"/>
    <w:rsid w:val="00CC31BB"/>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3DA"/>
    <w:rsid w:val="00CC650A"/>
    <w:rsid w:val="00CC6943"/>
    <w:rsid w:val="00CC69C7"/>
    <w:rsid w:val="00CC6D28"/>
    <w:rsid w:val="00CC7105"/>
    <w:rsid w:val="00CC7578"/>
    <w:rsid w:val="00CD00F7"/>
    <w:rsid w:val="00CD0486"/>
    <w:rsid w:val="00CD04F4"/>
    <w:rsid w:val="00CD089D"/>
    <w:rsid w:val="00CD1167"/>
    <w:rsid w:val="00CD151C"/>
    <w:rsid w:val="00CD20A9"/>
    <w:rsid w:val="00CD3152"/>
    <w:rsid w:val="00CD35D2"/>
    <w:rsid w:val="00CD35EE"/>
    <w:rsid w:val="00CD3767"/>
    <w:rsid w:val="00CD3B1D"/>
    <w:rsid w:val="00CD3CE2"/>
    <w:rsid w:val="00CD3CE5"/>
    <w:rsid w:val="00CD4235"/>
    <w:rsid w:val="00CD4611"/>
    <w:rsid w:val="00CD4E73"/>
    <w:rsid w:val="00CD576C"/>
    <w:rsid w:val="00CD5A2F"/>
    <w:rsid w:val="00CD5CCB"/>
    <w:rsid w:val="00CD5D65"/>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720"/>
    <w:rsid w:val="00CE0A42"/>
    <w:rsid w:val="00CE0BA1"/>
    <w:rsid w:val="00CE0CB3"/>
    <w:rsid w:val="00CE0EC9"/>
    <w:rsid w:val="00CE0FD3"/>
    <w:rsid w:val="00CE1105"/>
    <w:rsid w:val="00CE1AA9"/>
    <w:rsid w:val="00CE20D2"/>
    <w:rsid w:val="00CE22F2"/>
    <w:rsid w:val="00CE239E"/>
    <w:rsid w:val="00CE24F4"/>
    <w:rsid w:val="00CE2D91"/>
    <w:rsid w:val="00CE2DEC"/>
    <w:rsid w:val="00CE3250"/>
    <w:rsid w:val="00CE3B54"/>
    <w:rsid w:val="00CE45B7"/>
    <w:rsid w:val="00CE469B"/>
    <w:rsid w:val="00CE49A7"/>
    <w:rsid w:val="00CE4A37"/>
    <w:rsid w:val="00CE4AD7"/>
    <w:rsid w:val="00CE4B17"/>
    <w:rsid w:val="00CE4B2D"/>
    <w:rsid w:val="00CE4E33"/>
    <w:rsid w:val="00CE4E6D"/>
    <w:rsid w:val="00CE54FB"/>
    <w:rsid w:val="00CE5992"/>
    <w:rsid w:val="00CE5DB4"/>
    <w:rsid w:val="00CE5FB5"/>
    <w:rsid w:val="00CE608D"/>
    <w:rsid w:val="00CE6602"/>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1BAE"/>
    <w:rsid w:val="00CF1ECB"/>
    <w:rsid w:val="00CF2723"/>
    <w:rsid w:val="00CF27E6"/>
    <w:rsid w:val="00CF2878"/>
    <w:rsid w:val="00CF2D1C"/>
    <w:rsid w:val="00CF3B3F"/>
    <w:rsid w:val="00CF3CF3"/>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478"/>
    <w:rsid w:val="00D01F13"/>
    <w:rsid w:val="00D024EC"/>
    <w:rsid w:val="00D02CD4"/>
    <w:rsid w:val="00D02FC3"/>
    <w:rsid w:val="00D034A2"/>
    <w:rsid w:val="00D03CBD"/>
    <w:rsid w:val="00D03E9A"/>
    <w:rsid w:val="00D04062"/>
    <w:rsid w:val="00D04246"/>
    <w:rsid w:val="00D046FF"/>
    <w:rsid w:val="00D04E6E"/>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134"/>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A52"/>
    <w:rsid w:val="00D20E26"/>
    <w:rsid w:val="00D210D2"/>
    <w:rsid w:val="00D2143E"/>
    <w:rsid w:val="00D215B2"/>
    <w:rsid w:val="00D21748"/>
    <w:rsid w:val="00D217DF"/>
    <w:rsid w:val="00D22050"/>
    <w:rsid w:val="00D2216B"/>
    <w:rsid w:val="00D222E7"/>
    <w:rsid w:val="00D22D3C"/>
    <w:rsid w:val="00D22F2C"/>
    <w:rsid w:val="00D232C4"/>
    <w:rsid w:val="00D23666"/>
    <w:rsid w:val="00D23DEC"/>
    <w:rsid w:val="00D2408F"/>
    <w:rsid w:val="00D240B0"/>
    <w:rsid w:val="00D24199"/>
    <w:rsid w:val="00D24281"/>
    <w:rsid w:val="00D2428B"/>
    <w:rsid w:val="00D242E1"/>
    <w:rsid w:val="00D2485E"/>
    <w:rsid w:val="00D25A00"/>
    <w:rsid w:val="00D25AAA"/>
    <w:rsid w:val="00D26018"/>
    <w:rsid w:val="00D262A8"/>
    <w:rsid w:val="00D263DE"/>
    <w:rsid w:val="00D265D1"/>
    <w:rsid w:val="00D2680D"/>
    <w:rsid w:val="00D26AB2"/>
    <w:rsid w:val="00D27E7F"/>
    <w:rsid w:val="00D27EA7"/>
    <w:rsid w:val="00D30979"/>
    <w:rsid w:val="00D3163C"/>
    <w:rsid w:val="00D31AB2"/>
    <w:rsid w:val="00D31C68"/>
    <w:rsid w:val="00D321E5"/>
    <w:rsid w:val="00D32DE1"/>
    <w:rsid w:val="00D32E8D"/>
    <w:rsid w:val="00D33194"/>
    <w:rsid w:val="00D3350B"/>
    <w:rsid w:val="00D3386D"/>
    <w:rsid w:val="00D33B75"/>
    <w:rsid w:val="00D33C40"/>
    <w:rsid w:val="00D345DC"/>
    <w:rsid w:val="00D34A17"/>
    <w:rsid w:val="00D34ABA"/>
    <w:rsid w:val="00D352F0"/>
    <w:rsid w:val="00D35461"/>
    <w:rsid w:val="00D35670"/>
    <w:rsid w:val="00D35A55"/>
    <w:rsid w:val="00D35C82"/>
    <w:rsid w:val="00D35EF4"/>
    <w:rsid w:val="00D36BBE"/>
    <w:rsid w:val="00D37092"/>
    <w:rsid w:val="00D37252"/>
    <w:rsid w:val="00D3768A"/>
    <w:rsid w:val="00D37961"/>
    <w:rsid w:val="00D37A42"/>
    <w:rsid w:val="00D37DD7"/>
    <w:rsid w:val="00D40094"/>
    <w:rsid w:val="00D402E1"/>
    <w:rsid w:val="00D40CBC"/>
    <w:rsid w:val="00D40DD3"/>
    <w:rsid w:val="00D40FD1"/>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B24"/>
    <w:rsid w:val="00D45B3A"/>
    <w:rsid w:val="00D4634C"/>
    <w:rsid w:val="00D46519"/>
    <w:rsid w:val="00D465DA"/>
    <w:rsid w:val="00D46E7D"/>
    <w:rsid w:val="00D475A9"/>
    <w:rsid w:val="00D476A8"/>
    <w:rsid w:val="00D477A6"/>
    <w:rsid w:val="00D4797E"/>
    <w:rsid w:val="00D47DDB"/>
    <w:rsid w:val="00D50132"/>
    <w:rsid w:val="00D501A7"/>
    <w:rsid w:val="00D50553"/>
    <w:rsid w:val="00D507FA"/>
    <w:rsid w:val="00D50A72"/>
    <w:rsid w:val="00D510EA"/>
    <w:rsid w:val="00D51484"/>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577B1"/>
    <w:rsid w:val="00D6063C"/>
    <w:rsid w:val="00D60735"/>
    <w:rsid w:val="00D60778"/>
    <w:rsid w:val="00D6094A"/>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4B31"/>
    <w:rsid w:val="00D65684"/>
    <w:rsid w:val="00D675CB"/>
    <w:rsid w:val="00D676BB"/>
    <w:rsid w:val="00D67CE0"/>
    <w:rsid w:val="00D67CFA"/>
    <w:rsid w:val="00D70094"/>
    <w:rsid w:val="00D70212"/>
    <w:rsid w:val="00D7078B"/>
    <w:rsid w:val="00D70C83"/>
    <w:rsid w:val="00D71FBD"/>
    <w:rsid w:val="00D7290D"/>
    <w:rsid w:val="00D7293A"/>
    <w:rsid w:val="00D7323B"/>
    <w:rsid w:val="00D73757"/>
    <w:rsid w:val="00D73B71"/>
    <w:rsid w:val="00D73CED"/>
    <w:rsid w:val="00D73DF6"/>
    <w:rsid w:val="00D74137"/>
    <w:rsid w:val="00D746C2"/>
    <w:rsid w:val="00D74744"/>
    <w:rsid w:val="00D74CC8"/>
    <w:rsid w:val="00D74D8C"/>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6F0"/>
    <w:rsid w:val="00D80B27"/>
    <w:rsid w:val="00D81D6C"/>
    <w:rsid w:val="00D81E36"/>
    <w:rsid w:val="00D8215D"/>
    <w:rsid w:val="00D821B2"/>
    <w:rsid w:val="00D82236"/>
    <w:rsid w:val="00D82398"/>
    <w:rsid w:val="00D826D1"/>
    <w:rsid w:val="00D829EF"/>
    <w:rsid w:val="00D835EE"/>
    <w:rsid w:val="00D837B3"/>
    <w:rsid w:val="00D83913"/>
    <w:rsid w:val="00D840EC"/>
    <w:rsid w:val="00D84476"/>
    <w:rsid w:val="00D848DB"/>
    <w:rsid w:val="00D8508A"/>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C60"/>
    <w:rsid w:val="00D93FD6"/>
    <w:rsid w:val="00D941BC"/>
    <w:rsid w:val="00D9491B"/>
    <w:rsid w:val="00D94CFD"/>
    <w:rsid w:val="00D94D2A"/>
    <w:rsid w:val="00D953BF"/>
    <w:rsid w:val="00D956F8"/>
    <w:rsid w:val="00D957A8"/>
    <w:rsid w:val="00D95CC4"/>
    <w:rsid w:val="00D95D75"/>
    <w:rsid w:val="00D96102"/>
    <w:rsid w:val="00D9613C"/>
    <w:rsid w:val="00D9697E"/>
    <w:rsid w:val="00D96DFA"/>
    <w:rsid w:val="00D96FF7"/>
    <w:rsid w:val="00D97352"/>
    <w:rsid w:val="00D97C58"/>
    <w:rsid w:val="00D97E76"/>
    <w:rsid w:val="00DA0160"/>
    <w:rsid w:val="00DA0632"/>
    <w:rsid w:val="00DA093A"/>
    <w:rsid w:val="00DA0E30"/>
    <w:rsid w:val="00DA13DF"/>
    <w:rsid w:val="00DA1DB7"/>
    <w:rsid w:val="00DA1FAD"/>
    <w:rsid w:val="00DA2405"/>
    <w:rsid w:val="00DA24DB"/>
    <w:rsid w:val="00DA26FF"/>
    <w:rsid w:val="00DA2A73"/>
    <w:rsid w:val="00DA2A80"/>
    <w:rsid w:val="00DA35B7"/>
    <w:rsid w:val="00DA3612"/>
    <w:rsid w:val="00DA3813"/>
    <w:rsid w:val="00DA38D9"/>
    <w:rsid w:val="00DA399B"/>
    <w:rsid w:val="00DA3A55"/>
    <w:rsid w:val="00DA3B20"/>
    <w:rsid w:val="00DA3EAB"/>
    <w:rsid w:val="00DA44D5"/>
    <w:rsid w:val="00DA55D4"/>
    <w:rsid w:val="00DA5C40"/>
    <w:rsid w:val="00DA5DF1"/>
    <w:rsid w:val="00DA5F3A"/>
    <w:rsid w:val="00DA6066"/>
    <w:rsid w:val="00DA6BCD"/>
    <w:rsid w:val="00DA6F8F"/>
    <w:rsid w:val="00DA7C12"/>
    <w:rsid w:val="00DA7EA3"/>
    <w:rsid w:val="00DB063B"/>
    <w:rsid w:val="00DB0A30"/>
    <w:rsid w:val="00DB0BB0"/>
    <w:rsid w:val="00DB0F95"/>
    <w:rsid w:val="00DB1717"/>
    <w:rsid w:val="00DB1B95"/>
    <w:rsid w:val="00DB1E66"/>
    <w:rsid w:val="00DB2004"/>
    <w:rsid w:val="00DB22AC"/>
    <w:rsid w:val="00DB2623"/>
    <w:rsid w:val="00DB26B2"/>
    <w:rsid w:val="00DB3BF6"/>
    <w:rsid w:val="00DB44C6"/>
    <w:rsid w:val="00DB4EE6"/>
    <w:rsid w:val="00DB5762"/>
    <w:rsid w:val="00DB5E60"/>
    <w:rsid w:val="00DB61D8"/>
    <w:rsid w:val="00DB6281"/>
    <w:rsid w:val="00DB6E2C"/>
    <w:rsid w:val="00DB7167"/>
    <w:rsid w:val="00DB724C"/>
    <w:rsid w:val="00DB725A"/>
    <w:rsid w:val="00DB772A"/>
    <w:rsid w:val="00DB77AD"/>
    <w:rsid w:val="00DB7F4A"/>
    <w:rsid w:val="00DC0A01"/>
    <w:rsid w:val="00DC13D6"/>
    <w:rsid w:val="00DC2150"/>
    <w:rsid w:val="00DC28C7"/>
    <w:rsid w:val="00DC2D23"/>
    <w:rsid w:val="00DC3372"/>
    <w:rsid w:val="00DC35AD"/>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4CD"/>
    <w:rsid w:val="00DC76A1"/>
    <w:rsid w:val="00DC7DB0"/>
    <w:rsid w:val="00DC7F16"/>
    <w:rsid w:val="00DC7FE9"/>
    <w:rsid w:val="00DD0C0D"/>
    <w:rsid w:val="00DD0F18"/>
    <w:rsid w:val="00DD126A"/>
    <w:rsid w:val="00DD1361"/>
    <w:rsid w:val="00DD192A"/>
    <w:rsid w:val="00DD1A95"/>
    <w:rsid w:val="00DD25E5"/>
    <w:rsid w:val="00DD2691"/>
    <w:rsid w:val="00DD2E61"/>
    <w:rsid w:val="00DD3003"/>
    <w:rsid w:val="00DD3B5E"/>
    <w:rsid w:val="00DD3B63"/>
    <w:rsid w:val="00DD3E6D"/>
    <w:rsid w:val="00DD4158"/>
    <w:rsid w:val="00DD4B3C"/>
    <w:rsid w:val="00DD4B5B"/>
    <w:rsid w:val="00DD4D74"/>
    <w:rsid w:val="00DD4DC6"/>
    <w:rsid w:val="00DD572D"/>
    <w:rsid w:val="00DD5942"/>
    <w:rsid w:val="00DD64CA"/>
    <w:rsid w:val="00DD726A"/>
    <w:rsid w:val="00DD7545"/>
    <w:rsid w:val="00DD78FF"/>
    <w:rsid w:val="00DE00A9"/>
    <w:rsid w:val="00DE00B2"/>
    <w:rsid w:val="00DE02FD"/>
    <w:rsid w:val="00DE0501"/>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349"/>
    <w:rsid w:val="00DE37A6"/>
    <w:rsid w:val="00DE4185"/>
    <w:rsid w:val="00DE46AC"/>
    <w:rsid w:val="00DE4A26"/>
    <w:rsid w:val="00DE4A6B"/>
    <w:rsid w:val="00DE4C01"/>
    <w:rsid w:val="00DE5337"/>
    <w:rsid w:val="00DE544D"/>
    <w:rsid w:val="00DE5A3D"/>
    <w:rsid w:val="00DE5E2C"/>
    <w:rsid w:val="00DE6646"/>
    <w:rsid w:val="00DE6801"/>
    <w:rsid w:val="00DE6EA3"/>
    <w:rsid w:val="00DE7885"/>
    <w:rsid w:val="00DE7E58"/>
    <w:rsid w:val="00DF0036"/>
    <w:rsid w:val="00DF07BE"/>
    <w:rsid w:val="00DF0834"/>
    <w:rsid w:val="00DF08BE"/>
    <w:rsid w:val="00DF0AF9"/>
    <w:rsid w:val="00DF0C6B"/>
    <w:rsid w:val="00DF1435"/>
    <w:rsid w:val="00DF223C"/>
    <w:rsid w:val="00DF2251"/>
    <w:rsid w:val="00DF28C3"/>
    <w:rsid w:val="00DF2A93"/>
    <w:rsid w:val="00DF2B3F"/>
    <w:rsid w:val="00DF2CBA"/>
    <w:rsid w:val="00DF2F70"/>
    <w:rsid w:val="00DF35D4"/>
    <w:rsid w:val="00DF3764"/>
    <w:rsid w:val="00DF3A1C"/>
    <w:rsid w:val="00DF4310"/>
    <w:rsid w:val="00DF4701"/>
    <w:rsid w:val="00DF4B4B"/>
    <w:rsid w:val="00DF4F04"/>
    <w:rsid w:val="00DF52F9"/>
    <w:rsid w:val="00DF59DA"/>
    <w:rsid w:val="00DF5CB3"/>
    <w:rsid w:val="00DF5CDF"/>
    <w:rsid w:val="00DF5E26"/>
    <w:rsid w:val="00DF620B"/>
    <w:rsid w:val="00DF641D"/>
    <w:rsid w:val="00DF6923"/>
    <w:rsid w:val="00DF7435"/>
    <w:rsid w:val="00DF79A7"/>
    <w:rsid w:val="00DF7BDB"/>
    <w:rsid w:val="00E00532"/>
    <w:rsid w:val="00E0083A"/>
    <w:rsid w:val="00E00E38"/>
    <w:rsid w:val="00E00E53"/>
    <w:rsid w:val="00E0106A"/>
    <w:rsid w:val="00E0123A"/>
    <w:rsid w:val="00E016DA"/>
    <w:rsid w:val="00E01FFC"/>
    <w:rsid w:val="00E02178"/>
    <w:rsid w:val="00E021DA"/>
    <w:rsid w:val="00E02538"/>
    <w:rsid w:val="00E0254E"/>
    <w:rsid w:val="00E02905"/>
    <w:rsid w:val="00E0326D"/>
    <w:rsid w:val="00E03402"/>
    <w:rsid w:val="00E035F6"/>
    <w:rsid w:val="00E03600"/>
    <w:rsid w:val="00E03A29"/>
    <w:rsid w:val="00E03A34"/>
    <w:rsid w:val="00E03B06"/>
    <w:rsid w:val="00E042DF"/>
    <w:rsid w:val="00E04708"/>
    <w:rsid w:val="00E0475C"/>
    <w:rsid w:val="00E048CD"/>
    <w:rsid w:val="00E04A97"/>
    <w:rsid w:val="00E04D8A"/>
    <w:rsid w:val="00E050BB"/>
    <w:rsid w:val="00E05487"/>
    <w:rsid w:val="00E054D8"/>
    <w:rsid w:val="00E05A44"/>
    <w:rsid w:val="00E05C20"/>
    <w:rsid w:val="00E05C47"/>
    <w:rsid w:val="00E0600A"/>
    <w:rsid w:val="00E060ED"/>
    <w:rsid w:val="00E0626D"/>
    <w:rsid w:val="00E06FF2"/>
    <w:rsid w:val="00E07265"/>
    <w:rsid w:val="00E07286"/>
    <w:rsid w:val="00E0768F"/>
    <w:rsid w:val="00E07E82"/>
    <w:rsid w:val="00E07EA3"/>
    <w:rsid w:val="00E108E1"/>
    <w:rsid w:val="00E109E1"/>
    <w:rsid w:val="00E115D5"/>
    <w:rsid w:val="00E11895"/>
    <w:rsid w:val="00E11D82"/>
    <w:rsid w:val="00E1252F"/>
    <w:rsid w:val="00E12E78"/>
    <w:rsid w:val="00E130A0"/>
    <w:rsid w:val="00E131C1"/>
    <w:rsid w:val="00E138F2"/>
    <w:rsid w:val="00E139E8"/>
    <w:rsid w:val="00E13B11"/>
    <w:rsid w:val="00E13FF9"/>
    <w:rsid w:val="00E14673"/>
    <w:rsid w:val="00E14974"/>
    <w:rsid w:val="00E14DFA"/>
    <w:rsid w:val="00E15195"/>
    <w:rsid w:val="00E158E6"/>
    <w:rsid w:val="00E16E3E"/>
    <w:rsid w:val="00E17C64"/>
    <w:rsid w:val="00E17FBD"/>
    <w:rsid w:val="00E2022F"/>
    <w:rsid w:val="00E205DF"/>
    <w:rsid w:val="00E20C13"/>
    <w:rsid w:val="00E20D01"/>
    <w:rsid w:val="00E21112"/>
    <w:rsid w:val="00E2111C"/>
    <w:rsid w:val="00E211A0"/>
    <w:rsid w:val="00E212FF"/>
    <w:rsid w:val="00E2166B"/>
    <w:rsid w:val="00E21AE1"/>
    <w:rsid w:val="00E21D3A"/>
    <w:rsid w:val="00E222B4"/>
    <w:rsid w:val="00E22A36"/>
    <w:rsid w:val="00E22F9C"/>
    <w:rsid w:val="00E2303F"/>
    <w:rsid w:val="00E23528"/>
    <w:rsid w:val="00E23612"/>
    <w:rsid w:val="00E23917"/>
    <w:rsid w:val="00E23E39"/>
    <w:rsid w:val="00E24085"/>
    <w:rsid w:val="00E24525"/>
    <w:rsid w:val="00E2463C"/>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766"/>
    <w:rsid w:val="00E30C58"/>
    <w:rsid w:val="00E30D64"/>
    <w:rsid w:val="00E31504"/>
    <w:rsid w:val="00E31859"/>
    <w:rsid w:val="00E31DAA"/>
    <w:rsid w:val="00E31EFF"/>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965"/>
    <w:rsid w:val="00E35CF2"/>
    <w:rsid w:val="00E35E1D"/>
    <w:rsid w:val="00E36270"/>
    <w:rsid w:val="00E36442"/>
    <w:rsid w:val="00E369FD"/>
    <w:rsid w:val="00E36B12"/>
    <w:rsid w:val="00E37003"/>
    <w:rsid w:val="00E379CA"/>
    <w:rsid w:val="00E37A36"/>
    <w:rsid w:val="00E37D7B"/>
    <w:rsid w:val="00E402A4"/>
    <w:rsid w:val="00E40F15"/>
    <w:rsid w:val="00E4138E"/>
    <w:rsid w:val="00E41424"/>
    <w:rsid w:val="00E41570"/>
    <w:rsid w:val="00E417D9"/>
    <w:rsid w:val="00E41917"/>
    <w:rsid w:val="00E41BDD"/>
    <w:rsid w:val="00E41CA8"/>
    <w:rsid w:val="00E41ED7"/>
    <w:rsid w:val="00E41FA6"/>
    <w:rsid w:val="00E424FF"/>
    <w:rsid w:val="00E428C4"/>
    <w:rsid w:val="00E4296B"/>
    <w:rsid w:val="00E42A15"/>
    <w:rsid w:val="00E42ADC"/>
    <w:rsid w:val="00E42C20"/>
    <w:rsid w:val="00E42CA6"/>
    <w:rsid w:val="00E42E02"/>
    <w:rsid w:val="00E4338F"/>
    <w:rsid w:val="00E43A71"/>
    <w:rsid w:val="00E444D3"/>
    <w:rsid w:val="00E44952"/>
    <w:rsid w:val="00E44BF7"/>
    <w:rsid w:val="00E45305"/>
    <w:rsid w:val="00E45354"/>
    <w:rsid w:val="00E4553D"/>
    <w:rsid w:val="00E45683"/>
    <w:rsid w:val="00E459B2"/>
    <w:rsid w:val="00E45A56"/>
    <w:rsid w:val="00E45B2E"/>
    <w:rsid w:val="00E45CB0"/>
    <w:rsid w:val="00E46214"/>
    <w:rsid w:val="00E46483"/>
    <w:rsid w:val="00E4660C"/>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56"/>
    <w:rsid w:val="00E5186C"/>
    <w:rsid w:val="00E53A24"/>
    <w:rsid w:val="00E5405C"/>
    <w:rsid w:val="00E54065"/>
    <w:rsid w:val="00E55897"/>
    <w:rsid w:val="00E558D9"/>
    <w:rsid w:val="00E55C71"/>
    <w:rsid w:val="00E55DAF"/>
    <w:rsid w:val="00E55EF8"/>
    <w:rsid w:val="00E5653D"/>
    <w:rsid w:val="00E56668"/>
    <w:rsid w:val="00E5682B"/>
    <w:rsid w:val="00E568E2"/>
    <w:rsid w:val="00E56D1F"/>
    <w:rsid w:val="00E56F3D"/>
    <w:rsid w:val="00E5727D"/>
    <w:rsid w:val="00E57402"/>
    <w:rsid w:val="00E57E99"/>
    <w:rsid w:val="00E60481"/>
    <w:rsid w:val="00E60528"/>
    <w:rsid w:val="00E609E7"/>
    <w:rsid w:val="00E60C38"/>
    <w:rsid w:val="00E61C19"/>
    <w:rsid w:val="00E62386"/>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34"/>
    <w:rsid w:val="00E65635"/>
    <w:rsid w:val="00E658CD"/>
    <w:rsid w:val="00E65D45"/>
    <w:rsid w:val="00E65DC9"/>
    <w:rsid w:val="00E66307"/>
    <w:rsid w:val="00E66809"/>
    <w:rsid w:val="00E66A8B"/>
    <w:rsid w:val="00E670DA"/>
    <w:rsid w:val="00E6761F"/>
    <w:rsid w:val="00E67756"/>
    <w:rsid w:val="00E67787"/>
    <w:rsid w:val="00E67F53"/>
    <w:rsid w:val="00E70011"/>
    <w:rsid w:val="00E709B1"/>
    <w:rsid w:val="00E70D69"/>
    <w:rsid w:val="00E70E0F"/>
    <w:rsid w:val="00E71392"/>
    <w:rsid w:val="00E71D1F"/>
    <w:rsid w:val="00E72133"/>
    <w:rsid w:val="00E723C9"/>
    <w:rsid w:val="00E727A9"/>
    <w:rsid w:val="00E72D9C"/>
    <w:rsid w:val="00E72DBA"/>
    <w:rsid w:val="00E72ECE"/>
    <w:rsid w:val="00E731B5"/>
    <w:rsid w:val="00E739BD"/>
    <w:rsid w:val="00E739F4"/>
    <w:rsid w:val="00E73A49"/>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10AE"/>
    <w:rsid w:val="00E811F6"/>
    <w:rsid w:val="00E8130C"/>
    <w:rsid w:val="00E814E7"/>
    <w:rsid w:val="00E816AD"/>
    <w:rsid w:val="00E816CF"/>
    <w:rsid w:val="00E81C75"/>
    <w:rsid w:val="00E822D7"/>
    <w:rsid w:val="00E82F4D"/>
    <w:rsid w:val="00E83321"/>
    <w:rsid w:val="00E83768"/>
    <w:rsid w:val="00E83A08"/>
    <w:rsid w:val="00E83ECE"/>
    <w:rsid w:val="00E8401B"/>
    <w:rsid w:val="00E844A0"/>
    <w:rsid w:val="00E858DF"/>
    <w:rsid w:val="00E85CFF"/>
    <w:rsid w:val="00E85FE1"/>
    <w:rsid w:val="00E862CB"/>
    <w:rsid w:val="00E864B2"/>
    <w:rsid w:val="00E865B5"/>
    <w:rsid w:val="00E865C0"/>
    <w:rsid w:val="00E86601"/>
    <w:rsid w:val="00E866BC"/>
    <w:rsid w:val="00E86A46"/>
    <w:rsid w:val="00E86E0A"/>
    <w:rsid w:val="00E8749F"/>
    <w:rsid w:val="00E87582"/>
    <w:rsid w:val="00E90585"/>
    <w:rsid w:val="00E9150A"/>
    <w:rsid w:val="00E915EA"/>
    <w:rsid w:val="00E91A81"/>
    <w:rsid w:val="00E91C25"/>
    <w:rsid w:val="00E923E4"/>
    <w:rsid w:val="00E929B8"/>
    <w:rsid w:val="00E9325B"/>
    <w:rsid w:val="00E9326F"/>
    <w:rsid w:val="00E945E2"/>
    <w:rsid w:val="00E946C1"/>
    <w:rsid w:val="00E95D41"/>
    <w:rsid w:val="00E95F17"/>
    <w:rsid w:val="00E9633B"/>
    <w:rsid w:val="00E96459"/>
    <w:rsid w:val="00E9686B"/>
    <w:rsid w:val="00E96924"/>
    <w:rsid w:val="00E96B40"/>
    <w:rsid w:val="00E96EEB"/>
    <w:rsid w:val="00E96F61"/>
    <w:rsid w:val="00E977C3"/>
    <w:rsid w:val="00E9784D"/>
    <w:rsid w:val="00E97F47"/>
    <w:rsid w:val="00EA0408"/>
    <w:rsid w:val="00EA072C"/>
    <w:rsid w:val="00EA0BA6"/>
    <w:rsid w:val="00EA0E1E"/>
    <w:rsid w:val="00EA15D3"/>
    <w:rsid w:val="00EA208E"/>
    <w:rsid w:val="00EA219D"/>
    <w:rsid w:val="00EA21AA"/>
    <w:rsid w:val="00EA241B"/>
    <w:rsid w:val="00EA263B"/>
    <w:rsid w:val="00EA2A97"/>
    <w:rsid w:val="00EA3746"/>
    <w:rsid w:val="00EA3A97"/>
    <w:rsid w:val="00EA3BA1"/>
    <w:rsid w:val="00EA3CD6"/>
    <w:rsid w:val="00EA411C"/>
    <w:rsid w:val="00EA4479"/>
    <w:rsid w:val="00EA4D6A"/>
    <w:rsid w:val="00EA4F6E"/>
    <w:rsid w:val="00EA519E"/>
    <w:rsid w:val="00EA52D4"/>
    <w:rsid w:val="00EA577E"/>
    <w:rsid w:val="00EA5C3B"/>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376"/>
    <w:rsid w:val="00EB2568"/>
    <w:rsid w:val="00EB296E"/>
    <w:rsid w:val="00EB2ADD"/>
    <w:rsid w:val="00EB34B0"/>
    <w:rsid w:val="00EB36EA"/>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27B"/>
    <w:rsid w:val="00EC16F3"/>
    <w:rsid w:val="00EC1E33"/>
    <w:rsid w:val="00EC2545"/>
    <w:rsid w:val="00EC2A35"/>
    <w:rsid w:val="00EC2EE4"/>
    <w:rsid w:val="00EC324C"/>
    <w:rsid w:val="00EC3328"/>
    <w:rsid w:val="00EC3E29"/>
    <w:rsid w:val="00EC4228"/>
    <w:rsid w:val="00EC45C8"/>
    <w:rsid w:val="00EC4C6A"/>
    <w:rsid w:val="00EC5B4C"/>
    <w:rsid w:val="00EC5C57"/>
    <w:rsid w:val="00EC5D62"/>
    <w:rsid w:val="00EC5F82"/>
    <w:rsid w:val="00EC6670"/>
    <w:rsid w:val="00EC6868"/>
    <w:rsid w:val="00EC69F1"/>
    <w:rsid w:val="00EC7011"/>
    <w:rsid w:val="00EC71C7"/>
    <w:rsid w:val="00EC7CC5"/>
    <w:rsid w:val="00EC7D43"/>
    <w:rsid w:val="00ED07F5"/>
    <w:rsid w:val="00ED0915"/>
    <w:rsid w:val="00ED0CB4"/>
    <w:rsid w:val="00ED1A4D"/>
    <w:rsid w:val="00ED289E"/>
    <w:rsid w:val="00ED2954"/>
    <w:rsid w:val="00ED34F6"/>
    <w:rsid w:val="00ED43C4"/>
    <w:rsid w:val="00ED47D4"/>
    <w:rsid w:val="00ED5A35"/>
    <w:rsid w:val="00ED642B"/>
    <w:rsid w:val="00ED672E"/>
    <w:rsid w:val="00ED6919"/>
    <w:rsid w:val="00ED6C58"/>
    <w:rsid w:val="00ED6C8C"/>
    <w:rsid w:val="00ED6D92"/>
    <w:rsid w:val="00ED6E4D"/>
    <w:rsid w:val="00ED72C9"/>
    <w:rsid w:val="00ED79BE"/>
    <w:rsid w:val="00EE0130"/>
    <w:rsid w:val="00EE0205"/>
    <w:rsid w:val="00EE0519"/>
    <w:rsid w:val="00EE0B82"/>
    <w:rsid w:val="00EE0B8B"/>
    <w:rsid w:val="00EE15EE"/>
    <w:rsid w:val="00EE219D"/>
    <w:rsid w:val="00EE26ED"/>
    <w:rsid w:val="00EE2AC4"/>
    <w:rsid w:val="00EE3152"/>
    <w:rsid w:val="00EE40EA"/>
    <w:rsid w:val="00EE43A2"/>
    <w:rsid w:val="00EE4471"/>
    <w:rsid w:val="00EE4BDE"/>
    <w:rsid w:val="00EE5691"/>
    <w:rsid w:val="00EE60B1"/>
    <w:rsid w:val="00EE61B8"/>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B48"/>
    <w:rsid w:val="00EF155D"/>
    <w:rsid w:val="00EF1CF2"/>
    <w:rsid w:val="00EF1DE6"/>
    <w:rsid w:val="00EF1F5E"/>
    <w:rsid w:val="00EF207F"/>
    <w:rsid w:val="00EF2646"/>
    <w:rsid w:val="00EF2AA3"/>
    <w:rsid w:val="00EF2B17"/>
    <w:rsid w:val="00EF2CCE"/>
    <w:rsid w:val="00EF2D06"/>
    <w:rsid w:val="00EF3340"/>
    <w:rsid w:val="00EF3522"/>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053"/>
    <w:rsid w:val="00EF71AD"/>
    <w:rsid w:val="00EF7240"/>
    <w:rsid w:val="00EF73A2"/>
    <w:rsid w:val="00EF794A"/>
    <w:rsid w:val="00EF7BBA"/>
    <w:rsid w:val="00EF7CF7"/>
    <w:rsid w:val="00EF7D9B"/>
    <w:rsid w:val="00F003D4"/>
    <w:rsid w:val="00F005D0"/>
    <w:rsid w:val="00F00714"/>
    <w:rsid w:val="00F0092D"/>
    <w:rsid w:val="00F00A9D"/>
    <w:rsid w:val="00F00B9F"/>
    <w:rsid w:val="00F00C03"/>
    <w:rsid w:val="00F00F2F"/>
    <w:rsid w:val="00F011F5"/>
    <w:rsid w:val="00F01A98"/>
    <w:rsid w:val="00F01C37"/>
    <w:rsid w:val="00F01E7B"/>
    <w:rsid w:val="00F01F28"/>
    <w:rsid w:val="00F02AE6"/>
    <w:rsid w:val="00F030A8"/>
    <w:rsid w:val="00F03FBE"/>
    <w:rsid w:val="00F03FE1"/>
    <w:rsid w:val="00F040C0"/>
    <w:rsid w:val="00F05F1D"/>
    <w:rsid w:val="00F06271"/>
    <w:rsid w:val="00F06353"/>
    <w:rsid w:val="00F0644F"/>
    <w:rsid w:val="00F07402"/>
    <w:rsid w:val="00F07550"/>
    <w:rsid w:val="00F076F1"/>
    <w:rsid w:val="00F07757"/>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6EE"/>
    <w:rsid w:val="00F127DC"/>
    <w:rsid w:val="00F12A42"/>
    <w:rsid w:val="00F13153"/>
    <w:rsid w:val="00F13519"/>
    <w:rsid w:val="00F14C90"/>
    <w:rsid w:val="00F14CC0"/>
    <w:rsid w:val="00F14E9E"/>
    <w:rsid w:val="00F14F5F"/>
    <w:rsid w:val="00F15660"/>
    <w:rsid w:val="00F16B72"/>
    <w:rsid w:val="00F16DC0"/>
    <w:rsid w:val="00F175E8"/>
    <w:rsid w:val="00F1790B"/>
    <w:rsid w:val="00F2003B"/>
    <w:rsid w:val="00F2032E"/>
    <w:rsid w:val="00F206B2"/>
    <w:rsid w:val="00F208AD"/>
    <w:rsid w:val="00F20959"/>
    <w:rsid w:val="00F209C7"/>
    <w:rsid w:val="00F21278"/>
    <w:rsid w:val="00F229D3"/>
    <w:rsid w:val="00F22A0B"/>
    <w:rsid w:val="00F22B40"/>
    <w:rsid w:val="00F22B55"/>
    <w:rsid w:val="00F23164"/>
    <w:rsid w:val="00F232CA"/>
    <w:rsid w:val="00F23590"/>
    <w:rsid w:val="00F235AE"/>
    <w:rsid w:val="00F2444E"/>
    <w:rsid w:val="00F24E4D"/>
    <w:rsid w:val="00F25877"/>
    <w:rsid w:val="00F25BFB"/>
    <w:rsid w:val="00F25D8A"/>
    <w:rsid w:val="00F25F33"/>
    <w:rsid w:val="00F2610A"/>
    <w:rsid w:val="00F26347"/>
    <w:rsid w:val="00F263FA"/>
    <w:rsid w:val="00F266AA"/>
    <w:rsid w:val="00F267B7"/>
    <w:rsid w:val="00F26DFB"/>
    <w:rsid w:val="00F303CE"/>
    <w:rsid w:val="00F3055A"/>
    <w:rsid w:val="00F306F0"/>
    <w:rsid w:val="00F30B1B"/>
    <w:rsid w:val="00F30F5E"/>
    <w:rsid w:val="00F3160B"/>
    <w:rsid w:val="00F316BB"/>
    <w:rsid w:val="00F31A48"/>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6DAC"/>
    <w:rsid w:val="00F37677"/>
    <w:rsid w:val="00F37967"/>
    <w:rsid w:val="00F37D5F"/>
    <w:rsid w:val="00F37E85"/>
    <w:rsid w:val="00F40DAC"/>
    <w:rsid w:val="00F41414"/>
    <w:rsid w:val="00F41687"/>
    <w:rsid w:val="00F4172C"/>
    <w:rsid w:val="00F417F4"/>
    <w:rsid w:val="00F4184B"/>
    <w:rsid w:val="00F41A6A"/>
    <w:rsid w:val="00F41B17"/>
    <w:rsid w:val="00F42BF1"/>
    <w:rsid w:val="00F42C81"/>
    <w:rsid w:val="00F43054"/>
    <w:rsid w:val="00F4321D"/>
    <w:rsid w:val="00F4336F"/>
    <w:rsid w:val="00F441CE"/>
    <w:rsid w:val="00F4483B"/>
    <w:rsid w:val="00F44B03"/>
    <w:rsid w:val="00F44BDB"/>
    <w:rsid w:val="00F45096"/>
    <w:rsid w:val="00F450DF"/>
    <w:rsid w:val="00F455FF"/>
    <w:rsid w:val="00F45808"/>
    <w:rsid w:val="00F45BF0"/>
    <w:rsid w:val="00F46422"/>
    <w:rsid w:val="00F465B0"/>
    <w:rsid w:val="00F469EB"/>
    <w:rsid w:val="00F47256"/>
    <w:rsid w:val="00F47D18"/>
    <w:rsid w:val="00F47FD9"/>
    <w:rsid w:val="00F50840"/>
    <w:rsid w:val="00F50B41"/>
    <w:rsid w:val="00F5121E"/>
    <w:rsid w:val="00F51295"/>
    <w:rsid w:val="00F51D0F"/>
    <w:rsid w:val="00F51E0B"/>
    <w:rsid w:val="00F5234E"/>
    <w:rsid w:val="00F525D4"/>
    <w:rsid w:val="00F5266C"/>
    <w:rsid w:val="00F5267B"/>
    <w:rsid w:val="00F52CB1"/>
    <w:rsid w:val="00F5356D"/>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71E6"/>
    <w:rsid w:val="00F5729D"/>
    <w:rsid w:val="00F579B7"/>
    <w:rsid w:val="00F57A10"/>
    <w:rsid w:val="00F57E42"/>
    <w:rsid w:val="00F60051"/>
    <w:rsid w:val="00F61084"/>
    <w:rsid w:val="00F61326"/>
    <w:rsid w:val="00F6136C"/>
    <w:rsid w:val="00F61594"/>
    <w:rsid w:val="00F61704"/>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4A"/>
    <w:rsid w:val="00F65574"/>
    <w:rsid w:val="00F656E5"/>
    <w:rsid w:val="00F6590E"/>
    <w:rsid w:val="00F65A26"/>
    <w:rsid w:val="00F662ED"/>
    <w:rsid w:val="00F66315"/>
    <w:rsid w:val="00F66416"/>
    <w:rsid w:val="00F6655F"/>
    <w:rsid w:val="00F669AB"/>
    <w:rsid w:val="00F66E88"/>
    <w:rsid w:val="00F66F17"/>
    <w:rsid w:val="00F67A66"/>
    <w:rsid w:val="00F7071A"/>
    <w:rsid w:val="00F70E1A"/>
    <w:rsid w:val="00F714A8"/>
    <w:rsid w:val="00F71C91"/>
    <w:rsid w:val="00F71D6E"/>
    <w:rsid w:val="00F720A0"/>
    <w:rsid w:val="00F722DD"/>
    <w:rsid w:val="00F72C4D"/>
    <w:rsid w:val="00F72DEA"/>
    <w:rsid w:val="00F72F59"/>
    <w:rsid w:val="00F7305D"/>
    <w:rsid w:val="00F73178"/>
    <w:rsid w:val="00F73355"/>
    <w:rsid w:val="00F734B2"/>
    <w:rsid w:val="00F74236"/>
    <w:rsid w:val="00F748F6"/>
    <w:rsid w:val="00F74930"/>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1A95"/>
    <w:rsid w:val="00F81DEE"/>
    <w:rsid w:val="00F8228A"/>
    <w:rsid w:val="00F824BC"/>
    <w:rsid w:val="00F8304A"/>
    <w:rsid w:val="00F833DD"/>
    <w:rsid w:val="00F83A91"/>
    <w:rsid w:val="00F84475"/>
    <w:rsid w:val="00F84484"/>
    <w:rsid w:val="00F846E2"/>
    <w:rsid w:val="00F84957"/>
    <w:rsid w:val="00F84B7F"/>
    <w:rsid w:val="00F84F3C"/>
    <w:rsid w:val="00F852D3"/>
    <w:rsid w:val="00F8580A"/>
    <w:rsid w:val="00F86974"/>
    <w:rsid w:val="00F86A3A"/>
    <w:rsid w:val="00F86DC0"/>
    <w:rsid w:val="00F873FA"/>
    <w:rsid w:val="00F87CEB"/>
    <w:rsid w:val="00F900A1"/>
    <w:rsid w:val="00F90262"/>
    <w:rsid w:val="00F90275"/>
    <w:rsid w:val="00F90457"/>
    <w:rsid w:val="00F90E13"/>
    <w:rsid w:val="00F91502"/>
    <w:rsid w:val="00F916D8"/>
    <w:rsid w:val="00F917AF"/>
    <w:rsid w:val="00F91C46"/>
    <w:rsid w:val="00F92409"/>
    <w:rsid w:val="00F9273C"/>
    <w:rsid w:val="00F9282E"/>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2AD"/>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985"/>
    <w:rsid w:val="00FB3B89"/>
    <w:rsid w:val="00FB3DB6"/>
    <w:rsid w:val="00FB3E20"/>
    <w:rsid w:val="00FB4749"/>
    <w:rsid w:val="00FB5462"/>
    <w:rsid w:val="00FB591A"/>
    <w:rsid w:val="00FB59BA"/>
    <w:rsid w:val="00FB5D46"/>
    <w:rsid w:val="00FB5FF9"/>
    <w:rsid w:val="00FB61B3"/>
    <w:rsid w:val="00FB6629"/>
    <w:rsid w:val="00FB6C35"/>
    <w:rsid w:val="00FB7184"/>
    <w:rsid w:val="00FB76E1"/>
    <w:rsid w:val="00FB79F0"/>
    <w:rsid w:val="00FC09D6"/>
    <w:rsid w:val="00FC0AB9"/>
    <w:rsid w:val="00FC1110"/>
    <w:rsid w:val="00FC1238"/>
    <w:rsid w:val="00FC140C"/>
    <w:rsid w:val="00FC1FB0"/>
    <w:rsid w:val="00FC23E6"/>
    <w:rsid w:val="00FC277D"/>
    <w:rsid w:val="00FC294E"/>
    <w:rsid w:val="00FC3294"/>
    <w:rsid w:val="00FC357B"/>
    <w:rsid w:val="00FC3660"/>
    <w:rsid w:val="00FC3847"/>
    <w:rsid w:val="00FC4503"/>
    <w:rsid w:val="00FC4FA1"/>
    <w:rsid w:val="00FC5355"/>
    <w:rsid w:val="00FC5A33"/>
    <w:rsid w:val="00FC5CBC"/>
    <w:rsid w:val="00FC60EF"/>
    <w:rsid w:val="00FC6507"/>
    <w:rsid w:val="00FC6C53"/>
    <w:rsid w:val="00FC6D95"/>
    <w:rsid w:val="00FC6F94"/>
    <w:rsid w:val="00FC7015"/>
    <w:rsid w:val="00FC7131"/>
    <w:rsid w:val="00FC78FA"/>
    <w:rsid w:val="00FC7ADD"/>
    <w:rsid w:val="00FC7D02"/>
    <w:rsid w:val="00FC7DA8"/>
    <w:rsid w:val="00FD0331"/>
    <w:rsid w:val="00FD1270"/>
    <w:rsid w:val="00FD20A1"/>
    <w:rsid w:val="00FD22AE"/>
    <w:rsid w:val="00FD27CC"/>
    <w:rsid w:val="00FD282F"/>
    <w:rsid w:val="00FD395C"/>
    <w:rsid w:val="00FD3F9E"/>
    <w:rsid w:val="00FD41E4"/>
    <w:rsid w:val="00FD43C0"/>
    <w:rsid w:val="00FD44BB"/>
    <w:rsid w:val="00FD4506"/>
    <w:rsid w:val="00FD45C8"/>
    <w:rsid w:val="00FD4E21"/>
    <w:rsid w:val="00FD527E"/>
    <w:rsid w:val="00FD561E"/>
    <w:rsid w:val="00FD59AC"/>
    <w:rsid w:val="00FD5B67"/>
    <w:rsid w:val="00FD63A5"/>
    <w:rsid w:val="00FD7219"/>
    <w:rsid w:val="00FD7B40"/>
    <w:rsid w:val="00FD7F49"/>
    <w:rsid w:val="00FE07E9"/>
    <w:rsid w:val="00FE09C1"/>
    <w:rsid w:val="00FE0AC2"/>
    <w:rsid w:val="00FE1239"/>
    <w:rsid w:val="00FE1835"/>
    <w:rsid w:val="00FE233D"/>
    <w:rsid w:val="00FE26F8"/>
    <w:rsid w:val="00FE270A"/>
    <w:rsid w:val="00FE2B47"/>
    <w:rsid w:val="00FE2D7F"/>
    <w:rsid w:val="00FE2E1C"/>
    <w:rsid w:val="00FE3080"/>
    <w:rsid w:val="00FE31A5"/>
    <w:rsid w:val="00FE5A06"/>
    <w:rsid w:val="00FE5CD3"/>
    <w:rsid w:val="00FE5F83"/>
    <w:rsid w:val="00FE646F"/>
    <w:rsid w:val="00FE659C"/>
    <w:rsid w:val="00FE731D"/>
    <w:rsid w:val="00FE733A"/>
    <w:rsid w:val="00FE7825"/>
    <w:rsid w:val="00FE7B2D"/>
    <w:rsid w:val="00FE7D91"/>
    <w:rsid w:val="00FE7DAA"/>
    <w:rsid w:val="00FF013C"/>
    <w:rsid w:val="00FF07E3"/>
    <w:rsid w:val="00FF0C31"/>
    <w:rsid w:val="00FF0D82"/>
    <w:rsid w:val="00FF0EE4"/>
    <w:rsid w:val="00FF104E"/>
    <w:rsid w:val="00FF1481"/>
    <w:rsid w:val="00FF23C5"/>
    <w:rsid w:val="00FF2412"/>
    <w:rsid w:val="00FF24F8"/>
    <w:rsid w:val="00FF29CD"/>
    <w:rsid w:val="00FF2D50"/>
    <w:rsid w:val="00FF2E84"/>
    <w:rsid w:val="00FF2EFC"/>
    <w:rsid w:val="00FF3717"/>
    <w:rsid w:val="00FF378F"/>
    <w:rsid w:val="00FF3A01"/>
    <w:rsid w:val="00FF3AF3"/>
    <w:rsid w:val="00FF3F2B"/>
    <w:rsid w:val="00FF4552"/>
    <w:rsid w:val="00FF45EC"/>
    <w:rsid w:val="00FF5478"/>
    <w:rsid w:val="00FF56BA"/>
    <w:rsid w:val="00FF58FD"/>
    <w:rsid w:val="00FF59CD"/>
    <w:rsid w:val="00FF675E"/>
    <w:rsid w:val="00FF6961"/>
    <w:rsid w:val="00FF72FF"/>
    <w:rsid w:val="00FF7406"/>
    <w:rsid w:val="00FF7425"/>
    <w:rsid w:val="00FF762D"/>
    <w:rsid w:val="00FF77A1"/>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customStyle="1" w:styleId="GridTable4Accent5">
    <w:name w:val="Grid Table 4 Accent 5"/>
    <w:basedOn w:val="TableNormal"/>
    <w:uiPriority w:val="49"/>
    <w:rsid w:val="00C434BC"/>
    <w:pPr>
      <w:spacing w:after="0" w:line="240" w:lineRule="auto"/>
    </w:pPr>
    <w:tblPr>
      <w:tblStyleRowBandSize w:val="1"/>
      <w:tblStyleColBandSize w:val="1"/>
      <w:tblInd w:w="0" w:type="dxa"/>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customStyle="1" w:styleId="GridTable4Accent1">
    <w:name w:val="Grid Table 4 Accent 1"/>
    <w:basedOn w:val="TableNormal"/>
    <w:uiPriority w:val="49"/>
    <w:rsid w:val="00D821B2"/>
    <w:pPr>
      <w:spacing w:after="0" w:line="240" w:lineRule="auto"/>
    </w:pPr>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PlainTable1">
    <w:name w:val="Plain Table 1"/>
    <w:basedOn w:val="TableNormal"/>
    <w:uiPriority w:val="41"/>
    <w:rsid w:val="0017308F"/>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customStyle="1" w:styleId="GridTable4Accent3">
    <w:name w:val="Grid Table 4 Accent 3"/>
    <w:basedOn w:val="TableNormal"/>
    <w:uiPriority w:val="49"/>
    <w:rsid w:val="00A22540"/>
    <w:pPr>
      <w:spacing w:after="0" w:line="240" w:lineRule="auto"/>
    </w:pPr>
    <w:tblPr>
      <w:tblStyleRowBandSize w:val="1"/>
      <w:tblStyleColBandSize w:val="1"/>
      <w:tblInd w:w="0" w:type="dxa"/>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5DarkAccent4">
    <w:name w:val="Grid Table 5 Dark Accent 4"/>
    <w:basedOn w:val="TableNormal"/>
    <w:uiPriority w:val="50"/>
    <w:rsid w:val="004E65A7"/>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customStyle="1" w:styleId="GridTable5DarkAccent3">
    <w:name w:val="Grid Table 5 Dark Accent 3"/>
    <w:basedOn w:val="TableNormal"/>
    <w:uiPriority w:val="50"/>
    <w:rsid w:val="004E65A7"/>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customStyle="1" w:styleId="GridTable5DarkAccent5">
    <w:name w:val="Grid Table 5 Dark Accent 5"/>
    <w:basedOn w:val="TableNormal"/>
    <w:uiPriority w:val="50"/>
    <w:rsid w:val="00E25D32"/>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customStyle="1" w:styleId="GridTable4Accent6">
    <w:name w:val="Grid Table 4 Accent 6"/>
    <w:basedOn w:val="TableNormal"/>
    <w:uiPriority w:val="49"/>
    <w:rsid w:val="00E25D32"/>
    <w:pPr>
      <w:spacing w:after="0" w:line="240" w:lineRule="auto"/>
    </w:pPr>
    <w:tblPr>
      <w:tblStyleRowBandSize w:val="1"/>
      <w:tblStyleColBandSize w:val="1"/>
      <w:tblInd w:w="0" w:type="dxa"/>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5DarkAccent1">
    <w:name w:val="Grid Table 5 Dark Accent 1"/>
    <w:basedOn w:val="TableNormal"/>
    <w:uiPriority w:val="50"/>
    <w:rsid w:val="009F5DB3"/>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customStyle="1"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Ind w:w="0" w:type="dxa"/>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customStyle="1" w:styleId="UnresolvedMention">
    <w:name w:val="Unresolved Mention"/>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customStyle="1" w:styleId="GridTable3Accent4">
    <w:name w:val="Grid Table 3 Accent 4"/>
    <w:basedOn w:val="TableNormal"/>
    <w:uiPriority w:val="48"/>
    <w:rsid w:val="00795D68"/>
    <w:pPr>
      <w:spacing w:after="0" w:line="240" w:lineRule="auto"/>
    </w:pPr>
    <w:tblPr>
      <w:tblStyleRowBandSize w:val="1"/>
      <w:tblStyleColBandSize w:val="1"/>
      <w:tblInd w:w="0" w:type="dxa"/>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 w:type="character" w:styleId="BookTitle">
    <w:name w:val="Book Title"/>
    <w:basedOn w:val="DefaultParagraphFont"/>
    <w:uiPriority w:val="33"/>
    <w:qFormat/>
    <w:rsid w:val="00253F45"/>
    <w:rPr>
      <w:b/>
      <w:bCs/>
      <w:i/>
      <w:iCs/>
      <w:spacing w:val="5"/>
    </w:rPr>
  </w:style>
</w:styles>
</file>

<file path=word/webSettings.xml><?xml version="1.0" encoding="utf-8"?>
<w:webSettings xmlns:r="http://schemas.openxmlformats.org/officeDocument/2006/relationships" xmlns:w="http://schemas.openxmlformats.org/wordprocessingml/2006/main">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31214622">
      <w:bodyDiv w:val="1"/>
      <w:marLeft w:val="0"/>
      <w:marRight w:val="0"/>
      <w:marTop w:val="0"/>
      <w:marBottom w:val="0"/>
      <w:divBdr>
        <w:top w:val="none" w:sz="0" w:space="0" w:color="auto"/>
        <w:left w:val="none" w:sz="0" w:space="0" w:color="auto"/>
        <w:bottom w:val="none" w:sz="0" w:space="0" w:color="auto"/>
        <w:right w:val="none" w:sz="0" w:space="0" w:color="auto"/>
      </w:divBdr>
      <w:divsChild>
        <w:div w:id="2121298825">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57070174">
      <w:bodyDiv w:val="1"/>
      <w:marLeft w:val="0"/>
      <w:marRight w:val="0"/>
      <w:marTop w:val="0"/>
      <w:marBottom w:val="0"/>
      <w:divBdr>
        <w:top w:val="none" w:sz="0" w:space="0" w:color="auto"/>
        <w:left w:val="none" w:sz="0" w:space="0" w:color="auto"/>
        <w:bottom w:val="none" w:sz="0" w:space="0" w:color="auto"/>
        <w:right w:val="none" w:sz="0" w:space="0" w:color="auto"/>
      </w:divBdr>
      <w:divsChild>
        <w:div w:id="1974090207">
          <w:marLeft w:val="0"/>
          <w:marRight w:val="0"/>
          <w:marTop w:val="0"/>
          <w:marBottom w:val="0"/>
          <w:divBdr>
            <w:top w:val="none" w:sz="0" w:space="0" w:color="auto"/>
            <w:left w:val="none" w:sz="0" w:space="0" w:color="auto"/>
            <w:bottom w:val="none" w:sz="0" w:space="0" w:color="auto"/>
            <w:right w:val="none" w:sz="0" w:space="0" w:color="auto"/>
          </w:divBdr>
          <w:divsChild>
            <w:div w:id="1087992820">
              <w:marLeft w:val="0"/>
              <w:marRight w:val="0"/>
              <w:marTop w:val="0"/>
              <w:marBottom w:val="0"/>
              <w:divBdr>
                <w:top w:val="none" w:sz="0" w:space="0" w:color="auto"/>
                <w:left w:val="none" w:sz="0" w:space="0" w:color="auto"/>
                <w:bottom w:val="none" w:sz="0" w:space="0" w:color="auto"/>
                <w:right w:val="none" w:sz="0" w:space="0" w:color="auto"/>
              </w:divBdr>
            </w:div>
          </w:divsChild>
        </w:div>
        <w:div w:id="1697728398">
          <w:marLeft w:val="0"/>
          <w:marRight w:val="0"/>
          <w:marTop w:val="0"/>
          <w:marBottom w:val="0"/>
          <w:divBdr>
            <w:top w:val="none" w:sz="0" w:space="0" w:color="auto"/>
            <w:left w:val="none" w:sz="0" w:space="0" w:color="auto"/>
            <w:bottom w:val="none" w:sz="0" w:space="0" w:color="auto"/>
            <w:right w:val="none" w:sz="0" w:space="0" w:color="auto"/>
          </w:divBdr>
          <w:divsChild>
            <w:div w:id="115706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79267478">
      <w:bodyDiv w:val="1"/>
      <w:marLeft w:val="0"/>
      <w:marRight w:val="0"/>
      <w:marTop w:val="0"/>
      <w:marBottom w:val="0"/>
      <w:divBdr>
        <w:top w:val="none" w:sz="0" w:space="0" w:color="auto"/>
        <w:left w:val="none" w:sz="0" w:space="0" w:color="auto"/>
        <w:bottom w:val="none" w:sz="0" w:space="0" w:color="auto"/>
        <w:right w:val="none" w:sz="0" w:space="0" w:color="auto"/>
      </w:divBdr>
      <w:divsChild>
        <w:div w:id="656961831">
          <w:marLeft w:val="0"/>
          <w:marRight w:val="0"/>
          <w:marTop w:val="0"/>
          <w:marBottom w:val="0"/>
          <w:divBdr>
            <w:top w:val="none" w:sz="0" w:space="0" w:color="auto"/>
            <w:left w:val="none" w:sz="0" w:space="0" w:color="auto"/>
            <w:bottom w:val="none" w:sz="0" w:space="0" w:color="auto"/>
            <w:right w:val="none" w:sz="0" w:space="0" w:color="auto"/>
          </w:divBdr>
        </w:div>
      </w:divsChild>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26416893">
      <w:bodyDiv w:val="1"/>
      <w:marLeft w:val="0"/>
      <w:marRight w:val="0"/>
      <w:marTop w:val="0"/>
      <w:marBottom w:val="0"/>
      <w:divBdr>
        <w:top w:val="none" w:sz="0" w:space="0" w:color="auto"/>
        <w:left w:val="none" w:sz="0" w:space="0" w:color="auto"/>
        <w:bottom w:val="none" w:sz="0" w:space="0" w:color="auto"/>
        <w:right w:val="none" w:sz="0" w:space="0" w:color="auto"/>
      </w:divBdr>
      <w:divsChild>
        <w:div w:id="52461264">
          <w:marLeft w:val="0"/>
          <w:marRight w:val="0"/>
          <w:marTop w:val="0"/>
          <w:marBottom w:val="0"/>
          <w:divBdr>
            <w:top w:val="none" w:sz="0" w:space="0" w:color="auto"/>
            <w:left w:val="none" w:sz="0" w:space="0" w:color="auto"/>
            <w:bottom w:val="none" w:sz="0" w:space="0" w:color="auto"/>
            <w:right w:val="none" w:sz="0" w:space="0" w:color="auto"/>
          </w:divBdr>
        </w:div>
      </w:divsChild>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775949203">
      <w:bodyDiv w:val="1"/>
      <w:marLeft w:val="0"/>
      <w:marRight w:val="0"/>
      <w:marTop w:val="0"/>
      <w:marBottom w:val="0"/>
      <w:divBdr>
        <w:top w:val="none" w:sz="0" w:space="0" w:color="auto"/>
        <w:left w:val="none" w:sz="0" w:space="0" w:color="auto"/>
        <w:bottom w:val="none" w:sz="0" w:space="0" w:color="auto"/>
        <w:right w:val="none" w:sz="0" w:space="0" w:color="auto"/>
      </w:divBdr>
      <w:divsChild>
        <w:div w:id="1472088651">
          <w:marLeft w:val="0"/>
          <w:marRight w:val="0"/>
          <w:marTop w:val="0"/>
          <w:marBottom w:val="0"/>
          <w:divBdr>
            <w:top w:val="none" w:sz="0" w:space="0" w:color="auto"/>
            <w:left w:val="none" w:sz="0" w:space="0" w:color="auto"/>
            <w:bottom w:val="none" w:sz="0" w:space="0" w:color="auto"/>
            <w:right w:val="none" w:sz="0" w:space="0" w:color="auto"/>
          </w:divBdr>
        </w:div>
      </w:divsChild>
    </w:div>
    <w:div w:id="787890950">
      <w:bodyDiv w:val="1"/>
      <w:marLeft w:val="0"/>
      <w:marRight w:val="0"/>
      <w:marTop w:val="0"/>
      <w:marBottom w:val="0"/>
      <w:divBdr>
        <w:top w:val="none" w:sz="0" w:space="0" w:color="auto"/>
        <w:left w:val="none" w:sz="0" w:space="0" w:color="auto"/>
        <w:bottom w:val="none" w:sz="0" w:space="0" w:color="auto"/>
        <w:right w:val="none" w:sz="0" w:space="0" w:color="auto"/>
      </w:divBdr>
      <w:divsChild>
        <w:div w:id="461073036">
          <w:marLeft w:val="0"/>
          <w:marRight w:val="0"/>
          <w:marTop w:val="0"/>
          <w:marBottom w:val="0"/>
          <w:divBdr>
            <w:top w:val="none" w:sz="0" w:space="0" w:color="auto"/>
            <w:left w:val="none" w:sz="0" w:space="0" w:color="auto"/>
            <w:bottom w:val="none" w:sz="0" w:space="0" w:color="auto"/>
            <w:right w:val="none" w:sz="0" w:space="0" w:color="auto"/>
          </w:divBdr>
        </w:div>
      </w:divsChild>
    </w:div>
    <w:div w:id="801656362">
      <w:bodyDiv w:val="1"/>
      <w:marLeft w:val="0"/>
      <w:marRight w:val="0"/>
      <w:marTop w:val="0"/>
      <w:marBottom w:val="0"/>
      <w:divBdr>
        <w:top w:val="none" w:sz="0" w:space="0" w:color="auto"/>
        <w:left w:val="none" w:sz="0" w:space="0" w:color="auto"/>
        <w:bottom w:val="none" w:sz="0" w:space="0" w:color="auto"/>
        <w:right w:val="none" w:sz="0" w:space="0" w:color="auto"/>
      </w:divBdr>
      <w:divsChild>
        <w:div w:id="1691562672">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59705829">
      <w:bodyDiv w:val="1"/>
      <w:marLeft w:val="0"/>
      <w:marRight w:val="0"/>
      <w:marTop w:val="0"/>
      <w:marBottom w:val="0"/>
      <w:divBdr>
        <w:top w:val="none" w:sz="0" w:space="0" w:color="auto"/>
        <w:left w:val="none" w:sz="0" w:space="0" w:color="auto"/>
        <w:bottom w:val="none" w:sz="0" w:space="0" w:color="auto"/>
        <w:right w:val="none" w:sz="0" w:space="0" w:color="auto"/>
      </w:divBdr>
      <w:divsChild>
        <w:div w:id="2036804666">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083144828">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2570566">
      <w:bodyDiv w:val="1"/>
      <w:marLeft w:val="0"/>
      <w:marRight w:val="0"/>
      <w:marTop w:val="0"/>
      <w:marBottom w:val="0"/>
      <w:divBdr>
        <w:top w:val="none" w:sz="0" w:space="0" w:color="auto"/>
        <w:left w:val="none" w:sz="0" w:space="0" w:color="auto"/>
        <w:bottom w:val="none" w:sz="0" w:space="0" w:color="auto"/>
        <w:right w:val="none" w:sz="0" w:space="0" w:color="auto"/>
      </w:divBdr>
      <w:divsChild>
        <w:div w:id="97215890">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387296558">
      <w:bodyDiv w:val="1"/>
      <w:marLeft w:val="0"/>
      <w:marRight w:val="0"/>
      <w:marTop w:val="0"/>
      <w:marBottom w:val="0"/>
      <w:divBdr>
        <w:top w:val="none" w:sz="0" w:space="0" w:color="auto"/>
        <w:left w:val="none" w:sz="0" w:space="0" w:color="auto"/>
        <w:bottom w:val="none" w:sz="0" w:space="0" w:color="auto"/>
        <w:right w:val="none" w:sz="0" w:space="0" w:color="auto"/>
      </w:divBdr>
      <w:divsChild>
        <w:div w:id="480973857">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40892795">
      <w:bodyDiv w:val="1"/>
      <w:marLeft w:val="0"/>
      <w:marRight w:val="0"/>
      <w:marTop w:val="0"/>
      <w:marBottom w:val="0"/>
      <w:divBdr>
        <w:top w:val="none" w:sz="0" w:space="0" w:color="auto"/>
        <w:left w:val="none" w:sz="0" w:space="0" w:color="auto"/>
        <w:bottom w:val="none" w:sz="0" w:space="0" w:color="auto"/>
        <w:right w:val="none" w:sz="0" w:space="0" w:color="auto"/>
      </w:divBdr>
      <w:divsChild>
        <w:div w:id="49548351">
          <w:marLeft w:val="0"/>
          <w:marRight w:val="0"/>
          <w:marTop w:val="0"/>
          <w:marBottom w:val="0"/>
          <w:divBdr>
            <w:top w:val="none" w:sz="0" w:space="0" w:color="auto"/>
            <w:left w:val="none" w:sz="0" w:space="0" w:color="auto"/>
            <w:bottom w:val="none" w:sz="0" w:space="0" w:color="auto"/>
            <w:right w:val="none" w:sz="0" w:space="0" w:color="auto"/>
          </w:divBdr>
        </w:div>
      </w:divsChild>
    </w:div>
    <w:div w:id="1553466973">
      <w:bodyDiv w:val="1"/>
      <w:marLeft w:val="0"/>
      <w:marRight w:val="0"/>
      <w:marTop w:val="0"/>
      <w:marBottom w:val="0"/>
      <w:divBdr>
        <w:top w:val="none" w:sz="0" w:space="0" w:color="auto"/>
        <w:left w:val="none" w:sz="0" w:space="0" w:color="auto"/>
        <w:bottom w:val="none" w:sz="0" w:space="0" w:color="auto"/>
        <w:right w:val="none" w:sz="0" w:space="0" w:color="auto"/>
      </w:divBdr>
      <w:divsChild>
        <w:div w:id="402143565">
          <w:marLeft w:val="0"/>
          <w:marRight w:val="0"/>
          <w:marTop w:val="0"/>
          <w:marBottom w:val="0"/>
          <w:divBdr>
            <w:top w:val="none" w:sz="0" w:space="0" w:color="auto"/>
            <w:left w:val="none" w:sz="0" w:space="0" w:color="auto"/>
            <w:bottom w:val="none" w:sz="0" w:space="0" w:color="auto"/>
            <w:right w:val="none" w:sz="0" w:space="0" w:color="auto"/>
          </w:divBdr>
        </w:div>
      </w:divsChild>
    </w:div>
    <w:div w:id="1564750780">
      <w:bodyDiv w:val="1"/>
      <w:marLeft w:val="0"/>
      <w:marRight w:val="0"/>
      <w:marTop w:val="0"/>
      <w:marBottom w:val="0"/>
      <w:divBdr>
        <w:top w:val="none" w:sz="0" w:space="0" w:color="auto"/>
        <w:left w:val="none" w:sz="0" w:space="0" w:color="auto"/>
        <w:bottom w:val="none" w:sz="0" w:space="0" w:color="auto"/>
        <w:right w:val="none" w:sz="0" w:space="0" w:color="auto"/>
      </w:divBdr>
      <w:divsChild>
        <w:div w:id="1583685543">
          <w:marLeft w:val="0"/>
          <w:marRight w:val="0"/>
          <w:marTop w:val="0"/>
          <w:marBottom w:val="0"/>
          <w:divBdr>
            <w:top w:val="none" w:sz="0" w:space="0" w:color="auto"/>
            <w:left w:val="none" w:sz="0" w:space="0" w:color="auto"/>
            <w:bottom w:val="none" w:sz="0" w:space="0" w:color="auto"/>
            <w:right w:val="none" w:sz="0" w:space="0" w:color="auto"/>
          </w:divBdr>
          <w:divsChild>
            <w:div w:id="1037004113">
              <w:marLeft w:val="0"/>
              <w:marRight w:val="0"/>
              <w:marTop w:val="0"/>
              <w:marBottom w:val="0"/>
              <w:divBdr>
                <w:top w:val="none" w:sz="0" w:space="0" w:color="auto"/>
                <w:left w:val="none" w:sz="0" w:space="0" w:color="auto"/>
                <w:bottom w:val="none" w:sz="0" w:space="0" w:color="auto"/>
                <w:right w:val="none" w:sz="0" w:space="0" w:color="auto"/>
              </w:divBdr>
              <w:divsChild>
                <w:div w:id="190614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79199640">
      <w:bodyDiv w:val="1"/>
      <w:marLeft w:val="0"/>
      <w:marRight w:val="0"/>
      <w:marTop w:val="0"/>
      <w:marBottom w:val="0"/>
      <w:divBdr>
        <w:top w:val="none" w:sz="0" w:space="0" w:color="auto"/>
        <w:left w:val="none" w:sz="0" w:space="0" w:color="auto"/>
        <w:bottom w:val="none" w:sz="0" w:space="0" w:color="auto"/>
        <w:right w:val="none" w:sz="0" w:space="0" w:color="auto"/>
      </w:divBdr>
      <w:divsChild>
        <w:div w:id="615257082">
          <w:marLeft w:val="0"/>
          <w:marRight w:val="0"/>
          <w:marTop w:val="0"/>
          <w:marBottom w:val="0"/>
          <w:divBdr>
            <w:top w:val="none" w:sz="0" w:space="0" w:color="auto"/>
            <w:left w:val="none" w:sz="0" w:space="0" w:color="auto"/>
            <w:bottom w:val="none" w:sz="0" w:space="0" w:color="auto"/>
            <w:right w:val="none" w:sz="0" w:space="0" w:color="auto"/>
          </w:divBdr>
        </w:div>
      </w:divsChild>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11971236">
      <w:bodyDiv w:val="1"/>
      <w:marLeft w:val="0"/>
      <w:marRight w:val="0"/>
      <w:marTop w:val="0"/>
      <w:marBottom w:val="0"/>
      <w:divBdr>
        <w:top w:val="none" w:sz="0" w:space="0" w:color="auto"/>
        <w:left w:val="none" w:sz="0" w:space="0" w:color="auto"/>
        <w:bottom w:val="none" w:sz="0" w:space="0" w:color="auto"/>
        <w:right w:val="none" w:sz="0" w:space="0" w:color="auto"/>
      </w:divBdr>
      <w:divsChild>
        <w:div w:id="521090078">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B79B4-64C5-4BB2-92A8-374595EC8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26856</TotalTime>
  <Pages>8</Pages>
  <Words>2836</Words>
  <Characters>16166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agheo</cp:lastModifiedBy>
  <cp:revision>2</cp:revision>
  <dcterms:created xsi:type="dcterms:W3CDTF">2021-04-20T19:17:00Z</dcterms:created>
  <dcterms:modified xsi:type="dcterms:W3CDTF">2023-02-23T10:59:00Z</dcterms:modified>
</cp:coreProperties>
</file>