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1017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8"/>
        <w:gridCol w:w="3293"/>
        <w:gridCol w:w="2268"/>
        <w:gridCol w:w="2268"/>
      </w:tblGrid>
      <w:tr w:rsidR="00F90AAE" w:rsidRPr="00A406E5" w:rsidTr="00F90AAE">
        <w:tc>
          <w:tcPr>
            <w:tcW w:w="2348" w:type="dxa"/>
            <w:shd w:val="pct15" w:color="auto" w:fill="auto"/>
          </w:tcPr>
          <w:p w:rsidR="00F90AAE" w:rsidRPr="00A406E5" w:rsidRDefault="00F90AAE" w:rsidP="00FB6A0B">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F90AAE" w:rsidRPr="00A406E5" w:rsidRDefault="00F90AAE" w:rsidP="00FB6A0B">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F90AAE" w:rsidRPr="00A406E5" w:rsidRDefault="00F90AAE" w:rsidP="00FB6A0B">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F90AAE" w:rsidRPr="00A406E5" w:rsidRDefault="00F90AAE" w:rsidP="00FB6A0B">
            <w:pPr>
              <w:spacing w:before="120" w:after="120"/>
              <w:jc w:val="both"/>
              <w:rPr>
                <w:rFonts w:ascii="Arial" w:hAnsi="Arial" w:cs="Arial"/>
                <w:b/>
                <w:sz w:val="22"/>
                <w:szCs w:val="22"/>
              </w:rPr>
            </w:pPr>
          </w:p>
        </w:tc>
      </w:tr>
      <w:tr w:rsidR="00F90AAE" w:rsidRPr="00A406E5" w:rsidTr="00F90AAE">
        <w:tc>
          <w:tcPr>
            <w:tcW w:w="2348" w:type="dxa"/>
            <w:shd w:val="pct15" w:color="auto" w:fill="auto"/>
          </w:tcPr>
          <w:p w:rsidR="00F90AAE" w:rsidRPr="00A406E5" w:rsidRDefault="00F90AAE" w:rsidP="00FB6A0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F90AAE" w:rsidRPr="00A406E5" w:rsidRDefault="00F90AAE" w:rsidP="00FB6A0B">
            <w:pPr>
              <w:spacing w:before="120" w:after="120"/>
              <w:jc w:val="both"/>
              <w:rPr>
                <w:rFonts w:ascii="Arial" w:hAnsi="Arial" w:cs="Arial"/>
                <w:b/>
                <w:sz w:val="22"/>
                <w:szCs w:val="22"/>
              </w:rPr>
            </w:pPr>
            <w:r>
              <w:rPr>
                <w:rFonts w:ascii="Arial" w:hAnsi="Arial" w:cs="Arial"/>
                <w:b/>
                <w:sz w:val="22"/>
                <w:szCs w:val="22"/>
              </w:rPr>
              <w:t>History</w:t>
            </w:r>
          </w:p>
        </w:tc>
      </w:tr>
      <w:tr w:rsidR="00F90AAE" w:rsidRPr="00A406E5" w:rsidTr="00F90AAE">
        <w:tc>
          <w:tcPr>
            <w:tcW w:w="2348" w:type="dxa"/>
            <w:shd w:val="pct15" w:color="auto" w:fill="auto"/>
          </w:tcPr>
          <w:p w:rsidR="00F90AAE" w:rsidRPr="00A406E5" w:rsidRDefault="00F90AAE" w:rsidP="00FB6A0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F90AAE" w:rsidRPr="00A406E5" w:rsidRDefault="00F90AAE" w:rsidP="00FB6A0B">
            <w:pPr>
              <w:spacing w:before="120" w:after="120"/>
              <w:jc w:val="both"/>
              <w:rPr>
                <w:rFonts w:ascii="Arial" w:hAnsi="Arial" w:cs="Arial"/>
                <w:b/>
                <w:sz w:val="22"/>
                <w:szCs w:val="22"/>
              </w:rPr>
            </w:pPr>
            <w:r w:rsidRPr="00A042B2">
              <w:rPr>
                <w:rFonts w:ascii="Arial" w:hAnsi="Arial" w:cs="Arial"/>
                <w:b/>
                <w:sz w:val="22"/>
                <w:szCs w:val="22"/>
              </w:rPr>
              <w:t>Routes and Roots of the Black Atlantic: Cultural Histories of the African Diaspora</w:t>
            </w:r>
          </w:p>
        </w:tc>
      </w:tr>
      <w:tr w:rsidR="00F90AAE" w:rsidRPr="00A406E5" w:rsidTr="00F90AAE">
        <w:tc>
          <w:tcPr>
            <w:tcW w:w="2348" w:type="dxa"/>
            <w:shd w:val="pct15" w:color="auto" w:fill="auto"/>
          </w:tcPr>
          <w:p w:rsidR="00F90AAE" w:rsidRPr="00A406E5" w:rsidRDefault="00F90AAE" w:rsidP="00FB6A0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F90AAE" w:rsidRPr="00A406E5" w:rsidRDefault="003A0AD6" w:rsidP="00FB6A0B">
            <w:pPr>
              <w:spacing w:before="120" w:after="120"/>
              <w:jc w:val="both"/>
              <w:rPr>
                <w:rFonts w:ascii="Arial" w:hAnsi="Arial" w:cs="Arial"/>
                <w:b/>
                <w:sz w:val="22"/>
                <w:szCs w:val="22"/>
              </w:rPr>
            </w:pPr>
            <w:r>
              <w:rPr>
                <w:rFonts w:ascii="Arial" w:hAnsi="Arial" w:cs="Arial"/>
                <w:b/>
                <w:sz w:val="22"/>
                <w:szCs w:val="22"/>
              </w:rPr>
              <w:t>HPHI6</w:t>
            </w:r>
            <w:r w:rsidR="00F90AAE">
              <w:rPr>
                <w:rFonts w:ascii="Arial" w:hAnsi="Arial" w:cs="Arial"/>
                <w:b/>
                <w:sz w:val="22"/>
                <w:szCs w:val="22"/>
              </w:rPr>
              <w:t>00</w:t>
            </w:r>
            <w:r>
              <w:rPr>
                <w:rFonts w:ascii="Arial" w:hAnsi="Arial" w:cs="Arial"/>
                <w:b/>
                <w:sz w:val="22"/>
                <w:szCs w:val="22"/>
              </w:rPr>
              <w:t>6</w:t>
            </w:r>
          </w:p>
        </w:tc>
        <w:tc>
          <w:tcPr>
            <w:tcW w:w="2268" w:type="dxa"/>
            <w:shd w:val="clear" w:color="auto" w:fill="D9D9D9"/>
          </w:tcPr>
          <w:p w:rsidR="00F90AAE" w:rsidRPr="004D5E9B" w:rsidRDefault="00F90AAE" w:rsidP="00FB6A0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F90AAE" w:rsidRPr="00A406E5" w:rsidRDefault="00F90AAE" w:rsidP="00FB6A0B">
            <w:pPr>
              <w:spacing w:before="120" w:after="120"/>
              <w:jc w:val="both"/>
              <w:rPr>
                <w:rFonts w:ascii="Arial" w:hAnsi="Arial" w:cs="Arial"/>
                <w:b/>
                <w:sz w:val="22"/>
                <w:szCs w:val="22"/>
              </w:rPr>
            </w:pPr>
            <w:r>
              <w:rPr>
                <w:rFonts w:ascii="Arial" w:hAnsi="Arial" w:cs="Arial"/>
                <w:b/>
                <w:sz w:val="22"/>
                <w:szCs w:val="22"/>
              </w:rPr>
              <w:t>50%</w:t>
            </w:r>
          </w:p>
        </w:tc>
      </w:tr>
      <w:tr w:rsidR="00F90AAE" w:rsidRPr="00A406E5" w:rsidTr="00F90AAE">
        <w:tc>
          <w:tcPr>
            <w:tcW w:w="2348" w:type="dxa"/>
            <w:shd w:val="pct15" w:color="auto" w:fill="auto"/>
          </w:tcPr>
          <w:p w:rsidR="00F90AAE" w:rsidRPr="00A406E5" w:rsidRDefault="00F90AAE" w:rsidP="00FB6A0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F90AAE" w:rsidRPr="00A406E5" w:rsidRDefault="00F90AAE" w:rsidP="00FB6A0B">
            <w:pPr>
              <w:spacing w:before="120" w:after="120"/>
              <w:jc w:val="both"/>
              <w:rPr>
                <w:rFonts w:ascii="Arial" w:hAnsi="Arial" w:cs="Arial"/>
                <w:b/>
                <w:sz w:val="22"/>
                <w:szCs w:val="22"/>
              </w:rPr>
            </w:pPr>
            <w:r>
              <w:rPr>
                <w:rFonts w:ascii="Arial" w:hAnsi="Arial" w:cs="Arial"/>
                <w:b/>
                <w:sz w:val="22"/>
                <w:szCs w:val="22"/>
              </w:rPr>
              <w:t>Dr Alexander Scott</w:t>
            </w:r>
          </w:p>
        </w:tc>
        <w:tc>
          <w:tcPr>
            <w:tcW w:w="2268" w:type="dxa"/>
            <w:shd w:val="clear" w:color="auto" w:fill="D9D9D9"/>
          </w:tcPr>
          <w:p w:rsidR="00F90AAE" w:rsidRPr="00A406E5" w:rsidRDefault="00F90AAE" w:rsidP="00FB6A0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F90AAE" w:rsidRPr="00A406E5" w:rsidRDefault="00F90AAE" w:rsidP="00FB6A0B">
            <w:pPr>
              <w:spacing w:before="120" w:after="120"/>
              <w:jc w:val="both"/>
              <w:rPr>
                <w:rFonts w:ascii="Arial" w:hAnsi="Arial" w:cs="Arial"/>
                <w:b/>
                <w:sz w:val="22"/>
                <w:szCs w:val="22"/>
              </w:rPr>
            </w:pPr>
            <w:r>
              <w:rPr>
                <w:rFonts w:ascii="Arial" w:hAnsi="Arial" w:cs="Arial"/>
                <w:b/>
                <w:sz w:val="22"/>
                <w:szCs w:val="22"/>
              </w:rPr>
              <w:t>Dr Lester Mason</w:t>
            </w:r>
          </w:p>
        </w:tc>
      </w:tr>
      <w:tr w:rsidR="00F90AAE" w:rsidRPr="00A406E5" w:rsidTr="00F90AAE">
        <w:tc>
          <w:tcPr>
            <w:tcW w:w="2348" w:type="dxa"/>
            <w:shd w:val="pct15" w:color="auto" w:fill="auto"/>
          </w:tcPr>
          <w:p w:rsidR="00F90AAE" w:rsidRPr="00A406E5" w:rsidRDefault="00F90AAE" w:rsidP="00FB6A0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F90AAE" w:rsidRDefault="00F90AAE" w:rsidP="00FB6A0B">
            <w:pPr>
              <w:spacing w:before="120" w:after="120"/>
              <w:jc w:val="both"/>
              <w:rPr>
                <w:rFonts w:ascii="Arial" w:hAnsi="Arial" w:cs="Arial"/>
                <w:b/>
                <w:sz w:val="22"/>
                <w:szCs w:val="22"/>
              </w:rPr>
            </w:pPr>
            <w:r>
              <w:rPr>
                <w:rFonts w:ascii="Arial" w:hAnsi="Arial" w:cs="Arial"/>
                <w:b/>
                <w:sz w:val="22"/>
                <w:szCs w:val="22"/>
              </w:rPr>
              <w:t>Gobbets</w:t>
            </w:r>
          </w:p>
          <w:p w:rsidR="00F90AAE" w:rsidRPr="00A406E5" w:rsidRDefault="00F90AAE" w:rsidP="00FB6A0B">
            <w:pPr>
              <w:spacing w:before="120" w:after="120"/>
              <w:jc w:val="both"/>
              <w:rPr>
                <w:rFonts w:ascii="Arial" w:hAnsi="Arial" w:cs="Arial"/>
                <w:b/>
                <w:sz w:val="22"/>
                <w:szCs w:val="22"/>
              </w:rPr>
            </w:pPr>
            <w:r>
              <w:rPr>
                <w:rFonts w:ascii="Arial" w:hAnsi="Arial" w:cs="Arial"/>
                <w:b/>
                <w:sz w:val="22"/>
                <w:szCs w:val="22"/>
              </w:rPr>
              <w:t>(Critical Analysis</w:t>
            </w:r>
            <w:r w:rsidR="003A0AD6">
              <w:rPr>
                <w:rFonts w:ascii="Arial" w:hAnsi="Arial" w:cs="Arial"/>
                <w:b/>
                <w:sz w:val="22"/>
                <w:szCs w:val="22"/>
              </w:rPr>
              <w:t>)</w:t>
            </w:r>
          </w:p>
        </w:tc>
        <w:tc>
          <w:tcPr>
            <w:tcW w:w="2268" w:type="dxa"/>
            <w:shd w:val="pct15" w:color="auto" w:fill="auto"/>
          </w:tcPr>
          <w:p w:rsidR="00F90AAE" w:rsidRPr="00A406E5" w:rsidRDefault="00F90AAE" w:rsidP="00FB6A0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F90AAE" w:rsidRDefault="00F90AAE" w:rsidP="00FB6A0B">
            <w:pPr>
              <w:spacing w:before="120" w:after="120"/>
              <w:jc w:val="both"/>
              <w:rPr>
                <w:rFonts w:ascii="Arial" w:hAnsi="Arial" w:cs="Arial"/>
                <w:b/>
                <w:sz w:val="22"/>
                <w:szCs w:val="22"/>
              </w:rPr>
            </w:pPr>
            <w:r>
              <w:rPr>
                <w:rFonts w:ascii="Arial" w:hAnsi="Arial" w:cs="Arial"/>
                <w:b/>
                <w:sz w:val="22"/>
                <w:szCs w:val="22"/>
              </w:rPr>
              <w:t>2500 words</w:t>
            </w:r>
          </w:p>
          <w:p w:rsidR="00F90AAE" w:rsidRPr="00A406E5" w:rsidRDefault="00F90AAE" w:rsidP="00FB6A0B">
            <w:pPr>
              <w:spacing w:before="120" w:after="120"/>
              <w:jc w:val="both"/>
              <w:rPr>
                <w:rFonts w:ascii="Arial" w:hAnsi="Arial" w:cs="Arial"/>
                <w:b/>
                <w:sz w:val="22"/>
                <w:szCs w:val="22"/>
              </w:rPr>
            </w:pPr>
            <w:r>
              <w:rPr>
                <w:rFonts w:ascii="Arial" w:hAnsi="Arial" w:cs="Arial"/>
                <w:b/>
                <w:sz w:val="22"/>
                <w:szCs w:val="22"/>
              </w:rPr>
              <w:t xml:space="preserve">(max. 850 per gobbet)  </w:t>
            </w:r>
          </w:p>
        </w:tc>
      </w:tr>
      <w:tr w:rsidR="00F90AAE" w:rsidRPr="00A406E5" w:rsidTr="00F90AAE">
        <w:tc>
          <w:tcPr>
            <w:tcW w:w="2348" w:type="dxa"/>
            <w:shd w:val="pct15" w:color="auto" w:fill="auto"/>
          </w:tcPr>
          <w:p w:rsidR="00F90AAE" w:rsidRPr="00A406E5" w:rsidRDefault="00F90AAE" w:rsidP="00FB6A0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F90AAE" w:rsidRPr="00A042B2" w:rsidRDefault="00F90AAE" w:rsidP="00FB6A0B">
            <w:pPr>
              <w:spacing w:before="120" w:after="120"/>
              <w:jc w:val="both"/>
              <w:rPr>
                <w:rFonts w:ascii="Arial" w:hAnsi="Arial" w:cs="Arial"/>
                <w:b/>
                <w:sz w:val="22"/>
                <w:szCs w:val="22"/>
                <w:u w:val="single"/>
              </w:rPr>
            </w:pPr>
            <w:r w:rsidRPr="00A042B2">
              <w:rPr>
                <w:rFonts w:ascii="Arial" w:hAnsi="Arial" w:cs="Arial"/>
                <w:b/>
                <w:sz w:val="22"/>
                <w:szCs w:val="22"/>
                <w:u w:val="single"/>
              </w:rPr>
              <w:t>Gobbet 1 (secondary source):</w:t>
            </w:r>
          </w:p>
          <w:p w:rsidR="00F90AAE" w:rsidRDefault="00F90AAE" w:rsidP="00FB6A0B">
            <w:pPr>
              <w:spacing w:before="120" w:after="120"/>
              <w:jc w:val="both"/>
              <w:rPr>
                <w:rFonts w:ascii="Arial" w:hAnsi="Arial" w:cs="Arial"/>
                <w:b/>
                <w:sz w:val="22"/>
                <w:szCs w:val="22"/>
              </w:rPr>
            </w:pPr>
            <w:r>
              <w:rPr>
                <w:rFonts w:ascii="Arial" w:hAnsi="Arial" w:cs="Arial"/>
                <w:b/>
                <w:sz w:val="22"/>
                <w:szCs w:val="22"/>
              </w:rPr>
              <w:t>Sunday 12 January</w:t>
            </w:r>
          </w:p>
          <w:p w:rsidR="00F90AAE" w:rsidRPr="00A042B2" w:rsidRDefault="00F90AAE" w:rsidP="00FB6A0B">
            <w:pPr>
              <w:spacing w:before="120" w:after="120"/>
              <w:jc w:val="both"/>
              <w:rPr>
                <w:rFonts w:ascii="Arial" w:hAnsi="Arial" w:cs="Arial"/>
                <w:b/>
                <w:sz w:val="22"/>
                <w:szCs w:val="22"/>
                <w:u w:val="single"/>
              </w:rPr>
            </w:pPr>
            <w:r w:rsidRPr="00A042B2">
              <w:rPr>
                <w:rFonts w:ascii="Arial" w:hAnsi="Arial" w:cs="Arial"/>
                <w:b/>
                <w:sz w:val="22"/>
                <w:szCs w:val="22"/>
                <w:u w:val="single"/>
              </w:rPr>
              <w:t>Gobbet 2 (pre-1865):</w:t>
            </w:r>
          </w:p>
          <w:p w:rsidR="00F90AAE" w:rsidRDefault="00F90AAE" w:rsidP="00FB6A0B">
            <w:pPr>
              <w:spacing w:before="120" w:after="120"/>
              <w:jc w:val="both"/>
              <w:rPr>
                <w:rFonts w:ascii="Arial" w:hAnsi="Arial" w:cs="Arial"/>
                <w:b/>
                <w:sz w:val="22"/>
                <w:szCs w:val="22"/>
              </w:rPr>
            </w:pPr>
            <w:r>
              <w:rPr>
                <w:rFonts w:ascii="Arial" w:hAnsi="Arial" w:cs="Arial"/>
                <w:b/>
                <w:sz w:val="22"/>
                <w:szCs w:val="22"/>
              </w:rPr>
              <w:t>Sunday 19 January</w:t>
            </w:r>
          </w:p>
          <w:p w:rsidR="00F90AAE" w:rsidRPr="00A042B2" w:rsidRDefault="00F90AAE" w:rsidP="00FB6A0B">
            <w:pPr>
              <w:spacing w:before="120" w:after="120"/>
              <w:jc w:val="both"/>
              <w:rPr>
                <w:rFonts w:ascii="Arial" w:hAnsi="Arial" w:cs="Arial"/>
                <w:b/>
                <w:sz w:val="22"/>
                <w:szCs w:val="22"/>
                <w:u w:val="single"/>
              </w:rPr>
            </w:pPr>
            <w:r w:rsidRPr="00A042B2">
              <w:rPr>
                <w:rFonts w:ascii="Arial" w:hAnsi="Arial" w:cs="Arial"/>
                <w:b/>
                <w:sz w:val="22"/>
                <w:szCs w:val="22"/>
                <w:u w:val="single"/>
              </w:rPr>
              <w:t>Gobbet 3: (post-abolition):</w:t>
            </w:r>
          </w:p>
          <w:p w:rsidR="00F90AAE" w:rsidRDefault="00986449" w:rsidP="00FB6A0B">
            <w:pPr>
              <w:spacing w:before="120" w:after="120"/>
              <w:jc w:val="both"/>
              <w:rPr>
                <w:rFonts w:ascii="Arial" w:hAnsi="Arial" w:cs="Arial"/>
                <w:b/>
                <w:sz w:val="22"/>
                <w:szCs w:val="22"/>
              </w:rPr>
            </w:pPr>
            <w:r>
              <w:rPr>
                <w:rFonts w:ascii="Arial" w:hAnsi="Arial" w:cs="Arial"/>
                <w:b/>
                <w:sz w:val="22"/>
                <w:szCs w:val="22"/>
              </w:rPr>
              <w:t>Sunday 26</w:t>
            </w:r>
            <w:r w:rsidR="00F90AAE">
              <w:rPr>
                <w:rFonts w:ascii="Arial" w:hAnsi="Arial" w:cs="Arial"/>
                <w:b/>
                <w:sz w:val="22"/>
                <w:szCs w:val="22"/>
              </w:rPr>
              <w:t xml:space="preserve"> January</w:t>
            </w:r>
          </w:p>
          <w:p w:rsidR="00F90AAE" w:rsidRPr="00A406E5" w:rsidRDefault="00F90AAE" w:rsidP="00FB6A0B">
            <w:pPr>
              <w:spacing w:before="120" w:after="120"/>
              <w:jc w:val="both"/>
              <w:rPr>
                <w:rFonts w:ascii="Arial" w:hAnsi="Arial" w:cs="Arial"/>
                <w:b/>
                <w:sz w:val="22"/>
                <w:szCs w:val="22"/>
              </w:rPr>
            </w:pPr>
          </w:p>
        </w:tc>
        <w:tc>
          <w:tcPr>
            <w:tcW w:w="2268" w:type="dxa"/>
            <w:shd w:val="pct15" w:color="auto" w:fill="auto"/>
          </w:tcPr>
          <w:p w:rsidR="00F90AAE" w:rsidRPr="00A406E5" w:rsidRDefault="00F90AAE" w:rsidP="00FB6A0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F90AAE" w:rsidRPr="00A042B2" w:rsidRDefault="00F90AAE" w:rsidP="00FB6A0B">
            <w:pPr>
              <w:spacing w:before="120" w:after="120"/>
              <w:jc w:val="both"/>
              <w:rPr>
                <w:rFonts w:ascii="Arial" w:hAnsi="Arial" w:cs="Arial"/>
                <w:b/>
                <w:sz w:val="22"/>
                <w:szCs w:val="22"/>
                <w:u w:val="single"/>
              </w:rPr>
            </w:pPr>
            <w:r w:rsidRPr="00A042B2">
              <w:rPr>
                <w:rFonts w:ascii="Arial" w:hAnsi="Arial" w:cs="Arial"/>
                <w:b/>
                <w:sz w:val="22"/>
                <w:szCs w:val="22"/>
                <w:u w:val="single"/>
              </w:rPr>
              <w:t>Gobbet 1 (secondary source):</w:t>
            </w:r>
          </w:p>
          <w:p w:rsidR="00F90AAE" w:rsidRDefault="00F90AAE" w:rsidP="00FB6A0B">
            <w:pPr>
              <w:spacing w:before="120" w:after="120"/>
              <w:jc w:val="both"/>
              <w:rPr>
                <w:rFonts w:ascii="Arial" w:hAnsi="Arial" w:cs="Arial"/>
                <w:b/>
                <w:sz w:val="22"/>
                <w:szCs w:val="22"/>
              </w:rPr>
            </w:pPr>
            <w:r>
              <w:rPr>
                <w:rFonts w:ascii="Arial" w:hAnsi="Arial" w:cs="Arial"/>
                <w:b/>
                <w:sz w:val="22"/>
                <w:szCs w:val="22"/>
              </w:rPr>
              <w:t>Sunday 19 January</w:t>
            </w:r>
          </w:p>
          <w:p w:rsidR="00F90AAE" w:rsidRPr="00A042B2" w:rsidRDefault="00F90AAE" w:rsidP="00FB6A0B">
            <w:pPr>
              <w:spacing w:before="120" w:after="120"/>
              <w:jc w:val="both"/>
              <w:rPr>
                <w:rFonts w:ascii="Arial" w:hAnsi="Arial" w:cs="Arial"/>
                <w:b/>
                <w:sz w:val="22"/>
                <w:szCs w:val="22"/>
                <w:u w:val="single"/>
              </w:rPr>
            </w:pPr>
            <w:r w:rsidRPr="00A042B2">
              <w:rPr>
                <w:rFonts w:ascii="Arial" w:hAnsi="Arial" w:cs="Arial"/>
                <w:b/>
                <w:sz w:val="22"/>
                <w:szCs w:val="22"/>
                <w:u w:val="single"/>
              </w:rPr>
              <w:t>Gobbet 2 (pre-1865):</w:t>
            </w:r>
          </w:p>
          <w:p w:rsidR="00F90AAE" w:rsidRDefault="00F90AAE" w:rsidP="00FB6A0B">
            <w:pPr>
              <w:spacing w:before="120" w:after="120"/>
              <w:jc w:val="both"/>
              <w:rPr>
                <w:rFonts w:ascii="Arial" w:hAnsi="Arial" w:cs="Arial"/>
                <w:b/>
                <w:sz w:val="22"/>
                <w:szCs w:val="22"/>
              </w:rPr>
            </w:pPr>
            <w:r>
              <w:rPr>
                <w:rFonts w:ascii="Arial" w:hAnsi="Arial" w:cs="Arial"/>
                <w:b/>
                <w:sz w:val="22"/>
                <w:szCs w:val="22"/>
              </w:rPr>
              <w:t>Sunday 2</w:t>
            </w:r>
            <w:r w:rsidR="00986449">
              <w:rPr>
                <w:rFonts w:ascii="Arial" w:hAnsi="Arial" w:cs="Arial"/>
                <w:b/>
                <w:sz w:val="22"/>
                <w:szCs w:val="22"/>
              </w:rPr>
              <w:t>6</w:t>
            </w:r>
            <w:bookmarkStart w:id="0" w:name="_GoBack"/>
            <w:bookmarkEnd w:id="0"/>
            <w:r>
              <w:rPr>
                <w:rFonts w:ascii="Arial" w:hAnsi="Arial" w:cs="Arial"/>
                <w:b/>
                <w:sz w:val="22"/>
                <w:szCs w:val="22"/>
              </w:rPr>
              <w:t xml:space="preserve"> January</w:t>
            </w:r>
          </w:p>
          <w:p w:rsidR="00F90AAE" w:rsidRPr="00A042B2" w:rsidRDefault="00F90AAE" w:rsidP="00FB6A0B">
            <w:pPr>
              <w:spacing w:before="120" w:after="120"/>
              <w:jc w:val="both"/>
              <w:rPr>
                <w:rFonts w:ascii="Arial" w:hAnsi="Arial" w:cs="Arial"/>
                <w:b/>
                <w:sz w:val="22"/>
                <w:szCs w:val="22"/>
                <w:u w:val="single"/>
              </w:rPr>
            </w:pPr>
            <w:r w:rsidRPr="00A042B2">
              <w:rPr>
                <w:rFonts w:ascii="Arial" w:hAnsi="Arial" w:cs="Arial"/>
                <w:b/>
                <w:sz w:val="22"/>
                <w:szCs w:val="22"/>
                <w:u w:val="single"/>
              </w:rPr>
              <w:t>Gobbet 3: (post-abolition):</w:t>
            </w:r>
          </w:p>
          <w:p w:rsidR="00F90AAE" w:rsidRDefault="00F90AAE" w:rsidP="00FB6A0B">
            <w:pPr>
              <w:spacing w:before="120" w:after="120"/>
              <w:jc w:val="both"/>
              <w:rPr>
                <w:rFonts w:ascii="Arial" w:hAnsi="Arial" w:cs="Arial"/>
                <w:b/>
                <w:sz w:val="22"/>
                <w:szCs w:val="22"/>
              </w:rPr>
            </w:pPr>
            <w:r>
              <w:rPr>
                <w:rFonts w:ascii="Arial" w:hAnsi="Arial" w:cs="Arial"/>
                <w:b/>
                <w:sz w:val="22"/>
                <w:szCs w:val="22"/>
              </w:rPr>
              <w:t xml:space="preserve">Sunday 2 February </w:t>
            </w:r>
          </w:p>
          <w:p w:rsidR="00F90AAE" w:rsidRDefault="00F90AAE" w:rsidP="00FB6A0B">
            <w:pPr>
              <w:spacing w:before="120" w:after="120"/>
              <w:jc w:val="both"/>
              <w:rPr>
                <w:rFonts w:ascii="Arial" w:hAnsi="Arial" w:cs="Arial"/>
                <w:b/>
                <w:sz w:val="22"/>
                <w:szCs w:val="22"/>
              </w:rPr>
            </w:pPr>
          </w:p>
          <w:p w:rsidR="00F90AAE" w:rsidRPr="00A406E5" w:rsidRDefault="00F90AAE" w:rsidP="00FB6A0B">
            <w:pPr>
              <w:spacing w:before="120" w:after="120"/>
              <w:jc w:val="both"/>
              <w:rPr>
                <w:rFonts w:ascii="Arial" w:hAnsi="Arial" w:cs="Arial"/>
                <w:b/>
                <w:sz w:val="22"/>
                <w:szCs w:val="22"/>
              </w:rPr>
            </w:pPr>
          </w:p>
        </w:tc>
      </w:tr>
      <w:tr w:rsidR="00F90AAE" w:rsidRPr="00A406E5" w:rsidTr="00F90AAE">
        <w:tc>
          <w:tcPr>
            <w:tcW w:w="2348" w:type="dxa"/>
            <w:shd w:val="pct15" w:color="auto" w:fill="auto"/>
          </w:tcPr>
          <w:p w:rsidR="00F90AAE" w:rsidRPr="00A406E5" w:rsidRDefault="00F90AAE" w:rsidP="00FB6A0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F90AAE" w:rsidRPr="00A406E5" w:rsidRDefault="00F90AAE" w:rsidP="00FB6A0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F90AAE" w:rsidRPr="00A406E5" w:rsidRDefault="00F90AAE" w:rsidP="00FB6A0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F90AAE" w:rsidRPr="00A406E5" w:rsidRDefault="00F90AAE" w:rsidP="00FB6A0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90AAE" w:rsidRPr="00A406E5" w:rsidTr="00F90AAE">
        <w:tc>
          <w:tcPr>
            <w:tcW w:w="2348" w:type="dxa"/>
            <w:shd w:val="pct15" w:color="auto" w:fill="auto"/>
          </w:tcPr>
          <w:p w:rsidR="00F90AAE" w:rsidRPr="00A406E5" w:rsidRDefault="00F90AAE" w:rsidP="00FB6A0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F90AAE" w:rsidRPr="00A406E5" w:rsidRDefault="00F90AAE" w:rsidP="00FB6A0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F90AAE" w:rsidRPr="00A406E5" w:rsidRDefault="00F90AAE" w:rsidP="00F90AAE">
      <w:pPr>
        <w:rPr>
          <w:rFonts w:ascii="Arial" w:hAnsi="Arial" w:cs="Arial"/>
          <w:sz w:val="32"/>
        </w:rPr>
      </w:pPr>
    </w:p>
    <w:p w:rsidR="00F90AAE" w:rsidRPr="00A406E5" w:rsidRDefault="00F90AAE" w:rsidP="00F90AAE">
      <w:pPr>
        <w:rPr>
          <w:rFonts w:ascii="Arial" w:hAnsi="Arial" w:cs="Arial"/>
          <w:sz w:val="32"/>
        </w:rPr>
      </w:pPr>
    </w:p>
    <w:p w:rsidR="00F90AAE" w:rsidRPr="00A406E5" w:rsidRDefault="00F90AAE" w:rsidP="00F90AAE">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90AAE" w:rsidRPr="00A406E5" w:rsidTr="00FB6A0B">
        <w:tc>
          <w:tcPr>
            <w:tcW w:w="9747" w:type="dxa"/>
            <w:shd w:val="pct10" w:color="auto" w:fill="auto"/>
          </w:tcPr>
          <w:p w:rsidR="00F90AAE" w:rsidRPr="00A406E5" w:rsidRDefault="00F90AAE" w:rsidP="00FB6A0B">
            <w:pPr>
              <w:rPr>
                <w:rFonts w:ascii="Arial" w:hAnsi="Arial" w:cs="Arial"/>
                <w:b/>
                <w:sz w:val="22"/>
                <w:szCs w:val="22"/>
              </w:rPr>
            </w:pPr>
            <w:r w:rsidRPr="00A406E5">
              <w:rPr>
                <w:rFonts w:ascii="Arial" w:hAnsi="Arial" w:cs="Arial"/>
                <w:b/>
                <w:sz w:val="22"/>
                <w:szCs w:val="22"/>
              </w:rPr>
              <w:t xml:space="preserve">Module Learning Outcomes </w:t>
            </w:r>
          </w:p>
          <w:p w:rsidR="00F90AAE" w:rsidRPr="00A406E5" w:rsidRDefault="00F90AAE" w:rsidP="00FB6A0B">
            <w:pPr>
              <w:rPr>
                <w:rFonts w:ascii="Arial" w:hAnsi="Arial" w:cs="Arial"/>
                <w:sz w:val="22"/>
                <w:szCs w:val="22"/>
              </w:rPr>
            </w:pPr>
            <w:r w:rsidRPr="00A406E5">
              <w:rPr>
                <w:rFonts w:ascii="Arial" w:hAnsi="Arial" w:cs="Arial"/>
                <w:b/>
                <w:sz w:val="22"/>
                <w:szCs w:val="22"/>
              </w:rPr>
              <w:t>(from module syllabus)</w:t>
            </w:r>
          </w:p>
        </w:tc>
      </w:tr>
      <w:tr w:rsidR="00F90AAE" w:rsidRPr="00A406E5" w:rsidTr="00FB6A0B">
        <w:tc>
          <w:tcPr>
            <w:tcW w:w="9747" w:type="dxa"/>
          </w:tcPr>
          <w:p w:rsidR="00F90AAE" w:rsidRPr="00A406E5" w:rsidRDefault="00F90AAE" w:rsidP="00FB6A0B">
            <w:pPr>
              <w:ind w:left="360"/>
              <w:rPr>
                <w:rFonts w:ascii="Arial" w:hAnsi="Arial" w:cs="Arial"/>
                <w:sz w:val="22"/>
                <w:szCs w:val="22"/>
              </w:rPr>
            </w:pPr>
          </w:p>
          <w:p w:rsidR="00F90AAE" w:rsidRPr="009F7E6D" w:rsidRDefault="00F90AAE" w:rsidP="00F90AAE">
            <w:pPr>
              <w:pStyle w:val="ListParagraph"/>
              <w:numPr>
                <w:ilvl w:val="0"/>
                <w:numId w:val="31"/>
              </w:numPr>
              <w:ind w:left="1003"/>
              <w:contextualSpacing w:val="0"/>
              <w:rPr>
                <w:rFonts w:ascii="Arial" w:hAnsi="Arial" w:cs="Arial"/>
                <w:sz w:val="22"/>
                <w:szCs w:val="22"/>
              </w:rPr>
            </w:pPr>
            <w:r>
              <w:rPr>
                <w:rFonts w:ascii="Arial" w:hAnsi="Arial" w:cs="Arial"/>
                <w:sz w:val="22"/>
                <w:szCs w:val="22"/>
              </w:rPr>
              <w:t>demonstrate a coherent</w:t>
            </w:r>
            <w:r w:rsidRPr="009F7E6D">
              <w:rPr>
                <w:rFonts w:ascii="Arial" w:hAnsi="Arial" w:cs="Arial"/>
                <w:sz w:val="22"/>
                <w:szCs w:val="22"/>
              </w:rPr>
              <w:t xml:space="preserve"> general knowledge of the history and culture of the African diaspora</w:t>
            </w:r>
            <w:r>
              <w:rPr>
                <w:rFonts w:ascii="Arial" w:hAnsi="Arial" w:cs="Arial"/>
                <w:sz w:val="22"/>
                <w:szCs w:val="22"/>
              </w:rPr>
              <w:t>;</w:t>
            </w:r>
          </w:p>
          <w:p w:rsidR="00F90AAE" w:rsidRPr="009F7E6D" w:rsidRDefault="00F90AAE" w:rsidP="00F90AAE">
            <w:pPr>
              <w:pStyle w:val="ListParagraph"/>
              <w:numPr>
                <w:ilvl w:val="0"/>
                <w:numId w:val="31"/>
              </w:numPr>
              <w:ind w:left="1003"/>
              <w:contextualSpacing w:val="0"/>
              <w:rPr>
                <w:rFonts w:ascii="Arial" w:hAnsi="Arial" w:cs="Arial"/>
                <w:sz w:val="22"/>
                <w:szCs w:val="22"/>
              </w:rPr>
            </w:pPr>
            <w:r>
              <w:rPr>
                <w:rFonts w:ascii="Arial" w:hAnsi="Arial" w:cs="Arial"/>
                <w:sz w:val="22"/>
                <w:szCs w:val="22"/>
              </w:rPr>
              <w:t>u</w:t>
            </w:r>
            <w:r w:rsidRPr="009F7E6D">
              <w:rPr>
                <w:rFonts w:ascii="Arial" w:hAnsi="Arial" w:cs="Arial"/>
                <w:sz w:val="22"/>
                <w:szCs w:val="22"/>
              </w:rPr>
              <w:t>nderstand and apply the theoretical ideas of Paul Gilroy and other scholars of the African diaspora</w:t>
            </w:r>
            <w:r>
              <w:rPr>
                <w:rFonts w:ascii="Arial" w:hAnsi="Arial" w:cs="Arial"/>
                <w:sz w:val="22"/>
                <w:szCs w:val="22"/>
              </w:rPr>
              <w:t>;</w:t>
            </w:r>
          </w:p>
          <w:p w:rsidR="00F90AAE" w:rsidRPr="009F7E6D" w:rsidRDefault="00F90AAE" w:rsidP="00F90AAE">
            <w:pPr>
              <w:pStyle w:val="ListParagraph"/>
              <w:numPr>
                <w:ilvl w:val="0"/>
                <w:numId w:val="31"/>
              </w:numPr>
              <w:ind w:left="1003"/>
              <w:contextualSpacing w:val="0"/>
              <w:rPr>
                <w:rFonts w:ascii="Arial" w:hAnsi="Arial" w:cs="Arial"/>
                <w:sz w:val="22"/>
                <w:szCs w:val="22"/>
              </w:rPr>
            </w:pPr>
            <w:r>
              <w:rPr>
                <w:rFonts w:ascii="Arial" w:hAnsi="Arial" w:cs="Arial"/>
                <w:sz w:val="22"/>
                <w:szCs w:val="22"/>
              </w:rPr>
              <w:t>u</w:t>
            </w:r>
            <w:r w:rsidRPr="009F7E6D">
              <w:rPr>
                <w:rFonts w:ascii="Arial" w:hAnsi="Arial" w:cs="Arial"/>
                <w:sz w:val="22"/>
                <w:szCs w:val="22"/>
              </w:rPr>
              <w:t>nderstand and apply cultural history approaches to the study of the African diaspora.</w:t>
            </w:r>
          </w:p>
          <w:p w:rsidR="00F90AAE" w:rsidRPr="00A406E5" w:rsidRDefault="00F90AAE" w:rsidP="00FB6A0B">
            <w:pPr>
              <w:ind w:left="360"/>
              <w:rPr>
                <w:rFonts w:ascii="Arial" w:hAnsi="Arial" w:cs="Arial"/>
                <w:sz w:val="22"/>
                <w:szCs w:val="22"/>
              </w:rPr>
            </w:pPr>
          </w:p>
          <w:p w:rsidR="00F90AAE" w:rsidRPr="00A406E5" w:rsidRDefault="00F90AAE" w:rsidP="00FB6A0B">
            <w:pPr>
              <w:rPr>
                <w:rFonts w:ascii="Arial" w:hAnsi="Arial" w:cs="Arial"/>
                <w:sz w:val="22"/>
                <w:szCs w:val="22"/>
              </w:rPr>
            </w:pPr>
          </w:p>
          <w:p w:rsidR="00F90AAE" w:rsidRPr="00A406E5" w:rsidRDefault="00F90AAE" w:rsidP="00FB6A0B">
            <w:pPr>
              <w:rPr>
                <w:rFonts w:ascii="Arial" w:hAnsi="Arial" w:cs="Arial"/>
                <w:sz w:val="22"/>
                <w:szCs w:val="22"/>
              </w:rPr>
            </w:pPr>
          </w:p>
        </w:tc>
      </w:tr>
    </w:tbl>
    <w:p w:rsidR="00F90AAE" w:rsidRPr="00A406E5" w:rsidRDefault="00F90AAE" w:rsidP="00F90AAE">
      <w:pPr>
        <w:rPr>
          <w:rFonts w:ascii="Arial" w:hAnsi="Arial" w:cs="Arial"/>
          <w:b/>
        </w:rPr>
      </w:pPr>
    </w:p>
    <w:p w:rsidR="00F90AAE" w:rsidRPr="00A406E5" w:rsidRDefault="00F90AAE" w:rsidP="00F90AAE">
      <w:pPr>
        <w:rPr>
          <w:rFonts w:ascii="Arial" w:hAnsi="Arial" w:cs="Arial"/>
          <w:b/>
        </w:rPr>
      </w:pPr>
    </w:p>
    <w:p w:rsidR="00F90AAE" w:rsidRPr="00A406E5" w:rsidRDefault="00F90AAE" w:rsidP="00F90AAE">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90AAE" w:rsidRPr="00A406E5" w:rsidTr="00FB6A0B">
        <w:tc>
          <w:tcPr>
            <w:tcW w:w="9781" w:type="dxa"/>
            <w:shd w:val="clear" w:color="auto" w:fill="C0C0C0"/>
          </w:tcPr>
          <w:p w:rsidR="00F90AAE" w:rsidRPr="00A406E5" w:rsidRDefault="00F90AAE" w:rsidP="00FB6A0B">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F90AAE" w:rsidRPr="001E3534" w:rsidRDefault="00F90AAE" w:rsidP="00F90AAE">
      <w:pPr>
        <w:spacing w:line="360" w:lineRule="auto"/>
        <w:rPr>
          <w:rFonts w:ascii="Georgia" w:hAnsi="Georgia"/>
          <w:sz w:val="24"/>
          <w:szCs w:val="24"/>
        </w:rPr>
      </w:pPr>
    </w:p>
    <w:p w:rsidR="00F90AAE" w:rsidRPr="00A042B2" w:rsidRDefault="00F90AAE" w:rsidP="00F90AAE">
      <w:pPr>
        <w:spacing w:line="360" w:lineRule="auto"/>
        <w:ind w:left="567" w:right="567"/>
        <w:rPr>
          <w:rFonts w:ascii="Georgia" w:hAnsi="Georgia" w:cstheme="minorHAnsi"/>
          <w:sz w:val="24"/>
          <w:szCs w:val="24"/>
          <w:u w:val="single"/>
        </w:rPr>
      </w:pPr>
      <w:r w:rsidRPr="00A042B2">
        <w:rPr>
          <w:rFonts w:ascii="Georgia" w:hAnsi="Georgia" w:cstheme="minorHAnsi"/>
          <w:sz w:val="24"/>
          <w:szCs w:val="24"/>
          <w:u w:val="single"/>
        </w:rPr>
        <w:t xml:space="preserve">Assessment 1: Gobbets </w:t>
      </w:r>
    </w:p>
    <w:p w:rsidR="00F90AAE" w:rsidRPr="00A042B2" w:rsidRDefault="00F90AAE" w:rsidP="00F90AAE">
      <w:pPr>
        <w:spacing w:line="360" w:lineRule="auto"/>
        <w:ind w:left="567" w:right="567"/>
        <w:rPr>
          <w:rFonts w:ascii="Georgia" w:hAnsi="Georgia" w:cstheme="minorHAnsi"/>
          <w:i/>
          <w:sz w:val="24"/>
          <w:szCs w:val="24"/>
        </w:rPr>
      </w:pPr>
      <w:r w:rsidRPr="00A042B2">
        <w:rPr>
          <w:rFonts w:ascii="Georgia" w:hAnsi="Georgia" w:cstheme="minorHAnsi"/>
          <w:i/>
          <w:sz w:val="24"/>
          <w:szCs w:val="24"/>
        </w:rPr>
        <w:t>Students are tasked with producing three critical appraisals of extracts (gobbets) from assigned sources. These analyses comprise three 800–850-word analyses of:</w:t>
      </w:r>
    </w:p>
    <w:p w:rsidR="00F90AAE" w:rsidRPr="00A042B2" w:rsidRDefault="00F90AAE" w:rsidP="00F90AAE">
      <w:pPr>
        <w:spacing w:line="360" w:lineRule="auto"/>
        <w:ind w:left="567" w:right="567"/>
        <w:rPr>
          <w:rFonts w:ascii="Georgia" w:hAnsi="Georgia" w:cstheme="minorHAnsi"/>
          <w:sz w:val="24"/>
          <w:szCs w:val="24"/>
        </w:rPr>
      </w:pPr>
    </w:p>
    <w:p w:rsidR="00F90AAE" w:rsidRPr="00A042B2" w:rsidRDefault="00F90AAE" w:rsidP="00F90AAE">
      <w:pPr>
        <w:pStyle w:val="ListParagraph"/>
        <w:numPr>
          <w:ilvl w:val="0"/>
          <w:numId w:val="17"/>
        </w:numPr>
        <w:spacing w:after="160" w:line="360" w:lineRule="auto"/>
        <w:ind w:left="927" w:right="567"/>
        <w:rPr>
          <w:rFonts w:ascii="Georgia" w:hAnsi="Georgia" w:cstheme="minorHAnsi"/>
          <w:b/>
          <w:sz w:val="24"/>
          <w:szCs w:val="24"/>
        </w:rPr>
      </w:pPr>
      <w:r w:rsidRPr="00A042B2">
        <w:rPr>
          <w:rFonts w:ascii="Georgia" w:hAnsi="Georgia" w:cstheme="minorHAnsi"/>
          <w:b/>
          <w:sz w:val="24"/>
          <w:szCs w:val="24"/>
        </w:rPr>
        <w:t xml:space="preserve">One analysis of the following </w:t>
      </w:r>
      <w:r w:rsidRPr="00A042B2">
        <w:rPr>
          <w:rFonts w:ascii="Georgia" w:hAnsi="Georgia" w:cstheme="minorHAnsi"/>
          <w:b/>
          <w:sz w:val="24"/>
          <w:szCs w:val="24"/>
          <w:u w:val="single"/>
        </w:rPr>
        <w:t>secondary source</w:t>
      </w:r>
      <w:r w:rsidRPr="00A042B2">
        <w:rPr>
          <w:rFonts w:ascii="Georgia" w:hAnsi="Georgia" w:cstheme="minorHAnsi"/>
          <w:b/>
          <w:sz w:val="24"/>
          <w:szCs w:val="24"/>
        </w:rPr>
        <w:t>:</w:t>
      </w:r>
    </w:p>
    <w:p w:rsidR="00F90AAE" w:rsidRPr="00A042B2" w:rsidRDefault="00F90AAE" w:rsidP="00F90AAE">
      <w:pPr>
        <w:pStyle w:val="ListParagraph"/>
        <w:numPr>
          <w:ilvl w:val="0"/>
          <w:numId w:val="21"/>
        </w:numPr>
        <w:spacing w:after="160" w:line="360" w:lineRule="auto"/>
        <w:ind w:left="927" w:right="567"/>
        <w:rPr>
          <w:rFonts w:ascii="Georgia" w:hAnsi="Georgia" w:cstheme="minorHAnsi"/>
          <w:bCs/>
          <w:sz w:val="24"/>
          <w:szCs w:val="24"/>
        </w:rPr>
      </w:pPr>
      <w:r w:rsidRPr="00A042B2">
        <w:rPr>
          <w:rFonts w:ascii="Georgia" w:hAnsi="Georgia" w:cstheme="minorHAnsi"/>
          <w:sz w:val="24"/>
          <w:szCs w:val="24"/>
        </w:rPr>
        <w:t xml:space="preserve">Paul Gilroy, </w:t>
      </w:r>
      <w:r w:rsidRPr="00A042B2">
        <w:rPr>
          <w:rFonts w:ascii="Georgia" w:eastAsiaTheme="minorHAnsi" w:hAnsi="Georgia" w:cstheme="minorHAnsi"/>
          <w:bCs/>
          <w:i/>
          <w:sz w:val="24"/>
          <w:szCs w:val="24"/>
          <w:lang w:eastAsia="en-US"/>
        </w:rPr>
        <w:t>The Black Atlantic: Modernity and Double Consciousness</w:t>
      </w:r>
      <w:r w:rsidRPr="00A042B2">
        <w:rPr>
          <w:rFonts w:ascii="Georgia" w:hAnsi="Georgia" w:cstheme="minorHAnsi"/>
          <w:bCs/>
          <w:sz w:val="24"/>
          <w:szCs w:val="24"/>
        </w:rPr>
        <w:t xml:space="preserve"> (London: Verso, 1993), preface and chapter 1</w:t>
      </w:r>
    </w:p>
    <w:p w:rsidR="00F90AAE" w:rsidRPr="00A042B2" w:rsidRDefault="00F90AAE" w:rsidP="00F90AAE">
      <w:pPr>
        <w:spacing w:line="360" w:lineRule="auto"/>
        <w:ind w:left="927" w:right="567"/>
        <w:rPr>
          <w:rFonts w:ascii="Georgia" w:hAnsi="Georgia" w:cstheme="minorHAnsi"/>
          <w:sz w:val="24"/>
          <w:szCs w:val="24"/>
        </w:rPr>
      </w:pPr>
    </w:p>
    <w:p w:rsidR="00F90AAE" w:rsidRPr="00A042B2" w:rsidRDefault="00F90AAE" w:rsidP="00F90AAE">
      <w:pPr>
        <w:pStyle w:val="ListParagraph"/>
        <w:numPr>
          <w:ilvl w:val="0"/>
          <w:numId w:val="23"/>
        </w:numPr>
        <w:spacing w:after="160" w:line="360" w:lineRule="auto"/>
        <w:ind w:left="927" w:right="567"/>
        <w:rPr>
          <w:rFonts w:ascii="Georgia" w:hAnsi="Georgia" w:cstheme="minorHAnsi"/>
          <w:b/>
          <w:sz w:val="24"/>
          <w:szCs w:val="24"/>
        </w:rPr>
      </w:pPr>
      <w:r w:rsidRPr="00A042B2">
        <w:rPr>
          <w:rFonts w:ascii="Georgia" w:hAnsi="Georgia" w:cstheme="minorHAnsi"/>
          <w:b/>
          <w:sz w:val="24"/>
          <w:szCs w:val="24"/>
        </w:rPr>
        <w:t xml:space="preserve">One analysis of a </w:t>
      </w:r>
      <w:r w:rsidRPr="00A042B2">
        <w:rPr>
          <w:rFonts w:ascii="Georgia" w:hAnsi="Georgia" w:cstheme="minorHAnsi"/>
          <w:b/>
          <w:sz w:val="24"/>
          <w:szCs w:val="24"/>
          <w:u w:val="single"/>
        </w:rPr>
        <w:t>pre-1865 primary source</w:t>
      </w:r>
      <w:r w:rsidRPr="00A042B2">
        <w:rPr>
          <w:rFonts w:ascii="Georgia" w:hAnsi="Georgia" w:cstheme="minorHAnsi"/>
          <w:b/>
          <w:sz w:val="24"/>
          <w:szCs w:val="24"/>
        </w:rPr>
        <w:t xml:space="preserve"> relating to slavery from the following list:</w:t>
      </w:r>
    </w:p>
    <w:p w:rsidR="00F90AAE" w:rsidRPr="00A042B2" w:rsidRDefault="00F90AAE" w:rsidP="00F90AAE">
      <w:pPr>
        <w:pStyle w:val="ListParagraph"/>
        <w:numPr>
          <w:ilvl w:val="0"/>
          <w:numId w:val="22"/>
        </w:numPr>
        <w:spacing w:line="360" w:lineRule="auto"/>
        <w:ind w:left="927" w:right="567"/>
        <w:rPr>
          <w:rFonts w:ascii="Georgia" w:hAnsi="Georgia" w:cstheme="minorHAnsi"/>
          <w:sz w:val="24"/>
          <w:szCs w:val="24"/>
        </w:rPr>
      </w:pPr>
      <w:r w:rsidRPr="00A042B2">
        <w:rPr>
          <w:rFonts w:ascii="Georgia" w:hAnsi="Georgia" w:cstheme="minorHAnsi"/>
          <w:bCs/>
          <w:iCs/>
          <w:sz w:val="24"/>
          <w:szCs w:val="24"/>
        </w:rPr>
        <w:t>Olaudah Equiano,</w:t>
      </w:r>
      <w:r w:rsidRPr="00A042B2">
        <w:rPr>
          <w:rFonts w:ascii="Georgia" w:hAnsi="Georgia" w:cstheme="minorHAnsi"/>
          <w:bCs/>
          <w:i/>
          <w:iCs/>
          <w:sz w:val="24"/>
          <w:szCs w:val="24"/>
        </w:rPr>
        <w:t xml:space="preserve"> The Interesting Narrative of the Life of Olaudah Equiano, or Gustavus Vassa, the African</w:t>
      </w:r>
      <w:r w:rsidRPr="00A042B2">
        <w:rPr>
          <w:rFonts w:ascii="Georgia" w:hAnsi="Georgia" w:cstheme="minorHAnsi"/>
          <w:sz w:val="24"/>
          <w:szCs w:val="24"/>
        </w:rPr>
        <w:t xml:space="preserve"> (1789), chapter 1 and 2</w:t>
      </w:r>
    </w:p>
    <w:p w:rsidR="00F90AAE" w:rsidRPr="00A042B2" w:rsidRDefault="00F90AAE" w:rsidP="00F90AAE">
      <w:pPr>
        <w:pStyle w:val="ListParagraph"/>
        <w:numPr>
          <w:ilvl w:val="0"/>
          <w:numId w:val="22"/>
        </w:numPr>
        <w:spacing w:line="360" w:lineRule="auto"/>
        <w:ind w:left="927" w:right="567"/>
        <w:rPr>
          <w:rFonts w:ascii="Georgia" w:hAnsi="Georgia" w:cstheme="minorHAnsi"/>
          <w:sz w:val="24"/>
          <w:szCs w:val="24"/>
        </w:rPr>
      </w:pPr>
      <w:r w:rsidRPr="00A042B2">
        <w:rPr>
          <w:rFonts w:ascii="Georgia" w:hAnsi="Georgia" w:cstheme="minorHAnsi"/>
          <w:sz w:val="24"/>
          <w:szCs w:val="24"/>
        </w:rPr>
        <w:t xml:space="preserve">Mary Prince, </w:t>
      </w:r>
      <w:r w:rsidRPr="00A042B2">
        <w:rPr>
          <w:rFonts w:ascii="Georgia" w:hAnsi="Georgia" w:cstheme="minorHAnsi"/>
          <w:i/>
          <w:sz w:val="24"/>
          <w:szCs w:val="24"/>
        </w:rPr>
        <w:t>The History Of Mary Prince, a West Indian Slave: Related by Herself</w:t>
      </w:r>
      <w:r w:rsidRPr="00A042B2">
        <w:rPr>
          <w:rFonts w:ascii="Georgia" w:hAnsi="Georgia" w:cstheme="minorHAnsi"/>
          <w:sz w:val="24"/>
          <w:szCs w:val="24"/>
        </w:rPr>
        <w:t xml:space="preserve"> (1831)</w:t>
      </w:r>
    </w:p>
    <w:p w:rsidR="00F90AAE" w:rsidRPr="00A042B2" w:rsidRDefault="00F90AAE" w:rsidP="00F90AAE">
      <w:pPr>
        <w:pStyle w:val="ListParagraph"/>
        <w:numPr>
          <w:ilvl w:val="0"/>
          <w:numId w:val="22"/>
        </w:numPr>
        <w:spacing w:line="360" w:lineRule="auto"/>
        <w:ind w:left="927" w:right="567"/>
        <w:rPr>
          <w:rFonts w:ascii="Georgia" w:hAnsi="Georgia" w:cstheme="minorHAnsi"/>
          <w:bCs/>
          <w:i/>
          <w:iCs/>
          <w:sz w:val="24"/>
          <w:szCs w:val="24"/>
        </w:rPr>
      </w:pPr>
      <w:r w:rsidRPr="00A042B2">
        <w:rPr>
          <w:rFonts w:ascii="Georgia" w:hAnsi="Georgia"/>
          <w:sz w:val="24"/>
          <w:szCs w:val="24"/>
        </w:rPr>
        <w:t xml:space="preserve">Frederick Douglass, </w:t>
      </w:r>
      <w:r w:rsidRPr="00A042B2">
        <w:rPr>
          <w:rFonts w:ascii="Georgia" w:hAnsi="Georgia"/>
          <w:i/>
          <w:sz w:val="24"/>
          <w:szCs w:val="24"/>
        </w:rPr>
        <w:t xml:space="preserve">Narrative of the Life of Frederick Douglass, an American Slave </w:t>
      </w:r>
      <w:r w:rsidRPr="00A042B2">
        <w:rPr>
          <w:rFonts w:ascii="Georgia" w:hAnsi="Georgia"/>
          <w:sz w:val="24"/>
          <w:szCs w:val="24"/>
        </w:rPr>
        <w:t>(1845) extracts</w:t>
      </w:r>
    </w:p>
    <w:p w:rsidR="00F90AAE" w:rsidRPr="00A042B2" w:rsidRDefault="00F90AAE" w:rsidP="00F90AAE">
      <w:pPr>
        <w:pStyle w:val="ListParagraph"/>
        <w:numPr>
          <w:ilvl w:val="0"/>
          <w:numId w:val="22"/>
        </w:numPr>
        <w:spacing w:line="360" w:lineRule="auto"/>
        <w:ind w:left="927" w:right="567"/>
        <w:rPr>
          <w:rFonts w:ascii="Georgia" w:hAnsi="Georgia" w:cstheme="minorHAnsi"/>
          <w:sz w:val="24"/>
          <w:szCs w:val="24"/>
        </w:rPr>
      </w:pPr>
      <w:r w:rsidRPr="00A042B2">
        <w:rPr>
          <w:rFonts w:ascii="Georgia" w:hAnsi="Georgia" w:cstheme="minorHAnsi"/>
          <w:bCs/>
          <w:iCs/>
          <w:sz w:val="24"/>
          <w:szCs w:val="24"/>
        </w:rPr>
        <w:t xml:space="preserve">Sojourner Truth, ‘Ain’t I A Woman?’ (1851/1863) </w:t>
      </w:r>
    </w:p>
    <w:p w:rsidR="00F90AAE" w:rsidRPr="00A042B2" w:rsidRDefault="00F90AAE" w:rsidP="00F90AAE">
      <w:pPr>
        <w:pStyle w:val="ListParagraph"/>
        <w:numPr>
          <w:ilvl w:val="0"/>
          <w:numId w:val="22"/>
        </w:numPr>
        <w:spacing w:line="360" w:lineRule="auto"/>
        <w:ind w:left="927" w:right="567"/>
        <w:rPr>
          <w:rFonts w:ascii="Georgia" w:hAnsi="Georgia" w:cstheme="minorHAnsi"/>
          <w:sz w:val="24"/>
          <w:szCs w:val="24"/>
        </w:rPr>
      </w:pPr>
      <w:r w:rsidRPr="00A042B2">
        <w:rPr>
          <w:rFonts w:ascii="Georgia" w:hAnsi="Georgia" w:cstheme="minorHAnsi"/>
          <w:bCs/>
          <w:iCs/>
          <w:sz w:val="24"/>
          <w:szCs w:val="24"/>
        </w:rPr>
        <w:t xml:space="preserve">Harriet Jacobs [Linda Brent], </w:t>
      </w:r>
      <w:r w:rsidRPr="00A042B2">
        <w:rPr>
          <w:rFonts w:ascii="Georgia" w:hAnsi="Georgia" w:cstheme="minorHAnsi"/>
          <w:bCs/>
          <w:i/>
          <w:iCs/>
          <w:sz w:val="24"/>
          <w:szCs w:val="24"/>
        </w:rPr>
        <w:t xml:space="preserve">Incidents in the Life of a Slave Girl, Written by Herself </w:t>
      </w:r>
      <w:r w:rsidRPr="00A042B2">
        <w:rPr>
          <w:rFonts w:ascii="Georgia" w:hAnsi="Georgia" w:cstheme="minorHAnsi"/>
          <w:bCs/>
          <w:iCs/>
          <w:sz w:val="24"/>
          <w:szCs w:val="24"/>
        </w:rPr>
        <w:t>(1861) extracts</w:t>
      </w:r>
      <w:r w:rsidRPr="00A042B2">
        <w:rPr>
          <w:rFonts w:ascii="Georgia" w:hAnsi="Georgia" w:cstheme="minorHAnsi"/>
          <w:sz w:val="24"/>
          <w:szCs w:val="24"/>
        </w:rPr>
        <w:t xml:space="preserve"> </w:t>
      </w:r>
    </w:p>
    <w:p w:rsidR="00F90AAE" w:rsidRPr="00A042B2" w:rsidRDefault="00F90AAE" w:rsidP="00F90AAE">
      <w:pPr>
        <w:pStyle w:val="ListParagraph"/>
        <w:numPr>
          <w:ilvl w:val="0"/>
          <w:numId w:val="22"/>
        </w:numPr>
        <w:spacing w:line="360" w:lineRule="auto"/>
        <w:ind w:left="927" w:right="567"/>
        <w:rPr>
          <w:rFonts w:ascii="Georgia" w:hAnsi="Georgia" w:cstheme="minorHAnsi"/>
          <w:sz w:val="24"/>
          <w:szCs w:val="24"/>
        </w:rPr>
      </w:pPr>
      <w:r w:rsidRPr="00A042B2">
        <w:rPr>
          <w:rFonts w:ascii="Georgia" w:hAnsi="Georgia" w:cstheme="minorHAnsi"/>
          <w:sz w:val="24"/>
          <w:szCs w:val="24"/>
        </w:rPr>
        <w:t>William Wells Brown, ‘Henri Christophe,’ ‘Dessalines,’ ‘Toussaint L'ouverture,’</w:t>
      </w:r>
      <w:r w:rsidRPr="00A042B2">
        <w:rPr>
          <w:rFonts w:ascii="Georgia" w:hAnsi="Georgia"/>
          <w:sz w:val="24"/>
          <w:szCs w:val="24"/>
        </w:rPr>
        <w:t xml:space="preserve"> </w:t>
      </w:r>
      <w:r w:rsidRPr="00A042B2">
        <w:rPr>
          <w:rFonts w:ascii="Georgia" w:hAnsi="Georgia" w:cstheme="minorHAnsi"/>
          <w:sz w:val="24"/>
          <w:szCs w:val="24"/>
        </w:rPr>
        <w:t xml:space="preserve">from </w:t>
      </w:r>
      <w:r w:rsidRPr="00A042B2">
        <w:rPr>
          <w:rFonts w:ascii="Georgia" w:hAnsi="Georgia" w:cstheme="minorHAnsi"/>
          <w:i/>
          <w:sz w:val="24"/>
          <w:szCs w:val="24"/>
        </w:rPr>
        <w:t xml:space="preserve">The Black Man, His Antecedents, His Genius, and His Achievements </w:t>
      </w:r>
      <w:r w:rsidRPr="00A042B2">
        <w:rPr>
          <w:rFonts w:ascii="Georgia" w:hAnsi="Georgia" w:cstheme="minorHAnsi"/>
          <w:sz w:val="24"/>
          <w:szCs w:val="24"/>
        </w:rPr>
        <w:t>(1863)</w:t>
      </w:r>
    </w:p>
    <w:p w:rsidR="00F90AAE" w:rsidRPr="00A042B2" w:rsidRDefault="00F90AAE" w:rsidP="00F90AAE">
      <w:pPr>
        <w:spacing w:line="360" w:lineRule="auto"/>
        <w:ind w:left="927" w:right="567"/>
        <w:rPr>
          <w:rFonts w:ascii="Georgia" w:hAnsi="Georgia" w:cstheme="minorHAnsi"/>
          <w:sz w:val="24"/>
          <w:szCs w:val="24"/>
        </w:rPr>
      </w:pPr>
    </w:p>
    <w:p w:rsidR="00F90AAE" w:rsidRPr="00A042B2" w:rsidRDefault="00F90AAE" w:rsidP="00F90AAE">
      <w:pPr>
        <w:pStyle w:val="ListParagraph"/>
        <w:numPr>
          <w:ilvl w:val="0"/>
          <w:numId w:val="17"/>
        </w:numPr>
        <w:spacing w:after="160" w:line="360" w:lineRule="auto"/>
        <w:ind w:left="927" w:right="567"/>
        <w:rPr>
          <w:rFonts w:ascii="Georgia" w:hAnsi="Georgia" w:cstheme="minorHAnsi"/>
          <w:b/>
          <w:sz w:val="24"/>
          <w:szCs w:val="24"/>
        </w:rPr>
      </w:pPr>
      <w:r w:rsidRPr="00A042B2">
        <w:rPr>
          <w:rFonts w:ascii="Georgia" w:hAnsi="Georgia" w:cstheme="minorHAnsi"/>
          <w:b/>
          <w:sz w:val="24"/>
          <w:szCs w:val="24"/>
        </w:rPr>
        <w:lastRenderedPageBreak/>
        <w:t>One analysis of a  primary source relating to the post-abolition period from the following list:</w:t>
      </w:r>
    </w:p>
    <w:p w:rsidR="00F90AAE" w:rsidRPr="00A042B2" w:rsidRDefault="00F90AAE" w:rsidP="00F90AAE">
      <w:pPr>
        <w:pStyle w:val="ListParagraph"/>
        <w:numPr>
          <w:ilvl w:val="0"/>
          <w:numId w:val="24"/>
        </w:numPr>
        <w:spacing w:line="360" w:lineRule="auto"/>
        <w:ind w:left="927" w:right="567"/>
        <w:rPr>
          <w:rFonts w:ascii="Georgia" w:hAnsi="Georgia" w:cstheme="minorHAnsi"/>
          <w:bCs/>
          <w:iCs/>
          <w:sz w:val="24"/>
          <w:szCs w:val="24"/>
        </w:rPr>
      </w:pPr>
      <w:r w:rsidRPr="00A042B2">
        <w:rPr>
          <w:rFonts w:ascii="Georgia" w:hAnsi="Georgia" w:cstheme="minorHAnsi"/>
          <w:bCs/>
          <w:iCs/>
          <w:sz w:val="24"/>
          <w:szCs w:val="24"/>
        </w:rPr>
        <w:t>Booker T Washington, ‘The Atlanta Exposition Address’ (1895)</w:t>
      </w:r>
    </w:p>
    <w:p w:rsidR="00F90AAE" w:rsidRPr="00A042B2" w:rsidRDefault="00F90AAE" w:rsidP="00F90AAE">
      <w:pPr>
        <w:pStyle w:val="ListParagraph"/>
        <w:numPr>
          <w:ilvl w:val="0"/>
          <w:numId w:val="24"/>
        </w:numPr>
        <w:spacing w:line="360" w:lineRule="auto"/>
        <w:ind w:left="927" w:right="567"/>
        <w:rPr>
          <w:rFonts w:ascii="Georgia" w:hAnsi="Georgia" w:cstheme="minorHAnsi"/>
          <w:sz w:val="24"/>
          <w:szCs w:val="24"/>
        </w:rPr>
      </w:pPr>
      <w:r w:rsidRPr="00A042B2">
        <w:rPr>
          <w:rFonts w:ascii="Georgia" w:hAnsi="Georgia" w:cstheme="minorHAnsi"/>
          <w:bCs/>
          <w:iCs/>
          <w:sz w:val="24"/>
          <w:szCs w:val="24"/>
        </w:rPr>
        <w:t xml:space="preserve">WEB Du Bois, ‘Of Our Spiritual Strivings’ and ‘Of the Sorrow Songs,’ </w:t>
      </w:r>
      <w:r w:rsidRPr="00A042B2">
        <w:rPr>
          <w:rFonts w:ascii="Georgia" w:hAnsi="Georgia" w:cstheme="minorHAnsi"/>
          <w:bCs/>
          <w:i/>
          <w:iCs/>
          <w:sz w:val="24"/>
          <w:szCs w:val="24"/>
        </w:rPr>
        <w:t xml:space="preserve">The Souls of Black Folk </w:t>
      </w:r>
      <w:r w:rsidRPr="00A042B2">
        <w:rPr>
          <w:rFonts w:ascii="Georgia" w:hAnsi="Georgia" w:cstheme="minorHAnsi"/>
          <w:bCs/>
          <w:iCs/>
          <w:sz w:val="24"/>
          <w:szCs w:val="24"/>
        </w:rPr>
        <w:t>(1903)</w:t>
      </w:r>
    </w:p>
    <w:p w:rsidR="00F90AAE" w:rsidRPr="00A042B2" w:rsidRDefault="00F90AAE" w:rsidP="00F90AAE">
      <w:pPr>
        <w:pStyle w:val="ListParagraph"/>
        <w:numPr>
          <w:ilvl w:val="0"/>
          <w:numId w:val="24"/>
        </w:numPr>
        <w:spacing w:line="360" w:lineRule="auto"/>
        <w:ind w:left="927" w:right="567"/>
        <w:rPr>
          <w:rFonts w:ascii="Georgia" w:hAnsi="Georgia" w:cstheme="minorHAnsi"/>
          <w:sz w:val="24"/>
          <w:szCs w:val="24"/>
        </w:rPr>
      </w:pPr>
      <w:r w:rsidRPr="00A042B2">
        <w:rPr>
          <w:rFonts w:ascii="Georgia" w:hAnsi="Georgia" w:cstheme="minorHAnsi"/>
          <w:sz w:val="24"/>
          <w:szCs w:val="24"/>
        </w:rPr>
        <w:t>Zora Neale Hurston, ‘Sweat’ (1926)</w:t>
      </w:r>
    </w:p>
    <w:p w:rsidR="00F90AAE" w:rsidRPr="00A042B2" w:rsidRDefault="00F90AAE" w:rsidP="00F90AAE">
      <w:pPr>
        <w:pStyle w:val="ListParagraph"/>
        <w:numPr>
          <w:ilvl w:val="0"/>
          <w:numId w:val="24"/>
        </w:numPr>
        <w:spacing w:line="360" w:lineRule="auto"/>
        <w:ind w:left="927" w:right="567"/>
        <w:rPr>
          <w:rFonts w:ascii="Georgia" w:hAnsi="Georgia" w:cstheme="minorHAnsi"/>
          <w:sz w:val="24"/>
          <w:szCs w:val="24"/>
        </w:rPr>
      </w:pPr>
      <w:r w:rsidRPr="00A042B2">
        <w:rPr>
          <w:rFonts w:ascii="Georgia" w:hAnsi="Georgia" w:cstheme="minorHAnsi"/>
          <w:bCs/>
          <w:iCs/>
          <w:sz w:val="24"/>
          <w:szCs w:val="24"/>
        </w:rPr>
        <w:t>Langston Hughes, ‘The Negro Artist and the Racial Mountain (1926) and ‘When the Negro Was in Vogue’ (1940)</w:t>
      </w:r>
    </w:p>
    <w:p w:rsidR="00F90AAE" w:rsidRPr="00A042B2" w:rsidRDefault="00F90AAE" w:rsidP="00F90AAE">
      <w:pPr>
        <w:pStyle w:val="Alex"/>
        <w:numPr>
          <w:ilvl w:val="0"/>
          <w:numId w:val="24"/>
        </w:numPr>
        <w:ind w:left="927" w:right="567"/>
        <w:rPr>
          <w:rFonts w:ascii="Georgia" w:hAnsi="Georgia" w:cstheme="minorHAnsi"/>
          <w:sz w:val="24"/>
          <w:szCs w:val="24"/>
        </w:rPr>
      </w:pPr>
      <w:r w:rsidRPr="00A042B2">
        <w:rPr>
          <w:rFonts w:ascii="Georgia" w:hAnsi="Georgia" w:cs="Times New Roman"/>
          <w:sz w:val="24"/>
          <w:szCs w:val="24"/>
        </w:rPr>
        <w:t>Lord Kitchener, ‘London is the Place for Me’ (1950 recording), ‘My Landlady’ (1952), ‘Sweet Jamaica’ (1953)</w:t>
      </w:r>
    </w:p>
    <w:p w:rsidR="00F90AAE" w:rsidRPr="00A042B2" w:rsidRDefault="00F90AAE" w:rsidP="00F90AAE">
      <w:pPr>
        <w:pStyle w:val="Alex"/>
        <w:numPr>
          <w:ilvl w:val="0"/>
          <w:numId w:val="24"/>
        </w:numPr>
        <w:ind w:left="927" w:right="567"/>
        <w:rPr>
          <w:rFonts w:ascii="Georgia" w:hAnsi="Georgia" w:cstheme="minorHAnsi"/>
          <w:sz w:val="24"/>
          <w:szCs w:val="24"/>
        </w:rPr>
      </w:pPr>
      <w:r w:rsidRPr="00A042B2">
        <w:rPr>
          <w:rFonts w:ascii="Georgia" w:hAnsi="Georgia" w:cs="Times New Roman"/>
          <w:sz w:val="24"/>
          <w:szCs w:val="24"/>
        </w:rPr>
        <w:t>Linton Kwesi Johnson, ‘Inglan is a Bitch’ (1980), Sonny’s Lettah (Anti-Sus Poem)’ (1979), ‘Iron Bar Dub’ (1980)</w:t>
      </w:r>
    </w:p>
    <w:p w:rsidR="00F90AAE" w:rsidRPr="00A042B2" w:rsidRDefault="00F90AAE" w:rsidP="00F90AAE">
      <w:pPr>
        <w:pStyle w:val="ListParagraph"/>
        <w:numPr>
          <w:ilvl w:val="0"/>
          <w:numId w:val="24"/>
        </w:numPr>
        <w:spacing w:line="360" w:lineRule="auto"/>
        <w:ind w:left="927" w:right="567"/>
        <w:rPr>
          <w:rFonts w:ascii="Georgia" w:hAnsi="Georgia" w:cstheme="minorHAnsi"/>
          <w:sz w:val="24"/>
          <w:szCs w:val="24"/>
        </w:rPr>
      </w:pPr>
      <w:r w:rsidRPr="00A042B2">
        <w:rPr>
          <w:rFonts w:ascii="Georgia" w:hAnsi="Georgia" w:cstheme="minorHAnsi"/>
          <w:sz w:val="24"/>
          <w:szCs w:val="24"/>
        </w:rPr>
        <w:t xml:space="preserve">Maya Angelou, </w:t>
      </w:r>
      <w:r w:rsidRPr="00A042B2">
        <w:rPr>
          <w:rFonts w:ascii="Georgia" w:hAnsi="Georgia" w:cstheme="minorHAnsi"/>
          <w:i/>
          <w:sz w:val="24"/>
          <w:szCs w:val="24"/>
        </w:rPr>
        <w:t xml:space="preserve">I Know Why the Caged Bird Sings </w:t>
      </w:r>
      <w:r w:rsidRPr="00A042B2">
        <w:rPr>
          <w:rFonts w:ascii="Georgia" w:hAnsi="Georgia" w:cstheme="minorHAnsi"/>
          <w:sz w:val="24"/>
          <w:szCs w:val="24"/>
        </w:rPr>
        <w:t>(1969), chapter 19</w:t>
      </w:r>
    </w:p>
    <w:p w:rsidR="00F90AAE" w:rsidRPr="00A042B2" w:rsidRDefault="00F90AAE" w:rsidP="00F90AAE">
      <w:pPr>
        <w:pStyle w:val="ListParagraph"/>
        <w:numPr>
          <w:ilvl w:val="0"/>
          <w:numId w:val="24"/>
        </w:numPr>
        <w:spacing w:line="360" w:lineRule="auto"/>
        <w:ind w:left="927" w:right="567"/>
        <w:rPr>
          <w:rFonts w:ascii="Georgia" w:hAnsi="Georgia" w:cstheme="minorHAnsi"/>
          <w:sz w:val="24"/>
          <w:szCs w:val="24"/>
        </w:rPr>
      </w:pPr>
      <w:r w:rsidRPr="00A042B2">
        <w:rPr>
          <w:rFonts w:ascii="Georgia" w:hAnsi="Georgia" w:cstheme="minorHAnsi"/>
          <w:sz w:val="24"/>
          <w:szCs w:val="24"/>
        </w:rPr>
        <w:t>Lord Beginner, ‘Victory Test Match’ (1950)</w:t>
      </w:r>
    </w:p>
    <w:p w:rsidR="00F90AAE" w:rsidRPr="00A042B2" w:rsidRDefault="00F90AAE" w:rsidP="00F90AAE">
      <w:pPr>
        <w:spacing w:line="360" w:lineRule="auto"/>
        <w:ind w:left="567" w:right="567"/>
        <w:rPr>
          <w:rFonts w:ascii="Georgia" w:hAnsi="Georgia" w:cstheme="minorHAnsi"/>
          <w:b/>
          <w:sz w:val="24"/>
          <w:szCs w:val="24"/>
        </w:rPr>
      </w:pPr>
    </w:p>
    <w:p w:rsidR="00F90AAE" w:rsidRPr="00A042B2" w:rsidRDefault="00F90AAE" w:rsidP="00F90AAE">
      <w:pPr>
        <w:spacing w:line="360" w:lineRule="auto"/>
        <w:ind w:left="567" w:right="567"/>
        <w:rPr>
          <w:rFonts w:ascii="Georgia" w:hAnsi="Georgia" w:cstheme="minorHAnsi"/>
          <w:i/>
          <w:sz w:val="24"/>
          <w:szCs w:val="24"/>
        </w:rPr>
      </w:pPr>
      <w:r w:rsidRPr="00A042B2">
        <w:rPr>
          <w:rFonts w:ascii="Georgia" w:hAnsi="Georgia" w:cstheme="minorHAnsi"/>
          <w:i/>
          <w:sz w:val="24"/>
          <w:szCs w:val="24"/>
        </w:rPr>
        <w:t>Having chosen their source, students should answer the following key questions:</w:t>
      </w:r>
    </w:p>
    <w:p w:rsidR="00F90AAE" w:rsidRPr="00A042B2" w:rsidRDefault="00F90AAE" w:rsidP="00F90AAE">
      <w:pPr>
        <w:spacing w:line="360" w:lineRule="auto"/>
        <w:ind w:left="567" w:right="567"/>
        <w:rPr>
          <w:rFonts w:ascii="Georgia" w:hAnsi="Georgia" w:cstheme="minorHAnsi"/>
          <w:b/>
          <w:sz w:val="24"/>
          <w:szCs w:val="24"/>
        </w:rPr>
      </w:pPr>
    </w:p>
    <w:p w:rsidR="00F90AAE" w:rsidRPr="00A042B2" w:rsidRDefault="00F90AAE" w:rsidP="00F90AAE">
      <w:pPr>
        <w:spacing w:line="360" w:lineRule="auto"/>
        <w:ind w:left="567" w:right="567"/>
        <w:rPr>
          <w:rFonts w:ascii="Georgia" w:hAnsi="Georgia" w:cstheme="minorHAnsi"/>
          <w:b/>
          <w:sz w:val="24"/>
          <w:szCs w:val="24"/>
        </w:rPr>
      </w:pPr>
      <w:r w:rsidRPr="00A042B2">
        <w:rPr>
          <w:rFonts w:ascii="Georgia" w:hAnsi="Georgia" w:cstheme="minorHAnsi"/>
          <w:b/>
          <w:sz w:val="24"/>
          <w:szCs w:val="24"/>
        </w:rPr>
        <w:t>Secondary source:</w:t>
      </w:r>
    </w:p>
    <w:p w:rsidR="00F90AAE" w:rsidRPr="00A042B2" w:rsidRDefault="00F90AAE" w:rsidP="00F90AAE">
      <w:pPr>
        <w:pStyle w:val="ListParagraph"/>
        <w:numPr>
          <w:ilvl w:val="0"/>
          <w:numId w:val="19"/>
        </w:numPr>
        <w:spacing w:line="360" w:lineRule="auto"/>
        <w:ind w:left="927" w:right="567"/>
        <w:jc w:val="both"/>
        <w:rPr>
          <w:rFonts w:ascii="Georgia" w:hAnsi="Georgia" w:cstheme="minorHAnsi"/>
          <w:b/>
          <w:sz w:val="24"/>
          <w:szCs w:val="24"/>
        </w:rPr>
      </w:pPr>
      <w:r w:rsidRPr="00A042B2">
        <w:rPr>
          <w:rFonts w:ascii="Georgia" w:hAnsi="Georgia" w:cstheme="minorHAnsi"/>
          <w:b/>
          <w:sz w:val="24"/>
          <w:szCs w:val="24"/>
        </w:rPr>
        <w:t>What does Paul Gilroy identify as the defining characteristics of ‘the Black Atlantic’? And why does Gilroy place importance of ships in his analysis?</w:t>
      </w:r>
    </w:p>
    <w:p w:rsidR="00F90AAE" w:rsidRPr="00A042B2" w:rsidRDefault="00F90AAE" w:rsidP="00F90AAE">
      <w:pPr>
        <w:pStyle w:val="ListParagraph"/>
        <w:spacing w:line="360" w:lineRule="auto"/>
        <w:ind w:left="927" w:right="567"/>
        <w:jc w:val="right"/>
        <w:rPr>
          <w:rFonts w:ascii="Georgia" w:hAnsi="Georgia" w:cstheme="minorHAnsi"/>
          <w:b/>
          <w:i/>
          <w:sz w:val="24"/>
          <w:szCs w:val="24"/>
        </w:rPr>
      </w:pPr>
      <w:r w:rsidRPr="00A042B2">
        <w:rPr>
          <w:rFonts w:ascii="Georgia" w:hAnsi="Georgia" w:cstheme="minorHAnsi"/>
          <w:b/>
          <w:i/>
          <w:sz w:val="24"/>
          <w:szCs w:val="24"/>
        </w:rPr>
        <w:t>Level 6 students’ answers should also comment on why Gilroy thinks the concept of the Black Atlantic helps ‘transcend … national particularity.’</w:t>
      </w:r>
    </w:p>
    <w:p w:rsidR="00F90AAE" w:rsidRPr="00A042B2" w:rsidRDefault="00F90AAE" w:rsidP="00F90AAE">
      <w:pPr>
        <w:spacing w:line="360" w:lineRule="auto"/>
        <w:ind w:left="927" w:right="567"/>
        <w:rPr>
          <w:rFonts w:ascii="Georgia" w:hAnsi="Georgia" w:cstheme="minorHAnsi"/>
          <w:b/>
          <w:sz w:val="24"/>
          <w:szCs w:val="24"/>
        </w:rPr>
      </w:pPr>
    </w:p>
    <w:p w:rsidR="00F90AAE" w:rsidRPr="00A042B2" w:rsidRDefault="00F90AAE" w:rsidP="00F90AAE">
      <w:pPr>
        <w:spacing w:line="360" w:lineRule="auto"/>
        <w:ind w:left="927" w:right="567"/>
        <w:rPr>
          <w:rFonts w:ascii="Georgia" w:hAnsi="Georgia" w:cstheme="minorHAnsi"/>
          <w:b/>
          <w:sz w:val="24"/>
          <w:szCs w:val="24"/>
        </w:rPr>
      </w:pPr>
      <w:r w:rsidRPr="00A042B2">
        <w:rPr>
          <w:rFonts w:ascii="Georgia" w:hAnsi="Georgia" w:cstheme="minorHAnsi"/>
          <w:b/>
          <w:sz w:val="24"/>
          <w:szCs w:val="24"/>
        </w:rPr>
        <w:t>Pre-1865 primary sources:</w:t>
      </w:r>
    </w:p>
    <w:p w:rsidR="00F90AAE" w:rsidRPr="00A042B2" w:rsidRDefault="00F90AAE" w:rsidP="00F90AAE">
      <w:pPr>
        <w:pStyle w:val="ListParagraph"/>
        <w:numPr>
          <w:ilvl w:val="0"/>
          <w:numId w:val="19"/>
        </w:numPr>
        <w:spacing w:after="160" w:line="360" w:lineRule="auto"/>
        <w:ind w:left="927" w:right="567"/>
        <w:jc w:val="both"/>
        <w:rPr>
          <w:rFonts w:ascii="Georgia" w:hAnsi="Georgia" w:cstheme="minorHAnsi"/>
          <w:b/>
          <w:sz w:val="24"/>
          <w:szCs w:val="24"/>
        </w:rPr>
      </w:pPr>
      <w:r w:rsidRPr="00A042B2">
        <w:rPr>
          <w:rFonts w:ascii="Georgia" w:hAnsi="Georgia" w:cstheme="minorHAnsi"/>
          <w:b/>
          <w:sz w:val="24"/>
          <w:szCs w:val="24"/>
        </w:rPr>
        <w:t xml:space="preserve">What insights does your chosen source offer regarding the history of slavery and abolition? </w:t>
      </w:r>
    </w:p>
    <w:p w:rsidR="00F90AAE" w:rsidRPr="00A042B2" w:rsidRDefault="00F90AAE" w:rsidP="00F90AAE">
      <w:pPr>
        <w:pStyle w:val="ListParagraph"/>
        <w:spacing w:line="360" w:lineRule="auto"/>
        <w:ind w:left="927" w:right="567"/>
        <w:jc w:val="right"/>
        <w:rPr>
          <w:rFonts w:ascii="Georgia" w:hAnsi="Georgia" w:cstheme="minorHAnsi"/>
          <w:b/>
          <w:i/>
          <w:sz w:val="24"/>
          <w:szCs w:val="24"/>
        </w:rPr>
      </w:pPr>
      <w:r w:rsidRPr="00A042B2">
        <w:rPr>
          <w:rFonts w:ascii="Georgia" w:hAnsi="Georgia" w:cstheme="minorHAnsi"/>
          <w:b/>
          <w:i/>
          <w:sz w:val="24"/>
          <w:szCs w:val="24"/>
        </w:rPr>
        <w:t>Level 6 students’ answers should also comment on the importance of the gender of their chosen author.</w:t>
      </w:r>
    </w:p>
    <w:p w:rsidR="00F90AAE" w:rsidRPr="00A042B2" w:rsidRDefault="00F90AAE" w:rsidP="00F90AAE">
      <w:pPr>
        <w:pStyle w:val="ListParagraph"/>
        <w:spacing w:line="360" w:lineRule="auto"/>
        <w:ind w:left="567" w:right="567"/>
        <w:rPr>
          <w:rFonts w:ascii="Georgia" w:hAnsi="Georgia" w:cstheme="minorHAnsi"/>
          <w:bCs/>
          <w:i/>
          <w:iCs/>
          <w:sz w:val="24"/>
          <w:szCs w:val="24"/>
        </w:rPr>
      </w:pPr>
    </w:p>
    <w:p w:rsidR="00F90AAE" w:rsidRPr="00A042B2" w:rsidRDefault="00F90AAE" w:rsidP="00F90AAE">
      <w:pPr>
        <w:spacing w:line="360" w:lineRule="auto"/>
        <w:ind w:left="567" w:right="567"/>
        <w:rPr>
          <w:rFonts w:ascii="Georgia" w:hAnsi="Georgia" w:cstheme="minorHAnsi"/>
          <w:b/>
          <w:sz w:val="24"/>
          <w:szCs w:val="24"/>
        </w:rPr>
      </w:pPr>
      <w:r w:rsidRPr="00A042B2">
        <w:rPr>
          <w:rFonts w:ascii="Georgia" w:hAnsi="Georgia" w:cstheme="minorHAnsi"/>
          <w:b/>
          <w:sz w:val="24"/>
          <w:szCs w:val="24"/>
        </w:rPr>
        <w:t>Post-abolition primary sources:</w:t>
      </w:r>
    </w:p>
    <w:p w:rsidR="00F90AAE" w:rsidRPr="00A042B2" w:rsidRDefault="00F90AAE" w:rsidP="00F90AAE">
      <w:pPr>
        <w:spacing w:line="360" w:lineRule="auto"/>
        <w:ind w:left="567" w:right="567"/>
        <w:rPr>
          <w:rFonts w:ascii="Georgia" w:hAnsi="Georgia" w:cstheme="minorHAnsi"/>
          <w:b/>
          <w:i/>
          <w:sz w:val="24"/>
          <w:szCs w:val="24"/>
        </w:rPr>
      </w:pPr>
      <w:r w:rsidRPr="00A042B2">
        <w:rPr>
          <w:rFonts w:ascii="Georgia" w:hAnsi="Georgia" w:cstheme="minorHAnsi"/>
          <w:b/>
          <w:i/>
          <w:sz w:val="24"/>
          <w:szCs w:val="24"/>
        </w:rPr>
        <w:t>ANWSER THE QUESTION THAT CORRESPONDS TO THE CHOSEN SOURCE</w:t>
      </w:r>
    </w:p>
    <w:p w:rsidR="00F90AAE" w:rsidRPr="00A042B2" w:rsidRDefault="00F90AAE" w:rsidP="00F90AAE">
      <w:pPr>
        <w:pStyle w:val="ListParagraph"/>
        <w:numPr>
          <w:ilvl w:val="0"/>
          <w:numId w:val="20"/>
        </w:numPr>
        <w:spacing w:after="160" w:line="360" w:lineRule="auto"/>
        <w:ind w:left="927" w:right="567"/>
        <w:jc w:val="both"/>
        <w:rPr>
          <w:rFonts w:ascii="Georgia" w:hAnsi="Georgia" w:cstheme="minorHAnsi"/>
          <w:b/>
          <w:sz w:val="24"/>
          <w:szCs w:val="24"/>
        </w:rPr>
      </w:pPr>
      <w:r w:rsidRPr="00A042B2">
        <w:rPr>
          <w:rFonts w:ascii="Georgia" w:hAnsi="Georgia" w:cstheme="minorHAnsi"/>
          <w:b/>
          <w:sz w:val="24"/>
          <w:szCs w:val="24"/>
        </w:rPr>
        <w:t>What insights might the chosen extract(s) offer regarding the different approaches towards African American civil rights in the post-Reconstruction era?</w:t>
      </w:r>
    </w:p>
    <w:p w:rsidR="00F90AAE" w:rsidRPr="00A042B2" w:rsidRDefault="00F90AAE" w:rsidP="00F90AAE">
      <w:pPr>
        <w:pStyle w:val="ListParagraph"/>
        <w:numPr>
          <w:ilvl w:val="0"/>
          <w:numId w:val="25"/>
        </w:numPr>
        <w:spacing w:line="360" w:lineRule="auto"/>
        <w:ind w:left="927" w:right="567"/>
        <w:rPr>
          <w:rFonts w:ascii="Georgia" w:hAnsi="Georgia" w:cstheme="minorHAnsi"/>
          <w:bCs/>
          <w:iCs/>
          <w:sz w:val="24"/>
          <w:szCs w:val="24"/>
        </w:rPr>
      </w:pPr>
      <w:r w:rsidRPr="00A042B2">
        <w:rPr>
          <w:rFonts w:ascii="Georgia" w:hAnsi="Georgia" w:cstheme="minorHAnsi"/>
          <w:bCs/>
          <w:iCs/>
          <w:sz w:val="24"/>
          <w:szCs w:val="24"/>
        </w:rPr>
        <w:t>Booker T Washington, ‘The Atlanta Exposition Address’ (1895)</w:t>
      </w:r>
    </w:p>
    <w:p w:rsidR="00F90AAE" w:rsidRPr="00A042B2" w:rsidRDefault="00F90AAE" w:rsidP="00F90AAE">
      <w:pPr>
        <w:pStyle w:val="ListParagraph"/>
        <w:numPr>
          <w:ilvl w:val="0"/>
          <w:numId w:val="25"/>
        </w:numPr>
        <w:spacing w:line="360" w:lineRule="auto"/>
        <w:ind w:left="927" w:right="567"/>
        <w:rPr>
          <w:rFonts w:ascii="Georgia" w:hAnsi="Georgia" w:cstheme="minorHAnsi"/>
          <w:sz w:val="24"/>
          <w:szCs w:val="24"/>
        </w:rPr>
      </w:pPr>
      <w:r w:rsidRPr="00A042B2">
        <w:rPr>
          <w:rFonts w:ascii="Georgia" w:hAnsi="Georgia" w:cstheme="minorHAnsi"/>
          <w:bCs/>
          <w:iCs/>
          <w:sz w:val="24"/>
          <w:szCs w:val="24"/>
        </w:rPr>
        <w:lastRenderedPageBreak/>
        <w:t xml:space="preserve">WEB Du Bois, ‘Of Our Spiritual Strivings’ and ‘Of the Sorrow Songs,’ </w:t>
      </w:r>
      <w:r w:rsidRPr="00A042B2">
        <w:rPr>
          <w:rFonts w:ascii="Georgia" w:hAnsi="Georgia" w:cstheme="minorHAnsi"/>
          <w:bCs/>
          <w:i/>
          <w:iCs/>
          <w:sz w:val="24"/>
          <w:szCs w:val="24"/>
        </w:rPr>
        <w:t xml:space="preserve">The Souls of Black Folk </w:t>
      </w:r>
      <w:r w:rsidRPr="00A042B2">
        <w:rPr>
          <w:rFonts w:ascii="Georgia" w:hAnsi="Georgia" w:cstheme="minorHAnsi"/>
          <w:bCs/>
          <w:iCs/>
          <w:sz w:val="24"/>
          <w:szCs w:val="24"/>
        </w:rPr>
        <w:t>(1903)</w:t>
      </w:r>
    </w:p>
    <w:p w:rsidR="00F90AAE" w:rsidRPr="00A042B2" w:rsidRDefault="00F90AAE" w:rsidP="00F90AAE">
      <w:pPr>
        <w:spacing w:line="360" w:lineRule="auto"/>
        <w:ind w:left="927" w:right="567"/>
        <w:rPr>
          <w:rFonts w:ascii="Georgia" w:hAnsi="Georgia" w:cstheme="minorHAnsi"/>
          <w:b/>
          <w:sz w:val="24"/>
          <w:szCs w:val="24"/>
        </w:rPr>
      </w:pPr>
    </w:p>
    <w:p w:rsidR="00F90AAE" w:rsidRPr="00A042B2" w:rsidRDefault="00F90AAE" w:rsidP="00F90AAE">
      <w:pPr>
        <w:pStyle w:val="ListParagraph"/>
        <w:numPr>
          <w:ilvl w:val="0"/>
          <w:numId w:val="18"/>
        </w:numPr>
        <w:spacing w:after="160" w:line="360" w:lineRule="auto"/>
        <w:ind w:left="927" w:right="567"/>
        <w:rPr>
          <w:rFonts w:ascii="Georgia" w:hAnsi="Georgia" w:cstheme="minorHAnsi"/>
          <w:b/>
          <w:sz w:val="24"/>
          <w:szCs w:val="24"/>
        </w:rPr>
      </w:pPr>
      <w:r w:rsidRPr="00A042B2">
        <w:rPr>
          <w:rFonts w:ascii="Georgia" w:hAnsi="Georgia" w:cstheme="minorHAnsi"/>
          <w:b/>
          <w:sz w:val="24"/>
          <w:szCs w:val="24"/>
        </w:rPr>
        <w:t>What insights might the chosen extract(s) offer regarding the literature and culture of the Harlem Renaissance?</w:t>
      </w:r>
    </w:p>
    <w:p w:rsidR="00F90AAE" w:rsidRPr="00A042B2" w:rsidRDefault="00F90AAE" w:rsidP="00F90AAE">
      <w:pPr>
        <w:pStyle w:val="ListParagraph"/>
        <w:numPr>
          <w:ilvl w:val="0"/>
          <w:numId w:val="26"/>
        </w:numPr>
        <w:spacing w:line="360" w:lineRule="auto"/>
        <w:ind w:left="927" w:right="567"/>
        <w:rPr>
          <w:rFonts w:ascii="Georgia" w:hAnsi="Georgia" w:cstheme="minorHAnsi"/>
          <w:sz w:val="24"/>
          <w:szCs w:val="24"/>
        </w:rPr>
      </w:pPr>
      <w:r w:rsidRPr="00A042B2">
        <w:rPr>
          <w:rFonts w:ascii="Georgia" w:hAnsi="Georgia" w:cstheme="minorHAnsi"/>
          <w:sz w:val="24"/>
          <w:szCs w:val="24"/>
        </w:rPr>
        <w:t>Zora Neale Hurston, ‘Sweat’ (1926)</w:t>
      </w:r>
    </w:p>
    <w:p w:rsidR="00F90AAE" w:rsidRPr="00A042B2" w:rsidRDefault="00F90AAE" w:rsidP="00F90AAE">
      <w:pPr>
        <w:pStyle w:val="ListParagraph"/>
        <w:numPr>
          <w:ilvl w:val="0"/>
          <w:numId w:val="26"/>
        </w:numPr>
        <w:spacing w:line="360" w:lineRule="auto"/>
        <w:ind w:left="927" w:right="567"/>
        <w:rPr>
          <w:rFonts w:ascii="Georgia" w:hAnsi="Georgia" w:cstheme="minorHAnsi"/>
          <w:sz w:val="24"/>
          <w:szCs w:val="24"/>
        </w:rPr>
      </w:pPr>
      <w:r w:rsidRPr="00A042B2">
        <w:rPr>
          <w:rFonts w:ascii="Georgia" w:hAnsi="Georgia" w:cstheme="minorHAnsi"/>
          <w:bCs/>
          <w:iCs/>
          <w:sz w:val="24"/>
          <w:szCs w:val="24"/>
        </w:rPr>
        <w:t>Langston Hughes, ‘The Negro Artist and the Racial Mountain (1926) and ‘When the Negro Was in Vogue’ (1940)</w:t>
      </w:r>
    </w:p>
    <w:p w:rsidR="00F90AAE" w:rsidRPr="00A042B2" w:rsidRDefault="00F90AAE" w:rsidP="00F90AAE">
      <w:pPr>
        <w:spacing w:line="360" w:lineRule="auto"/>
        <w:ind w:left="927" w:right="567"/>
        <w:rPr>
          <w:rFonts w:ascii="Georgia" w:hAnsi="Georgia" w:cstheme="minorHAnsi"/>
          <w:sz w:val="24"/>
          <w:szCs w:val="24"/>
        </w:rPr>
      </w:pPr>
    </w:p>
    <w:p w:rsidR="00F90AAE" w:rsidRPr="00A042B2" w:rsidRDefault="00F90AAE" w:rsidP="00F90AAE">
      <w:pPr>
        <w:pStyle w:val="Alex"/>
        <w:numPr>
          <w:ilvl w:val="0"/>
          <w:numId w:val="18"/>
        </w:numPr>
        <w:ind w:left="927" w:right="567"/>
        <w:rPr>
          <w:rFonts w:ascii="Georgia" w:hAnsi="Georgia" w:cstheme="minorHAnsi"/>
          <w:sz w:val="24"/>
          <w:szCs w:val="24"/>
        </w:rPr>
      </w:pPr>
      <w:r w:rsidRPr="00A042B2">
        <w:rPr>
          <w:rFonts w:ascii="Georgia" w:hAnsi="Georgia" w:cstheme="minorHAnsi"/>
          <w:b/>
          <w:sz w:val="24"/>
          <w:szCs w:val="24"/>
        </w:rPr>
        <w:t>What insights might the chosen songs offer regarding the experiences of black Britons in the post-World War Two era?</w:t>
      </w:r>
    </w:p>
    <w:p w:rsidR="00F90AAE" w:rsidRPr="00A042B2" w:rsidRDefault="00F90AAE" w:rsidP="00F90AAE">
      <w:pPr>
        <w:pStyle w:val="Alex"/>
        <w:numPr>
          <w:ilvl w:val="0"/>
          <w:numId w:val="27"/>
        </w:numPr>
        <w:ind w:left="927" w:right="567"/>
        <w:rPr>
          <w:rFonts w:ascii="Georgia" w:hAnsi="Georgia" w:cstheme="minorHAnsi"/>
          <w:sz w:val="24"/>
          <w:szCs w:val="24"/>
        </w:rPr>
      </w:pPr>
      <w:r w:rsidRPr="00A042B2">
        <w:rPr>
          <w:rFonts w:ascii="Georgia" w:hAnsi="Georgia" w:cs="Times New Roman"/>
          <w:sz w:val="24"/>
          <w:szCs w:val="24"/>
        </w:rPr>
        <w:t>Lord Kitchener, ‘London is the Place for Me’ (1950 recording), ‘My Landlady’ (1952), ‘Sweet Jamaica’ (1953)</w:t>
      </w:r>
    </w:p>
    <w:p w:rsidR="00F90AAE" w:rsidRPr="00A042B2" w:rsidRDefault="00F90AAE" w:rsidP="00F90AAE">
      <w:pPr>
        <w:pStyle w:val="Alex"/>
        <w:numPr>
          <w:ilvl w:val="0"/>
          <w:numId w:val="27"/>
        </w:numPr>
        <w:ind w:left="927" w:right="567"/>
        <w:rPr>
          <w:rFonts w:ascii="Georgia" w:hAnsi="Georgia" w:cstheme="minorHAnsi"/>
          <w:sz w:val="24"/>
          <w:szCs w:val="24"/>
        </w:rPr>
      </w:pPr>
      <w:r w:rsidRPr="00A042B2">
        <w:rPr>
          <w:rFonts w:ascii="Georgia" w:hAnsi="Georgia" w:cs="Times New Roman"/>
          <w:sz w:val="24"/>
          <w:szCs w:val="24"/>
        </w:rPr>
        <w:t>Linton Kwesi Johnson, ‘Inglan is a Bitch’ (1980), Sonny’s Lettah (Anti-Sus Poem)’ (1979), ‘Iron Bar Dub’ (1980)</w:t>
      </w:r>
    </w:p>
    <w:p w:rsidR="00F90AAE" w:rsidRPr="00A042B2" w:rsidRDefault="00F90AAE" w:rsidP="00F90AAE">
      <w:pPr>
        <w:spacing w:line="360" w:lineRule="auto"/>
        <w:ind w:left="927" w:right="567"/>
        <w:rPr>
          <w:rFonts w:ascii="Georgia" w:hAnsi="Georgia" w:cstheme="minorHAnsi"/>
          <w:sz w:val="24"/>
          <w:szCs w:val="24"/>
        </w:rPr>
      </w:pPr>
    </w:p>
    <w:p w:rsidR="00F90AAE" w:rsidRPr="00A042B2" w:rsidRDefault="00F90AAE" w:rsidP="00F90AAE">
      <w:pPr>
        <w:pStyle w:val="ListParagraph"/>
        <w:numPr>
          <w:ilvl w:val="0"/>
          <w:numId w:val="18"/>
        </w:numPr>
        <w:spacing w:after="160" w:line="360" w:lineRule="auto"/>
        <w:ind w:left="927" w:right="567"/>
        <w:rPr>
          <w:rFonts w:ascii="Georgia" w:hAnsi="Georgia" w:cstheme="minorHAnsi"/>
          <w:sz w:val="24"/>
          <w:szCs w:val="24"/>
        </w:rPr>
      </w:pPr>
      <w:r w:rsidRPr="00A042B2">
        <w:rPr>
          <w:rFonts w:ascii="Georgia" w:hAnsi="Georgia" w:cstheme="minorHAnsi"/>
          <w:b/>
          <w:sz w:val="24"/>
          <w:szCs w:val="24"/>
        </w:rPr>
        <w:t>What insights might the chosen extract/song offer regarding the importance of sport in black British/African American history and culture?</w:t>
      </w:r>
    </w:p>
    <w:p w:rsidR="00F90AAE" w:rsidRPr="00A042B2" w:rsidRDefault="00F90AAE" w:rsidP="00F90AAE">
      <w:pPr>
        <w:pStyle w:val="ListParagraph"/>
        <w:numPr>
          <w:ilvl w:val="0"/>
          <w:numId w:val="28"/>
        </w:numPr>
        <w:spacing w:line="360" w:lineRule="auto"/>
        <w:ind w:left="927" w:right="567"/>
        <w:rPr>
          <w:rFonts w:ascii="Georgia" w:hAnsi="Georgia" w:cstheme="minorHAnsi"/>
          <w:sz w:val="24"/>
          <w:szCs w:val="24"/>
        </w:rPr>
      </w:pPr>
      <w:r w:rsidRPr="00A042B2">
        <w:rPr>
          <w:rFonts w:ascii="Georgia" w:hAnsi="Georgia" w:cstheme="minorHAnsi"/>
          <w:sz w:val="24"/>
          <w:szCs w:val="24"/>
        </w:rPr>
        <w:t xml:space="preserve">Maya Angelou, </w:t>
      </w:r>
      <w:r w:rsidRPr="00A042B2">
        <w:rPr>
          <w:rFonts w:ascii="Georgia" w:hAnsi="Georgia" w:cstheme="minorHAnsi"/>
          <w:i/>
          <w:sz w:val="24"/>
          <w:szCs w:val="24"/>
        </w:rPr>
        <w:t xml:space="preserve">I Know Why the Caged Bird Sings </w:t>
      </w:r>
      <w:r w:rsidRPr="00A042B2">
        <w:rPr>
          <w:rFonts w:ascii="Georgia" w:hAnsi="Georgia" w:cstheme="minorHAnsi"/>
          <w:sz w:val="24"/>
          <w:szCs w:val="24"/>
        </w:rPr>
        <w:t>(1969), chapter 19</w:t>
      </w:r>
    </w:p>
    <w:p w:rsidR="00F90AAE" w:rsidRDefault="00F90AAE" w:rsidP="00F90AAE">
      <w:pPr>
        <w:pStyle w:val="ListParagraph"/>
        <w:numPr>
          <w:ilvl w:val="0"/>
          <w:numId w:val="28"/>
        </w:numPr>
        <w:spacing w:line="360" w:lineRule="auto"/>
        <w:ind w:left="927" w:right="567"/>
        <w:rPr>
          <w:rFonts w:ascii="Georgia" w:hAnsi="Georgia" w:cstheme="minorHAnsi"/>
          <w:sz w:val="24"/>
          <w:szCs w:val="24"/>
        </w:rPr>
      </w:pPr>
      <w:r w:rsidRPr="00A042B2">
        <w:rPr>
          <w:rFonts w:ascii="Georgia" w:hAnsi="Georgia" w:cstheme="minorHAnsi"/>
          <w:sz w:val="24"/>
          <w:szCs w:val="24"/>
        </w:rPr>
        <w:t>Lord Beginner, ‘Victory Test Match’ (1950)</w:t>
      </w:r>
    </w:p>
    <w:p w:rsidR="00F90AAE" w:rsidRPr="00A042B2" w:rsidRDefault="00F90AAE" w:rsidP="00F90AAE">
      <w:pPr>
        <w:spacing w:line="360" w:lineRule="auto"/>
        <w:ind w:right="567"/>
        <w:rPr>
          <w:rFonts w:ascii="Georgia" w:hAnsi="Georgia" w:cstheme="minorHAnsi"/>
          <w:i/>
          <w:sz w:val="24"/>
          <w:szCs w:val="24"/>
        </w:rPr>
      </w:pPr>
    </w:p>
    <w:p w:rsidR="00F90AAE" w:rsidRPr="00A406E5" w:rsidRDefault="00F90AAE" w:rsidP="00F90AAE">
      <w:pPr>
        <w:ind w:left="567" w:right="567"/>
        <w:rPr>
          <w:rFonts w:ascii="Arial" w:hAnsi="Arial" w:cs="Arial"/>
          <w:sz w:val="24"/>
          <w:szCs w:val="24"/>
        </w:rPr>
      </w:pPr>
    </w:p>
    <w:p w:rsidR="00F90AAE" w:rsidRPr="00A406E5" w:rsidRDefault="00F90AAE" w:rsidP="00F90AAE">
      <w:pPr>
        <w:ind w:left="567" w:right="567"/>
        <w:rPr>
          <w:rFonts w:ascii="Arial" w:hAnsi="Arial" w:cs="Arial"/>
          <w:sz w:val="24"/>
          <w:szCs w:val="24"/>
        </w:rPr>
      </w:pPr>
    </w:p>
    <w:p w:rsidR="00F90AAE" w:rsidRPr="00A042B2" w:rsidRDefault="00F90AAE" w:rsidP="00F90AAE">
      <w:pPr>
        <w:ind w:left="567" w:right="567"/>
        <w:rPr>
          <w:rFonts w:ascii="Arial" w:hAnsi="Arial" w:cs="Arial"/>
          <w:i/>
          <w:sz w:val="24"/>
          <w:szCs w:val="24"/>
        </w:rPr>
      </w:pPr>
    </w:p>
    <w:p w:rsidR="00F90AAE" w:rsidRPr="00A406E5" w:rsidRDefault="00F90AAE" w:rsidP="00F90AAE">
      <w:pPr>
        <w:ind w:left="567" w:right="567"/>
        <w:rPr>
          <w:rFonts w:ascii="Arial" w:hAnsi="Arial" w:cs="Arial"/>
          <w:sz w:val="24"/>
          <w:szCs w:val="24"/>
        </w:rPr>
      </w:pPr>
    </w:p>
    <w:p w:rsidR="00F90AAE" w:rsidRPr="00A406E5" w:rsidRDefault="00F90AAE" w:rsidP="00F90AAE">
      <w:pPr>
        <w:ind w:left="567" w:right="567"/>
        <w:rPr>
          <w:rFonts w:ascii="Arial" w:hAnsi="Arial" w:cs="Arial"/>
          <w:sz w:val="24"/>
          <w:szCs w:val="24"/>
        </w:rPr>
      </w:pPr>
    </w:p>
    <w:p w:rsidR="00F90AAE" w:rsidRPr="00A406E5" w:rsidRDefault="00F90AAE" w:rsidP="00F90AAE">
      <w:pPr>
        <w:ind w:left="567" w:right="567"/>
        <w:rPr>
          <w:rFonts w:ascii="Arial" w:hAnsi="Arial" w:cs="Arial"/>
          <w:sz w:val="24"/>
          <w:szCs w:val="24"/>
        </w:rPr>
      </w:pPr>
    </w:p>
    <w:p w:rsidR="00F90AAE" w:rsidRPr="00A406E5" w:rsidRDefault="00F90AAE" w:rsidP="00F90AAE">
      <w:pPr>
        <w:ind w:left="720"/>
        <w:rPr>
          <w:rFonts w:ascii="Arial" w:hAnsi="Arial" w:cs="Arial"/>
          <w:sz w:val="24"/>
          <w:szCs w:val="24"/>
        </w:rPr>
      </w:pPr>
    </w:p>
    <w:p w:rsidR="00F90AAE" w:rsidRPr="00A406E5" w:rsidRDefault="00F90AAE" w:rsidP="00F90AAE">
      <w:pPr>
        <w:ind w:left="720"/>
        <w:rPr>
          <w:rFonts w:ascii="Arial" w:hAnsi="Arial" w:cs="Arial"/>
          <w:sz w:val="24"/>
          <w:szCs w:val="24"/>
        </w:rPr>
      </w:pPr>
    </w:p>
    <w:p w:rsidR="00F90AAE" w:rsidRPr="00A406E5" w:rsidRDefault="00F90AAE" w:rsidP="00F90AAE">
      <w:pPr>
        <w:ind w:left="720"/>
        <w:rPr>
          <w:rFonts w:ascii="Arial" w:hAnsi="Arial" w:cs="Arial"/>
          <w:sz w:val="24"/>
          <w:szCs w:val="24"/>
        </w:rPr>
      </w:pPr>
    </w:p>
    <w:p w:rsidR="00F90AAE" w:rsidRPr="00A406E5" w:rsidRDefault="00F90AAE" w:rsidP="00F90AAE">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F90AAE" w:rsidRPr="00A406E5" w:rsidRDefault="00F90AA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w:t>
      </w:r>
      <w:r w:rsidR="00D22D9C" w:rsidRPr="00A406E5">
        <w:rPr>
          <w:rFonts w:ascii="Arial" w:hAnsi="Arial" w:cs="Arial"/>
          <w:sz w:val="22"/>
          <w:szCs w:val="22"/>
        </w:rPr>
        <w:lastRenderedPageBreak/>
        <w:t xml:space="preserve">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F90AAE" w:rsidRPr="00F90AAE" w:rsidRDefault="00F90AAE" w:rsidP="00F90AAE">
      <w:pPr>
        <w:spacing w:line="360" w:lineRule="auto"/>
        <w:jc w:val="both"/>
        <w:rPr>
          <w:rFonts w:ascii="Georgia" w:hAnsi="Georgia" w:cstheme="minorHAnsi"/>
          <w:sz w:val="24"/>
          <w:szCs w:val="24"/>
        </w:rPr>
      </w:pPr>
      <w:r w:rsidRPr="00F90AAE">
        <w:rPr>
          <w:rFonts w:ascii="Georgia" w:hAnsi="Georgia" w:cstheme="minorHAnsi"/>
          <w:sz w:val="24"/>
          <w:szCs w:val="24"/>
        </w:rPr>
        <w:t>When writing their gobbets, students should address the following areas:</w:t>
      </w:r>
    </w:p>
    <w:p w:rsidR="00F90AAE" w:rsidRPr="00F90AAE" w:rsidRDefault="00F90AAE" w:rsidP="00F90AAE">
      <w:pPr>
        <w:numPr>
          <w:ilvl w:val="0"/>
          <w:numId w:val="29"/>
        </w:numPr>
        <w:spacing w:line="360" w:lineRule="auto"/>
        <w:ind w:left="720"/>
        <w:jc w:val="both"/>
        <w:rPr>
          <w:rFonts w:ascii="Georgia" w:hAnsi="Georgia" w:cstheme="minorHAnsi"/>
          <w:b/>
          <w:sz w:val="24"/>
          <w:szCs w:val="24"/>
          <w:u w:val="single"/>
        </w:rPr>
      </w:pPr>
      <w:r w:rsidRPr="00F90AAE">
        <w:rPr>
          <w:rFonts w:ascii="Georgia" w:hAnsi="Georgia" w:cstheme="minorHAnsi"/>
          <w:b/>
          <w:sz w:val="24"/>
          <w:szCs w:val="24"/>
          <w:u w:val="single"/>
        </w:rPr>
        <w:t>Context</w:t>
      </w:r>
    </w:p>
    <w:p w:rsidR="00F90AAE" w:rsidRPr="00F90AAE" w:rsidRDefault="00F90AAE" w:rsidP="00F90AAE">
      <w:pPr>
        <w:numPr>
          <w:ilvl w:val="0"/>
          <w:numId w:val="30"/>
        </w:numPr>
        <w:spacing w:line="360" w:lineRule="auto"/>
        <w:ind w:left="360"/>
        <w:jc w:val="both"/>
        <w:rPr>
          <w:rFonts w:ascii="Georgia" w:hAnsi="Georgia" w:cstheme="minorHAnsi"/>
          <w:sz w:val="24"/>
          <w:szCs w:val="24"/>
          <w:u w:val="single"/>
        </w:rPr>
      </w:pPr>
      <w:r w:rsidRPr="00F90AAE">
        <w:rPr>
          <w:rFonts w:ascii="Georgia" w:hAnsi="Georgia" w:cstheme="minorHAnsi"/>
          <w:sz w:val="24"/>
          <w:szCs w:val="24"/>
        </w:rPr>
        <w:t xml:space="preserve">Who is the author/producer of the source, and does this affect interpretation of it? Does the source have multiple authors, and if so why might this be significant? </w:t>
      </w:r>
    </w:p>
    <w:p w:rsidR="00F90AAE" w:rsidRPr="00F90AAE" w:rsidRDefault="00F90AAE" w:rsidP="00F90AAE">
      <w:pPr>
        <w:numPr>
          <w:ilvl w:val="0"/>
          <w:numId w:val="30"/>
        </w:numPr>
        <w:spacing w:line="360" w:lineRule="auto"/>
        <w:ind w:left="360"/>
        <w:jc w:val="both"/>
        <w:rPr>
          <w:rFonts w:ascii="Georgia" w:hAnsi="Georgia" w:cstheme="minorHAnsi"/>
          <w:sz w:val="24"/>
          <w:szCs w:val="24"/>
          <w:u w:val="single"/>
        </w:rPr>
      </w:pPr>
      <w:r w:rsidRPr="00F90AAE">
        <w:rPr>
          <w:rFonts w:ascii="Georgia" w:hAnsi="Georgia" w:cstheme="minorHAnsi"/>
          <w:sz w:val="24"/>
          <w:szCs w:val="24"/>
        </w:rPr>
        <w:t>When and where was the source produced, and what impact do these factors have on interpretation of it?</w:t>
      </w:r>
    </w:p>
    <w:p w:rsidR="00F90AAE" w:rsidRPr="00F90AAE" w:rsidRDefault="00F90AAE" w:rsidP="00F90AAE">
      <w:pPr>
        <w:numPr>
          <w:ilvl w:val="0"/>
          <w:numId w:val="30"/>
        </w:numPr>
        <w:spacing w:line="360" w:lineRule="auto"/>
        <w:ind w:left="360"/>
        <w:jc w:val="both"/>
        <w:rPr>
          <w:rFonts w:ascii="Georgia" w:hAnsi="Georgia" w:cstheme="minorHAnsi"/>
          <w:sz w:val="24"/>
          <w:szCs w:val="24"/>
          <w:u w:val="single"/>
        </w:rPr>
      </w:pPr>
      <w:r w:rsidRPr="00F90AAE">
        <w:rPr>
          <w:rFonts w:ascii="Georgia" w:hAnsi="Georgia" w:cstheme="minorHAnsi"/>
          <w:sz w:val="24"/>
          <w:szCs w:val="24"/>
        </w:rPr>
        <w:t xml:space="preserve">What type of audience might the source have had originally, and does this affect interpretation of it? </w:t>
      </w:r>
    </w:p>
    <w:p w:rsidR="00F90AAE" w:rsidRPr="00F90AAE" w:rsidRDefault="00F90AAE" w:rsidP="00F90AAE">
      <w:pPr>
        <w:spacing w:line="360" w:lineRule="auto"/>
        <w:jc w:val="both"/>
        <w:rPr>
          <w:rFonts w:ascii="Georgia" w:hAnsi="Georgia" w:cstheme="minorHAnsi"/>
          <w:sz w:val="24"/>
          <w:szCs w:val="24"/>
          <w:u w:val="single"/>
        </w:rPr>
      </w:pPr>
    </w:p>
    <w:p w:rsidR="00F90AAE" w:rsidRPr="00F90AAE" w:rsidRDefault="00F90AAE" w:rsidP="00F90AAE">
      <w:pPr>
        <w:numPr>
          <w:ilvl w:val="0"/>
          <w:numId w:val="29"/>
        </w:numPr>
        <w:spacing w:line="360" w:lineRule="auto"/>
        <w:ind w:left="720"/>
        <w:jc w:val="both"/>
        <w:rPr>
          <w:rFonts w:ascii="Georgia" w:hAnsi="Georgia" w:cstheme="minorHAnsi"/>
          <w:b/>
          <w:sz w:val="24"/>
          <w:szCs w:val="24"/>
          <w:u w:val="single"/>
        </w:rPr>
      </w:pPr>
      <w:r w:rsidRPr="00F90AAE">
        <w:rPr>
          <w:rFonts w:ascii="Georgia" w:hAnsi="Georgia" w:cstheme="minorHAnsi"/>
          <w:b/>
          <w:sz w:val="24"/>
          <w:szCs w:val="24"/>
          <w:u w:val="single"/>
        </w:rPr>
        <w:t>Content</w:t>
      </w:r>
    </w:p>
    <w:p w:rsidR="00F90AAE" w:rsidRPr="00F90AAE" w:rsidRDefault="00F90AAE" w:rsidP="00F90AAE">
      <w:pPr>
        <w:numPr>
          <w:ilvl w:val="0"/>
          <w:numId w:val="30"/>
        </w:numPr>
        <w:spacing w:line="360" w:lineRule="auto"/>
        <w:ind w:left="360"/>
        <w:jc w:val="both"/>
        <w:rPr>
          <w:rFonts w:ascii="Georgia" w:hAnsi="Georgia" w:cstheme="minorHAnsi"/>
          <w:sz w:val="24"/>
          <w:szCs w:val="24"/>
        </w:rPr>
      </w:pPr>
      <w:r w:rsidRPr="00F90AAE">
        <w:rPr>
          <w:rFonts w:ascii="Georgia" w:hAnsi="Georgia" w:cstheme="minorHAnsi"/>
          <w:sz w:val="24"/>
          <w:szCs w:val="24"/>
        </w:rPr>
        <w:t>What are the source’s key features? What details or aspects stand out the most?</w:t>
      </w:r>
    </w:p>
    <w:p w:rsidR="00F90AAE" w:rsidRPr="00F90AAE" w:rsidRDefault="00F90AAE" w:rsidP="00F90AAE">
      <w:pPr>
        <w:numPr>
          <w:ilvl w:val="0"/>
          <w:numId w:val="30"/>
        </w:numPr>
        <w:spacing w:line="360" w:lineRule="auto"/>
        <w:ind w:left="360"/>
        <w:jc w:val="both"/>
        <w:rPr>
          <w:rFonts w:ascii="Georgia" w:hAnsi="Georgia" w:cstheme="minorHAnsi"/>
          <w:sz w:val="24"/>
          <w:szCs w:val="24"/>
        </w:rPr>
      </w:pPr>
      <w:r w:rsidRPr="00F90AAE">
        <w:rPr>
          <w:rFonts w:ascii="Georgia" w:hAnsi="Georgia" w:cstheme="minorHAnsi"/>
          <w:sz w:val="24"/>
          <w:szCs w:val="24"/>
        </w:rPr>
        <w:t xml:space="preserve">Are there any particularly quotable lines from the source? </w:t>
      </w:r>
    </w:p>
    <w:p w:rsidR="00F90AAE" w:rsidRPr="00F90AAE" w:rsidRDefault="00F90AAE" w:rsidP="00F90AAE">
      <w:pPr>
        <w:numPr>
          <w:ilvl w:val="0"/>
          <w:numId w:val="30"/>
        </w:numPr>
        <w:spacing w:line="360" w:lineRule="auto"/>
        <w:ind w:left="360"/>
        <w:jc w:val="both"/>
        <w:rPr>
          <w:rFonts w:ascii="Georgia" w:hAnsi="Georgia" w:cstheme="minorHAnsi"/>
          <w:sz w:val="24"/>
          <w:szCs w:val="24"/>
        </w:rPr>
      </w:pPr>
      <w:r w:rsidRPr="00F90AAE">
        <w:rPr>
          <w:rFonts w:ascii="Georgia" w:hAnsi="Georgia" w:cstheme="minorHAnsi"/>
          <w:sz w:val="24"/>
          <w:szCs w:val="24"/>
        </w:rPr>
        <w:t xml:space="preserve">Are there any key points that the author wanted to express? </w:t>
      </w:r>
    </w:p>
    <w:p w:rsidR="00F90AAE" w:rsidRPr="00F90AAE" w:rsidRDefault="00F90AAE" w:rsidP="00F90AAE">
      <w:pPr>
        <w:numPr>
          <w:ilvl w:val="0"/>
          <w:numId w:val="30"/>
        </w:numPr>
        <w:spacing w:line="360" w:lineRule="auto"/>
        <w:ind w:left="360"/>
        <w:jc w:val="both"/>
        <w:rPr>
          <w:rFonts w:ascii="Georgia" w:hAnsi="Georgia" w:cstheme="minorHAnsi"/>
          <w:sz w:val="24"/>
          <w:szCs w:val="24"/>
        </w:rPr>
      </w:pPr>
      <w:r w:rsidRPr="00F90AAE">
        <w:rPr>
          <w:rFonts w:ascii="Georgia" w:hAnsi="Georgia" w:cstheme="minorHAnsi"/>
          <w:sz w:val="24"/>
          <w:szCs w:val="24"/>
        </w:rPr>
        <w:t>Is there anything notable about the language, style, rhetorical or artistic techniques used in the source?</w:t>
      </w:r>
    </w:p>
    <w:p w:rsidR="00F90AAE" w:rsidRPr="00F90AAE" w:rsidRDefault="00F90AAE" w:rsidP="00F90AAE">
      <w:pPr>
        <w:spacing w:line="360" w:lineRule="auto"/>
        <w:ind w:left="-720"/>
        <w:jc w:val="both"/>
        <w:rPr>
          <w:rFonts w:ascii="Georgia" w:hAnsi="Georgia" w:cstheme="minorHAnsi"/>
          <w:sz w:val="24"/>
          <w:szCs w:val="24"/>
        </w:rPr>
      </w:pPr>
    </w:p>
    <w:p w:rsidR="00F90AAE" w:rsidRPr="00F90AAE" w:rsidRDefault="00F90AAE" w:rsidP="00F90AAE">
      <w:pPr>
        <w:numPr>
          <w:ilvl w:val="0"/>
          <w:numId w:val="29"/>
        </w:numPr>
        <w:spacing w:line="360" w:lineRule="auto"/>
        <w:ind w:left="720"/>
        <w:jc w:val="both"/>
        <w:rPr>
          <w:rFonts w:ascii="Georgia" w:hAnsi="Georgia" w:cstheme="minorHAnsi"/>
          <w:b/>
          <w:sz w:val="24"/>
          <w:szCs w:val="24"/>
          <w:u w:val="single"/>
        </w:rPr>
      </w:pPr>
      <w:r w:rsidRPr="00F90AAE">
        <w:rPr>
          <w:rFonts w:ascii="Georgia" w:hAnsi="Georgia" w:cstheme="minorHAnsi"/>
          <w:b/>
          <w:sz w:val="24"/>
          <w:szCs w:val="24"/>
          <w:u w:val="single"/>
        </w:rPr>
        <w:t>Significance</w:t>
      </w:r>
    </w:p>
    <w:p w:rsidR="00F90AAE" w:rsidRPr="00F90AAE" w:rsidRDefault="00F90AAE" w:rsidP="00F90AAE">
      <w:pPr>
        <w:numPr>
          <w:ilvl w:val="0"/>
          <w:numId w:val="30"/>
        </w:numPr>
        <w:spacing w:line="360" w:lineRule="auto"/>
        <w:ind w:left="360"/>
        <w:jc w:val="both"/>
        <w:rPr>
          <w:rFonts w:ascii="Georgia" w:hAnsi="Georgia" w:cstheme="minorHAnsi"/>
          <w:sz w:val="24"/>
          <w:szCs w:val="24"/>
        </w:rPr>
      </w:pPr>
      <w:r w:rsidRPr="00F90AAE">
        <w:rPr>
          <w:rFonts w:ascii="Georgia" w:hAnsi="Georgia" w:cstheme="minorHAnsi"/>
          <w:sz w:val="24"/>
          <w:szCs w:val="24"/>
        </w:rPr>
        <w:t>What is the historical significance of this particular source? What gives it historical renown? What role did it play in particular historical events?</w:t>
      </w:r>
    </w:p>
    <w:p w:rsidR="00F90AAE" w:rsidRPr="00F90AAE" w:rsidRDefault="00F90AAE" w:rsidP="00F90AAE">
      <w:pPr>
        <w:numPr>
          <w:ilvl w:val="0"/>
          <w:numId w:val="30"/>
        </w:numPr>
        <w:spacing w:line="360" w:lineRule="auto"/>
        <w:ind w:left="360"/>
        <w:jc w:val="both"/>
        <w:rPr>
          <w:rFonts w:ascii="Georgia" w:hAnsi="Georgia" w:cstheme="minorHAnsi"/>
          <w:sz w:val="24"/>
          <w:szCs w:val="24"/>
        </w:rPr>
      </w:pPr>
      <w:r w:rsidRPr="00F90AAE">
        <w:rPr>
          <w:rFonts w:ascii="Georgia" w:hAnsi="Georgia" w:cstheme="minorHAnsi"/>
          <w:sz w:val="24"/>
          <w:szCs w:val="24"/>
        </w:rPr>
        <w:t>What does the source tell us about out the specific events depicted and the broader themes explore on the module? Why might this source have been chosen as an exemplar of the module’s themes?</w:t>
      </w:r>
    </w:p>
    <w:p w:rsidR="00F90AAE" w:rsidRPr="00F90AAE" w:rsidRDefault="00F90AAE" w:rsidP="00F90AAE">
      <w:pPr>
        <w:numPr>
          <w:ilvl w:val="0"/>
          <w:numId w:val="30"/>
        </w:numPr>
        <w:spacing w:line="360" w:lineRule="auto"/>
        <w:ind w:left="360"/>
        <w:jc w:val="both"/>
        <w:rPr>
          <w:rFonts w:ascii="Georgia" w:hAnsi="Georgia" w:cstheme="minorHAnsi"/>
          <w:sz w:val="24"/>
          <w:szCs w:val="24"/>
        </w:rPr>
      </w:pPr>
      <w:r w:rsidRPr="00F90AAE">
        <w:rPr>
          <w:rFonts w:ascii="Georgia" w:hAnsi="Georgia" w:cstheme="minorHAnsi"/>
          <w:sz w:val="24"/>
          <w:szCs w:val="24"/>
        </w:rPr>
        <w:t>What have other commentators said about the source? How have historians evaluated its significance?</w:t>
      </w:r>
    </w:p>
    <w:p w:rsidR="00F90AAE" w:rsidRDefault="00F90AAE" w:rsidP="00D22D9C">
      <w:pPr>
        <w:jc w:val="both"/>
        <w:rPr>
          <w:rFonts w:ascii="Arial" w:hAnsi="Arial" w:cs="Arial"/>
          <w:sz w:val="22"/>
          <w:szCs w:val="22"/>
        </w:rPr>
      </w:pPr>
    </w:p>
    <w:p w:rsidR="00F90AAE" w:rsidRPr="00A406E5" w:rsidRDefault="00F90AAE"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lastRenderedPageBreak/>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86449">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86449">
      <w:rPr>
        <w:b/>
        <w:noProof/>
      </w:rPr>
      <w:t>12</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667C5C"/>
    <w:multiLevelType w:val="hybridMultilevel"/>
    <w:tmpl w:val="6436C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742A62"/>
    <w:multiLevelType w:val="hybridMultilevel"/>
    <w:tmpl w:val="38020604"/>
    <w:lvl w:ilvl="0" w:tplc="C998429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521ED"/>
    <w:multiLevelType w:val="hybridMultilevel"/>
    <w:tmpl w:val="C4126ECA"/>
    <w:lvl w:ilvl="0" w:tplc="A8A658C4">
      <w:start w:val="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0013A1"/>
    <w:multiLevelType w:val="hybridMultilevel"/>
    <w:tmpl w:val="4B10F522"/>
    <w:lvl w:ilvl="0" w:tplc="47F25AD0">
      <w:numFmt w:val="bullet"/>
      <w:lvlText w:val="-"/>
      <w:lvlJc w:val="left"/>
      <w:pPr>
        <w:ind w:left="720" w:hanging="360"/>
      </w:pPr>
      <w:rPr>
        <w:rFonts w:ascii="Georgia" w:eastAsia="Times New Roman" w:hAnsi="Georgi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B07340"/>
    <w:multiLevelType w:val="hybridMultilevel"/>
    <w:tmpl w:val="78D29916"/>
    <w:lvl w:ilvl="0" w:tplc="04090001">
      <w:start w:val="1"/>
      <w:numFmt w:val="bullet"/>
      <w:lvlText w:val=""/>
      <w:lvlJc w:val="left"/>
      <w:pPr>
        <w:ind w:left="720" w:hanging="720"/>
      </w:pPr>
      <w:rPr>
        <w:rFonts w:ascii="Symbol" w:hAnsi="Symbol"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1C5B34"/>
    <w:multiLevelType w:val="hybridMultilevel"/>
    <w:tmpl w:val="62DE3D68"/>
    <w:lvl w:ilvl="0" w:tplc="C9984292">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E9F0B28"/>
    <w:multiLevelType w:val="hybridMultilevel"/>
    <w:tmpl w:val="3F007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F7416FE"/>
    <w:multiLevelType w:val="hybridMultilevel"/>
    <w:tmpl w:val="A5C8932A"/>
    <w:lvl w:ilvl="0" w:tplc="47F25AD0">
      <w:numFmt w:val="bullet"/>
      <w:lvlText w:val="-"/>
      <w:lvlJc w:val="left"/>
      <w:pPr>
        <w:ind w:left="720" w:hanging="360"/>
      </w:pPr>
      <w:rPr>
        <w:rFonts w:ascii="Georgia" w:eastAsia="Times New Roman" w:hAnsi="Georgi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123781"/>
    <w:multiLevelType w:val="hybridMultilevel"/>
    <w:tmpl w:val="FB2A0EC8"/>
    <w:lvl w:ilvl="0" w:tplc="C998429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431EB3"/>
    <w:multiLevelType w:val="hybridMultilevel"/>
    <w:tmpl w:val="C25E2518"/>
    <w:lvl w:ilvl="0" w:tplc="C998429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B816A2"/>
    <w:multiLevelType w:val="hybridMultilevel"/>
    <w:tmpl w:val="D180C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9E634C"/>
    <w:multiLevelType w:val="hybridMultilevel"/>
    <w:tmpl w:val="E4F07C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423647"/>
    <w:multiLevelType w:val="hybridMultilevel"/>
    <w:tmpl w:val="FFE6E9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BD62745"/>
    <w:multiLevelType w:val="hybridMultilevel"/>
    <w:tmpl w:val="0CA8F8A0"/>
    <w:lvl w:ilvl="0" w:tplc="0A88841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C4F269E"/>
    <w:multiLevelType w:val="hybridMultilevel"/>
    <w:tmpl w:val="72489F22"/>
    <w:lvl w:ilvl="0" w:tplc="47F25AD0">
      <w:numFmt w:val="bullet"/>
      <w:lvlText w:val="-"/>
      <w:lvlJc w:val="left"/>
      <w:pPr>
        <w:ind w:left="720" w:hanging="360"/>
      </w:pPr>
      <w:rPr>
        <w:rFonts w:ascii="Georgia" w:eastAsia="Times New Roman" w:hAnsi="Georgi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28"/>
  </w:num>
  <w:num w:numId="4">
    <w:abstractNumId w:val="19"/>
  </w:num>
  <w:num w:numId="5">
    <w:abstractNumId w:val="12"/>
  </w:num>
  <w:num w:numId="6">
    <w:abstractNumId w:val="27"/>
  </w:num>
  <w:num w:numId="7">
    <w:abstractNumId w:val="5"/>
  </w:num>
  <w:num w:numId="8">
    <w:abstractNumId w:val="25"/>
  </w:num>
  <w:num w:numId="9">
    <w:abstractNumId w:val="16"/>
  </w:num>
  <w:num w:numId="10">
    <w:abstractNumId w:val="7"/>
  </w:num>
  <w:num w:numId="11">
    <w:abstractNumId w:val="8"/>
  </w:num>
  <w:num w:numId="12">
    <w:abstractNumId w:val="13"/>
  </w:num>
  <w:num w:numId="13">
    <w:abstractNumId w:val="23"/>
  </w:num>
  <w:num w:numId="14">
    <w:abstractNumId w:val="6"/>
  </w:num>
  <w:num w:numId="15">
    <w:abstractNumId w:val="0"/>
  </w:num>
  <w:num w:numId="16">
    <w:abstractNumId w:val="10"/>
  </w:num>
  <w:num w:numId="17">
    <w:abstractNumId w:val="24"/>
  </w:num>
  <w:num w:numId="18">
    <w:abstractNumId w:val="22"/>
  </w:num>
  <w:num w:numId="19">
    <w:abstractNumId w:val="17"/>
  </w:num>
  <w:num w:numId="20">
    <w:abstractNumId w:val="26"/>
  </w:num>
  <w:num w:numId="21">
    <w:abstractNumId w:val="9"/>
  </w:num>
  <w:num w:numId="22">
    <w:abstractNumId w:val="20"/>
  </w:num>
  <w:num w:numId="23">
    <w:abstractNumId w:val="1"/>
  </w:num>
  <w:num w:numId="24">
    <w:abstractNumId w:val="2"/>
  </w:num>
  <w:num w:numId="25">
    <w:abstractNumId w:val="30"/>
  </w:num>
  <w:num w:numId="26">
    <w:abstractNumId w:val="21"/>
  </w:num>
  <w:num w:numId="27">
    <w:abstractNumId w:val="18"/>
  </w:num>
  <w:num w:numId="28">
    <w:abstractNumId w:val="14"/>
  </w:num>
  <w:num w:numId="29">
    <w:abstractNumId w:val="29"/>
  </w:num>
  <w:num w:numId="30">
    <w:abstractNumId w:val="3"/>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0AD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6449"/>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90AAE"/>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1E18B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qFormat/>
    <w:locked/>
    <w:rsid w:val="00F90AAE"/>
    <w:rPr>
      <w:lang w:eastAsia="en-GB"/>
    </w:rPr>
  </w:style>
  <w:style w:type="paragraph" w:customStyle="1" w:styleId="Alex">
    <w:name w:val="Alex"/>
    <w:basedOn w:val="NoSpacing"/>
    <w:qFormat/>
    <w:rsid w:val="00F90AAE"/>
    <w:pPr>
      <w:spacing w:line="360" w:lineRule="auto"/>
      <w:jc w:val="both"/>
    </w:pPr>
    <w:rPr>
      <w:rFonts w:eastAsiaTheme="minorHAnsi" w:cstheme="minorBidi"/>
      <w:sz w:val="22"/>
      <w:szCs w:val="22"/>
      <w:lang w:eastAsia="en-US"/>
    </w:rPr>
  </w:style>
  <w:style w:type="paragraph" w:styleId="NoSpacing">
    <w:name w:val="No Spacing"/>
    <w:uiPriority w:val="68"/>
    <w:rsid w:val="00F90AA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3911</Words>
  <Characters>23473</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27330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Alexander Scott</cp:lastModifiedBy>
  <cp:revision>4</cp:revision>
  <cp:lastPrinted>2014-10-10T07:42:00Z</cp:lastPrinted>
  <dcterms:created xsi:type="dcterms:W3CDTF">2019-07-23T17:20:00Z</dcterms:created>
  <dcterms:modified xsi:type="dcterms:W3CDTF">2019-12-03T17:11:00Z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