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xmlns:wp14="http://schemas.microsoft.com/office/word/2010/wordml" w:rsidRPr="00636917" w:rsidR="00636917" w:rsidP="613084EC" w:rsidRDefault="00636917" w14:paraId="6D55BC81" wp14:textId="73305BAD">
      <w:pPr>
        <w:spacing w:line="360" w:lineRule="auto"/>
        <w:jc w:val="both"/>
        <w:rPr>
          <w:rFonts w:ascii="Times New Roman" w:hAnsi="Times New Roman" w:cs="Times New Roman"/>
          <w:sz w:val="24"/>
          <w:szCs w:val="24"/>
        </w:rPr>
      </w:pPr>
      <w:r w:rsidRPr="613084EC" w:rsidR="00636917">
        <w:rPr>
          <w:rFonts w:ascii="Times New Roman" w:hAnsi="Times New Roman" w:cs="Times New Roman"/>
          <w:sz w:val="24"/>
          <w:szCs w:val="24"/>
        </w:rPr>
        <w:t> </w:t>
      </w:r>
    </w:p>
    <w:tbl>
      <w:tblPr>
        <w:tblStyle w:val="TableNormal"/>
        <w:tblW w:w="0" w:type="auto"/>
        <w:tblBorders>
          <w:top w:val="single" w:sz="6"/>
          <w:left w:val="single" w:sz="6"/>
          <w:bottom w:val="single" w:sz="6"/>
          <w:right w:val="single" w:sz="6"/>
        </w:tblBorders>
        <w:tblLayout w:type="fixed"/>
        <w:tblLook w:val="01E0" w:firstRow="1" w:lastRow="1" w:firstColumn="1" w:lastColumn="1" w:noHBand="0" w:noVBand="0"/>
      </w:tblPr>
      <w:tblGrid>
        <w:gridCol w:w="1305"/>
        <w:gridCol w:w="2565"/>
      </w:tblGrid>
      <w:tr w:rsidR="613084EC" w:rsidTr="613084EC" w14:paraId="47A9265D">
        <w:trPr>
          <w:trHeight w:val="405"/>
        </w:trPr>
        <w:tc>
          <w:tcPr>
            <w:tcW w:w="1305" w:type="dxa"/>
            <w:tcBorders>
              <w:top w:val="single" w:sz="6"/>
              <w:left w:val="single" w:sz="6"/>
              <w:bottom w:val="nil"/>
              <w:right w:val="nil"/>
            </w:tcBorders>
            <w:tcMar>
              <w:left w:w="105" w:type="dxa"/>
              <w:right w:w="105" w:type="dxa"/>
            </w:tcMar>
            <w:vAlign w:val="center"/>
          </w:tcPr>
          <w:p w:rsidR="613084EC" w:rsidP="613084EC" w:rsidRDefault="613084EC" w14:paraId="7C2FDCE9" w14:textId="37C97ABF">
            <w:pPr>
              <w:spacing w:before="120" w:beforeAutospacing="off" w:line="259" w:lineRule="auto"/>
              <w:rPr>
                <w:rFonts w:ascii="Arial" w:hAnsi="Arial" w:eastAsia="Arial" w:cs="Arial"/>
                <w:b w:val="0"/>
                <w:bCs w:val="0"/>
                <w:i w:val="0"/>
                <w:iCs w:val="0"/>
                <w:caps w:val="0"/>
                <w:smallCaps w:val="0"/>
                <w:color w:val="000000" w:themeColor="text1" w:themeTint="FF" w:themeShade="FF"/>
                <w:sz w:val="20"/>
                <w:szCs w:val="20"/>
              </w:rPr>
            </w:pPr>
            <w:r w:rsidRPr="613084EC" w:rsidR="613084EC">
              <w:rPr>
                <w:rFonts w:ascii="Arial" w:hAnsi="Arial" w:eastAsia="Arial" w:cs="Arial"/>
                <w:b w:val="1"/>
                <w:bCs w:val="1"/>
                <w:i w:val="0"/>
                <w:iCs w:val="0"/>
                <w:caps w:val="0"/>
                <w:smallCaps w:val="0"/>
                <w:color w:val="000000" w:themeColor="text1" w:themeTint="FF" w:themeShade="FF"/>
                <w:sz w:val="20"/>
                <w:szCs w:val="20"/>
                <w:lang w:val="en-GB"/>
              </w:rPr>
              <w:t xml:space="preserve"> Student No:</w:t>
            </w:r>
          </w:p>
        </w:tc>
        <w:tc>
          <w:tcPr>
            <w:tcW w:w="2565" w:type="dxa"/>
            <w:tcBorders>
              <w:top w:val="single" w:sz="6"/>
              <w:left w:val="nil"/>
              <w:bottom w:val="dashed" w:sz="6"/>
              <w:right w:val="nil"/>
            </w:tcBorders>
            <w:tcMar>
              <w:left w:w="105" w:type="dxa"/>
              <w:right w:w="105" w:type="dxa"/>
            </w:tcMar>
            <w:vAlign w:val="center"/>
          </w:tcPr>
          <w:p w:rsidR="613084EC" w:rsidP="613084EC" w:rsidRDefault="613084EC" w14:paraId="74501F0C" w14:textId="2B999ED8">
            <w:pPr>
              <w:spacing w:before="0" w:beforeAutospacing="off" w:after="0" w:afterAutospacing="off" w:line="259" w:lineRule="auto"/>
              <w:jc w:val="center"/>
              <w:rPr>
                <w:rFonts w:ascii="Arial" w:hAnsi="Arial" w:eastAsia="Arial" w:cs="Arial"/>
                <w:b w:val="0"/>
                <w:bCs w:val="0"/>
                <w:i w:val="0"/>
                <w:iCs w:val="0"/>
                <w:caps w:val="0"/>
                <w:smallCaps w:val="0"/>
                <w:color w:val="000000" w:themeColor="text1" w:themeTint="FF" w:themeShade="FF"/>
                <w:sz w:val="20"/>
                <w:szCs w:val="20"/>
              </w:rPr>
            </w:pPr>
            <w:r w:rsidRPr="613084EC" w:rsidR="613084EC">
              <w:rPr>
                <w:rFonts w:ascii="Arial" w:hAnsi="Arial" w:eastAsia="Arial" w:cs="Arial"/>
                <w:b w:val="1"/>
                <w:bCs w:val="1"/>
                <w:i w:val="0"/>
                <w:iCs w:val="0"/>
                <w:caps w:val="0"/>
                <w:smallCaps w:val="0"/>
                <w:color w:val="000000" w:themeColor="text1" w:themeTint="FF" w:themeShade="FF"/>
                <w:sz w:val="20"/>
                <w:szCs w:val="20"/>
                <w:lang w:val="en-AU"/>
              </w:rPr>
              <w:t>1919090</w:t>
            </w:r>
          </w:p>
        </w:tc>
      </w:tr>
      <w:tr w:rsidR="613084EC" w:rsidTr="613084EC" w14:paraId="0D8FF952">
        <w:trPr>
          <w:trHeight w:val="450"/>
        </w:trPr>
        <w:tc>
          <w:tcPr>
            <w:tcW w:w="1305" w:type="dxa"/>
            <w:tcBorders>
              <w:top w:val="nil"/>
              <w:left w:val="single" w:sz="6"/>
              <w:bottom w:val="nil"/>
              <w:right w:val="nil"/>
            </w:tcBorders>
            <w:tcMar>
              <w:left w:w="105" w:type="dxa"/>
              <w:right w:w="105" w:type="dxa"/>
            </w:tcMar>
            <w:vAlign w:val="center"/>
          </w:tcPr>
          <w:p w:rsidR="613084EC" w:rsidP="613084EC" w:rsidRDefault="613084EC" w14:paraId="497EB9FA" w14:textId="15EF5D72">
            <w:pPr>
              <w:spacing w:before="0" w:beforeAutospacing="off" w:after="0" w:afterAutospacing="off" w:line="259" w:lineRule="auto"/>
              <w:rPr>
                <w:rFonts w:ascii="Arial" w:hAnsi="Arial" w:eastAsia="Arial" w:cs="Arial"/>
                <w:b w:val="0"/>
                <w:bCs w:val="0"/>
                <w:i w:val="0"/>
                <w:iCs w:val="0"/>
                <w:caps w:val="0"/>
                <w:smallCaps w:val="0"/>
                <w:color w:val="000000" w:themeColor="text1" w:themeTint="FF" w:themeShade="FF"/>
                <w:sz w:val="20"/>
                <w:szCs w:val="20"/>
              </w:rPr>
            </w:pPr>
            <w:r w:rsidRPr="613084EC" w:rsidR="613084EC">
              <w:rPr>
                <w:rFonts w:ascii="Arial" w:hAnsi="Arial" w:eastAsia="Arial" w:cs="Arial"/>
                <w:b w:val="0"/>
                <w:bCs w:val="0"/>
                <w:i w:val="0"/>
                <w:iCs w:val="0"/>
                <w:caps w:val="0"/>
                <w:smallCaps w:val="0"/>
                <w:color w:val="000000" w:themeColor="text1" w:themeTint="FF" w:themeShade="FF"/>
                <w:sz w:val="20"/>
                <w:szCs w:val="20"/>
                <w:lang w:val="en-AU"/>
              </w:rPr>
              <w:t xml:space="preserve"> </w:t>
            </w:r>
          </w:p>
          <w:p w:rsidR="613084EC" w:rsidP="613084EC" w:rsidRDefault="613084EC" w14:paraId="105B5326" w14:textId="1FD0AEF3">
            <w:pPr>
              <w:spacing w:before="0" w:beforeAutospacing="off" w:after="0" w:afterAutospacing="off" w:line="259" w:lineRule="auto"/>
              <w:rPr>
                <w:rFonts w:ascii="Arial" w:hAnsi="Arial" w:eastAsia="Arial" w:cs="Arial"/>
                <w:b w:val="0"/>
                <w:bCs w:val="0"/>
                <w:i w:val="0"/>
                <w:iCs w:val="0"/>
                <w:caps w:val="0"/>
                <w:smallCaps w:val="0"/>
                <w:color w:val="000000" w:themeColor="text1" w:themeTint="FF" w:themeShade="FF"/>
                <w:sz w:val="20"/>
                <w:szCs w:val="20"/>
              </w:rPr>
            </w:pPr>
            <w:r w:rsidRPr="613084EC" w:rsidR="613084EC">
              <w:rPr>
                <w:rFonts w:ascii="Arial" w:hAnsi="Arial" w:eastAsia="Arial" w:cs="Arial"/>
                <w:b w:val="0"/>
                <w:bCs w:val="0"/>
                <w:i w:val="0"/>
                <w:iCs w:val="0"/>
                <w:caps w:val="0"/>
                <w:smallCaps w:val="0"/>
                <w:color w:val="000000" w:themeColor="text1" w:themeTint="FF" w:themeShade="FF"/>
                <w:sz w:val="20"/>
                <w:szCs w:val="20"/>
                <w:lang w:val="en-AU"/>
              </w:rPr>
              <w:t>Module Title:</w:t>
            </w:r>
          </w:p>
        </w:tc>
        <w:tc>
          <w:tcPr>
            <w:tcW w:w="2565" w:type="dxa"/>
            <w:tcBorders>
              <w:top w:val="dashed" w:sz="6"/>
              <w:left w:val="nil"/>
              <w:bottom w:val="dashed" w:sz="6"/>
              <w:right w:val="nil"/>
            </w:tcBorders>
            <w:tcMar>
              <w:left w:w="105" w:type="dxa"/>
              <w:right w:w="105" w:type="dxa"/>
            </w:tcMar>
            <w:vAlign w:val="center"/>
          </w:tcPr>
          <w:p w:rsidR="613084EC" w:rsidP="613084EC" w:rsidRDefault="613084EC" w14:paraId="5961E534" w14:textId="429496BE">
            <w:pPr>
              <w:spacing w:before="0" w:beforeAutospacing="off" w:after="0" w:afterAutospacing="off" w:line="259" w:lineRule="auto"/>
              <w:jc w:val="center"/>
              <w:rPr>
                <w:rFonts w:ascii="Arial" w:hAnsi="Arial" w:eastAsia="Arial" w:cs="Arial"/>
                <w:b w:val="0"/>
                <w:bCs w:val="0"/>
                <w:i w:val="0"/>
                <w:iCs w:val="0"/>
                <w:caps w:val="0"/>
                <w:smallCaps w:val="0"/>
                <w:color w:val="000000" w:themeColor="text1" w:themeTint="FF" w:themeShade="FF"/>
                <w:sz w:val="20"/>
                <w:szCs w:val="20"/>
              </w:rPr>
            </w:pPr>
            <w:r w:rsidRPr="613084EC" w:rsidR="613084EC">
              <w:rPr>
                <w:rFonts w:ascii="Arial" w:hAnsi="Arial" w:eastAsia="Arial" w:cs="Arial"/>
                <w:b w:val="1"/>
                <w:bCs w:val="1"/>
                <w:i w:val="0"/>
                <w:iCs w:val="0"/>
                <w:caps w:val="0"/>
                <w:smallCaps w:val="0"/>
                <w:color w:val="000000" w:themeColor="text1" w:themeTint="FF" w:themeShade="FF"/>
                <w:sz w:val="20"/>
                <w:szCs w:val="20"/>
                <w:lang w:val="en-AU"/>
              </w:rPr>
              <w:t>Foreign Languages &amp; Cultural Awareness</w:t>
            </w:r>
          </w:p>
        </w:tc>
      </w:tr>
      <w:tr w:rsidR="613084EC" w:rsidTr="613084EC" w14:paraId="62BFF251">
        <w:trPr>
          <w:trHeight w:val="450"/>
        </w:trPr>
        <w:tc>
          <w:tcPr>
            <w:tcW w:w="1305" w:type="dxa"/>
            <w:tcBorders>
              <w:top w:val="nil"/>
              <w:left w:val="single" w:sz="6"/>
              <w:bottom w:val="nil"/>
              <w:right w:val="nil"/>
            </w:tcBorders>
            <w:tcMar>
              <w:left w:w="105" w:type="dxa"/>
              <w:right w:w="105" w:type="dxa"/>
            </w:tcMar>
            <w:vAlign w:val="center"/>
          </w:tcPr>
          <w:p w:rsidR="613084EC" w:rsidP="613084EC" w:rsidRDefault="613084EC" w14:paraId="20B1F8A2" w14:textId="61A6126A">
            <w:pPr>
              <w:spacing w:before="0" w:beforeAutospacing="off" w:after="0" w:afterAutospacing="off" w:line="259" w:lineRule="auto"/>
              <w:rPr>
                <w:rFonts w:ascii="Arial" w:hAnsi="Arial" w:eastAsia="Arial" w:cs="Arial"/>
                <w:b w:val="0"/>
                <w:bCs w:val="0"/>
                <w:i w:val="0"/>
                <w:iCs w:val="0"/>
                <w:caps w:val="0"/>
                <w:smallCaps w:val="0"/>
                <w:color w:val="000000" w:themeColor="text1" w:themeTint="FF" w:themeShade="FF"/>
                <w:sz w:val="20"/>
                <w:szCs w:val="20"/>
              </w:rPr>
            </w:pPr>
            <w:r w:rsidRPr="613084EC" w:rsidR="613084EC">
              <w:rPr>
                <w:rFonts w:ascii="Arial" w:hAnsi="Arial" w:eastAsia="Arial" w:cs="Arial"/>
                <w:b w:val="0"/>
                <w:bCs w:val="0"/>
                <w:i w:val="0"/>
                <w:iCs w:val="0"/>
                <w:caps w:val="0"/>
                <w:smallCaps w:val="0"/>
                <w:color w:val="000000" w:themeColor="text1" w:themeTint="FF" w:themeShade="FF"/>
                <w:sz w:val="20"/>
                <w:szCs w:val="20"/>
                <w:lang w:val="en-AU"/>
              </w:rPr>
              <w:t>Module Code:</w:t>
            </w:r>
          </w:p>
        </w:tc>
        <w:tc>
          <w:tcPr>
            <w:tcW w:w="2565" w:type="dxa"/>
            <w:tcBorders>
              <w:top w:val="dashed" w:sz="6"/>
              <w:left w:val="nil"/>
              <w:bottom w:val="dashed" w:sz="6"/>
              <w:right w:val="nil"/>
            </w:tcBorders>
            <w:tcMar>
              <w:left w:w="105" w:type="dxa"/>
              <w:right w:w="105" w:type="dxa"/>
            </w:tcMar>
            <w:vAlign w:val="center"/>
          </w:tcPr>
          <w:p w:rsidR="613084EC" w:rsidP="613084EC" w:rsidRDefault="613084EC" w14:paraId="30B81325" w14:textId="7C892CF8">
            <w:pPr>
              <w:spacing w:before="0" w:beforeAutospacing="off" w:after="0" w:afterAutospacing="off" w:line="259" w:lineRule="auto"/>
              <w:jc w:val="center"/>
              <w:rPr>
                <w:rFonts w:ascii="Arial" w:hAnsi="Arial" w:eastAsia="Arial" w:cs="Arial"/>
                <w:b w:val="0"/>
                <w:bCs w:val="0"/>
                <w:i w:val="0"/>
                <w:iCs w:val="0"/>
                <w:caps w:val="0"/>
                <w:smallCaps w:val="0"/>
                <w:color w:val="000000" w:themeColor="text1" w:themeTint="FF" w:themeShade="FF"/>
                <w:sz w:val="20"/>
                <w:szCs w:val="20"/>
              </w:rPr>
            </w:pPr>
            <w:r w:rsidRPr="613084EC" w:rsidR="613084EC">
              <w:rPr>
                <w:rFonts w:ascii="Arial" w:hAnsi="Arial" w:eastAsia="Arial" w:cs="Arial"/>
                <w:b w:val="1"/>
                <w:bCs w:val="1"/>
                <w:i w:val="0"/>
                <w:iCs w:val="0"/>
                <w:caps w:val="0"/>
                <w:smallCaps w:val="0"/>
                <w:color w:val="000000" w:themeColor="text1" w:themeTint="FF" w:themeShade="FF"/>
                <w:sz w:val="20"/>
                <w:szCs w:val="20"/>
                <w:lang w:val="en-AU"/>
              </w:rPr>
              <w:t>BMIH5003</w:t>
            </w:r>
          </w:p>
        </w:tc>
      </w:tr>
      <w:tr w:rsidR="613084EC" w:rsidTr="613084EC" w14:paraId="6BA78009">
        <w:trPr>
          <w:trHeight w:val="450"/>
        </w:trPr>
        <w:tc>
          <w:tcPr>
            <w:tcW w:w="1305" w:type="dxa"/>
            <w:tcBorders>
              <w:top w:val="nil"/>
              <w:left w:val="single" w:sz="6"/>
              <w:bottom w:val="nil"/>
              <w:right w:val="nil"/>
            </w:tcBorders>
            <w:tcMar>
              <w:left w:w="105" w:type="dxa"/>
              <w:right w:w="105" w:type="dxa"/>
            </w:tcMar>
            <w:vAlign w:val="center"/>
          </w:tcPr>
          <w:p w:rsidR="613084EC" w:rsidP="613084EC" w:rsidRDefault="613084EC" w14:paraId="70E5AF04" w14:textId="059C46F4">
            <w:pPr>
              <w:spacing w:before="0" w:beforeAutospacing="off" w:after="0" w:afterAutospacing="off" w:line="259" w:lineRule="auto"/>
              <w:rPr>
                <w:rFonts w:ascii="Arial" w:hAnsi="Arial" w:eastAsia="Arial" w:cs="Arial"/>
                <w:b w:val="0"/>
                <w:bCs w:val="0"/>
                <w:i w:val="0"/>
                <w:iCs w:val="0"/>
                <w:caps w:val="0"/>
                <w:smallCaps w:val="0"/>
                <w:color w:val="000000" w:themeColor="text1" w:themeTint="FF" w:themeShade="FF"/>
                <w:sz w:val="20"/>
                <w:szCs w:val="20"/>
              </w:rPr>
            </w:pPr>
            <w:r w:rsidRPr="613084EC" w:rsidR="613084EC">
              <w:rPr>
                <w:rFonts w:ascii="Arial" w:hAnsi="Arial" w:eastAsia="Arial" w:cs="Arial"/>
                <w:b w:val="0"/>
                <w:bCs w:val="0"/>
                <w:i w:val="0"/>
                <w:iCs w:val="0"/>
                <w:caps w:val="0"/>
                <w:smallCaps w:val="0"/>
                <w:color w:val="000000" w:themeColor="text1" w:themeTint="FF" w:themeShade="FF"/>
                <w:sz w:val="20"/>
                <w:szCs w:val="20"/>
                <w:lang w:val="en-AU"/>
              </w:rPr>
              <w:t>Lecturer:</w:t>
            </w:r>
          </w:p>
        </w:tc>
        <w:tc>
          <w:tcPr>
            <w:tcW w:w="2565" w:type="dxa"/>
            <w:tcBorders>
              <w:top w:val="dashed" w:sz="6"/>
              <w:left w:val="nil"/>
              <w:bottom w:val="dashed" w:sz="6"/>
              <w:right w:val="nil"/>
            </w:tcBorders>
            <w:tcMar>
              <w:left w:w="105" w:type="dxa"/>
              <w:right w:w="105" w:type="dxa"/>
            </w:tcMar>
            <w:vAlign w:val="center"/>
          </w:tcPr>
          <w:p w:rsidR="613084EC" w:rsidP="613084EC" w:rsidRDefault="613084EC" w14:paraId="6D62D6E0" w14:textId="0BFEB61A">
            <w:pPr>
              <w:spacing w:before="0" w:beforeAutospacing="off" w:after="0" w:afterAutospacing="off" w:line="259" w:lineRule="auto"/>
              <w:jc w:val="center"/>
              <w:rPr>
                <w:rFonts w:ascii="Arial" w:hAnsi="Arial" w:eastAsia="Arial" w:cs="Arial"/>
                <w:b w:val="0"/>
                <w:bCs w:val="0"/>
                <w:i w:val="0"/>
                <w:iCs w:val="0"/>
                <w:caps w:val="0"/>
                <w:smallCaps w:val="0"/>
                <w:color w:val="000000" w:themeColor="text1" w:themeTint="FF" w:themeShade="FF"/>
                <w:sz w:val="20"/>
                <w:szCs w:val="20"/>
              </w:rPr>
            </w:pPr>
            <w:r w:rsidRPr="613084EC" w:rsidR="613084EC">
              <w:rPr>
                <w:rFonts w:ascii="Arial" w:hAnsi="Arial" w:eastAsia="Arial" w:cs="Arial"/>
                <w:b w:val="1"/>
                <w:bCs w:val="1"/>
                <w:i w:val="0"/>
                <w:iCs w:val="0"/>
                <w:caps w:val="0"/>
                <w:smallCaps w:val="0"/>
                <w:color w:val="000000" w:themeColor="text1" w:themeTint="FF" w:themeShade="FF"/>
                <w:sz w:val="20"/>
                <w:szCs w:val="20"/>
                <w:lang w:val="en-AU"/>
              </w:rPr>
              <w:t>Heidi Prosser</w:t>
            </w:r>
          </w:p>
        </w:tc>
      </w:tr>
    </w:tbl>
    <w:p xmlns:wp14="http://schemas.microsoft.com/office/word/2010/wordml" w:rsidRPr="00636917" w:rsidR="00636917" w:rsidP="613084EC" w:rsidRDefault="00636917" w14:paraId="4A3077D0" wp14:textId="48BB60A3">
      <w:pPr>
        <w:pStyle w:val="Normal"/>
        <w:spacing w:line="360" w:lineRule="auto"/>
        <w:jc w:val="both"/>
        <w:rPr>
          <w:rFonts w:ascii="Times New Roman" w:hAnsi="Times New Roman" w:cs="Times New Roman"/>
          <w:sz w:val="24"/>
          <w:szCs w:val="24"/>
        </w:rPr>
      </w:pPr>
    </w:p>
    <w:p xmlns:wp14="http://schemas.microsoft.com/office/word/2010/wordml" w:rsidR="00636917" w:rsidRDefault="00636917" w14:paraId="672A6659" wp14:textId="77777777">
      <w:pPr>
        <w:rPr>
          <w:rFonts w:ascii="Times New Roman" w:hAnsi="Times New Roman" w:cs="Times New Roman"/>
          <w:sz w:val="24"/>
        </w:rPr>
      </w:pPr>
      <w:r>
        <w:rPr>
          <w:rFonts w:ascii="Times New Roman" w:hAnsi="Times New Roman" w:cs="Times New Roman"/>
          <w:sz w:val="24"/>
        </w:rPr>
        <w:br w:type="page"/>
      </w:r>
    </w:p>
    <w:p xmlns:wp14="http://schemas.microsoft.com/office/word/2010/wordml" w:rsidRPr="00636917" w:rsidR="00636917" w:rsidP="613084EC" w:rsidRDefault="00636917" w14:paraId="6D4FD9BC" wp14:textId="77777777" wp14:noSpellErr="1">
      <w:pPr>
        <w:spacing w:line="360" w:lineRule="auto"/>
        <w:jc w:val="both"/>
        <w:rPr>
          <w:rFonts w:ascii="Arial Nova" w:hAnsi="Arial Nova" w:eastAsia="Arial Nova" w:cs="Arial Nova"/>
          <w:b w:val="1"/>
          <w:bCs w:val="1"/>
          <w:sz w:val="32"/>
          <w:szCs w:val="32"/>
        </w:rPr>
      </w:pPr>
      <w:r w:rsidRPr="613084EC" w:rsidR="00636917">
        <w:rPr>
          <w:rFonts w:ascii="Arial Nova" w:hAnsi="Arial Nova" w:eastAsia="Arial Nova" w:cs="Arial Nova"/>
          <w:b w:val="1"/>
          <w:bCs w:val="1"/>
          <w:sz w:val="32"/>
          <w:szCs w:val="32"/>
        </w:rPr>
        <w:t>Critical self-reflection on self-development:</w:t>
      </w:r>
    </w:p>
    <w:p xmlns:wp14="http://schemas.microsoft.com/office/word/2010/wordml" w:rsidRPr="00636917" w:rsidR="00636917" w:rsidP="613084EC" w:rsidRDefault="00636917" w14:paraId="0A37501D" wp14:textId="77777777" wp14:noSpellErr="1">
      <w:pPr>
        <w:spacing w:line="360" w:lineRule="auto"/>
        <w:jc w:val="both"/>
        <w:rPr>
          <w:rFonts w:ascii="Arial Nova" w:hAnsi="Arial Nova" w:eastAsia="Arial Nova" w:cs="Arial Nova"/>
          <w:sz w:val="24"/>
          <w:szCs w:val="24"/>
        </w:rPr>
      </w:pPr>
    </w:p>
    <w:p xmlns:wp14="http://schemas.microsoft.com/office/word/2010/wordml" w:rsidRPr="00636917" w:rsidR="00636917" w:rsidP="613084EC" w:rsidRDefault="00636917" w14:paraId="4B65537C" wp14:textId="77777777" wp14:noSpellErr="1">
      <w:pPr>
        <w:spacing w:line="360" w:lineRule="auto"/>
        <w:jc w:val="both"/>
        <w:rPr>
          <w:rFonts w:ascii="Arial Nova" w:hAnsi="Arial Nova" w:eastAsia="Arial Nova" w:cs="Arial Nova"/>
          <w:sz w:val="24"/>
          <w:szCs w:val="24"/>
        </w:rPr>
      </w:pPr>
      <w:r w:rsidRPr="613084EC" w:rsidR="00636917">
        <w:rPr>
          <w:rFonts w:ascii="Arial Nova" w:hAnsi="Arial Nova" w:eastAsia="Arial Nova" w:cs="Arial Nova"/>
          <w:sz w:val="24"/>
          <w:szCs w:val="24"/>
        </w:rPr>
        <w:t xml:space="preserve">As I prepared my presentation on the benefits of multilingualism and language awareness for hotel staff, I realized how much I still </w:t>
      </w:r>
      <w:r w:rsidRPr="613084EC" w:rsidR="00636917">
        <w:rPr>
          <w:rFonts w:ascii="Arial Nova" w:hAnsi="Arial Nova" w:eastAsia="Arial Nova" w:cs="Arial Nova"/>
          <w:sz w:val="24"/>
          <w:szCs w:val="24"/>
        </w:rPr>
        <w:t>have to</w:t>
      </w:r>
      <w:r w:rsidRPr="613084EC" w:rsidR="00636917">
        <w:rPr>
          <w:rFonts w:ascii="Arial Nova" w:hAnsi="Arial Nova" w:eastAsia="Arial Nova" w:cs="Arial Nova"/>
          <w:sz w:val="24"/>
          <w:szCs w:val="24"/>
        </w:rPr>
        <w:t xml:space="preserve"> learn. Initially, I focused narrowly on the business case for hotels to employ multilingual staff, thinking </w:t>
      </w:r>
      <w:bookmarkStart w:name="_Int_qMMv42IM" w:id="1111160726"/>
      <w:r w:rsidRPr="613084EC" w:rsidR="00636917">
        <w:rPr>
          <w:rFonts w:ascii="Arial Nova" w:hAnsi="Arial Nova" w:eastAsia="Arial Nova" w:cs="Arial Nova"/>
          <w:sz w:val="24"/>
          <w:szCs w:val="24"/>
        </w:rPr>
        <w:t>mainly of</w:t>
      </w:r>
      <w:bookmarkEnd w:id="1111160726"/>
      <w:r w:rsidRPr="613084EC" w:rsidR="00636917">
        <w:rPr>
          <w:rFonts w:ascii="Arial Nova" w:hAnsi="Arial Nova" w:eastAsia="Arial Nova" w:cs="Arial Nova"/>
          <w:sz w:val="24"/>
          <w:szCs w:val="24"/>
        </w:rPr>
        <w:t xml:space="preserve"> factors like increased revenue from international travelers. However, as I conducted research and consulted scholarly sources, I gained a deeper appreciation for the social and cognitive benefits of multilingualism, both for individuals and societies more broadly.</w:t>
      </w:r>
    </w:p>
    <w:p xmlns:wp14="http://schemas.microsoft.com/office/word/2010/wordml" w:rsidRPr="00636917" w:rsidR="00636917" w:rsidP="613084EC" w:rsidRDefault="00636917" w14:paraId="5DAB6C7B" wp14:textId="77777777" wp14:noSpellErr="1">
      <w:pPr>
        <w:spacing w:line="360" w:lineRule="auto"/>
        <w:jc w:val="both"/>
        <w:rPr>
          <w:rFonts w:ascii="Arial Nova" w:hAnsi="Arial Nova" w:eastAsia="Arial Nova" w:cs="Arial Nova"/>
          <w:sz w:val="24"/>
          <w:szCs w:val="24"/>
        </w:rPr>
      </w:pPr>
    </w:p>
    <w:p xmlns:wp14="http://schemas.microsoft.com/office/word/2010/wordml" w:rsidRPr="00636917" w:rsidR="00636917" w:rsidP="613084EC" w:rsidRDefault="00636917" w14:paraId="34678282" wp14:textId="77777777">
      <w:pPr>
        <w:spacing w:line="360" w:lineRule="auto"/>
        <w:jc w:val="both"/>
        <w:rPr>
          <w:rFonts w:ascii="Arial Nova" w:hAnsi="Arial Nova" w:eastAsia="Arial Nova" w:cs="Arial Nova"/>
          <w:sz w:val="24"/>
          <w:szCs w:val="24"/>
        </w:rPr>
      </w:pPr>
      <w:r w:rsidRPr="613084EC" w:rsidR="00636917">
        <w:rPr>
          <w:rFonts w:ascii="Times New Roman" w:hAnsi="Times New Roman" w:cs="Times New Roman"/>
          <w:sz w:val="24"/>
          <w:szCs w:val="24"/>
        </w:rPr>
        <w:t>Reading studies by psychologists like Ellen Bialystok (2017) opened my eyes to how multilingual exposure from childhood confers lifelong cognitive advantages, including improved executive control and working memory</w:t>
      </w:r>
      <w:r w:rsidRPr="613084EC" w:rsidR="00636917">
        <w:rPr>
          <w:rFonts w:ascii="Times New Roman" w:hAnsi="Times New Roman" w:cs="Times New Roman"/>
          <w:sz w:val="24"/>
          <w:szCs w:val="24"/>
        </w:rPr>
        <w:t xml:space="preserve"> </w:t>
      </w:r>
      <w:sdt>
        <w:sdtPr>
          <w:id w:val="-1523549375"/>
          <w:citation/>
          <w:placeholder>
            <w:docPart w:val="DefaultPlaceholder_1081868574"/>
          </w:placeholder>
          <w:rPr>
            <w:rFonts w:ascii="Times New Roman" w:hAnsi="Times New Roman" w:cs="Times New Roman"/>
            <w:sz w:val="24"/>
            <w:szCs w:val="24"/>
          </w:rPr>
        </w:sdtPr>
        <w:sdtContent>
          <w:r w:rsidRPr="613084EC">
            <w:rPr>
              <w:rFonts w:ascii="Times New Roman" w:hAnsi="Times New Roman" w:cs="Times New Roman"/>
              <w:sz w:val="24"/>
              <w:szCs w:val="24"/>
            </w:rPr>
            <w:fldChar w:fldCharType="begin"/>
          </w:r>
          <w:r w:rsidRPr="613084EC">
            <w:rPr>
              <w:rFonts w:ascii="Times New Roman" w:hAnsi="Times New Roman" w:cs="Times New Roman"/>
              <w:sz w:val="24"/>
              <w:szCs w:val="24"/>
            </w:rPr>
            <w:instrText xml:space="preserve"> CITATION Bia17 \l 1033 </w:instrText>
          </w:r>
          <w:r w:rsidRPr="613084EC">
            <w:rPr>
              <w:rFonts w:ascii="Times New Roman" w:hAnsi="Times New Roman" w:cs="Times New Roman"/>
              <w:sz w:val="24"/>
              <w:szCs w:val="24"/>
            </w:rPr>
            <w:fldChar w:fldCharType="separate"/>
          </w:r>
          <w:r w:rsidRPr="613084EC" w:rsidR="00636917">
            <w:rPr>
              <w:rFonts w:ascii="Times New Roman" w:hAnsi="Times New Roman" w:cs="Times New Roman"/>
              <w:noProof/>
              <w:sz w:val="24"/>
              <w:szCs w:val="24"/>
            </w:rPr>
            <w:t xml:space="preserve"> </w:t>
          </w:r>
          <w:r w:rsidRPr="613084EC" w:rsidR="00636917">
            <w:rPr>
              <w:rFonts w:ascii="Times New Roman" w:hAnsi="Times New Roman" w:cs="Times New Roman"/>
              <w:noProof/>
              <w:sz w:val="24"/>
              <w:szCs w:val="24"/>
            </w:rPr>
            <w:t>(Bialystok, 2017)</w:t>
          </w:r>
          <w:r w:rsidRPr="613084EC">
            <w:rPr>
              <w:rFonts w:ascii="Times New Roman" w:hAnsi="Times New Roman" w:cs="Times New Roman"/>
              <w:sz w:val="24"/>
              <w:szCs w:val="24"/>
            </w:rPr>
            <w:fldChar w:fldCharType="end"/>
          </w:r>
        </w:sdtContent>
        <w:sdtEndPr>
          <w:rPr>
            <w:rFonts w:ascii="Times New Roman" w:hAnsi="Times New Roman" w:cs="Times New Roman"/>
            <w:sz w:val="24"/>
            <w:szCs w:val="24"/>
          </w:rPr>
        </w:sdtEndPr>
      </w:sdt>
      <w:r w:rsidRPr="613084EC" w:rsidR="00636917">
        <w:rPr>
          <w:rFonts w:ascii="Times New Roman" w:hAnsi="Times New Roman" w:cs="Times New Roman"/>
          <w:sz w:val="24"/>
          <w:szCs w:val="24"/>
        </w:rPr>
        <w:t xml:space="preserve">. I had never considered these brain-based benefits before. Furthermore, research by sociolinguists like </w:t>
      </w:r>
      <w:r w:rsidRPr="613084EC" w:rsidR="00636917">
        <w:rPr>
          <w:rFonts w:ascii="Times New Roman" w:hAnsi="Times New Roman" w:cs="Times New Roman"/>
          <w:sz w:val="24"/>
          <w:szCs w:val="24"/>
        </w:rPr>
        <w:t>Aneta</w:t>
      </w:r>
      <w:r w:rsidRPr="613084EC" w:rsidR="00636917">
        <w:rPr>
          <w:rFonts w:ascii="Times New Roman" w:hAnsi="Times New Roman" w:cs="Times New Roman"/>
          <w:sz w:val="24"/>
          <w:szCs w:val="24"/>
        </w:rPr>
        <w:t xml:space="preserve"> </w:t>
      </w:r>
      <w:r w:rsidRPr="613084EC" w:rsidR="00636917">
        <w:rPr>
          <w:rFonts w:ascii="Times New Roman" w:hAnsi="Times New Roman" w:cs="Times New Roman"/>
          <w:sz w:val="24"/>
          <w:szCs w:val="24"/>
        </w:rPr>
        <w:t>Pavlenko</w:t>
      </w:r>
      <w:r w:rsidRPr="613084EC" w:rsidR="00636917">
        <w:rPr>
          <w:rFonts w:ascii="Times New Roman" w:hAnsi="Times New Roman" w:cs="Times New Roman"/>
          <w:sz w:val="24"/>
          <w:szCs w:val="24"/>
        </w:rPr>
        <w:t xml:space="preserve"> (2014) gave me new insight into the identity benefits of multilingualism, including increased openness to cultural diversity</w:t>
      </w:r>
      <w:sdt>
        <w:sdtPr>
          <w:id w:val="-1494402713"/>
          <w:citation/>
          <w:placeholder>
            <w:docPart w:val="DefaultPlaceholder_1081868574"/>
          </w:placeholder>
          <w:rPr>
            <w:rFonts w:ascii="Times New Roman" w:hAnsi="Times New Roman" w:cs="Times New Roman"/>
            <w:sz w:val="24"/>
            <w:szCs w:val="24"/>
          </w:rPr>
        </w:sdtPr>
        <w:sdtContent>
          <w:r w:rsidRPr="613084EC">
            <w:rPr>
              <w:rFonts w:ascii="Times New Roman" w:hAnsi="Times New Roman" w:cs="Times New Roman"/>
              <w:sz w:val="24"/>
              <w:szCs w:val="24"/>
            </w:rPr>
            <w:fldChar w:fldCharType="begin"/>
          </w:r>
          <w:r w:rsidRPr="613084EC">
            <w:rPr>
              <w:rFonts w:ascii="Times New Roman" w:hAnsi="Times New Roman" w:cs="Times New Roman"/>
              <w:sz w:val="24"/>
              <w:szCs w:val="24"/>
            </w:rPr>
            <w:instrText xml:space="preserve"> CITATION Pav14 \l 1033 </w:instrText>
          </w:r>
          <w:r w:rsidRPr="613084EC">
            <w:rPr>
              <w:rFonts w:ascii="Times New Roman" w:hAnsi="Times New Roman" w:cs="Times New Roman"/>
              <w:sz w:val="24"/>
              <w:szCs w:val="24"/>
            </w:rPr>
            <w:fldChar w:fldCharType="separate"/>
          </w:r>
          <w:r w:rsidRPr="613084EC" w:rsidR="00636917">
            <w:rPr>
              <w:rFonts w:ascii="Times New Roman" w:hAnsi="Times New Roman" w:cs="Times New Roman"/>
              <w:noProof/>
              <w:sz w:val="24"/>
              <w:szCs w:val="24"/>
            </w:rPr>
            <w:t xml:space="preserve"> </w:t>
          </w:r>
          <w:r w:rsidRPr="613084EC" w:rsidR="00636917">
            <w:rPr>
              <w:rFonts w:ascii="Times New Roman" w:hAnsi="Times New Roman" w:cs="Times New Roman"/>
              <w:noProof/>
              <w:sz w:val="24"/>
              <w:szCs w:val="24"/>
            </w:rPr>
            <w:t>(Pavlenko, 2014)</w:t>
          </w:r>
          <w:r w:rsidRPr="613084EC">
            <w:rPr>
              <w:rFonts w:ascii="Times New Roman" w:hAnsi="Times New Roman" w:cs="Times New Roman"/>
              <w:sz w:val="24"/>
              <w:szCs w:val="24"/>
            </w:rPr>
            <w:fldChar w:fldCharType="end"/>
          </w:r>
        </w:sdtContent>
        <w:sdtEndPr>
          <w:rPr>
            <w:rFonts w:ascii="Times New Roman" w:hAnsi="Times New Roman" w:cs="Times New Roman"/>
            <w:sz w:val="24"/>
            <w:szCs w:val="24"/>
          </w:rPr>
        </w:sdtEndPr>
      </w:sdt>
      <w:r w:rsidRPr="613084EC" w:rsidR="00636917">
        <w:rPr>
          <w:rFonts w:ascii="Times New Roman" w:hAnsi="Times New Roman" w:cs="Times New Roman"/>
          <w:sz w:val="24"/>
          <w:szCs w:val="24"/>
        </w:rPr>
        <w:t xml:space="preserve">. As someone who grew up monolingual, this helped me recognize my own limited worldview. Preparing the presentation required me to synthesize research from diverse fields I had never explored previously, including linguistics, education, psychology, and hospitality management. Making connections across these disciplines expanded my </w:t>
      </w:r>
      <w:bookmarkStart w:name="_Int_tWhWWlZm" w:id="1816499759"/>
      <w:r w:rsidRPr="613084EC" w:rsidR="00636917">
        <w:rPr>
          <w:rFonts w:ascii="Times New Roman" w:hAnsi="Times New Roman" w:cs="Times New Roman"/>
          <w:sz w:val="24"/>
          <w:szCs w:val="24"/>
        </w:rPr>
        <w:t>perspective substantially</w:t>
      </w:r>
      <w:bookmarkEnd w:id="1816499759"/>
      <w:r w:rsidRPr="613084EC" w:rsidR="00636917">
        <w:rPr>
          <w:rFonts w:ascii="Times New Roman" w:hAnsi="Times New Roman" w:cs="Times New Roman"/>
          <w:sz w:val="24"/>
          <w:szCs w:val="24"/>
        </w:rPr>
        <w:t>. For instance, I gained a better understanding of techniques like “</w:t>
      </w:r>
      <w:r w:rsidRPr="613084EC" w:rsidR="00636917">
        <w:rPr>
          <w:rFonts w:ascii="Times New Roman" w:hAnsi="Times New Roman" w:cs="Times New Roman"/>
          <w:sz w:val="24"/>
          <w:szCs w:val="24"/>
        </w:rPr>
        <w:t>translanguaging</w:t>
      </w:r>
      <w:r w:rsidRPr="613084EC" w:rsidR="00636917">
        <w:rPr>
          <w:rFonts w:ascii="Times New Roman" w:hAnsi="Times New Roman" w:cs="Times New Roman"/>
          <w:sz w:val="24"/>
          <w:szCs w:val="24"/>
        </w:rPr>
        <w:t>” and how supporting multilingual students' home languages in schools prepares them for service jobs requiring cultural sensitivity and communication skills in diverse languages</w:t>
      </w:r>
      <w:sdt>
        <w:sdtPr>
          <w:id w:val="-1227522850"/>
          <w:citation/>
          <w:placeholder>
            <w:docPart w:val="DefaultPlaceholder_1081868574"/>
          </w:placeholder>
          <w:rPr>
            <w:rFonts w:ascii="Times New Roman" w:hAnsi="Times New Roman" w:cs="Times New Roman"/>
            <w:sz w:val="24"/>
            <w:szCs w:val="24"/>
          </w:rPr>
        </w:sdtPr>
        <w:sdtContent>
          <w:r w:rsidRPr="613084EC">
            <w:rPr>
              <w:rFonts w:ascii="Times New Roman" w:hAnsi="Times New Roman" w:cs="Times New Roman"/>
              <w:sz w:val="24"/>
              <w:szCs w:val="24"/>
            </w:rPr>
            <w:fldChar w:fldCharType="begin"/>
          </w:r>
          <w:r w:rsidRPr="613084EC">
            <w:rPr>
              <w:rFonts w:ascii="Times New Roman" w:hAnsi="Times New Roman" w:cs="Times New Roman"/>
              <w:sz w:val="24"/>
              <w:szCs w:val="24"/>
            </w:rPr>
            <w:instrText xml:space="preserve"> CITATION Gar09 \l 1033 </w:instrText>
          </w:r>
          <w:r w:rsidRPr="613084EC">
            <w:rPr>
              <w:rFonts w:ascii="Times New Roman" w:hAnsi="Times New Roman" w:cs="Times New Roman"/>
              <w:sz w:val="24"/>
              <w:szCs w:val="24"/>
            </w:rPr>
            <w:fldChar w:fldCharType="separate"/>
          </w:r>
          <w:r w:rsidRPr="613084EC" w:rsidR="00636917">
            <w:rPr>
              <w:rFonts w:ascii="Times New Roman" w:hAnsi="Times New Roman" w:cs="Times New Roman"/>
              <w:noProof/>
              <w:sz w:val="24"/>
              <w:szCs w:val="24"/>
            </w:rPr>
            <w:t xml:space="preserve"> </w:t>
          </w:r>
          <w:r w:rsidRPr="613084EC" w:rsidR="00636917">
            <w:rPr>
              <w:rFonts w:ascii="Times New Roman" w:hAnsi="Times New Roman" w:cs="Times New Roman"/>
              <w:noProof/>
              <w:sz w:val="24"/>
              <w:szCs w:val="24"/>
            </w:rPr>
            <w:t>(García, 2009)</w:t>
          </w:r>
          <w:r w:rsidRPr="613084EC">
            <w:rPr>
              <w:rFonts w:ascii="Times New Roman" w:hAnsi="Times New Roman" w:cs="Times New Roman"/>
              <w:sz w:val="24"/>
              <w:szCs w:val="24"/>
            </w:rPr>
            <w:fldChar w:fldCharType="end"/>
          </w:r>
        </w:sdtContent>
        <w:sdtEndPr>
          <w:rPr>
            <w:rFonts w:ascii="Times New Roman" w:hAnsi="Times New Roman" w:cs="Times New Roman"/>
            <w:sz w:val="24"/>
            <w:szCs w:val="24"/>
          </w:rPr>
        </w:sdtEndPr>
      </w:sdt>
      <w:r w:rsidRPr="613084EC" w:rsidR="00636917">
        <w:rPr>
          <w:rFonts w:ascii="Times New Roman" w:hAnsi="Times New Roman" w:cs="Times New Roman"/>
          <w:sz w:val="24"/>
          <w:szCs w:val="24"/>
        </w:rPr>
        <w:t>.</w:t>
      </w:r>
    </w:p>
    <w:p xmlns:wp14="http://schemas.microsoft.com/office/word/2010/wordml" w:rsidRPr="00636917" w:rsidR="00636917" w:rsidP="613084EC" w:rsidRDefault="00636917" w14:paraId="19D242C3" wp14:textId="77777777" wp14:noSpellErr="1">
      <w:pPr>
        <w:spacing w:line="360" w:lineRule="auto"/>
        <w:jc w:val="both"/>
        <w:rPr>
          <w:rFonts w:ascii="Arial Nova" w:hAnsi="Arial Nova" w:eastAsia="Arial Nova" w:cs="Arial Nova"/>
          <w:sz w:val="24"/>
          <w:szCs w:val="24"/>
        </w:rPr>
      </w:pPr>
      <w:r w:rsidRPr="613084EC" w:rsidR="00636917">
        <w:rPr>
          <w:rFonts w:ascii="Arial Nova" w:hAnsi="Arial Nova" w:eastAsia="Arial Nova" w:cs="Arial Nova"/>
          <w:sz w:val="24"/>
          <w:szCs w:val="24"/>
        </w:rPr>
        <w:t xml:space="preserve">On a personal level, this experience pushed me outside my comfort zone to tackle a topic I initially knew little about. </w:t>
      </w:r>
      <w:r w:rsidRPr="613084EC" w:rsidR="00636917">
        <w:rPr>
          <w:rFonts w:ascii="Arial Nova" w:hAnsi="Arial Nova" w:eastAsia="Arial Nova" w:cs="Arial Nova"/>
          <w:sz w:val="24"/>
          <w:szCs w:val="24"/>
        </w:rPr>
        <w:t>I learned I should not avoid unfamiliar subjects just because they intimidate me at first.</w:t>
      </w:r>
      <w:r w:rsidRPr="613084EC" w:rsidR="00636917">
        <w:rPr>
          <w:rFonts w:ascii="Arial Nova" w:hAnsi="Arial Nova" w:eastAsia="Arial Nova" w:cs="Arial Nova"/>
          <w:sz w:val="24"/>
          <w:szCs w:val="24"/>
        </w:rPr>
        <w:t xml:space="preserve"> By persevering through the challenge, I expanded not just my knowledge, but my confidence in my ability to teach myself new material independently. This presentation taught me the value of intellectual curiosity and has motivated me to continue seeking out new areas to explore for my ongoing education and growth. Going forward, I aim to build on what I learned in several ways. First, I plan to continue researching multilingualism to gain an even deeper understanding of its benefits at cognitive and social levels. I intend to find more research studies </w:t>
      </w:r>
      <w:r w:rsidRPr="613084EC" w:rsidR="00636917">
        <w:rPr>
          <w:rFonts w:ascii="Arial Nova" w:hAnsi="Arial Nova" w:eastAsia="Arial Nova" w:cs="Arial Nova"/>
          <w:sz w:val="24"/>
          <w:szCs w:val="24"/>
        </w:rPr>
        <w:t xml:space="preserve">and theoretical perspectives from diverse experts, going beyond my current reading. Secondly, I aim to actively seek out more opportunities to curate and present information on topics outside my </w:t>
      </w:r>
      <w:r w:rsidRPr="613084EC" w:rsidR="00636917">
        <w:rPr>
          <w:rFonts w:ascii="Arial Nova" w:hAnsi="Arial Nova" w:eastAsia="Arial Nova" w:cs="Arial Nova"/>
          <w:sz w:val="24"/>
          <w:szCs w:val="24"/>
        </w:rPr>
        <w:t>expertise</w:t>
      </w:r>
      <w:r w:rsidRPr="613084EC" w:rsidR="00636917">
        <w:rPr>
          <w:rFonts w:ascii="Arial Nova" w:hAnsi="Arial Nova" w:eastAsia="Arial Nova" w:cs="Arial Nova"/>
          <w:sz w:val="24"/>
          <w:szCs w:val="24"/>
        </w:rPr>
        <w:t xml:space="preserve">, pushing myself to learn new fields. Though challenging, this will expand my worldview and skill set. </w:t>
      </w:r>
    </w:p>
    <w:p xmlns:wp14="http://schemas.microsoft.com/office/word/2010/wordml" w:rsidRPr="00636917" w:rsidR="00636917" w:rsidP="613084EC" w:rsidRDefault="00636917" w14:paraId="02EB378F" wp14:textId="77777777" wp14:noSpellErr="1">
      <w:pPr>
        <w:spacing w:line="360" w:lineRule="auto"/>
        <w:jc w:val="both"/>
        <w:rPr>
          <w:rFonts w:ascii="Arial Nova" w:hAnsi="Arial Nova" w:eastAsia="Arial Nova" w:cs="Arial Nova"/>
          <w:sz w:val="24"/>
          <w:szCs w:val="24"/>
        </w:rPr>
      </w:pPr>
    </w:p>
    <w:p xmlns:wp14="http://schemas.microsoft.com/office/word/2010/wordml" w:rsidRPr="00636917" w:rsidR="00636917" w:rsidP="613084EC" w:rsidRDefault="00636917" w14:paraId="2D1BB236" wp14:textId="77777777" wp14:noSpellErr="1">
      <w:pPr>
        <w:spacing w:line="360" w:lineRule="auto"/>
        <w:jc w:val="both"/>
        <w:rPr>
          <w:rFonts w:ascii="Arial Nova" w:hAnsi="Arial Nova" w:eastAsia="Arial Nova" w:cs="Arial Nova"/>
          <w:sz w:val="24"/>
          <w:szCs w:val="24"/>
        </w:rPr>
      </w:pPr>
      <w:r w:rsidRPr="613084EC" w:rsidR="00636917">
        <w:rPr>
          <w:rFonts w:ascii="Arial Nova" w:hAnsi="Arial Nova" w:eastAsia="Arial Nova" w:cs="Arial Nova"/>
          <w:sz w:val="24"/>
          <w:szCs w:val="24"/>
        </w:rPr>
        <w:t>Finally, I want to put the research into action at a practical level, exploring ways multilingualism might enhance my own life, workplace, and community, such as through foreign language learning or cross-cultural dialogue groups.</w:t>
      </w:r>
    </w:p>
    <w:p xmlns:wp14="http://schemas.microsoft.com/office/word/2010/wordml" w:rsidRPr="00636917" w:rsidR="00636917" w:rsidP="613084EC" w:rsidRDefault="00636917" w14:paraId="36C195FA" wp14:textId="4C4BF505">
      <w:pPr>
        <w:spacing w:line="360" w:lineRule="auto"/>
        <w:jc w:val="both"/>
        <w:rPr>
          <w:rFonts w:ascii="Arial Nova" w:hAnsi="Arial Nova" w:eastAsia="Arial Nova" w:cs="Arial Nova"/>
          <w:sz w:val="24"/>
          <w:szCs w:val="24"/>
        </w:rPr>
      </w:pPr>
      <w:r w:rsidRPr="613084EC" w:rsidR="00636917">
        <w:rPr>
          <w:rFonts w:ascii="Arial Nova" w:hAnsi="Arial Nova" w:eastAsia="Arial Nova" w:cs="Arial Nova"/>
          <w:sz w:val="24"/>
          <w:szCs w:val="24"/>
        </w:rPr>
        <w:t xml:space="preserve">The presentation experience inspired me to grow as a lifelong learner and global citizen. My perspectives broadened </w:t>
      </w:r>
      <w:r w:rsidRPr="613084EC" w:rsidR="11CDF8DC">
        <w:rPr>
          <w:rFonts w:ascii="Arial Nova" w:hAnsi="Arial Nova" w:eastAsia="Arial Nova" w:cs="Arial Nova"/>
          <w:sz w:val="24"/>
          <w:szCs w:val="24"/>
        </w:rPr>
        <w:t>significantly,</w:t>
      </w:r>
      <w:r w:rsidRPr="613084EC" w:rsidR="00636917">
        <w:rPr>
          <w:rFonts w:ascii="Arial Nova" w:hAnsi="Arial Nova" w:eastAsia="Arial Nova" w:cs="Arial Nova"/>
          <w:sz w:val="24"/>
          <w:szCs w:val="24"/>
        </w:rPr>
        <w:t xml:space="preserve"> and I developed new research and analysis skills I will continue honing. </w:t>
      </w:r>
      <w:r w:rsidRPr="613084EC" w:rsidR="00636917">
        <w:rPr>
          <w:rFonts w:ascii="Arial Nova" w:hAnsi="Arial Nova" w:eastAsia="Arial Nova" w:cs="Arial Nova"/>
          <w:sz w:val="24"/>
          <w:szCs w:val="24"/>
        </w:rPr>
        <w:t xml:space="preserve">While </w:t>
      </w:r>
      <w:r w:rsidRPr="613084EC" w:rsidR="00636917">
        <w:rPr>
          <w:rFonts w:ascii="Arial Nova" w:hAnsi="Arial Nova" w:eastAsia="Arial Nova" w:cs="Arial Nova"/>
          <w:sz w:val="24"/>
          <w:szCs w:val="24"/>
        </w:rPr>
        <w:t xml:space="preserve">the limited </w:t>
      </w:r>
      <w:r w:rsidRPr="613084EC" w:rsidR="00636917">
        <w:rPr>
          <w:rFonts w:ascii="Arial Nova" w:hAnsi="Arial Nova" w:eastAsia="Arial Nova" w:cs="Arial Nova"/>
          <w:sz w:val="24"/>
          <w:szCs w:val="24"/>
        </w:rPr>
        <w:t xml:space="preserve">words can only briefly summarize, the insights I gained about multilingualism's power to improve lives and connect cultures will stay with me well beyond completing this </w:t>
      </w:r>
      <w:r w:rsidRPr="613084EC" w:rsidR="00636917">
        <w:rPr>
          <w:rFonts w:ascii="Arial Nova" w:hAnsi="Arial Nova" w:eastAsia="Arial Nova" w:cs="Arial Nova"/>
          <w:sz w:val="24"/>
          <w:szCs w:val="24"/>
        </w:rPr>
        <w:t>essay</w:t>
      </w:r>
      <w:r w:rsidRPr="613084EC" w:rsidR="00636917">
        <w:rPr>
          <w:rFonts w:ascii="Arial Nova" w:hAnsi="Arial Nova" w:eastAsia="Arial Nova" w:cs="Arial Nova"/>
          <w:sz w:val="24"/>
          <w:szCs w:val="24"/>
        </w:rPr>
        <w:t>.</w:t>
      </w:r>
    </w:p>
    <w:p xmlns:wp14="http://schemas.microsoft.com/office/word/2010/wordml" w:rsidRPr="00636917" w:rsidR="00636917" w:rsidP="00636917" w:rsidRDefault="00636917" w14:paraId="6A05A809" wp14:textId="77777777">
      <w:pPr>
        <w:spacing w:line="360" w:lineRule="auto"/>
        <w:jc w:val="both"/>
        <w:rPr>
          <w:rFonts w:ascii="Times New Roman" w:hAnsi="Times New Roman" w:cs="Times New Roman"/>
          <w:sz w:val="24"/>
        </w:rPr>
      </w:pPr>
    </w:p>
    <w:p xmlns:wp14="http://schemas.microsoft.com/office/word/2010/wordml" w:rsidRPr="00636917" w:rsidR="00636917" w:rsidP="00636917" w:rsidRDefault="00636917" w14:paraId="5A39BBE3" wp14:textId="77777777">
      <w:pPr>
        <w:spacing w:line="360" w:lineRule="auto"/>
        <w:jc w:val="both"/>
        <w:rPr>
          <w:rFonts w:ascii="Times New Roman" w:hAnsi="Times New Roman" w:cs="Times New Roman"/>
          <w:sz w:val="24"/>
        </w:rPr>
      </w:pPr>
    </w:p>
    <w:sdt>
      <w:sdtPr>
        <w:id w:val="-1766761050"/>
        <w:docPartObj>
          <w:docPartGallery w:val="Bibliographies"/>
          <w:docPartUnique/>
        </w:docPartObj>
      </w:sdtPr>
      <w:sdtEndPr>
        <w:rPr>
          <w:rFonts w:asciiTheme="minorHAnsi" w:hAnsiTheme="minorHAnsi" w:eastAsiaTheme="minorHAnsi" w:cstheme="minorBidi"/>
          <w:color w:val="auto"/>
          <w:sz w:val="22"/>
          <w:szCs w:val="22"/>
        </w:rPr>
      </w:sdtEndPr>
      <w:sdtContent>
        <w:p xmlns:wp14="http://schemas.microsoft.com/office/word/2010/wordml" w:rsidR="00A01C7E" w:rsidP="613084EC" w:rsidRDefault="00A01C7E" w14:paraId="071E4E01" wp14:textId="0EBA9A88">
          <w:pPr>
            <w:pStyle w:val="Heading1"/>
            <w:rPr>
              <w:rFonts w:ascii="Times New Roman" w:hAnsi="Times New Roman" w:cs="Times New Roman"/>
              <w:sz w:val="24"/>
              <w:szCs w:val="24"/>
            </w:rPr>
          </w:pPr>
          <w:r w:rsidR="00A01C7E">
            <w:rPr/>
            <w:t>References</w:t>
          </w:r>
        </w:p>
        <w:sdt>
          <w:sdtPr>
            <w:id w:val="-573587230"/>
            <w:bibliography/>
          </w:sdtPr>
          <w:sdtContent>
            <w:p xmlns:wp14="http://schemas.microsoft.com/office/word/2010/wordml" w:rsidR="00A01C7E" w:rsidP="00A01C7E" w:rsidRDefault="00A01C7E" w14:paraId="5F1A3DDE" wp14:textId="77777777">
              <w:pPr>
                <w:pStyle w:val="Bibliography"/>
                <w:rPr>
                  <w:noProof/>
                  <w:sz w:val="24"/>
                  <w:szCs w:val="24"/>
                </w:rPr>
              </w:pPr>
              <w:r>
                <w:fldChar w:fldCharType="begin"/>
              </w:r>
              <w:r>
                <w:instrText xml:space="preserve"> BIBLIOGRAPHY </w:instrText>
              </w:r>
              <w:r>
                <w:fldChar w:fldCharType="separate"/>
              </w:r>
              <w:r>
                <w:rPr>
                  <w:noProof/>
                </w:rPr>
                <w:t xml:space="preserve">Bialystok, E., 2017. The bilingual adaptation: How minds accommodate experience. </w:t>
              </w:r>
              <w:r>
                <w:rPr>
                  <w:i/>
                  <w:iCs/>
                  <w:noProof/>
                </w:rPr>
                <w:t>Psychological Bulletin</w:t>
              </w:r>
              <w:r>
                <w:rPr>
                  <w:noProof/>
                </w:rPr>
                <w:t xml:space="preserve">. </w:t>
              </w:r>
            </w:p>
            <w:p xmlns:wp14="http://schemas.microsoft.com/office/word/2010/wordml" w:rsidR="00A01C7E" w:rsidP="00A01C7E" w:rsidRDefault="00A01C7E" w14:paraId="261C5130" wp14:textId="77777777">
              <w:pPr>
                <w:pStyle w:val="Bibliography"/>
                <w:rPr>
                  <w:noProof/>
                </w:rPr>
              </w:pPr>
              <w:r>
                <w:rPr>
                  <w:noProof/>
                </w:rPr>
                <w:t xml:space="preserve">García, O., 2009. </w:t>
              </w:r>
              <w:r>
                <w:rPr>
                  <w:i/>
                  <w:iCs/>
                  <w:noProof/>
                </w:rPr>
                <w:t xml:space="preserve">Bilingual education in the 21st century: A global perspective. </w:t>
              </w:r>
              <w:r>
                <w:rPr>
                  <w:noProof/>
                </w:rPr>
                <w:t>s.l.:Wiley-Blackwell.</w:t>
              </w:r>
            </w:p>
            <w:p xmlns:wp14="http://schemas.microsoft.com/office/word/2010/wordml" w:rsidR="00A01C7E" w:rsidP="00A01C7E" w:rsidRDefault="00A01C7E" w14:paraId="3D8F739F" wp14:textId="77777777" wp14:noSpellErr="1">
              <w:pPr>
                <w:pStyle w:val="Bibliography"/>
                <w:rPr>
                  <w:noProof/>
                </w:rPr>
              </w:pPr>
              <w:r w:rsidRPr="613084EC" w:rsidR="00A01C7E">
                <w:rPr>
                  <w:noProof/>
                </w:rPr>
                <w:t xml:space="preserve">Pavlenko, A., 2014. </w:t>
              </w:r>
              <w:bookmarkStart w:name="_Int_7Gn51KTB" w:id="357361005"/>
              <w:r w:rsidRPr="613084EC" w:rsidR="00A01C7E">
                <w:rPr>
                  <w:i w:val="1"/>
                  <w:iCs w:val="1"/>
                  <w:noProof/>
                </w:rPr>
                <w:t>The bilingual mind: And what it tells us about language and thought.</w:t>
              </w:r>
              <w:bookmarkEnd w:id="357361005"/>
              <w:r w:rsidRPr="613084EC" w:rsidR="00A01C7E">
                <w:rPr>
                  <w:i w:val="1"/>
                  <w:iCs w:val="1"/>
                  <w:noProof/>
                </w:rPr>
                <w:t xml:space="preserve"> </w:t>
              </w:r>
              <w:r w:rsidRPr="613084EC" w:rsidR="00A01C7E">
                <w:rPr>
                  <w:noProof/>
                </w:rPr>
                <w:t>s.l.:Cambridge University Press.</w:t>
              </w:r>
            </w:p>
            <w:p xmlns:wp14="http://schemas.microsoft.com/office/word/2010/wordml" w:rsidR="00A01C7E" w:rsidP="00A01C7E" w:rsidRDefault="00A01C7E" w14:paraId="72A3D3EC" wp14:textId="77777777">
              <w:r>
                <w:rPr>
                  <w:b/>
                  <w:bCs/>
                  <w:noProof/>
                </w:rPr>
                <w:fldChar w:fldCharType="end"/>
              </w:r>
            </w:p>
          </w:sdtContent>
        </w:sdt>
      </w:sdtContent>
    </w:sdt>
    <w:p xmlns:wp14="http://schemas.microsoft.com/office/word/2010/wordml" w:rsidRPr="00636917" w:rsidR="00636917" w:rsidP="00636917" w:rsidRDefault="00636917" w14:paraId="0D0B940D" wp14:textId="77777777">
      <w:pPr>
        <w:spacing w:line="360" w:lineRule="auto"/>
        <w:jc w:val="both"/>
        <w:rPr>
          <w:rFonts w:ascii="Times New Roman" w:hAnsi="Times New Roman" w:cs="Times New Roman"/>
          <w:sz w:val="24"/>
        </w:rPr>
      </w:pPr>
      <w:bookmarkStart w:name="_GoBack" w:id="0"/>
      <w:bookmarkEnd w:id="0"/>
    </w:p>
    <w:sectPr w:rsidRPr="00636917" w:rsidR="00636917">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intelligence2.xml><?xml version="1.0" encoding="utf-8"?>
<int2:intelligence xmlns:oel="http://schemas.microsoft.com/office/2019/extlst" xmlns:int2="http://schemas.microsoft.com/office/intelligence/2020/intelligence">
  <int2:observations>
    <int2:textHash int2:hashCode="A2QJcx4u/J1ADj" int2:id="P7vED2Yr">
      <int2:state int2:type="AugLoop_Text_Critique" int2:value="Rejected"/>
    </int2:textHash>
    <int2:bookmark int2:bookmarkName="_Int_7Gn51KTB" int2:invalidationBookmarkName="" int2:hashCode="0kGQIq+GfbuJgp" int2:id="w43w7fFt">
      <int2:extLst>
        <oel:ext uri="426473B9-03D8-482F-96C9-C2C85392BACA">
          <int2:similarityCritique int2:version="1" int2:context="The bilingual mind: And what it tells us about language and thought.">
            <int2:source int2:sourceType="Online" int2:sourceTitle="The Bilingual Mind: And What It Tells Us About Language and Thought" int2:sourceUrl="https://www.tandfonline.com/doi/full/10.1080/19313152.2017.1311169" int2:sourceSnippet="(2017). The Bilingual Mind: And What It Tells Us About Language and Thought. International Multilingual Research Journal: Vol. 11, No. 4, pp. 277-279.">
              <int2:suggestions int2:citationType="Inline">
                <int2:suggestion int2:citationStyle="Mla" int2:isIdentical="1">
                  <int2:citationText>(“The Bilingual Mind: And What It Tells Us About Language and Thought”)</int2:citationText>
                </int2:suggestion>
                <int2:suggestion int2:citationStyle="Apa" int2:isIdentical="1">
                  <int2:citationText>(“The Bilingual Mind: And What It Tells Us About Language and Thought”)</int2:citationText>
                </int2:suggestion>
                <int2:suggestion int2:citationStyle="Chicago" int2:isIdentical="1">
                  <int2:citationText>(“The Bilingual Mind: And What It Tells Us About Language and Thought”)</int2:citationText>
                </int2:suggestion>
              </int2:suggestions>
              <int2:suggestions int2:citationType="Full">
                <int2:suggestion int2:citationStyle="Mla" int2:isIdentical="1">
                  <int2:citationText>&lt;i&gt;The Bilingual Mind: And What It Tells Us About Language and Thought&lt;/i&gt;, https://www.tandfonline.com/doi/full/10.1080/19313152.2017.1311169.</int2:citationText>
                </int2:suggestion>
                <int2:suggestion int2:citationStyle="Apa" int2:isIdentical="1">
                  <int2:citationText>&lt;i&gt;The Bilingual Mind: And What It Tells Us About Language and Thought&lt;/i&gt;. (n.d.). Retrieved from https://www.tandfonline.com/doi/full/10.1080/19313152.2017.1311169</int2:citationText>
                </int2:suggestion>
                <int2:suggestion int2:citationStyle="Chicago" int2:isIdentical="1">
                  <int2:citationText>“The Bilingual Mind: And What It Tells Us About Language and Thought” n.d., https://www.tandfonline.com/doi/full/10.1080/19313152.2017.1311169.</int2:citationText>
                </int2:suggestion>
              </int2:suggestions>
            </int2:source>
            <int2:source int2:sourceType="Online" int2:sourceTitle="The Bilingual Mind: And What It Tells Us about Language And Thought ..." int2:sourceUrl="https://books.google.com/books/about/The_Bilingual_Mind.html?id=fxWTAgAAQBAJ" int2:sourceSnippet="The Bilingual Mind: And What It Tells Us about Language And Thought. Aneta Pavlenko. Cambridge University Press, Feb 6, 2014 - Language Arts &amp; Disciplines - 382 pages. If languages influence the way we think, do bilinguals think differently in their respective languages?">
              <int2:suggestions int2:citationType="Inline">
                <int2:suggestion int2:citationStyle="Mla" int2:isIdentical="1">
                  <int2:citationText>(“The Bilingual Mind: And What It Tells Us about Language And Thought ...”)</int2:citationText>
                </int2:suggestion>
                <int2:suggestion int2:citationStyle="Apa" int2:isIdentical="1">
                  <int2:citationText>(“The Bilingual Mind: And What It Tells Us about Language And Thought ...”)</int2:citationText>
                </int2:suggestion>
                <int2:suggestion int2:citationStyle="Chicago" int2:isIdentical="1">
                  <int2:citationText>(“The Bilingual Mind: And What It Tells Us about Language And Thought ...”)</int2:citationText>
                </int2:suggestion>
              </int2:suggestions>
              <int2:suggestions int2:citationType="Full">
                <int2:suggestion int2:citationStyle="Mla" int2:isIdentical="1">
                  <int2:citationText>&lt;i&gt;The Bilingual Mind: And What It Tells Us about Language And Thought ...&lt;/i&gt;, https://books.google.com/books/about/The_Bilingual_Mind.html?id=fxWTAgAAQBAJ.</int2:citationText>
                </int2:suggestion>
                <int2:suggestion int2:citationStyle="Apa" int2:isIdentical="1">
                  <int2:citationText>&lt;i&gt;The Bilingual Mind: And What It Tells Us about Language And Thought ...&lt;/i&gt;. (n.d.). Retrieved from https://books.google.com/books/about/The_Bilingual_Mind.html?id=fxWTAgAAQBAJ</int2:citationText>
                </int2:suggestion>
                <int2:suggestion int2:citationStyle="Chicago" int2:isIdentical="1">
                  <int2:citationText>“The Bilingual Mind: And What It Tells Us about Language And Thought ...” n.d., https://books.google.com/books/about/The_Bilingual_Mind.html?id=fxWTAgAAQBAJ.</int2:citationText>
                </int2:suggestion>
              </int2:suggestions>
            </int2:source>
            <int2:source int2:sourceType="Online" int2:sourceTitle="The Bilingual Mind | Psychology Today" int2:sourceUrl="https://www.psychologytoday.com/us/blog/life-bilingual/201310/the-bilingual-mind" int2:sourceSnippet="The Bilingual Mind And What It Tells Us About Language And Thought. Cambridge: Cambridge University Press. Cambridge: Cambridge University Press. &quot;Life as a bilingual&quot; posts by content area .">
              <int2:suggestions int2:citationType="Inline">
                <int2:suggestion int2:citationStyle="Mla" int2:isIdentical="0">
                  <int2:citationText>(“The Bilingual Mind | Psychology Today”)</int2:citationText>
                </int2:suggestion>
                <int2:suggestion int2:citationStyle="Apa" int2:isIdentical="0">
                  <int2:citationText>(“The Bilingual Mind | Psychology Today”)</int2:citationText>
                </int2:suggestion>
                <int2:suggestion int2:citationStyle="Chicago" int2:isIdentical="0">
                  <int2:citationText>(“The Bilingual Mind | Psychology Today”)</int2:citationText>
                </int2:suggestion>
              </int2:suggestions>
              <int2:suggestions int2:citationType="Full">
                <int2:suggestion int2:citationStyle="Mla" int2:isIdentical="0">
                  <int2:citationText>&lt;i&gt;The Bilingual Mind | Psychology Today&lt;/i&gt;, https://www.psychologytoday.com/us/blog/life-bilingual/201310/the-bilingual-mind.</int2:citationText>
                </int2:suggestion>
                <int2:suggestion int2:citationStyle="Apa" int2:isIdentical="0">
                  <int2:citationText>&lt;i&gt;The Bilingual Mind | Psychology Today&lt;/i&gt;. (n.d.). Retrieved from https://www.psychologytoday.com/us/blog/life-bilingual/201310/the-bilingual-mind</int2:citationText>
                </int2:suggestion>
                <int2:suggestion int2:citationStyle="Chicago" int2:isIdentical="0">
                  <int2:citationText>“The Bilingual Mind | Psychology Today” n.d., https://www.psychologytoday.com/us/blog/life-bilingual/201310/the-bilingual-mind.</int2:citationText>
                </int2:suggestion>
              </int2:suggestions>
            </int2:source>
          </int2:similarityCritique>
        </oel:ext>
      </int2:extLst>
    </int2:bookmark>
    <int2:bookmark int2:bookmarkName="_Int_qMMv42IM" int2:invalidationBookmarkName="" int2:hashCode="n0lXT2zH/iu2Ms" int2:id="lrb9onff">
      <int2:state int2:type="AugLoop_Text_Critique" int2:value="Rejected"/>
    </int2:bookmark>
    <int2:bookmark int2:bookmarkName="_Int_tWhWWlZm" int2:invalidationBookmarkName="" int2:hashCode="+Nj0J83tZAkZ9B" int2:id="TndPj9Eo">
      <int2:state int2:type="AugLoop_Text_Critique" int2:value="Rejected"/>
    </int2:bookmark>
    <int2:entireDocument int2:id="Tb37QTso">
      <int2:extLst>
        <oel:ext uri="E302BA01-7950-474C-9AD3-286E660C40A8">
          <int2:similaritySummary int2:version="1" int2:runId="1698667785560" int2:tilesCheckedInThisRun="18" int2:totalNumOfTiles="18" int2:similarityAnnotationCount="1" int2:numWords="556" int2:numFlaggedWords="12"/>
        </oel:ext>
      </int2:extLst>
    </int2:entireDocument>
  </int2:observations>
  <int2:intelligenceSettings/>
  <int2:onDemandWorkflows>
    <int2:onDemandWorkflow int2:type="SimilarityCheck" int2:paragraphVersions="6D55BC81-73305BAD 7C2FDCE9-37C97ABF 74501F0C-2B999ED8 497EB9FA-15EF5D72 105B5326-1FD0AEF3 5961E534-429496BE 20B1F8A2-61A6126A 30B81325-7C892CF8 70E5AF04-059C46F4 6D62D6E0-0BFEB61A 4A3077D0-48BB60A3 672A6659-77777777 6D4FD9BC-77777777 0A37501D-77777777 4B65537C-77777777 5DAB6C7B-77777777 34678282-77777777 19D242C3-77777777 02EB378F-77777777 2D1BB236-77777777 36C195FA-4C4BF505 6A05A809-77777777 5A39BBE3-77777777 41C8F396-77777777 071E4E01-77777777 5F1A3DDE-77777777 261C5130-77777777 3D8F739F-77777777 72A3D3EC-77777777 0D0B940D-77777777"/>
  </int2:onDemandWorkflows>
</int2:intelligenc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2CA"/>
    <w:rsid w:val="000542CA"/>
    <w:rsid w:val="002712C0"/>
    <w:rsid w:val="00636917"/>
    <w:rsid w:val="00A01C7E"/>
    <w:rsid w:val="11CDF8DC"/>
    <w:rsid w:val="36D4CDFA"/>
    <w:rsid w:val="408AF2D9"/>
    <w:rsid w:val="4226C33A"/>
    <w:rsid w:val="4226C33A"/>
    <w:rsid w:val="57EAF2BD"/>
    <w:rsid w:val="613084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DC9F5"/>
  <w15:chartTrackingRefBased/>
  <w15:docId w15:val="{AB09EF1D-2523-42FE-8EC4-F42A042E4F2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paragraph" w:styleId="Heading1">
    <w:name w:val="heading 1"/>
    <w:basedOn w:val="Normal"/>
    <w:next w:val="Normal"/>
    <w:link w:val="Heading1Char"/>
    <w:uiPriority w:val="9"/>
    <w:qFormat/>
    <w:rsid w:val="00A01C7E"/>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01C7E"/>
    <w:rPr>
      <w:rFonts w:asciiTheme="majorHAnsi" w:hAnsiTheme="majorHAnsi" w:eastAsiaTheme="majorEastAsia" w:cstheme="majorBidi"/>
      <w:color w:val="2E74B5" w:themeColor="accent1" w:themeShade="BF"/>
      <w:sz w:val="32"/>
      <w:szCs w:val="32"/>
    </w:rPr>
  </w:style>
  <w:style w:type="paragraph" w:styleId="Bibliography">
    <w:name w:val="Bibliography"/>
    <w:basedOn w:val="Normal"/>
    <w:next w:val="Normal"/>
    <w:uiPriority w:val="37"/>
    <w:unhideWhenUsed/>
    <w:rsid w:val="00A01C7E"/>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6338968">
      <w:bodyDiv w:val="1"/>
      <w:marLeft w:val="0"/>
      <w:marRight w:val="0"/>
      <w:marTop w:val="0"/>
      <w:marBottom w:val="0"/>
      <w:divBdr>
        <w:top w:val="none" w:sz="0" w:space="0" w:color="auto"/>
        <w:left w:val="none" w:sz="0" w:space="0" w:color="auto"/>
        <w:bottom w:val="none" w:sz="0" w:space="0" w:color="auto"/>
        <w:right w:val="none" w:sz="0" w:space="0" w:color="auto"/>
      </w:divBdr>
    </w:div>
    <w:div w:id="1101686426">
      <w:bodyDiv w:val="1"/>
      <w:marLeft w:val="0"/>
      <w:marRight w:val="0"/>
      <w:marTop w:val="0"/>
      <w:marBottom w:val="0"/>
      <w:divBdr>
        <w:top w:val="none" w:sz="0" w:space="0" w:color="auto"/>
        <w:left w:val="none" w:sz="0" w:space="0" w:color="auto"/>
        <w:bottom w:val="none" w:sz="0" w:space="0" w:color="auto"/>
        <w:right w:val="none" w:sz="0" w:space="0" w:color="auto"/>
      </w:divBdr>
    </w:div>
    <w:div w:id="1523132308">
      <w:bodyDiv w:val="1"/>
      <w:marLeft w:val="0"/>
      <w:marRight w:val="0"/>
      <w:marTop w:val="0"/>
      <w:marBottom w:val="0"/>
      <w:divBdr>
        <w:top w:val="none" w:sz="0" w:space="0" w:color="auto"/>
        <w:left w:val="none" w:sz="0" w:space="0" w:color="auto"/>
        <w:bottom w:val="none" w:sz="0" w:space="0" w:color="auto"/>
        <w:right w:val="none" w:sz="0" w:space="0" w:color="auto"/>
      </w:divBdr>
    </w:div>
    <w:div w:id="1809855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glossaryDocument" Target="glossary/document.xml" Id="R8a48ba4823a74438" /><Relationship Type="http://schemas.microsoft.com/office/2020/10/relationships/intelligence" Target="intelligence2.xml" Id="R204209513f2a4e2f"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4ebedf9-4eb9-4834-b896-c6df30275e09}"/>
      </w:docPartPr>
      <w:docPartBody>
        <w:p w14:paraId="6CEA5ACE">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Bia17</b:Tag>
    <b:SourceType>ArticleInAPeriodical</b:SourceType>
    <b:Guid>{428140C1-B055-483F-B058-9F77570EB689}</b:Guid>
    <b:Author>
      <b:Author>
        <b:NameList>
          <b:Person>
            <b:Last>Bialystok</b:Last>
            <b:First>E.</b:First>
          </b:Person>
        </b:NameList>
      </b:Author>
    </b:Author>
    <b:Title>The bilingual adaptation: How minds accommodate experience</b:Title>
    <b:Year>2017</b:Year>
    <b:PeriodicalTitle>Psychological Bulletin</b:PeriodicalTitle>
    <b:RefOrder>1</b:RefOrder>
  </b:Source>
  <b:Source>
    <b:Tag>Gar09</b:Tag>
    <b:SourceType>Book</b:SourceType>
    <b:Guid>{33652075-F6AD-4B57-8ECD-DE862C26147E}</b:Guid>
    <b:Author>
      <b:Author>
        <b:NameList>
          <b:Person>
            <b:Last>García</b:Last>
            <b:First>O.</b:First>
          </b:Person>
        </b:NameList>
      </b:Author>
    </b:Author>
    <b:Title>Bilingual education in the 21st century: A global perspective</b:Title>
    <b:Year>2009</b:Year>
    <b:Publisher>Wiley-Blackwell</b:Publisher>
    <b:RefOrder>3</b:RefOrder>
  </b:Source>
  <b:Source>
    <b:Tag>Pav14</b:Tag>
    <b:SourceType>Book</b:SourceType>
    <b:Guid>{A5E9C601-0ED9-4BFC-BB40-0AFB42FCBF26}</b:Guid>
    <b:Author>
      <b:Author>
        <b:NameList>
          <b:Person>
            <b:Last>Pavlenko</b:Last>
            <b:First>A.</b:First>
          </b:Person>
        </b:NameList>
      </b:Author>
    </b:Author>
    <b:Title>The bilingual mind: And what it tells us about language and thought</b:Title>
    <b:Year>2014</b:Year>
    <b:Publisher>Cambridge University Press</b:Publisher>
    <b:RefOrder>2</b:RefOrder>
  </b:Source>
</b:Sources>
</file>

<file path=customXml/itemProps1.xml><?xml version="1.0" encoding="utf-8"?>
<ds:datastoreItem xmlns:ds="http://schemas.openxmlformats.org/officeDocument/2006/customXml" ds:itemID="{EC54DEA1-903D-4DFF-97A4-1D89C0EFD35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MD ARIFUR RAHMAN</dc:creator>
  <keywords/>
  <dc:description/>
  <lastModifiedBy>Ratna Begum (1919090)</lastModifiedBy>
  <revision>4</revision>
  <dcterms:created xsi:type="dcterms:W3CDTF">2023-10-26T01:38:00.0000000Z</dcterms:created>
  <dcterms:modified xsi:type="dcterms:W3CDTF">2023-10-30T12:11:41.5858364Z</dcterms:modified>
</coreProperties>
</file>