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ptos" w:cs="Aptos" w:eastAsia="Aptos" w:hAnsi="Aptos"/>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ptos" w:cs="Aptos" w:eastAsia="Aptos" w:hAnsi="Aptos"/>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3">
      <w:pPr>
        <w:spacing w:after="0" w:line="240" w:lineRule="auto"/>
        <w:rPr>
          <w:rFonts w:ascii="Calibri" w:cs="Calibri" w:eastAsia="Calibri" w:hAnsi="Calibri"/>
          <w:sz w:val="2"/>
          <w:szCs w:val="2"/>
        </w:rPr>
      </w:pPr>
      <w:r w:rsidDel="00000000" w:rsidR="00000000" w:rsidRPr="00000000">
        <w:rPr>
          <w:rtl w:val="0"/>
        </w:rPr>
      </w:r>
    </w:p>
    <w:p w:rsidR="00000000" w:rsidDel="00000000" w:rsidP="00000000" w:rsidRDefault="00000000" w:rsidRPr="00000000" w14:paraId="00000004">
      <w:pPr>
        <w:pBdr>
          <w:top w:color="156082" w:space="10" w:sz="4" w:val="single"/>
          <w:bottom w:color="156082" w:space="26" w:sz="4" w:val="single"/>
        </w:pBdr>
        <w:spacing w:after="360" w:before="360" w:lineRule="auto"/>
        <w:ind w:left="864" w:right="864" w:firstLine="0"/>
        <w:rPr>
          <w:rFonts w:ascii="Calibri" w:cs="Calibri" w:eastAsia="Calibri" w:hAnsi="Calibri"/>
          <w:i w:val="1"/>
          <w:color w:val="156082"/>
        </w:rPr>
      </w:pPr>
      <w:r w:rsidDel="00000000" w:rsidR="00000000" w:rsidRPr="00000000">
        <w:rPr>
          <w:rFonts w:ascii="Calibri" w:cs="Calibri" w:eastAsia="Calibri" w:hAnsi="Calibri"/>
          <w:i w:val="1"/>
          <w:color w:val="156082"/>
          <w:rtl w:val="0"/>
        </w:rPr>
        <w:br w:type="textWrapping"/>
      </w:r>
      <w:r w:rsidDel="00000000" w:rsidR="00000000" w:rsidRPr="00000000">
        <w:drawing>
          <wp:anchor allowOverlap="1" behindDoc="0" distB="0" distT="0" distL="114300" distR="114300" hidden="0" layoutInCell="1" locked="0" relativeHeight="0" simplePos="0">
            <wp:simplePos x="0" y="0"/>
            <wp:positionH relativeFrom="column">
              <wp:posOffset>2</wp:posOffset>
            </wp:positionH>
            <wp:positionV relativeFrom="paragraph">
              <wp:posOffset>0</wp:posOffset>
            </wp:positionV>
            <wp:extent cx="2697714" cy="891617"/>
            <wp:effectExtent b="0" l="0" r="0" t="0"/>
            <wp:wrapSquare wrapText="bothSides" distB="0" distT="0" distL="114300" distR="114300"/>
            <wp:docPr descr="A close up of black text&#10;&#10;Description automatically generated" id="2135516597" name="image7.png"/>
            <a:graphic>
              <a:graphicData uri="http://schemas.openxmlformats.org/drawingml/2006/picture">
                <pic:pic>
                  <pic:nvPicPr>
                    <pic:cNvPr descr="A close up of black text&#10;&#10;Description automatically generated" id="0" name="image7.png"/>
                    <pic:cNvPicPr preferRelativeResize="0"/>
                  </pic:nvPicPr>
                  <pic:blipFill>
                    <a:blip r:embed="rId7"/>
                    <a:srcRect b="0" l="0" r="0" t="0"/>
                    <a:stretch>
                      <a:fillRect/>
                    </a:stretch>
                  </pic:blipFill>
                  <pic:spPr>
                    <a:xfrm>
                      <a:off x="0" y="0"/>
                      <a:ext cx="2697714" cy="891617"/>
                    </a:xfrm>
                    <a:prstGeom prst="rect"/>
                    <a:ln/>
                  </pic:spPr>
                </pic:pic>
              </a:graphicData>
            </a:graphic>
          </wp:anchor>
        </w:drawing>
      </w:r>
    </w:p>
    <w:p w:rsidR="00000000" w:rsidDel="00000000" w:rsidP="00000000" w:rsidRDefault="00000000" w:rsidRPr="00000000" w14:paraId="00000005">
      <w:pPr>
        <w:pBdr>
          <w:top w:color="156082" w:space="10" w:sz="4" w:val="single"/>
          <w:bottom w:color="156082" w:space="26" w:sz="4" w:val="single"/>
        </w:pBdr>
        <w:spacing w:after="360" w:before="360" w:lineRule="auto"/>
        <w:ind w:left="864" w:right="864" w:firstLine="0"/>
        <w:jc w:val="center"/>
        <w:rPr>
          <w:rFonts w:ascii="Arial" w:cs="Arial" w:eastAsia="Arial" w:hAnsi="Arial"/>
          <w:b w:val="1"/>
          <w:i w:val="1"/>
          <w:color w:val="156082"/>
          <w:sz w:val="36"/>
          <w:szCs w:val="36"/>
        </w:rPr>
      </w:pPr>
      <w:r w:rsidDel="00000000" w:rsidR="00000000" w:rsidRPr="00000000">
        <w:rPr>
          <w:rFonts w:ascii="Arial" w:cs="Arial" w:eastAsia="Arial" w:hAnsi="Arial"/>
          <w:b w:val="1"/>
          <w:smallCaps w:val="1"/>
          <w:color w:val="156082"/>
          <w:sz w:val="36"/>
          <w:szCs w:val="36"/>
          <w:rtl w:val="0"/>
        </w:rPr>
        <w:t xml:space="preserve">International Hotel Management</w:t>
      </w:r>
      <w:r w:rsidDel="00000000" w:rsidR="00000000" w:rsidRPr="00000000">
        <w:rPr>
          <w:rtl w:val="0"/>
        </w:rPr>
      </w:r>
    </w:p>
    <w:p w:rsidR="00000000" w:rsidDel="00000000" w:rsidP="00000000" w:rsidRDefault="00000000" w:rsidRPr="00000000" w14:paraId="00000006">
      <w:pPr>
        <w:rPr>
          <w:rFonts w:ascii="Arial" w:cs="Arial" w:eastAsia="Arial" w:hAnsi="Arial"/>
        </w:rPr>
      </w:pPr>
      <w:r w:rsidDel="00000000" w:rsidR="00000000" w:rsidRPr="00000000">
        <w:rPr>
          <w:rtl w:val="0"/>
        </w:rPr>
      </w:r>
    </w:p>
    <w:p w:rsidR="00000000" w:rsidDel="00000000" w:rsidP="00000000" w:rsidRDefault="00000000" w:rsidRPr="00000000" w14:paraId="00000007">
      <w:pPr>
        <w:jc w:val="center"/>
        <w:rPr>
          <w:rFonts w:ascii="Arial" w:cs="Arial" w:eastAsia="Arial" w:hAnsi="Arial"/>
        </w:rPr>
      </w:pPr>
      <w:r w:rsidDel="00000000" w:rsidR="00000000" w:rsidRPr="00000000">
        <w:rPr>
          <w:rtl w:val="0"/>
        </w:rPr>
      </w:r>
    </w:p>
    <w:p w:rsidR="00000000" w:rsidDel="00000000" w:rsidP="00000000" w:rsidRDefault="00000000" w:rsidRPr="00000000" w14:paraId="00000008">
      <w:pPr>
        <w:jc w:val="center"/>
        <w:rPr>
          <w:rFonts w:ascii="Arial" w:cs="Arial" w:eastAsia="Arial" w:hAnsi="Arial"/>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rtl w:val="0"/>
        </w:rPr>
        <w:t xml:space="preserve">BMIH6005 </w:t>
      </w:r>
      <w:r w:rsidDel="00000000" w:rsidR="00000000" w:rsidRPr="00000000">
        <w:rPr>
          <w:rtl w:val="0"/>
        </w:rPr>
      </w:r>
    </w:p>
    <w:p w:rsidR="00000000" w:rsidDel="00000000" w:rsidP="00000000" w:rsidRDefault="00000000" w:rsidRPr="00000000" w14:paraId="00000009">
      <w:pPr>
        <w:jc w:val="center"/>
        <w:rPr>
          <w:rFonts w:ascii="Arial" w:cs="Arial" w:eastAsia="Arial" w:hAnsi="Arial"/>
        </w:rPr>
      </w:pPr>
      <w:r w:rsidDel="00000000" w:rsidR="00000000" w:rsidRPr="00000000">
        <w:rPr>
          <w:rFonts w:ascii="Arial" w:cs="Arial" w:eastAsia="Arial" w:hAnsi="Arial"/>
          <w:b w:val="1"/>
          <w:rtl w:val="0"/>
        </w:rPr>
        <w:t xml:space="preserve">Organisational Consultancy</w:t>
      </w:r>
      <w:r w:rsidDel="00000000" w:rsidR="00000000" w:rsidRPr="00000000">
        <w:rPr>
          <w:rtl w:val="0"/>
        </w:rPr>
      </w:r>
    </w:p>
    <w:p w:rsidR="00000000" w:rsidDel="00000000" w:rsidP="00000000" w:rsidRDefault="00000000" w:rsidRPr="00000000" w14:paraId="0000000A">
      <w:pPr>
        <w:jc w:val="center"/>
        <w:rPr>
          <w:rFonts w:ascii="Arial" w:cs="Arial" w:eastAsia="Arial" w:hAnsi="Arial"/>
        </w:rPr>
      </w:pPr>
      <w:r w:rsidDel="00000000" w:rsidR="00000000" w:rsidRPr="00000000">
        <w:rPr>
          <w:rtl w:val="0"/>
        </w:rPr>
      </w:r>
    </w:p>
    <w:p w:rsidR="00000000" w:rsidDel="00000000" w:rsidP="00000000" w:rsidRDefault="00000000" w:rsidRPr="00000000" w14:paraId="0000000B">
      <w:pPr>
        <w:jc w:val="center"/>
        <w:rPr>
          <w:rFonts w:ascii="Arial" w:cs="Arial" w:eastAsia="Arial" w:hAnsi="Arial"/>
        </w:rPr>
      </w:pPr>
      <w:r w:rsidDel="00000000" w:rsidR="00000000" w:rsidRPr="00000000">
        <w:rPr>
          <w:rtl w:val="0"/>
        </w:rPr>
      </w:r>
    </w:p>
    <w:p w:rsidR="00000000" w:rsidDel="00000000" w:rsidP="00000000" w:rsidRDefault="00000000" w:rsidRPr="00000000" w14:paraId="0000000C">
      <w:pPr>
        <w:jc w:val="center"/>
        <w:rPr>
          <w:rFonts w:ascii="Arial" w:cs="Arial" w:eastAsia="Arial" w:hAnsi="Arial"/>
          <w:b w:val="1"/>
          <w:color w:val="156082"/>
        </w:rPr>
      </w:pPr>
      <w:r w:rsidDel="00000000" w:rsidR="00000000" w:rsidRPr="00000000">
        <w:rPr>
          <w:rFonts w:ascii="Arial" w:cs="Arial" w:eastAsia="Arial" w:hAnsi="Arial"/>
          <w:b w:val="1"/>
          <w:color w:val="156082"/>
          <w:rtl w:val="0"/>
        </w:rPr>
        <w:t xml:space="preserve">Consultancy Report on Enhancing Guest Experience and Operational Efficiency at Hilton Paris Opera</w:t>
      </w:r>
    </w:p>
    <w:p w:rsidR="00000000" w:rsidDel="00000000" w:rsidP="00000000" w:rsidRDefault="00000000" w:rsidRPr="00000000" w14:paraId="0000000D">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E">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F">
      <w:pPr>
        <w:rPr>
          <w:rFonts w:ascii="Arial" w:cs="Arial" w:eastAsia="Arial" w:hAnsi="Arial"/>
          <w:b w:val="1"/>
        </w:rPr>
      </w:pPr>
      <w:r w:rsidDel="00000000" w:rsidR="00000000" w:rsidRPr="00000000">
        <w:rPr>
          <w:rtl w:val="0"/>
        </w:rPr>
      </w:r>
    </w:p>
    <w:p w:rsidR="00000000" w:rsidDel="00000000" w:rsidP="00000000" w:rsidRDefault="00000000" w:rsidRPr="00000000" w14:paraId="00000010">
      <w:pPr>
        <w:rPr>
          <w:rFonts w:ascii="Arial" w:cs="Arial" w:eastAsia="Arial" w:hAnsi="Arial"/>
          <w:b w:val="1"/>
        </w:rPr>
      </w:pPr>
      <w:r w:rsidDel="00000000" w:rsidR="00000000" w:rsidRPr="00000000">
        <w:rPr>
          <w:rFonts w:ascii="Arial" w:cs="Arial" w:eastAsia="Arial" w:hAnsi="Arial"/>
          <w:b w:val="1"/>
          <w:rtl w:val="0"/>
        </w:rPr>
        <w:t xml:space="preserve">Student Name: Georgiana Poteaca</w:t>
      </w:r>
    </w:p>
    <w:p w:rsidR="00000000" w:rsidDel="00000000" w:rsidP="00000000" w:rsidRDefault="00000000" w:rsidRPr="00000000" w14:paraId="00000011">
      <w:pPr>
        <w:rPr>
          <w:rFonts w:ascii="Arial" w:cs="Arial" w:eastAsia="Arial" w:hAnsi="Arial"/>
          <w:b w:val="1"/>
        </w:rPr>
      </w:pPr>
      <w:r w:rsidDel="00000000" w:rsidR="00000000" w:rsidRPr="00000000">
        <w:rPr>
          <w:rFonts w:ascii="Arial" w:cs="Arial" w:eastAsia="Arial" w:hAnsi="Arial"/>
          <w:b w:val="1"/>
          <w:rtl w:val="0"/>
        </w:rPr>
        <w:t xml:space="preserve">Student ID: 2206484</w:t>
      </w:r>
    </w:p>
    <w:p w:rsidR="00000000" w:rsidDel="00000000" w:rsidP="00000000" w:rsidRDefault="00000000" w:rsidRPr="00000000" w14:paraId="00000012">
      <w:pPr>
        <w:rPr>
          <w:rFonts w:ascii="Arial" w:cs="Arial" w:eastAsia="Arial" w:hAnsi="Arial"/>
          <w:b w:val="1"/>
        </w:rPr>
      </w:pPr>
      <w:r w:rsidDel="00000000" w:rsidR="00000000" w:rsidRPr="00000000">
        <w:rPr>
          <w:rFonts w:ascii="Arial" w:cs="Arial" w:eastAsia="Arial" w:hAnsi="Arial"/>
          <w:b w:val="1"/>
          <w:rtl w:val="0"/>
        </w:rPr>
        <w:t xml:space="preserve">Tutor's Name:  Jaliya De Silva</w:t>
      </w:r>
    </w:p>
    <w:p w:rsidR="00000000" w:rsidDel="00000000" w:rsidP="00000000" w:rsidRDefault="00000000" w:rsidRPr="00000000" w14:paraId="00000013">
      <w:pPr>
        <w:rPr>
          <w:rFonts w:ascii="Arial" w:cs="Arial" w:eastAsia="Arial" w:hAnsi="Arial"/>
          <w:b w:val="1"/>
        </w:rPr>
      </w:pPr>
      <w:r w:rsidDel="00000000" w:rsidR="00000000" w:rsidRPr="00000000">
        <w:rPr>
          <w:rtl w:val="0"/>
        </w:rPr>
      </w:r>
    </w:p>
    <w:p w:rsidR="00000000" w:rsidDel="00000000" w:rsidP="00000000" w:rsidRDefault="00000000" w:rsidRPr="00000000" w14:paraId="00000014">
      <w:pPr>
        <w:rPr>
          <w:rFonts w:ascii="Arial" w:cs="Arial" w:eastAsia="Arial" w:hAnsi="Arial"/>
        </w:rPr>
      </w:pPr>
      <w:r w:rsidDel="00000000" w:rsidR="00000000" w:rsidRPr="00000000">
        <w:rPr>
          <w:rtl w:val="0"/>
        </w:rPr>
      </w:r>
    </w:p>
    <w:p w:rsidR="00000000" w:rsidDel="00000000" w:rsidP="00000000" w:rsidRDefault="00000000" w:rsidRPr="00000000" w14:paraId="00000015">
      <w:pPr>
        <w:rPr>
          <w:rFonts w:ascii="Arial" w:cs="Arial" w:eastAsia="Arial" w:hAnsi="Arial"/>
        </w:rPr>
      </w:pPr>
      <w:r w:rsidDel="00000000" w:rsidR="00000000" w:rsidRPr="00000000">
        <w:rPr>
          <w:rtl w:val="0"/>
        </w:rPr>
      </w:r>
    </w:p>
    <w:p w:rsidR="00000000" w:rsidDel="00000000" w:rsidP="00000000" w:rsidRDefault="00000000" w:rsidRPr="00000000" w14:paraId="00000016">
      <w:pPr>
        <w:pBdr>
          <w:top w:color="156082" w:space="10" w:sz="4" w:val="single"/>
          <w:bottom w:color="156082" w:space="10" w:sz="4" w:val="single"/>
        </w:pBdr>
        <w:spacing w:after="360" w:before="360" w:lineRule="auto"/>
        <w:ind w:left="864" w:right="864" w:firstLine="0"/>
        <w:jc w:val="center"/>
        <w:rPr>
          <w:rFonts w:ascii="Arial" w:cs="Arial" w:eastAsia="Arial" w:hAnsi="Arial"/>
          <w:i w:val="1"/>
          <w:color w:val="156082"/>
          <w:sz w:val="32"/>
          <w:szCs w:val="32"/>
        </w:rPr>
      </w:pPr>
      <w:r w:rsidDel="00000000" w:rsidR="00000000" w:rsidRPr="00000000">
        <w:rPr>
          <w:rFonts w:ascii="Arial" w:cs="Arial" w:eastAsia="Arial" w:hAnsi="Arial"/>
          <w:i w:val="1"/>
          <w:color w:val="156082"/>
          <w:sz w:val="32"/>
          <w:szCs w:val="32"/>
          <w:rtl w:val="0"/>
        </w:rPr>
        <w:t xml:space="preserve">Consultancy report</w:t>
      </w:r>
    </w:p>
    <w:p w:rsidR="00000000" w:rsidDel="00000000" w:rsidP="00000000" w:rsidRDefault="00000000" w:rsidRPr="00000000" w14:paraId="00000017">
      <w:pPr>
        <w:spacing w:line="259" w:lineRule="auto"/>
        <w:rPr>
          <w:rFonts w:ascii="Arial" w:cs="Arial" w:eastAsia="Arial" w:hAnsi="Arial"/>
          <w:b w:val="1"/>
        </w:rPr>
      </w:pPr>
      <w:r w:rsidDel="00000000" w:rsidR="00000000" w:rsidRPr="00000000">
        <w:rPr>
          <w:rtl w:val="0"/>
        </w:rPr>
      </w:r>
    </w:p>
    <w:p w:rsidR="00000000" w:rsidDel="00000000" w:rsidP="00000000" w:rsidRDefault="00000000" w:rsidRPr="00000000" w14:paraId="00000018">
      <w:pPr>
        <w:pStyle w:val="Heading1"/>
        <w:spacing w:line="360" w:lineRule="auto"/>
        <w:jc w:val="center"/>
        <w:rPr>
          <w:rFonts w:ascii="Calibri" w:cs="Calibri" w:eastAsia="Calibri" w:hAnsi="Calibri"/>
        </w:rPr>
      </w:pPr>
      <w:r w:rsidDel="00000000" w:rsidR="00000000" w:rsidRPr="00000000">
        <w:rPr>
          <w:rFonts w:ascii="Calibri" w:cs="Calibri" w:eastAsia="Calibri" w:hAnsi="Calibri"/>
          <w:rtl w:val="0"/>
        </w:rPr>
        <w:t xml:space="preserve">Consultancy Report on Enhancing Guest Experience and Operational Efficiency at Hilton London</w:t>
      </w:r>
    </w:p>
    <w:p w:rsidR="00000000" w:rsidDel="00000000" w:rsidP="00000000" w:rsidRDefault="00000000" w:rsidRPr="00000000" w14:paraId="00000019">
      <w:pPr>
        <w:spacing w:line="240" w:lineRule="auto"/>
        <w:jc w:val="both"/>
        <w:rPr>
          <w:rFonts w:ascii="Calibri" w:cs="Calibri" w:eastAsia="Calibri" w:hAnsi="Calibri"/>
        </w:rPr>
      </w:pPr>
      <w:r w:rsidDel="00000000" w:rsidR="00000000" w:rsidRPr="00000000">
        <w:rPr>
          <w:rFonts w:ascii="Calibri" w:cs="Calibri" w:eastAsia="Calibri" w:hAnsi="Calibri"/>
          <w:b w:val="1"/>
          <w:rtl w:val="0"/>
        </w:rPr>
        <w:t xml:space="preserve">Table of Contents</w:t>
      </w:r>
      <w:r w:rsidDel="00000000" w:rsidR="00000000" w:rsidRPr="00000000">
        <w:rPr>
          <w:rtl w:val="0"/>
        </w:rPr>
      </w:r>
    </w:p>
    <w:p w:rsidR="00000000" w:rsidDel="00000000" w:rsidP="00000000" w:rsidRDefault="00000000" w:rsidRPr="00000000" w14:paraId="0000001A">
      <w:pPr>
        <w:numPr>
          <w:ilvl w:val="0"/>
          <w:numId w:val="1"/>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Executive Summary  .................................................................................................. 2</w:t>
      </w:r>
      <w:r w:rsidDel="00000000" w:rsidR="00000000" w:rsidRPr="00000000">
        <w:rPr>
          <w:rtl w:val="0"/>
        </w:rPr>
      </w:r>
    </w:p>
    <w:p w:rsidR="00000000" w:rsidDel="00000000" w:rsidP="00000000" w:rsidRDefault="00000000" w:rsidRPr="00000000" w14:paraId="0000001B">
      <w:pPr>
        <w:numPr>
          <w:ilvl w:val="0"/>
          <w:numId w:val="1"/>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Introduction .............................................................................................................. 3</w:t>
      </w:r>
      <w:r w:rsidDel="00000000" w:rsidR="00000000" w:rsidRPr="00000000">
        <w:rPr>
          <w:rtl w:val="0"/>
        </w:rPr>
      </w:r>
    </w:p>
    <w:p w:rsidR="00000000" w:rsidDel="00000000" w:rsidP="00000000" w:rsidRDefault="00000000" w:rsidRPr="00000000" w14:paraId="0000001C">
      <w:pPr>
        <w:numPr>
          <w:ilvl w:val="1"/>
          <w:numId w:val="1"/>
        </w:numPr>
        <w:spacing w:line="240" w:lineRule="auto"/>
        <w:ind w:left="1440" w:hanging="360"/>
        <w:jc w:val="both"/>
        <w:rPr>
          <w:rFonts w:ascii="Calibri" w:cs="Calibri" w:eastAsia="Calibri" w:hAnsi="Calibri"/>
        </w:rPr>
      </w:pPr>
      <w:r w:rsidDel="00000000" w:rsidR="00000000" w:rsidRPr="00000000">
        <w:rPr>
          <w:rFonts w:ascii="Calibri" w:cs="Calibri" w:eastAsia="Calibri" w:hAnsi="Calibri"/>
          <w:rtl w:val="0"/>
        </w:rPr>
        <w:t xml:space="preserve">Hotel Background (Hilton Paris Opera specifics)</w:t>
      </w:r>
    </w:p>
    <w:p w:rsidR="00000000" w:rsidDel="00000000" w:rsidP="00000000" w:rsidRDefault="00000000" w:rsidRPr="00000000" w14:paraId="0000001D">
      <w:pPr>
        <w:numPr>
          <w:ilvl w:val="1"/>
          <w:numId w:val="1"/>
        </w:numPr>
        <w:spacing w:line="240" w:lineRule="auto"/>
        <w:ind w:left="1440" w:hanging="360"/>
        <w:jc w:val="both"/>
        <w:rPr>
          <w:rFonts w:ascii="Calibri" w:cs="Calibri" w:eastAsia="Calibri" w:hAnsi="Calibri"/>
        </w:rPr>
      </w:pPr>
      <w:r w:rsidDel="00000000" w:rsidR="00000000" w:rsidRPr="00000000">
        <w:rPr>
          <w:rFonts w:ascii="Calibri" w:cs="Calibri" w:eastAsia="Calibri" w:hAnsi="Calibri"/>
          <w:rtl w:val="0"/>
        </w:rPr>
        <w:t xml:space="preserve">Consultancy Firm Background (Elite Hospitality Solutions Ltd.)</w:t>
      </w:r>
    </w:p>
    <w:p w:rsidR="00000000" w:rsidDel="00000000" w:rsidP="00000000" w:rsidRDefault="00000000" w:rsidRPr="00000000" w14:paraId="0000001E">
      <w:pPr>
        <w:numPr>
          <w:ilvl w:val="0"/>
          <w:numId w:val="1"/>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Overview of the Issue ................................................................................................ 4</w:t>
      </w:r>
      <w:r w:rsidDel="00000000" w:rsidR="00000000" w:rsidRPr="00000000">
        <w:rPr>
          <w:rtl w:val="0"/>
        </w:rPr>
      </w:r>
    </w:p>
    <w:p w:rsidR="00000000" w:rsidDel="00000000" w:rsidP="00000000" w:rsidRDefault="00000000" w:rsidRPr="00000000" w14:paraId="0000001F">
      <w:pPr>
        <w:numPr>
          <w:ilvl w:val="1"/>
          <w:numId w:val="1"/>
        </w:numPr>
        <w:spacing w:line="240" w:lineRule="auto"/>
        <w:ind w:left="1440" w:hanging="360"/>
        <w:jc w:val="both"/>
        <w:rPr>
          <w:rFonts w:ascii="Calibri" w:cs="Calibri" w:eastAsia="Calibri" w:hAnsi="Calibri"/>
        </w:rPr>
      </w:pPr>
      <w:r w:rsidDel="00000000" w:rsidR="00000000" w:rsidRPr="00000000">
        <w:rPr>
          <w:rFonts w:ascii="Calibri" w:cs="Calibri" w:eastAsia="Calibri" w:hAnsi="Calibri"/>
          <w:rtl w:val="0"/>
        </w:rPr>
        <w:t xml:space="preserve">Theoretical Frameworks (PESTEL, SWOT, TOWS)</w:t>
      </w:r>
    </w:p>
    <w:p w:rsidR="00000000" w:rsidDel="00000000" w:rsidP="00000000" w:rsidRDefault="00000000" w:rsidRPr="00000000" w14:paraId="00000020">
      <w:pPr>
        <w:numPr>
          <w:ilvl w:val="0"/>
          <w:numId w:val="1"/>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Analysis ..................................................................................................................... 8</w:t>
      </w:r>
      <w:r w:rsidDel="00000000" w:rsidR="00000000" w:rsidRPr="00000000">
        <w:rPr>
          <w:rtl w:val="0"/>
        </w:rPr>
      </w:r>
    </w:p>
    <w:p w:rsidR="00000000" w:rsidDel="00000000" w:rsidP="00000000" w:rsidRDefault="00000000" w:rsidRPr="00000000" w14:paraId="00000021">
      <w:pPr>
        <w:numPr>
          <w:ilvl w:val="1"/>
          <w:numId w:val="1"/>
        </w:numPr>
        <w:spacing w:line="240" w:lineRule="auto"/>
        <w:ind w:left="1440" w:hanging="360"/>
        <w:jc w:val="both"/>
        <w:rPr>
          <w:rFonts w:ascii="Calibri" w:cs="Calibri" w:eastAsia="Calibri" w:hAnsi="Calibri"/>
        </w:rPr>
      </w:pPr>
      <w:r w:rsidDel="00000000" w:rsidR="00000000" w:rsidRPr="00000000">
        <w:rPr>
          <w:rFonts w:ascii="Calibri" w:cs="Calibri" w:eastAsia="Calibri" w:hAnsi="Calibri"/>
          <w:rtl w:val="0"/>
        </w:rPr>
        <w:t xml:space="preserve">Issue Description</w:t>
      </w:r>
    </w:p>
    <w:p w:rsidR="00000000" w:rsidDel="00000000" w:rsidP="00000000" w:rsidRDefault="00000000" w:rsidRPr="00000000" w14:paraId="00000022">
      <w:pPr>
        <w:numPr>
          <w:ilvl w:val="1"/>
          <w:numId w:val="1"/>
        </w:numPr>
        <w:spacing w:line="240" w:lineRule="auto"/>
        <w:ind w:left="1440" w:hanging="360"/>
        <w:jc w:val="both"/>
        <w:rPr>
          <w:rFonts w:ascii="Calibri" w:cs="Calibri" w:eastAsia="Calibri" w:hAnsi="Calibri"/>
        </w:rPr>
      </w:pPr>
      <w:r w:rsidDel="00000000" w:rsidR="00000000" w:rsidRPr="00000000">
        <w:rPr>
          <w:rFonts w:ascii="Calibri" w:cs="Calibri" w:eastAsia="Calibri" w:hAnsi="Calibri"/>
          <w:rtl w:val="0"/>
        </w:rPr>
        <w:t xml:space="preserve">PESTEL Analysis</w:t>
      </w:r>
    </w:p>
    <w:p w:rsidR="00000000" w:rsidDel="00000000" w:rsidP="00000000" w:rsidRDefault="00000000" w:rsidRPr="00000000" w14:paraId="00000023">
      <w:pPr>
        <w:numPr>
          <w:ilvl w:val="1"/>
          <w:numId w:val="1"/>
        </w:numPr>
        <w:spacing w:line="240" w:lineRule="auto"/>
        <w:ind w:left="1440" w:hanging="360"/>
        <w:jc w:val="both"/>
        <w:rPr>
          <w:rFonts w:ascii="Calibri" w:cs="Calibri" w:eastAsia="Calibri" w:hAnsi="Calibri"/>
        </w:rPr>
      </w:pPr>
      <w:r w:rsidDel="00000000" w:rsidR="00000000" w:rsidRPr="00000000">
        <w:rPr>
          <w:rFonts w:ascii="Calibri" w:cs="Calibri" w:eastAsia="Calibri" w:hAnsi="Calibri"/>
          <w:rtl w:val="0"/>
        </w:rPr>
        <w:t xml:space="preserve">SWOT Analysis</w:t>
      </w:r>
    </w:p>
    <w:p w:rsidR="00000000" w:rsidDel="00000000" w:rsidP="00000000" w:rsidRDefault="00000000" w:rsidRPr="00000000" w14:paraId="00000024">
      <w:pPr>
        <w:numPr>
          <w:ilvl w:val="1"/>
          <w:numId w:val="1"/>
        </w:numPr>
        <w:spacing w:line="240" w:lineRule="auto"/>
        <w:ind w:left="1440" w:hanging="360"/>
        <w:jc w:val="both"/>
        <w:rPr>
          <w:rFonts w:ascii="Calibri" w:cs="Calibri" w:eastAsia="Calibri" w:hAnsi="Calibri"/>
        </w:rPr>
      </w:pPr>
      <w:r w:rsidDel="00000000" w:rsidR="00000000" w:rsidRPr="00000000">
        <w:rPr>
          <w:rFonts w:ascii="Calibri" w:cs="Calibri" w:eastAsia="Calibri" w:hAnsi="Calibri"/>
          <w:rtl w:val="0"/>
        </w:rPr>
        <w:t xml:space="preserve">TOWS Analysis</w:t>
      </w:r>
    </w:p>
    <w:p w:rsidR="00000000" w:rsidDel="00000000" w:rsidP="00000000" w:rsidRDefault="00000000" w:rsidRPr="00000000" w14:paraId="00000025">
      <w:pPr>
        <w:numPr>
          <w:ilvl w:val="1"/>
          <w:numId w:val="1"/>
        </w:numPr>
        <w:spacing w:line="240" w:lineRule="auto"/>
        <w:ind w:left="1440" w:hanging="360"/>
        <w:jc w:val="both"/>
        <w:rPr>
          <w:rFonts w:ascii="Calibri" w:cs="Calibri" w:eastAsia="Calibri" w:hAnsi="Calibri"/>
        </w:rPr>
      </w:pPr>
      <w:r w:rsidDel="00000000" w:rsidR="00000000" w:rsidRPr="00000000">
        <w:rPr>
          <w:rFonts w:ascii="Calibri" w:cs="Calibri" w:eastAsia="Calibri" w:hAnsi="Calibri"/>
          <w:rtl w:val="0"/>
        </w:rPr>
        <w:t xml:space="preserve">Current Performance Evaluation</w:t>
      </w:r>
    </w:p>
    <w:p w:rsidR="00000000" w:rsidDel="00000000" w:rsidP="00000000" w:rsidRDefault="00000000" w:rsidRPr="00000000" w14:paraId="00000026">
      <w:pPr>
        <w:numPr>
          <w:ilvl w:val="0"/>
          <w:numId w:val="1"/>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Recommendations and Change Management ............................................................ 17</w:t>
      </w:r>
      <w:r w:rsidDel="00000000" w:rsidR="00000000" w:rsidRPr="00000000">
        <w:rPr>
          <w:rtl w:val="0"/>
        </w:rPr>
      </w:r>
    </w:p>
    <w:p w:rsidR="00000000" w:rsidDel="00000000" w:rsidP="00000000" w:rsidRDefault="00000000" w:rsidRPr="00000000" w14:paraId="00000027">
      <w:pPr>
        <w:numPr>
          <w:ilvl w:val="1"/>
          <w:numId w:val="1"/>
        </w:numPr>
        <w:spacing w:line="240" w:lineRule="auto"/>
        <w:ind w:left="1440" w:hanging="360"/>
        <w:jc w:val="both"/>
        <w:rPr>
          <w:rFonts w:ascii="Calibri" w:cs="Calibri" w:eastAsia="Calibri" w:hAnsi="Calibri"/>
        </w:rPr>
      </w:pPr>
      <w:r w:rsidDel="00000000" w:rsidR="00000000" w:rsidRPr="00000000">
        <w:rPr>
          <w:rFonts w:ascii="Calibri" w:cs="Calibri" w:eastAsia="Calibri" w:hAnsi="Calibri"/>
          <w:rtl w:val="0"/>
        </w:rPr>
        <w:t xml:space="preserve">Strategic Recommendations</w:t>
      </w:r>
    </w:p>
    <w:p w:rsidR="00000000" w:rsidDel="00000000" w:rsidP="00000000" w:rsidRDefault="00000000" w:rsidRPr="00000000" w14:paraId="00000028">
      <w:pPr>
        <w:numPr>
          <w:ilvl w:val="1"/>
          <w:numId w:val="1"/>
        </w:numPr>
        <w:spacing w:line="240" w:lineRule="auto"/>
        <w:ind w:left="1440" w:hanging="360"/>
        <w:jc w:val="both"/>
        <w:rPr>
          <w:rFonts w:ascii="Calibri" w:cs="Calibri" w:eastAsia="Calibri" w:hAnsi="Calibri"/>
        </w:rPr>
      </w:pPr>
      <w:r w:rsidDel="00000000" w:rsidR="00000000" w:rsidRPr="00000000">
        <w:rPr>
          <w:rFonts w:ascii="Calibri" w:cs="Calibri" w:eastAsia="Calibri" w:hAnsi="Calibri"/>
          <w:rtl w:val="0"/>
        </w:rPr>
        <w:t xml:space="preserve">Implementation Plan</w:t>
      </w:r>
    </w:p>
    <w:p w:rsidR="00000000" w:rsidDel="00000000" w:rsidP="00000000" w:rsidRDefault="00000000" w:rsidRPr="00000000" w14:paraId="00000029">
      <w:pPr>
        <w:numPr>
          <w:ilvl w:val="1"/>
          <w:numId w:val="1"/>
        </w:numPr>
        <w:spacing w:line="240" w:lineRule="auto"/>
        <w:ind w:left="1440" w:hanging="360"/>
        <w:jc w:val="both"/>
        <w:rPr>
          <w:rFonts w:ascii="Calibri" w:cs="Calibri" w:eastAsia="Calibri" w:hAnsi="Calibri"/>
        </w:rPr>
      </w:pPr>
      <w:r w:rsidDel="00000000" w:rsidR="00000000" w:rsidRPr="00000000">
        <w:rPr>
          <w:rFonts w:ascii="Calibri" w:cs="Calibri" w:eastAsia="Calibri" w:hAnsi="Calibri"/>
          <w:rtl w:val="0"/>
        </w:rPr>
        <w:t xml:space="preserve">Change Management Approach</w:t>
      </w:r>
    </w:p>
    <w:p w:rsidR="00000000" w:rsidDel="00000000" w:rsidP="00000000" w:rsidRDefault="00000000" w:rsidRPr="00000000" w14:paraId="0000002A">
      <w:pPr>
        <w:numPr>
          <w:ilvl w:val="1"/>
          <w:numId w:val="1"/>
        </w:numPr>
        <w:spacing w:line="240" w:lineRule="auto"/>
        <w:ind w:left="1440" w:hanging="360"/>
        <w:jc w:val="both"/>
        <w:rPr>
          <w:rFonts w:ascii="Calibri" w:cs="Calibri" w:eastAsia="Calibri" w:hAnsi="Calibri"/>
        </w:rPr>
      </w:pPr>
      <w:r w:rsidDel="00000000" w:rsidR="00000000" w:rsidRPr="00000000">
        <w:rPr>
          <w:rFonts w:ascii="Calibri" w:cs="Calibri" w:eastAsia="Calibri" w:hAnsi="Calibri"/>
          <w:rtl w:val="0"/>
        </w:rPr>
        <w:t xml:space="preserve">KPIs and Measurement</w:t>
      </w:r>
    </w:p>
    <w:p w:rsidR="00000000" w:rsidDel="00000000" w:rsidP="00000000" w:rsidRDefault="00000000" w:rsidRPr="00000000" w14:paraId="0000002B">
      <w:pPr>
        <w:numPr>
          <w:ilvl w:val="1"/>
          <w:numId w:val="1"/>
        </w:numPr>
        <w:spacing w:line="240" w:lineRule="auto"/>
        <w:ind w:left="1440" w:hanging="360"/>
        <w:jc w:val="both"/>
        <w:rPr>
          <w:rFonts w:ascii="Calibri" w:cs="Calibri" w:eastAsia="Calibri" w:hAnsi="Calibri"/>
        </w:rPr>
      </w:pPr>
      <w:r w:rsidDel="00000000" w:rsidR="00000000" w:rsidRPr="00000000">
        <w:rPr>
          <w:rFonts w:ascii="Calibri" w:cs="Calibri" w:eastAsia="Calibri" w:hAnsi="Calibri"/>
          <w:rtl w:val="0"/>
        </w:rPr>
        <w:t xml:space="preserve">Costs Overview</w:t>
      </w:r>
    </w:p>
    <w:p w:rsidR="00000000" w:rsidDel="00000000" w:rsidP="00000000" w:rsidRDefault="00000000" w:rsidRPr="00000000" w14:paraId="0000002C">
      <w:pPr>
        <w:numPr>
          <w:ilvl w:val="0"/>
          <w:numId w:val="1"/>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Action Plan ............................................................................................................... 23 </w:t>
      </w:r>
      <w:r w:rsidDel="00000000" w:rsidR="00000000" w:rsidRPr="00000000">
        <w:rPr>
          <w:rtl w:val="0"/>
        </w:rPr>
      </w:r>
    </w:p>
    <w:p w:rsidR="00000000" w:rsidDel="00000000" w:rsidP="00000000" w:rsidRDefault="00000000" w:rsidRPr="00000000" w14:paraId="0000002D">
      <w:pPr>
        <w:numPr>
          <w:ilvl w:val="0"/>
          <w:numId w:val="1"/>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Conclusion ................................................................................................................ 24</w:t>
      </w:r>
      <w:r w:rsidDel="00000000" w:rsidR="00000000" w:rsidRPr="00000000">
        <w:rPr>
          <w:rtl w:val="0"/>
        </w:rPr>
      </w:r>
    </w:p>
    <w:p w:rsidR="00000000" w:rsidDel="00000000" w:rsidP="00000000" w:rsidRDefault="00000000" w:rsidRPr="00000000" w14:paraId="0000002E">
      <w:pPr>
        <w:numPr>
          <w:ilvl w:val="0"/>
          <w:numId w:val="1"/>
        </w:numPr>
        <w:spacing w:line="24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Reference List ........................................................................................................... 25</w:t>
      </w:r>
      <w:r w:rsidDel="00000000" w:rsidR="00000000" w:rsidRPr="00000000">
        <w:rPr>
          <w:rtl w:val="0"/>
        </w:rPr>
      </w:r>
    </w:p>
    <w:p w:rsidR="00000000" w:rsidDel="00000000" w:rsidP="00000000" w:rsidRDefault="00000000" w:rsidRPr="00000000" w14:paraId="0000002F">
      <w:pPr>
        <w:numPr>
          <w:ilvl w:val="0"/>
          <w:numId w:val="1"/>
        </w:numPr>
        <w:spacing w:line="240" w:lineRule="auto"/>
        <w:ind w:left="720" w:hanging="360"/>
        <w:jc w:val="both"/>
        <w:rPr>
          <w:rFonts w:ascii="Calibri" w:cs="Calibri" w:eastAsia="Calibri" w:hAnsi="Calibri"/>
          <w:b w:val="1"/>
        </w:rPr>
      </w:pPr>
      <w:r w:rsidDel="00000000" w:rsidR="00000000" w:rsidRPr="00000000">
        <w:rPr>
          <w:rFonts w:ascii="Calibri" w:cs="Calibri" w:eastAsia="Calibri" w:hAnsi="Calibri"/>
          <w:b w:val="1"/>
          <w:rtl w:val="0"/>
        </w:rPr>
        <w:t xml:space="preserve">Appendices ............................................................................................................... 33</w:t>
      </w:r>
    </w:p>
    <w:p w:rsidR="00000000" w:rsidDel="00000000" w:rsidP="00000000" w:rsidRDefault="00000000" w:rsidRPr="00000000" w14:paraId="00000030">
      <w:pPr>
        <w:spacing w:line="36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031">
      <w:pPr>
        <w:spacing w:line="360" w:lineRule="auto"/>
        <w:jc w:val="both"/>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2">
      <w:pPr>
        <w:pStyle w:val="Heading1"/>
        <w:spacing w:line="360" w:lineRule="auto"/>
        <w:jc w:val="both"/>
        <w:rPr>
          <w:rFonts w:ascii="Calibri" w:cs="Calibri" w:eastAsia="Calibri" w:hAnsi="Calibri"/>
          <w:sz w:val="36"/>
          <w:szCs w:val="36"/>
        </w:rPr>
      </w:pPr>
      <w:r w:rsidDel="00000000" w:rsidR="00000000" w:rsidRPr="00000000">
        <w:rPr>
          <w:rFonts w:ascii="Calibri" w:cs="Calibri" w:eastAsia="Calibri" w:hAnsi="Calibri"/>
          <w:sz w:val="36"/>
          <w:szCs w:val="36"/>
          <w:rtl w:val="0"/>
        </w:rPr>
        <w:t xml:space="preserve">1. Executive Summary </w:t>
      </w:r>
    </w:p>
    <w:p w:rsidR="00000000" w:rsidDel="00000000" w:rsidP="00000000" w:rsidRDefault="00000000" w:rsidRPr="00000000" w14:paraId="00000033">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following consultancy report would, therefore, be in trying to find and address the main challenges at Hilton Paris Opera, with a core focus on how best to enhance the experience of guests and optimize operational efficiency. Situated in the heart of Paris, Hilton Paris Opera combines historic elegance with luxury hospitality, attracting an international clientele. On the other hand, it has to suffer increased pressure for innovation with competitive advantages, given the rapid development in digital transformation and changes in expectations among guests (McKinsey &amp; Company, 2024; Cheng et al., 2023).</w:t>
      </w:r>
    </w:p>
    <w:p w:rsidR="00000000" w:rsidDel="00000000" w:rsidP="00000000" w:rsidRDefault="00000000" w:rsidRPr="00000000" w14:paraId="00000034">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This report applies some relevant analytical frameworks, including PESTEL, SWOT, and TOWS, to identify internal and external factors that influence Hilton Paris Opera's operations and strategic positioning. From this analysis, one can increasingly identify a greater need for digital solutions that would make it easier for guests to engage with the hotel and bring more personalization of services. Recommendations stress the use of AI-driven guest service interfaces and personalized experiences, while employee training should be further improved to increase service uniformity and ensure market-oriented performance (Jones et al., 2014; Walker, 2017).</w:t>
      </w:r>
    </w:p>
    <w:p w:rsidR="00000000" w:rsidDel="00000000" w:rsidP="00000000" w:rsidRDefault="00000000" w:rsidRPr="00000000" w14:paraId="00000035">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This will be further underlined with an appropriate implementation plan, supported by formal change management process based on Kotter's eight-step model in order to take Hilton Paris Opera through necessary digital changes smoothly with slight operational disruption. It will be monitored against the success metrics with KPIs related to guest satisfaction and efficiency, along with a cost overview to make sure it is aligned with budget objectives. In sum, these recommendations will be geared toward strengthening the position of Hilton Paris Opera, enhancing guest loyalty, and ensuring long-term revenue growth through targeted digital and operational improvements (Enz, 2010; Kandampully et al., 2017).</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6">
      <w:pPr>
        <w:pStyle w:val="Heading1"/>
        <w:spacing w:line="360" w:lineRule="auto"/>
        <w:jc w:val="both"/>
        <w:rPr>
          <w:rFonts w:ascii="Calibri" w:cs="Calibri" w:eastAsia="Calibri" w:hAnsi="Calibri"/>
          <w:sz w:val="36"/>
          <w:szCs w:val="36"/>
        </w:rPr>
      </w:pPr>
      <w:r w:rsidDel="00000000" w:rsidR="00000000" w:rsidRPr="00000000">
        <w:rPr>
          <w:rFonts w:ascii="Calibri" w:cs="Calibri" w:eastAsia="Calibri" w:hAnsi="Calibri"/>
          <w:sz w:val="36"/>
          <w:szCs w:val="36"/>
          <w:rtl w:val="0"/>
        </w:rPr>
        <w:t xml:space="preserve">2. Introduction </w:t>
      </w:r>
    </w:p>
    <w:p w:rsidR="00000000" w:rsidDel="00000000" w:rsidP="00000000" w:rsidRDefault="00000000" w:rsidRPr="00000000" w14:paraId="00000037">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Over the past years, the hospitality industry has seen a sea change regarding digitalization, eco-consciousness, and personalization. At this critical juncture, Hilton Paris Opera surely needs to be transformative if it has to be competitive, being one of the flagship European properties of Hilton. Elite Hospitality Solutions Ltd. is a consultancy firm that has been very actively involved in finding actionable strategies to further enhance the guest experience, making the operations of this historic hotel efficient and, at the same time, facilitating market leadership (Statista, 2024; Cheng et al., 2023).</w:t>
      </w:r>
    </w:p>
    <w:p w:rsidR="00000000" w:rsidDel="00000000" w:rsidP="00000000" w:rsidRDefault="00000000" w:rsidRPr="00000000" w14:paraId="00000038">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2.1 Hotel Background</w:t>
      </w:r>
    </w:p>
    <w:p w:rsidR="00000000" w:rsidDel="00000000" w:rsidP="00000000" w:rsidRDefault="00000000" w:rsidRPr="00000000" w14:paraId="00000039">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Hilton Paris Opera was built in 1889 and is one of the most iconic hotels in all of Paris, featuring opulent architecture and an ideal location. Conveniently situated near several hotspots, this hotel appeals to business and leisure travelers from every region of the globe. Its rich history is complemented by modern-day conveniences, putting it at the top of the popularity chart within Hilton's portfolio. This, however, has changed somewhat with the sprouting of boutique hotels and ever-rising expectations of today's traveler, placing increasing demands for innovation within the delivery of this service (Hilton Hotels &amp; Resorts, 2023).</w:t>
      </w:r>
    </w:p>
    <w:p w:rsidR="00000000" w:rsidDel="00000000" w:rsidP="00000000" w:rsidRDefault="00000000" w:rsidRPr="00000000" w14:paraId="0000003A">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Despite its reputation for high standards, the competitive nature of Paris, especially in the luxury hospitality sector, would mean that technology and service excellence continue to be invested in. Present trends, including environmental sustainability and digital innovation, would make it pressing for Hilton Paris Opera to change offers necessary to meet both global and local expectations effectively (Jones et al., 2014; Lashley and Morrison, 2000). The following report highlights strategic improvements one could continue to make within Hilton Paris Opera to maintain prestige but with adjustments to modern guest expectations.</w:t>
      </w:r>
    </w:p>
    <w:p w:rsidR="00000000" w:rsidDel="00000000" w:rsidP="00000000" w:rsidRDefault="00000000" w:rsidRPr="00000000" w14:paraId="0000003B">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2.2 Consultancy Firm Background </w:t>
      </w:r>
    </w:p>
    <w:p w:rsidR="00000000" w:rsidDel="00000000" w:rsidP="00000000" w:rsidRDefault="00000000" w:rsidRPr="00000000" w14:paraId="0000003C">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Elite Hospitality Solutions Ltd. is a boutique consultancy specializing in the luxury hotel industry, focusing on key areas such as digital transformation, sustainability, and staff training to achieve the highest standards of guest satisfaction and operational efficiency. With over a decade of industry experience, Elite Hospitality Solutions Ltd. enjoys strategic relationships with many high-end hotels across Europe by providing informed insights and tailored strategies that help elevate service standards and improve the flow of operations (Slack et al., 2010).</w:t>
      </w:r>
    </w:p>
    <w:p w:rsidR="00000000" w:rsidDel="00000000" w:rsidP="00000000" w:rsidRDefault="00000000" w:rsidRPr="00000000" w14:paraId="0000003D">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With insight into hospitality trends and technology, the company prepares its clients for changes that the market and changed regulations bring about. In this context, Elite Hospitality Solutions Ltd will utilize such knowledge at Hilton Paris Opera, to identify major opportunities for improvement in operational efficiencies, enhancement of guest experiences, and sustainability concerning laws and regulations set by the European Union (Sigala, 2020; Cheng et al., 2023).</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E">
      <w:pPr>
        <w:pStyle w:val="Heading1"/>
        <w:spacing w:line="360" w:lineRule="auto"/>
        <w:jc w:val="both"/>
        <w:rPr>
          <w:rFonts w:ascii="Calibri" w:cs="Calibri" w:eastAsia="Calibri" w:hAnsi="Calibri"/>
          <w:sz w:val="36"/>
          <w:szCs w:val="36"/>
        </w:rPr>
      </w:pPr>
      <w:r w:rsidDel="00000000" w:rsidR="00000000" w:rsidRPr="00000000">
        <w:rPr>
          <w:rFonts w:ascii="Calibri" w:cs="Calibri" w:eastAsia="Calibri" w:hAnsi="Calibri"/>
          <w:sz w:val="36"/>
          <w:szCs w:val="36"/>
          <w:rtl w:val="0"/>
        </w:rPr>
        <w:t xml:space="preserve">3. Overview of the Issue </w:t>
      </w:r>
    </w:p>
    <w:p w:rsidR="00000000" w:rsidDel="00000000" w:rsidP="00000000" w:rsidRDefault="00000000" w:rsidRPr="00000000" w14:paraId="0000003F">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Indeed, the Hilton Paris Opera still faces daunting tasks trying to meet changing guest expectations on digital convenience, personalized service, and sustainable practices. The hospitality industry has seen a number of changes relating to shifts in the demography within the guests, evolved technology, and increasing awareness of environmental impacts (Statista, 2024). With the competition growing from boutiques and eco-friendly hotels, Hilton Paris Opera would have to orient itself by such trends in order to stay competitive in the luxury hotel market of Paris (Gera and Kumar, 2023).</w:t>
      </w:r>
    </w:p>
    <w:p w:rsidR="00000000" w:rsidDel="00000000" w:rsidP="00000000" w:rsidRDefault="00000000" w:rsidRPr="00000000" w14:paraId="00000040">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3.1 Changes in Guest Expectations</w:t>
      </w:r>
    </w:p>
    <w:p w:rsidR="00000000" w:rsidDel="00000000" w:rsidP="00000000" w:rsidRDefault="00000000" w:rsidRPr="00000000" w14:paraId="00000041">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Growing affinity for continuous digital immersion is a trend more and more guests today demonstrate, especially in the luxury segment. Demands for mobile check-ins, AI-driven personalization, and contactless services have gone proactive since the COVID-19 pandemic sped up such technologies. With charm, Hilton Paris Opera is a historic property that appeals to international visitors. However, the current service offerings in the digital sphere do not align with what the modern traveler is expecting: speed, efficiency, and personalization at every touchpoint (Cheng et al., 2023; Morosan and Bowen, 2022).</w:t>
      </w:r>
    </w:p>
    <w:p w:rsidR="00000000" w:rsidDel="00000000" w:rsidP="00000000" w:rsidRDefault="00000000" w:rsidRPr="00000000" w14:paraId="00000042">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3.2 Operational Efficiency and Cost Control</w:t>
      </w:r>
    </w:p>
    <w:p w:rsidR="00000000" w:rsidDel="00000000" w:rsidP="00000000" w:rsidRDefault="00000000" w:rsidRPr="00000000" w14:paraId="00000043">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other key challenge is operational efficiency, whereby, for instance, the Hilton Paris Opera needs to balance high standards of service with the need for cost control. Growing labor costs and the need for continuous training to keep the level of services at a high standard contribute to the rise in operational costs. In addition, after COVID-19, shortages in the labor force negatively influenced the offering of services, leading to delays that may finally lower guest satisfaction (McKinsey &amp; Company, 2024). This could be minimized with more investment in technology to automate routine tasks/operations, thereby increasing productivity by making the guests feel more welcome (Sigala, 2020).</w:t>
      </w:r>
    </w:p>
    <w:p w:rsidR="00000000" w:rsidDel="00000000" w:rsidP="00000000" w:rsidRDefault="00000000" w:rsidRPr="00000000" w14:paraId="00000044">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3.3 Sustainable Practices and Regulatory Compliance</w:t>
      </w:r>
    </w:p>
    <w:p w:rsidR="00000000" w:rsidDel="00000000" w:rsidP="00000000" w:rsidRDefault="00000000" w:rsidRPr="00000000" w14:paraId="00000045">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Meanwhile, sustainability has also become a focal point within the luxury hospitality industry, as environmentally conscious decisions are increasingly in demand by travelers. As one of the world's more popular destinations, the pressures to implement sustainability through regulation have widely been felt within Paris, thereby affecting hotel operations. In the case of Hilton Paris Opera, for instance, adherence to EU environmental standards on carbon emission, waste minimization, and enhancement of energy efficiency is vital not only in regulatory matters but also in meeting expectations from guests. As stated by Azazz et al. (2024) and Baloch et al. (2023), adapting to eco-friendly practices enhances brand reputation and opens avenues to attract the environmentally conscious traveler.</w:t>
      </w:r>
    </w:p>
    <w:p w:rsidR="00000000" w:rsidDel="00000000" w:rsidP="00000000" w:rsidRDefault="00000000" w:rsidRPr="00000000" w14:paraId="00000046">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3.4 Competitive Pressure from Boutique Hotels</w:t>
      </w:r>
    </w:p>
    <w:p w:rsidR="00000000" w:rsidDel="00000000" w:rsidP="00000000" w:rsidRDefault="00000000" w:rsidRPr="00000000" w14:paraId="00000047">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Boutique hotels in Paris are hugely varied, offering many singular and curated experiences that are now favoured over the generic large properties by a great number of luxury travellers. Smaller properties can give extremely personal services, tailored to some extent to the tastes and preferences of a select clientele. To remain competitive, Hilton Paris Opera must continue offering differentiated services by marrying an element of brand prestige with personalized guest experiences typical of boutique hotel franchises. This would go to mean that, according to the views of Jones and Lockwood (2004) and Lashley and Morrison (2000), through its historic Parisian architecture, this hotel is uniquely positioned to enhance customer journeys through personalization and exclusivity to maintain its competitive advantage.</w:t>
      </w:r>
    </w:p>
    <w:p w:rsidR="00000000" w:rsidDel="00000000" w:rsidP="00000000" w:rsidRDefault="00000000" w:rsidRPr="00000000" w14:paraId="00000048">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following sections will use PESTEL, SWOT, and TOWS analyses to give a complete insight into the internal strengths and weaknesses of Hilton Paris Opera, coupled with its external pressures and opportunities.</w:t>
      </w:r>
    </w:p>
    <w:p w:rsidR="00000000" w:rsidDel="00000000" w:rsidP="00000000" w:rsidRDefault="00000000" w:rsidRPr="00000000" w14:paraId="00000049">
      <w:pPr>
        <w:spacing w:line="360" w:lineRule="auto"/>
        <w:jc w:val="both"/>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A">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4. Theoretical Frameworks (PESTEL, SWOT, TOWS)</w:t>
      </w:r>
    </w:p>
    <w:p w:rsidR="00000000" w:rsidDel="00000000" w:rsidP="00000000" w:rsidRDefault="00000000" w:rsidRPr="00000000" w14:paraId="0000004B">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These considerations will henceforth be analyzed by using analytical frameworks such as PESTEL, SWOT, and TOWS for the strategic environment review of Hilton Paris Opera, thereby laying a systematic structure for identification of any threat that may arise, capitalization of opportunities available, and responding to internal weaknesses (Enz, 2010). Each one of these provides a different perspective: PESTEL focuses on macro-environmental factors, SWOT on internal capabilities versus external challenges, and TOWS synthesizes these into actionable strategies.</w:t>
      </w:r>
    </w:p>
    <w:p w:rsidR="00000000" w:rsidDel="00000000" w:rsidP="00000000" w:rsidRDefault="00000000" w:rsidRPr="00000000" w14:paraId="0000004C">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4.1 PESTEL Analysis</w:t>
      </w:r>
    </w:p>
    <w:p w:rsidR="00000000" w:rsidDel="00000000" w:rsidP="00000000" w:rsidRDefault="00000000" w:rsidRPr="00000000" w14:paraId="0000004D">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PESTEL analyzes the political, economic, social, technology, environmental, and legal factors influential in the operations of Hilton Paris Opera .</w:t>
      </w:r>
    </w:p>
    <w:p w:rsidR="00000000" w:rsidDel="00000000" w:rsidP="00000000" w:rsidRDefault="00000000" w:rsidRPr="00000000" w14:paraId="0000004E">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Political and Legal Factors:</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The data protection regulations under GDPR and environmental standards set by the EU place specific requirements on hospitality businesses . Meeting these standards is challenging but enhances credibility and helps fulfill customer expectations for responsible practices (Azazz et al., 2024).</w:t>
      </w:r>
    </w:p>
    <w:p w:rsidR="00000000" w:rsidDel="00000000" w:rsidP="00000000" w:rsidRDefault="00000000" w:rsidRPr="00000000" w14:paraId="0000004F">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Economic Factors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Paris' s luxury hospitality industry faces rising labor costs and variable tourism rates due to fluctuating economic conditions. Discretionary spending among luxury travelers often decreases during economic downturns or inflationary periods  (Statista, 2024).</w:t>
      </w:r>
    </w:p>
    <w:p w:rsidR="00000000" w:rsidDel="00000000" w:rsidP="00000000" w:rsidRDefault="00000000" w:rsidRPr="00000000" w14:paraId="00000050">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Social Factors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Eco-friendliness and personalized services are increasingly preferred options in the luxury hotel market . Addressing these expectations is crucial within a socially conscious market  (Shanti and Joshi, 2022).</w:t>
      </w:r>
    </w:p>
    <w:p w:rsidR="00000000" w:rsidDel="00000000" w:rsidP="00000000" w:rsidRDefault="00000000" w:rsidRPr="00000000" w14:paraId="00000051">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Technological Factors :</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Technological advancements in personalization and operational efficiency present opportunities . By integrating these technologies , Hilton Paris Opera can offer more customized guest experiences (Cheng et al., 2023).</w:t>
      </w:r>
    </w:p>
    <w:p w:rsidR="00000000" w:rsidDel="00000000" w:rsidP="00000000" w:rsidRDefault="00000000" w:rsidRPr="00000000" w14:paraId="00000052">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1"/>
          <w:i w:val="0"/>
          <w:smallCaps w:val="0"/>
          <w:strike w:val="0"/>
          <w:color w:val="000000"/>
          <w:sz w:val="24"/>
          <w:szCs w:val="24"/>
          <w:u w:val="none"/>
          <w:shd w:fill="auto" w:val="clear"/>
          <w:vertAlign w:val="baseline"/>
          <w:rtl w:val="0"/>
        </w:rPr>
        <w:t xml:space="preserve">Environmental Factors:</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The rising demand for sustainable practices encourages Hilton Paris Opera to adopt initiatives like minimizing waste and reducing energy consumption to attract eco-conscious guests  (Sigala, 2020).</w:t>
      </w:r>
    </w:p>
    <w:p w:rsidR="00000000" w:rsidDel="00000000" w:rsidP="00000000" w:rsidRDefault="00000000" w:rsidRPr="00000000" w14:paraId="00000053">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4.2 SWOT Analysis</w:t>
      </w:r>
    </w:p>
    <w:p w:rsidR="00000000" w:rsidDel="00000000" w:rsidP="00000000" w:rsidRDefault="00000000" w:rsidRPr="00000000" w14:paraId="00000054">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SWOT analysis gives insight into the internal strengths and weaknesses of Hilton Paris Opera, together with its external opportunities and threats.</w:t>
      </w:r>
    </w:p>
    <w:p w:rsidR="00000000" w:rsidDel="00000000" w:rsidP="00000000" w:rsidRDefault="00000000" w:rsidRPr="00000000" w14:paraId="00000055">
      <w:pPr>
        <w:numPr>
          <w:ilvl w:val="0"/>
          <w:numId w:val="8"/>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Strengths</w:t>
      </w:r>
      <w:r w:rsidDel="00000000" w:rsidR="00000000" w:rsidRPr="00000000">
        <w:rPr>
          <w:rFonts w:ascii="Calibri" w:cs="Calibri" w:eastAsia="Calibri" w:hAnsi="Calibri"/>
          <w:rtl w:val="0"/>
        </w:rPr>
        <w:t xml:space="preserve">: The Hilton brand has an international reputation that supports the hotel's competitive advantage in commanding high-segment clients. The architectural appeal of the hotel and its centrality in Paris add to its tourist desirability (Jones and Lockwood, 2004).</w:t>
      </w:r>
    </w:p>
    <w:p w:rsidR="00000000" w:rsidDel="00000000" w:rsidP="00000000" w:rsidRDefault="00000000" w:rsidRPr="00000000" w14:paraId="00000056">
      <w:pPr>
        <w:numPr>
          <w:ilvl w:val="0"/>
          <w:numId w:val="8"/>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Weaknesses</w:t>
      </w:r>
      <w:r w:rsidDel="00000000" w:rsidR="00000000" w:rsidRPr="00000000">
        <w:rPr>
          <w:rFonts w:ascii="Calibri" w:cs="Calibri" w:eastAsia="Calibri" w:hAnsi="Calibri"/>
          <w:rtl w:val="0"/>
        </w:rPr>
        <w:t xml:space="preserve">: Limited digital service provision and high operational costs could hurt guest satisfaction and profitability if not addressed (Ghani et al., 2022).</w:t>
      </w:r>
    </w:p>
    <w:p w:rsidR="00000000" w:rsidDel="00000000" w:rsidP="00000000" w:rsidRDefault="00000000" w:rsidRPr="00000000" w14:paraId="00000057">
      <w:pPr>
        <w:numPr>
          <w:ilvl w:val="0"/>
          <w:numId w:val="8"/>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Opportunities</w:t>
      </w:r>
      <w:r w:rsidDel="00000000" w:rsidR="00000000" w:rsidRPr="00000000">
        <w:rPr>
          <w:rFonts w:ascii="Calibri" w:cs="Calibri" w:eastAsia="Calibri" w:hAnsi="Calibri"/>
          <w:rtl w:val="0"/>
        </w:rPr>
        <w:t xml:space="preserve">: The increasing trends in sustainable tourism and technological innovation represent opportunities for Hilton Paris Opera to enhance its operational capabilities in sustainability and digitization (Bec et al., 2021).</w:t>
      </w:r>
    </w:p>
    <w:p w:rsidR="00000000" w:rsidDel="00000000" w:rsidP="00000000" w:rsidRDefault="00000000" w:rsidRPr="00000000" w14:paraId="00000058">
      <w:pPr>
        <w:numPr>
          <w:ilvl w:val="0"/>
          <w:numId w:val="8"/>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Threats</w:t>
      </w:r>
      <w:r w:rsidDel="00000000" w:rsidR="00000000" w:rsidRPr="00000000">
        <w:rPr>
          <w:rFonts w:ascii="Calibri" w:cs="Calibri" w:eastAsia="Calibri" w:hAnsi="Calibri"/>
          <w:rtl w:val="0"/>
        </w:rPr>
        <w:t xml:space="preserve">: Growing preference for boutique hotels and guest demand for personalized services could impact Hilton Paris Opera’s market share unless it adapts its service offerings (Lashley and Morrison, 2000).</w:t>
      </w:r>
    </w:p>
    <w:p w:rsidR="00000000" w:rsidDel="00000000" w:rsidP="00000000" w:rsidRDefault="00000000" w:rsidRPr="00000000" w14:paraId="00000059">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4.3 TOWS Analysis</w:t>
      </w:r>
    </w:p>
    <w:p w:rsidR="00000000" w:rsidDel="00000000" w:rsidP="00000000" w:rsidRDefault="00000000" w:rsidRPr="00000000" w14:paraId="0000005A">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TOWS matrix is a strategy tool that develops the SWOT analysis to show concrete measures to take with regard to one's weaknesses and threatened position, building on strengths and seizing opportunities.</w:t>
      </w:r>
    </w:p>
    <w:p w:rsidR="00000000" w:rsidDel="00000000" w:rsidP="00000000" w:rsidRDefault="00000000" w:rsidRPr="00000000" w14:paraId="0000005B">
      <w:pPr>
        <w:numPr>
          <w:ilvl w:val="0"/>
          <w:numId w:val="9"/>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Playing to Strengths</w:t>
      </w:r>
      <w:r w:rsidDel="00000000" w:rsidR="00000000" w:rsidRPr="00000000">
        <w:rPr>
          <w:rFonts w:ascii="Calibri" w:cs="Calibri" w:eastAsia="Calibri" w:hAnsi="Calibri"/>
          <w:rtl w:val="0"/>
        </w:rPr>
        <w:t xml:space="preserve">: Hilton Paris Opera could leverage the strength of its brand by marketing environmentally friendly accommodations to attract clients who prioritize sustainability without compromising luxury.</w:t>
      </w:r>
    </w:p>
    <w:p w:rsidR="00000000" w:rsidDel="00000000" w:rsidP="00000000" w:rsidRDefault="00000000" w:rsidRPr="00000000" w14:paraId="0000005C">
      <w:pPr>
        <w:numPr>
          <w:ilvl w:val="0"/>
          <w:numId w:val="9"/>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Weaknesses to be Addressed</w:t>
      </w:r>
      <w:r w:rsidDel="00000000" w:rsidR="00000000" w:rsidRPr="00000000">
        <w:rPr>
          <w:rFonts w:ascii="Calibri" w:cs="Calibri" w:eastAsia="Calibri" w:hAnsi="Calibri"/>
          <w:rtl w:val="0"/>
        </w:rPr>
        <w:t xml:space="preserve">: Implementing digital check-in systems and enhancing mobile service options would help bridge the gap in digital service offerings, meeting modern expectations for seamless service (Morosan and Bowen, 2022).</w:t>
      </w:r>
    </w:p>
    <w:p w:rsidR="00000000" w:rsidDel="00000000" w:rsidP="00000000" w:rsidRDefault="00000000" w:rsidRPr="00000000" w14:paraId="0000005D">
      <w:pPr>
        <w:numPr>
          <w:ilvl w:val="0"/>
          <w:numId w:val="9"/>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Seize Opportunities</w:t>
      </w:r>
      <w:r w:rsidDel="00000000" w:rsidR="00000000" w:rsidRPr="00000000">
        <w:rPr>
          <w:rFonts w:ascii="Calibri" w:cs="Calibri" w:eastAsia="Calibri" w:hAnsi="Calibri"/>
          <w:rtl w:val="0"/>
        </w:rPr>
        <w:t xml:space="preserve">: Incorporating AI-driven personalisation along with expanding sustainable offerings positions Hilton Paris Opera as a forward-thinking luxury brand (Walker, 2017).</w:t>
      </w:r>
    </w:p>
    <w:p w:rsidR="00000000" w:rsidDel="00000000" w:rsidP="00000000" w:rsidRDefault="00000000" w:rsidRPr="00000000" w14:paraId="0000005E">
      <w:pPr>
        <w:numPr>
          <w:ilvl w:val="0"/>
          <w:numId w:val="9"/>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Mitigating Threats</w:t>
      </w:r>
      <w:r w:rsidDel="00000000" w:rsidR="00000000" w:rsidRPr="00000000">
        <w:rPr>
          <w:rFonts w:ascii="Calibri" w:cs="Calibri" w:eastAsia="Calibri" w:hAnsi="Calibri"/>
          <w:rtl w:val="0"/>
        </w:rPr>
        <w:t xml:space="preserve">: To compete with boutique hotels, Hilton Paris Opera could introduce personalized guest experiences, such as tailored itineraries and curated local experiences that reinforce its unique Parisian setting (Gera and Kumar, 2023).</w:t>
      </w:r>
    </w:p>
    <w:p w:rsidR="00000000" w:rsidDel="00000000" w:rsidP="00000000" w:rsidRDefault="00000000" w:rsidRPr="00000000" w14:paraId="0000005F">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Together, these frameworks provide a deep understanding of the strategic landscape for Hilton Paris Opera, supporting data-driven recommendations for improvement.</w:t>
      </w:r>
    </w:p>
    <w:p w:rsidR="00000000" w:rsidDel="00000000" w:rsidP="00000000" w:rsidRDefault="00000000" w:rsidRPr="00000000" w14:paraId="00000060">
      <w:pPr>
        <w:spacing w:line="360" w:lineRule="auto"/>
        <w:jc w:val="both"/>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1">
      <w:pPr>
        <w:pStyle w:val="Heading1"/>
        <w:spacing w:line="360" w:lineRule="auto"/>
        <w:jc w:val="both"/>
        <w:rPr>
          <w:rFonts w:ascii="Calibri" w:cs="Calibri" w:eastAsia="Calibri" w:hAnsi="Calibri"/>
          <w:sz w:val="36"/>
          <w:szCs w:val="36"/>
        </w:rPr>
      </w:pPr>
      <w:r w:rsidDel="00000000" w:rsidR="00000000" w:rsidRPr="00000000">
        <w:rPr>
          <w:rFonts w:ascii="Calibri" w:cs="Calibri" w:eastAsia="Calibri" w:hAnsi="Calibri"/>
          <w:sz w:val="36"/>
          <w:szCs w:val="36"/>
          <w:rtl w:val="0"/>
        </w:rPr>
        <w:t xml:space="preserve">5. Analysis</w:t>
      </w:r>
    </w:p>
    <w:p w:rsidR="00000000" w:rsidDel="00000000" w:rsidP="00000000" w:rsidRDefault="00000000" w:rsidRPr="00000000" w14:paraId="00000062">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section that unfolds examines the challenges and strategic environment with respect to optional analytic frameworks for Hilton Paris Opera. In-depth analysis of both the external and internal factors through PESTEL, SWOT, and TOWS analyses will form the bases for customized recommendations to enable the company to meet these challenges and further enhance good performance at Hilton Paris Opera.</w:t>
      </w:r>
    </w:p>
    <w:p w:rsidR="00000000" w:rsidDel="00000000" w:rsidP="00000000" w:rsidRDefault="00000000" w:rsidRPr="00000000" w14:paraId="00000063">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5.1 Issue Description </w:t>
      </w:r>
    </w:p>
    <w:p w:rsidR="00000000" w:rsidDel="00000000" w:rsidP="00000000" w:rsidRDefault="00000000" w:rsidRPr="00000000" w14:paraId="00000064">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other concerns are expanded demands for digital integrations, experiences of personalisation, going green, and competitiveness from boutique hotels. Within the hospitality industry, after COVID-19, acceleration has increased in the adaptation of digital solutions, making it, if anything, a need for luxury hotels to invest in contactless services, AI guest interactions, and mobile check-in. These features, now considered by many guests as essentials, further represent areas where the Hilton Paris Opera's current offerings may be seen as limited and thus might have affected guest satisfaction and loyalty (Gera and Kumar, 2023).</w:t>
      </w:r>
    </w:p>
    <w:p w:rsidR="00000000" w:rsidDel="00000000" w:rsidP="00000000" w:rsidRDefault="00000000" w:rsidRPr="00000000" w14:paraId="00000065">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There are operational inefficiencies such as high labour costs and limited resources that affect Hilton Paris Opera. The inability to address such an operational inefficiency stands in the way of the hotel consistently performing and maintaining excellent service given to customers at the cost of its profitability. Being among the front liners within Paris' luxury hotels, the hotel becomes very much open to evaluation against boutique offerings that pride themselves on exclusivity, uniqueness of experience—a lure for today's customer of luxury seeking exclusivity and personalization (Lashley and Morrison, 2000).</w:t>
      </w:r>
    </w:p>
    <w:p w:rsidR="00000000" w:rsidDel="00000000" w:rsidP="00000000" w:rsidRDefault="00000000" w:rsidRPr="00000000" w14:paraId="00000066">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Other current key issues include sustainability, in which both guests and the regulatory bodies in Europe would expect eco-friendly measures. The adoption of sustainable measures, such as energy-efficient operations and waste reduction, places Hilton Paris Opera at the forefront of current environmental expectations and, at the same time, boosts the brand image (Azazz et al., 2024). This section looks closely at these challenges through PESTEL, SWOT, and TOWS, where insights on the strengths, weaknesses, opportunities, and threats of Hilton Paris Opera are discussed considering the current market scenario.</w:t>
      </w:r>
    </w:p>
    <w:p w:rsidR="00000000" w:rsidDel="00000000" w:rsidP="00000000" w:rsidRDefault="00000000" w:rsidRPr="00000000" w14:paraId="00000067">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Trends in Tourist Stays and Impact on Hilton Paris Opera </w:t>
      </w:r>
    </w:p>
    <w:p w:rsidR="00000000" w:rsidDel="00000000" w:rsidP="00000000" w:rsidRDefault="00000000" w:rsidRPr="00000000" w14:paraId="00000068">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Data on (Statista, 2024) monthly overnight stays in France, therefore, endorse the fluctuating demands of the hotel business, especially in the post-COVID-19 pandemic period and through the recovery process. In this regard, one will get the trends showing how Hilton Paris Opera can position its services accordingly with changing market demands through times of surges in both domestic and international guests.</w:t>
      </w:r>
    </w:p>
    <w:p w:rsidR="00000000" w:rsidDel="00000000" w:rsidP="00000000" w:rsidRDefault="00000000" w:rsidRPr="00000000" w14:paraId="00000069">
      <w:pPr>
        <w:spacing w:line="360" w:lineRule="auto"/>
        <w:jc w:val="both"/>
        <w:rPr>
          <w:rFonts w:ascii="Calibri" w:cs="Calibri" w:eastAsia="Calibri" w:hAnsi="Calibri"/>
        </w:rPr>
      </w:pPr>
      <w:r w:rsidDel="00000000" w:rsidR="00000000" w:rsidRPr="00000000">
        <w:rPr>
          <w:rFonts w:ascii="Calibri" w:cs="Calibri" w:eastAsia="Calibri" w:hAnsi="Calibri"/>
          <w:b w:val="1"/>
          <w:rtl w:val="0"/>
        </w:rPr>
        <w:t xml:space="preserve">Analysis of Trends from 2019 to 2024</w:t>
      </w:r>
      <w:r w:rsidDel="00000000" w:rsidR="00000000" w:rsidRPr="00000000">
        <w:rPr>
          <w:rtl w:val="0"/>
        </w:rPr>
      </w:r>
    </w:p>
    <w:p w:rsidR="00000000" w:rsidDel="00000000" w:rsidP="00000000" w:rsidRDefault="00000000" w:rsidRPr="00000000" w14:paraId="0000006A">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quarterly highs in France during these first six months of 2019 were quite consistent. It was at an all-time high of over 20 million, fueled by a combination of both domestic and international visitors. International guests, represented here by the black bars in the chart, were one of the most dominant forces behind these high numbers, attesting to France's allure as an international destination for leisure and business alike (Statista, 2024). But then deep into the data, there is a sharp decline starting in March 2020; this is the time COVID-19 really hit and seriously cut down both domestic and international tourism because of the lockdowns and travel restrictions. It fell to the lowest levels nobody had ever seen: overnight stays below 5.5 million, a little more than that on domestic tourism, while international tourism almost disappeared.</w:t>
      </w:r>
    </w:p>
    <w:p w:rsidR="00000000" w:rsidDel="00000000" w:rsidP="00000000" w:rsidRDefault="00000000" w:rsidRPr="00000000" w14:paraId="0000006B">
      <w:pPr>
        <w:spacing w:line="360" w:lineRule="auto"/>
        <w:jc w:val="both"/>
        <w:rPr>
          <w:rFonts w:ascii="Calibri" w:cs="Calibri" w:eastAsia="Calibri" w:hAnsi="Calibri"/>
        </w:rPr>
      </w:pPr>
      <w:r w:rsidDel="00000000" w:rsidR="00000000" w:rsidRPr="00000000">
        <w:rPr>
          <w:rFonts w:ascii="Calibri" w:cs="Calibri" w:eastAsia="Calibri" w:hAnsi="Calibri"/>
          <w:b w:val="1"/>
          <w:rtl w:val="0"/>
        </w:rPr>
        <w:t xml:space="preserve">Post COVID-19 recovery and demand surges:</w:t>
      </w:r>
      <w:r w:rsidDel="00000000" w:rsidR="00000000" w:rsidRPr="00000000">
        <w:rPr>
          <w:rFonts w:ascii="Calibri" w:cs="Calibri" w:eastAsia="Calibri" w:hAnsi="Calibri"/>
          <w:rtl w:val="0"/>
        </w:rPr>
        <w:t xml:space="preserve"> From mid-2021, the chart in Figure 2 below has shown a gradual recovery when monthly overnight stays continued to rebound strongly, partly impelled by domestic tourism. Thus, from the trend, one may observe that the occupancy is seasonal, where summer months experience more stays. This, therefore, provides a hint to Hilton Paris Opera when preparing for its seasonal occupancy. Also, international tourism regained its growth during the end of 2022, with peaks once again above 20 million stays per month during peak tourist seasons this year, coming close to pre-pandemic levels. This can be viewed as marking the importance of providing for international customers who can sometimes bring in expenditure with them, which is an important consideration for luxury properties like Hilton Paris Opera.</w:t>
      </w:r>
    </w:p>
    <w:p w:rsidR="00000000" w:rsidDel="00000000" w:rsidP="00000000" w:rsidRDefault="00000000" w:rsidRPr="00000000" w14:paraId="0000006C">
      <w:pPr>
        <w:spacing w:line="360" w:lineRule="auto"/>
        <w:jc w:val="both"/>
        <w:rPr>
          <w:rFonts w:ascii="Calibri" w:cs="Calibri" w:eastAsia="Calibri" w:hAnsi="Calibri"/>
        </w:rPr>
      </w:pPr>
      <w:r w:rsidDel="00000000" w:rsidR="00000000" w:rsidRPr="00000000">
        <w:rPr>
          <w:rFonts w:ascii="Calibri" w:cs="Calibri" w:eastAsia="Calibri" w:hAnsi="Calibri"/>
          <w:b w:val="1"/>
          <w:rtl w:val="0"/>
        </w:rPr>
        <w:t xml:space="preserve">In view of the recovery trends, there are several strategic implications for Hilton Paris Opera, which needs to manage effectively the mix of domestic and international tourists with its operations and service offerings.</w:t>
      </w:r>
      <w:r w:rsidDel="00000000" w:rsidR="00000000" w:rsidRPr="00000000">
        <w:rPr>
          <w:rtl w:val="0"/>
        </w:rPr>
      </w:r>
    </w:p>
    <w:p w:rsidR="00000000" w:rsidDel="00000000" w:rsidP="00000000" w:rsidRDefault="00000000" w:rsidRPr="00000000" w14:paraId="0000006D">
      <w:pPr>
        <w:numPr>
          <w:ilvl w:val="0"/>
          <w:numId w:val="4"/>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Seasonal Staffing and Resource Allocation:</w:t>
      </w:r>
      <w:r w:rsidDel="00000000" w:rsidR="00000000" w:rsidRPr="00000000">
        <w:rPr>
          <w:rFonts w:ascii="Calibri" w:cs="Calibri" w:eastAsia="Calibri" w:hAnsi="Calibri"/>
          <w:rtl w:val="0"/>
        </w:rPr>
        <w:t xml:space="preserve"> The sharp upturn in overnight stays during summer suggests flexible staffing arrangements. Hilton Paris Opera may need to consider a staffing policy able to absorb such demand through seasonal hires or temporary staffing in peak months so as not to overwork the core staff. Further, resources will have to be spent to achieve rapid check-ins and housekeeping, as well as consistent service rates at times of occupancy.</w:t>
      </w:r>
    </w:p>
    <w:p w:rsidR="00000000" w:rsidDel="00000000" w:rsidP="00000000" w:rsidRDefault="00000000" w:rsidRPr="00000000" w14:paraId="0000006E">
      <w:pPr>
        <w:numPr>
          <w:ilvl w:val="0"/>
          <w:numId w:val="4"/>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Target Domestic and International Market Segmentation:</w:t>
      </w:r>
      <w:r w:rsidDel="00000000" w:rsidR="00000000" w:rsidRPr="00000000">
        <w:rPr>
          <w:rFonts w:ascii="Calibri" w:cs="Calibri" w:eastAsia="Calibri" w:hAnsi="Calibri"/>
          <w:rtl w:val="0"/>
        </w:rPr>
        <w:t xml:space="preserve"> While international tourism has bounced back, the data indeed shows that domestic tourism continues to be a steady and strong plank of the hotel industry in its post-COVID recovery. Tailored marketing campaigns focusing on the peculiarities of the two segments could thus be of benefit for Hilton Paris Opera. For instance, domestic visitors might appreciate loyalty programs and weekend packages, while international guests would take more interest in personalized tours around town or other language-related support.</w:t>
      </w:r>
    </w:p>
    <w:p w:rsidR="00000000" w:rsidDel="00000000" w:rsidP="00000000" w:rsidRDefault="00000000" w:rsidRPr="00000000" w14:paraId="0000006F">
      <w:pPr>
        <w:numPr>
          <w:ilvl w:val="0"/>
          <w:numId w:val="4"/>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Development of Digital Services for International Guests:</w:t>
      </w:r>
      <w:r w:rsidDel="00000000" w:rsidR="00000000" w:rsidRPr="00000000">
        <w:rPr>
          <w:rFonts w:ascii="Calibri" w:cs="Calibri" w:eastAsia="Calibri" w:hAnsi="Calibri"/>
          <w:rtl w:val="0"/>
        </w:rPr>
        <w:t xml:space="preserve"> International tourists, especially those outside of Europe, increasingly use digital and contactless services as means by which they can avoid the language and logistical problems they face. Hilton Paris Opera can foster a seamless experience for international guests by investing in multilingual digital check-in systems and offering concierge services on their mobiles. It is also part of wider trends within the industry where digital enhancement of services has turned into a competitive advantage in luxury hotels (Cheng et al., 2023; Morosan and Bowen, 2022).</w:t>
      </w:r>
    </w:p>
    <w:p w:rsidR="00000000" w:rsidDel="00000000" w:rsidP="00000000" w:rsidRDefault="00000000" w:rsidRPr="00000000" w14:paraId="00000070">
      <w:pPr>
        <w:numPr>
          <w:ilvl w:val="0"/>
          <w:numId w:val="4"/>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Keeping Pace with the Times-Pre and Post-COVID-19 Landscape:</w:t>
      </w:r>
      <w:r w:rsidDel="00000000" w:rsidR="00000000" w:rsidRPr="00000000">
        <w:rPr>
          <w:rFonts w:ascii="Calibri" w:cs="Calibri" w:eastAsia="Calibri" w:hAnsi="Calibri"/>
          <w:rtl w:val="0"/>
        </w:rPr>
        <w:t xml:space="preserve"> COVID-19 changed the guest preferences for hygiene, contactless services, and personalization. Hilton Paris Opera should maintain and continue the increased hygiene practices and offer contactless alternatives wherever possible to reassure guests. In addition, AI-powered personalization can help optimize the guest experience through the customization of services, based on guest profiles, which will be particularly useful for high-spending international tourists.</w:t>
      </w:r>
    </w:p>
    <w:p w:rsidR="00000000" w:rsidDel="00000000" w:rsidP="00000000" w:rsidRDefault="00000000" w:rsidRPr="00000000" w14:paraId="00000071">
      <w:pPr>
        <w:spacing w:line="36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072">
      <w:pPr>
        <w:spacing w:line="360" w:lineRule="auto"/>
        <w:jc w:val="both"/>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3">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5.2 PESTEL Analysis</w:t>
      </w:r>
    </w:p>
    <w:p w:rsidR="00000000" w:rsidDel="00000000" w:rsidP="00000000" w:rsidRDefault="00000000" w:rsidRPr="00000000" w14:paraId="00000074">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PESTEL framework focuses on the external factors that affect Hilton Paris Opera, providing an overview of macro-environmental forces.</w:t>
      </w:r>
    </w:p>
    <w:p w:rsidR="00000000" w:rsidDel="00000000" w:rsidP="00000000" w:rsidRDefault="00000000" w:rsidRPr="00000000" w14:paraId="00000075">
      <w:pPr>
        <w:numPr>
          <w:ilvl w:val="0"/>
          <w:numId w:val="10"/>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Political and Legal Factors</w:t>
      </w:r>
      <w:r w:rsidDel="00000000" w:rsidR="00000000" w:rsidRPr="00000000">
        <w:rPr>
          <w:rFonts w:ascii="Calibri" w:cs="Calibri" w:eastAsia="Calibri" w:hAnsi="Calibri"/>
          <w:rtl w:val="0"/>
        </w:rPr>
        <w:t xml:space="preserve">: The European Union's General Data Protection Regulation (GDPR) imposes strict demands on data privacy, meaning that guest information must be processed securely to maintain compliance, safeguard customer trust, and avoid legal consequences. Similarly, environmental regulations compel Hilton Paris Opera to adopt sustainable practices to meet standards set by both the city of Paris and the European Union (Azazz et al., 2024).</w:t>
      </w:r>
    </w:p>
    <w:p w:rsidR="00000000" w:rsidDel="00000000" w:rsidP="00000000" w:rsidRDefault="00000000" w:rsidRPr="00000000" w14:paraId="00000076">
      <w:pPr>
        <w:numPr>
          <w:ilvl w:val="0"/>
          <w:numId w:val="10"/>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Economic Factors</w:t>
      </w:r>
      <w:r w:rsidDel="00000000" w:rsidR="00000000" w:rsidRPr="00000000">
        <w:rPr>
          <w:rFonts w:ascii="Calibri" w:cs="Calibri" w:eastAsia="Calibri" w:hAnsi="Calibri"/>
          <w:rtl w:val="0"/>
        </w:rPr>
        <w:t xml:space="preserve">: Rising operational costs, particularly for labor and utilities, significantly impact profitability. Post-COVID, fluctuating demand continues, with tourism gradually recovering but under inflationary pressures. Economic uncertainties influence customer spending, which may affect the luxury segment as travelers may reconsider non-essential trips during economic downturns.</w:t>
      </w:r>
    </w:p>
    <w:p w:rsidR="00000000" w:rsidDel="00000000" w:rsidP="00000000" w:rsidRDefault="00000000" w:rsidRPr="00000000" w14:paraId="00000077">
      <w:pPr>
        <w:numPr>
          <w:ilvl w:val="0"/>
          <w:numId w:val="10"/>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Social Factors</w:t>
      </w:r>
      <w:r w:rsidDel="00000000" w:rsidR="00000000" w:rsidRPr="00000000">
        <w:rPr>
          <w:rFonts w:ascii="Calibri" w:cs="Calibri" w:eastAsia="Calibri" w:hAnsi="Calibri"/>
          <w:rtl w:val="0"/>
        </w:rPr>
        <w:t xml:space="preserve">: Social trends increasingly favor sustainability and personalization. Guests prefer eco-friendly hotels offering unique, tailored experiences. Additionally, the growth of millennial and Gen Z segments, who prioritize convenience and digital solutions, influences demand for mobile check-ins, app-based services, and digital concierge options (Shanti and Joshi, 2022).</w:t>
      </w:r>
    </w:p>
    <w:p w:rsidR="00000000" w:rsidDel="00000000" w:rsidP="00000000" w:rsidRDefault="00000000" w:rsidRPr="00000000" w14:paraId="00000078">
      <w:pPr>
        <w:spacing w:line="360" w:lineRule="auto"/>
        <w:ind w:left="720" w:firstLine="0"/>
        <w:jc w:val="both"/>
        <w:rPr>
          <w:rFonts w:ascii="Calibri" w:cs="Calibri" w:eastAsia="Calibri" w:hAnsi="Calibri"/>
        </w:rPr>
      </w:pPr>
      <w:r w:rsidDel="00000000" w:rsidR="00000000" w:rsidRPr="00000000">
        <w:rPr>
          <w:rFonts w:ascii="Calibri" w:cs="Calibri" w:eastAsia="Calibri" w:hAnsi="Calibri"/>
          <w:rtl w:val="0"/>
        </w:rPr>
        <w:t xml:space="preserve">In the post-COVID recovery, domestic travel demand has remained rather stable, a fact indicative of the socio-cultural shift in which local tourism has gained traction, partly due to uncertainties still surrounding international travel. Indeed, more domestic tourists now tend to go to local destinations, thus keeping the base of French visitors for Hilton Paris Opera. This means that equal attention should be given to domestic guests with exclusive local packages and short-stay packages, along with targeting international tourists (Statista, 2024).</w:t>
      </w:r>
    </w:p>
    <w:p w:rsidR="00000000" w:rsidDel="00000000" w:rsidP="00000000" w:rsidRDefault="00000000" w:rsidRPr="00000000" w14:paraId="00000079">
      <w:pPr>
        <w:spacing w:line="360" w:lineRule="auto"/>
        <w:ind w:left="720" w:firstLine="0"/>
        <w:jc w:val="both"/>
        <w:rPr>
          <w:rFonts w:ascii="Calibri" w:cs="Calibri" w:eastAsia="Calibri" w:hAnsi="Calibri"/>
        </w:rPr>
      </w:pPr>
      <w:r w:rsidDel="00000000" w:rsidR="00000000" w:rsidRPr="00000000">
        <w:rPr>
          <w:rFonts w:ascii="Calibri" w:cs="Calibri" w:eastAsia="Calibri" w:hAnsi="Calibri"/>
          <w:rtl w:val="0"/>
        </w:rPr>
        <w:t xml:space="preserve">Furthermore, unprecedented international stays from 2022 onwards indicate a need to cater to varied expectations among different types of foreign guests. Indeed, this trend suggests pent-up demand after the pandemic has triggered renewed interest in international travel. This is where Hilton Paris Opera could capitalize on the need to make its brand more alluring to international visitors with unique Parisian experiences and a focus on high-class French hospitality.</w:t>
      </w:r>
    </w:p>
    <w:p w:rsidR="00000000" w:rsidDel="00000000" w:rsidP="00000000" w:rsidRDefault="00000000" w:rsidRPr="00000000" w14:paraId="0000007A">
      <w:pPr>
        <w:numPr>
          <w:ilvl w:val="0"/>
          <w:numId w:val="10"/>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Technological Factors</w:t>
      </w:r>
      <w:r w:rsidDel="00000000" w:rsidR="00000000" w:rsidRPr="00000000">
        <w:rPr>
          <w:rFonts w:ascii="Calibri" w:cs="Calibri" w:eastAsia="Calibri" w:hAnsi="Calibri"/>
          <w:rtl w:val="0"/>
        </w:rPr>
        <w:t xml:space="preserve">: Rapid advancements in AI, machine learning, and digital personalization provide opportunities for Hilton Paris Opera to enhance the guest experience. Integrating AI-driven guest profiles, mobile room controls, and digital check-ins aligns with modern expectations for seamless, efficient service.</w:t>
      </w:r>
    </w:p>
    <w:p w:rsidR="00000000" w:rsidDel="00000000" w:rsidP="00000000" w:rsidRDefault="00000000" w:rsidRPr="00000000" w14:paraId="0000007B">
      <w:pPr>
        <w:numPr>
          <w:ilvl w:val="0"/>
          <w:numId w:val="10"/>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Environmental Factors</w:t>
      </w:r>
      <w:r w:rsidDel="00000000" w:rsidR="00000000" w:rsidRPr="00000000">
        <w:rPr>
          <w:rFonts w:ascii="Calibri" w:cs="Calibri" w:eastAsia="Calibri" w:hAnsi="Calibri"/>
          <w:rtl w:val="0"/>
        </w:rPr>
        <w:t xml:space="preserve">: As part of a global trend towards eco-friendliness, Hilton Paris Opera is expected to implement energy-saving systems, reduce plastic usage, and minimize waste to appeal to sustainability-conscious travellers and comply with EU environmental directives (Sigala, 2020).</w:t>
      </w:r>
    </w:p>
    <w:p w:rsidR="00000000" w:rsidDel="00000000" w:rsidP="00000000" w:rsidRDefault="00000000" w:rsidRPr="00000000" w14:paraId="0000007C">
      <w:pPr>
        <w:spacing w:line="360" w:lineRule="auto"/>
        <w:ind w:left="720" w:firstLine="0"/>
        <w:jc w:val="both"/>
        <w:rPr>
          <w:rFonts w:ascii="Calibri" w:cs="Calibri" w:eastAsia="Calibri" w:hAnsi="Calibri"/>
        </w:rPr>
      </w:pPr>
      <w:r w:rsidDel="00000000" w:rsidR="00000000" w:rsidRPr="00000000">
        <w:rPr>
          <w:rFonts w:ascii="Calibri" w:cs="Calibri" w:eastAsia="Calibri" w:hAnsi="Calibri"/>
          <w:rtl w:val="0"/>
        </w:rPr>
        <w:t xml:space="preserve">For venues such as Hilton Paris Opera, operational expense management becomes very important with fluctuating demand—cyclical demand, meaning that demand is clearly higher in some months. Increased demand means higher labour costs and resource utilization that are expected to be even higher in a luxury environment where, naturally, the quality of service has to be paramount. Automation of resources might be required to manage such operational cost pressures in peak months without adversely impacting service standards (Ghani et al., 2022).</w:t>
      </w:r>
    </w:p>
    <w:p w:rsidR="00000000" w:rsidDel="00000000" w:rsidP="00000000" w:rsidRDefault="00000000" w:rsidRPr="00000000" w14:paraId="0000007D">
      <w:pPr>
        <w:spacing w:line="360" w:lineRule="auto"/>
        <w:ind w:left="720" w:firstLine="0"/>
        <w:jc w:val="both"/>
        <w:rPr>
          <w:rFonts w:ascii="Calibri" w:cs="Calibri" w:eastAsia="Calibri" w:hAnsi="Calibri"/>
        </w:rPr>
      </w:pPr>
      <w:r w:rsidDel="00000000" w:rsidR="00000000" w:rsidRPr="00000000">
        <w:rPr>
          <w:rFonts w:ascii="Calibri" w:cs="Calibri" w:eastAsia="Calibri" w:hAnsi="Calibri"/>
          <w:rtl w:val="0"/>
        </w:rPr>
        <w:t xml:space="preserve">Given that the demand keeps on fluctuating, a dynamic pricing strategy would also work in Hilton Paris Opera, adjusting each room rate according to seasonality and occupancy. That will mean fitting it within the greater industry of luxury hospitality, where high pricing during periods of high demand maximizes revenue potential (Kandampully et al., 2023). Additionally, the hotel can add value to those months of low demand by offering discounted packages, especially to domestic guests, or even offer free amenities to attract domestic tourism.</w:t>
      </w:r>
    </w:p>
    <w:p w:rsidR="00000000" w:rsidDel="00000000" w:rsidP="00000000" w:rsidRDefault="00000000" w:rsidRPr="00000000" w14:paraId="0000007E">
      <w:pPr>
        <w:numPr>
          <w:ilvl w:val="0"/>
          <w:numId w:val="10"/>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Legal Factors</w:t>
      </w:r>
      <w:r w:rsidDel="00000000" w:rsidR="00000000" w:rsidRPr="00000000">
        <w:rPr>
          <w:rFonts w:ascii="Calibri" w:cs="Calibri" w:eastAsia="Calibri" w:hAnsi="Calibri"/>
          <w:rtl w:val="0"/>
        </w:rPr>
        <w:t xml:space="preserve">: Beyond GDPR, Paris’s hospitality industry faces strict regulations on environmental sustainability and workplace health and safety. Compliance not only avoids penalties but also strengthens Hilton Paris Opera's reputation as a responsible, guest-cantered establishment (Jones et al., 2014).</w:t>
      </w:r>
    </w:p>
    <w:p w:rsidR="00000000" w:rsidDel="00000000" w:rsidP="00000000" w:rsidRDefault="00000000" w:rsidRPr="00000000" w14:paraId="0000007F">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PESTEL analysis demonstrates the need for Hilton Paris Opera to adapt in areas such as regulatory compliance, technological advancement, and eco-friendly practices. Addressing these factors will help the hotel align its operations with market expectations and strengthen its competitive positioning.</w:t>
      </w:r>
    </w:p>
    <w:p w:rsidR="00000000" w:rsidDel="00000000" w:rsidP="00000000" w:rsidRDefault="00000000" w:rsidRPr="00000000" w14:paraId="00000080">
      <w:pPr>
        <w:spacing w:line="360" w:lineRule="auto"/>
        <w:jc w:val="both"/>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1">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5.3 SWOT Analysis</w:t>
      </w:r>
    </w:p>
    <w:p w:rsidR="00000000" w:rsidDel="00000000" w:rsidP="00000000" w:rsidRDefault="00000000" w:rsidRPr="00000000" w14:paraId="00000082">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w:t>
      </w:r>
      <w:r w:rsidDel="00000000" w:rsidR="00000000" w:rsidRPr="00000000">
        <w:rPr>
          <w:rFonts w:ascii="Calibri" w:cs="Calibri" w:eastAsia="Calibri" w:hAnsi="Calibri"/>
          <w:b w:val="1"/>
          <w:rtl w:val="0"/>
        </w:rPr>
        <w:t xml:space="preserve">SWOT analysis</w:t>
      </w:r>
      <w:r w:rsidDel="00000000" w:rsidR="00000000" w:rsidRPr="00000000">
        <w:rPr>
          <w:rFonts w:ascii="Calibri" w:cs="Calibri" w:eastAsia="Calibri" w:hAnsi="Calibri"/>
          <w:rtl w:val="0"/>
        </w:rPr>
        <w:t xml:space="preserve"> provides a detailed look at Hilton Paris Opera’s internal strengths and weaknesses, as well as external opportunities and threats, helping to frame strategic responses to current challenges.</w:t>
      </w:r>
    </w:p>
    <w:p w:rsidR="00000000" w:rsidDel="00000000" w:rsidP="00000000" w:rsidRDefault="00000000" w:rsidRPr="00000000" w14:paraId="00000083">
      <w:pPr>
        <w:numPr>
          <w:ilvl w:val="0"/>
          <w:numId w:val="6"/>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Strengths</w:t>
      </w:r>
      <w:r w:rsidDel="00000000" w:rsidR="00000000" w:rsidRPr="00000000">
        <w:rPr>
          <w:rFonts w:ascii="Calibri" w:cs="Calibri" w:eastAsia="Calibri" w:hAnsi="Calibri"/>
          <w:rtl w:val="0"/>
        </w:rPr>
        <w:t xml:space="preserve">:</w:t>
      </w:r>
    </w:p>
    <w:p w:rsidR="00000000" w:rsidDel="00000000" w:rsidP="00000000" w:rsidRDefault="00000000" w:rsidRPr="00000000" w14:paraId="00000084">
      <w:pPr>
        <w:numPr>
          <w:ilvl w:val="1"/>
          <w:numId w:val="6"/>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Brand Reputation</w:t>
      </w:r>
      <w:r w:rsidDel="00000000" w:rsidR="00000000" w:rsidRPr="00000000">
        <w:rPr>
          <w:rFonts w:ascii="Calibri" w:cs="Calibri" w:eastAsia="Calibri" w:hAnsi="Calibri"/>
          <w:rtl w:val="0"/>
        </w:rPr>
        <w:t xml:space="preserve">: Hilton’s global brand recognition and Paris Opera’s historic charm contribute to a strong market presence and appeal to international luxury travellers (Hilton Hotels &amp; Resorts, 2023).</w:t>
      </w:r>
    </w:p>
    <w:p w:rsidR="00000000" w:rsidDel="00000000" w:rsidP="00000000" w:rsidRDefault="00000000" w:rsidRPr="00000000" w14:paraId="00000085">
      <w:pPr>
        <w:numPr>
          <w:ilvl w:val="1"/>
          <w:numId w:val="6"/>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Prime Location</w:t>
      </w:r>
      <w:r w:rsidDel="00000000" w:rsidR="00000000" w:rsidRPr="00000000">
        <w:rPr>
          <w:rFonts w:ascii="Calibri" w:cs="Calibri" w:eastAsia="Calibri" w:hAnsi="Calibri"/>
          <w:rtl w:val="0"/>
        </w:rPr>
        <w:t xml:space="preserve">: Centrally located in Paris, Hilton Paris Opera benefits from proximity to landmarks, enhancing its attractiveness to tourists and business travellers alike (Jones and Lockwood, 2004).</w:t>
      </w:r>
    </w:p>
    <w:p w:rsidR="00000000" w:rsidDel="00000000" w:rsidP="00000000" w:rsidRDefault="00000000" w:rsidRPr="00000000" w14:paraId="00000086">
      <w:pPr>
        <w:numPr>
          <w:ilvl w:val="1"/>
          <w:numId w:val="6"/>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Quality of Service</w:t>
      </w:r>
      <w:r w:rsidDel="00000000" w:rsidR="00000000" w:rsidRPr="00000000">
        <w:rPr>
          <w:rFonts w:ascii="Calibri" w:cs="Calibri" w:eastAsia="Calibri" w:hAnsi="Calibri"/>
          <w:rtl w:val="0"/>
        </w:rPr>
        <w:t xml:space="preserve">: As a luxury hotel, Hilton Paris Opera has high service standards, which supports guest loyalty and enhances the hotel’s reputation for premium hospitality (Walker, 2017).</w:t>
      </w:r>
    </w:p>
    <w:p w:rsidR="00000000" w:rsidDel="00000000" w:rsidP="00000000" w:rsidRDefault="00000000" w:rsidRPr="00000000" w14:paraId="00000087">
      <w:pPr>
        <w:numPr>
          <w:ilvl w:val="0"/>
          <w:numId w:val="6"/>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Weaknesses</w:t>
      </w:r>
      <w:r w:rsidDel="00000000" w:rsidR="00000000" w:rsidRPr="00000000">
        <w:rPr>
          <w:rFonts w:ascii="Calibri" w:cs="Calibri" w:eastAsia="Calibri" w:hAnsi="Calibri"/>
          <w:rtl w:val="0"/>
        </w:rPr>
        <w:t xml:space="preserve">:</w:t>
      </w:r>
    </w:p>
    <w:p w:rsidR="00000000" w:rsidDel="00000000" w:rsidP="00000000" w:rsidRDefault="00000000" w:rsidRPr="00000000" w14:paraId="00000088">
      <w:pPr>
        <w:numPr>
          <w:ilvl w:val="1"/>
          <w:numId w:val="6"/>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Digital Limitations</w:t>
      </w:r>
      <w:r w:rsidDel="00000000" w:rsidR="00000000" w:rsidRPr="00000000">
        <w:rPr>
          <w:rFonts w:ascii="Calibri" w:cs="Calibri" w:eastAsia="Calibri" w:hAnsi="Calibri"/>
          <w:rtl w:val="0"/>
        </w:rPr>
        <w:t xml:space="preserve">: Compared to boutique competitors, Hilton Paris Opera lacks advanced digital services, such as personalised guest profiles and in-app service options, which limits its ability to meet modern guest expectations for digital convenience (Morosan and Bowen, 2022).</w:t>
      </w:r>
    </w:p>
    <w:p w:rsidR="00000000" w:rsidDel="00000000" w:rsidP="00000000" w:rsidRDefault="00000000" w:rsidRPr="00000000" w14:paraId="00000089">
      <w:pPr>
        <w:numPr>
          <w:ilvl w:val="1"/>
          <w:numId w:val="6"/>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High Operational Costs</w:t>
      </w:r>
      <w:r w:rsidDel="00000000" w:rsidR="00000000" w:rsidRPr="00000000">
        <w:rPr>
          <w:rFonts w:ascii="Calibri" w:cs="Calibri" w:eastAsia="Calibri" w:hAnsi="Calibri"/>
          <w:rtl w:val="0"/>
        </w:rPr>
        <w:t xml:space="preserve">: Labour and maintenance costs in Paris are significant, impacting profitability. Additionally, high resource utilisation due to limited automation contributes to operational inefficiencies (Ghani et al., 2022).</w:t>
      </w:r>
    </w:p>
    <w:p w:rsidR="00000000" w:rsidDel="00000000" w:rsidP="00000000" w:rsidRDefault="00000000" w:rsidRPr="00000000" w14:paraId="0000008A">
      <w:pPr>
        <w:numPr>
          <w:ilvl w:val="0"/>
          <w:numId w:val="6"/>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Opportunities</w:t>
      </w:r>
      <w:r w:rsidDel="00000000" w:rsidR="00000000" w:rsidRPr="00000000">
        <w:rPr>
          <w:rFonts w:ascii="Calibri" w:cs="Calibri" w:eastAsia="Calibri" w:hAnsi="Calibri"/>
          <w:rtl w:val="0"/>
        </w:rPr>
        <w:t xml:space="preserve">:</w:t>
      </w:r>
    </w:p>
    <w:p w:rsidR="00000000" w:rsidDel="00000000" w:rsidP="00000000" w:rsidRDefault="00000000" w:rsidRPr="00000000" w14:paraId="0000008B">
      <w:pPr>
        <w:numPr>
          <w:ilvl w:val="1"/>
          <w:numId w:val="6"/>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Sustainable Tourism Growth</w:t>
      </w:r>
      <w:r w:rsidDel="00000000" w:rsidR="00000000" w:rsidRPr="00000000">
        <w:rPr>
          <w:rFonts w:ascii="Calibri" w:cs="Calibri" w:eastAsia="Calibri" w:hAnsi="Calibri"/>
          <w:rtl w:val="0"/>
        </w:rPr>
        <w:t xml:space="preserve">: The rising preference for eco-friendly travel offers Hilton Paris Opera an opportunity to enhance its sustainable practices, attract eco-conscious guests, and bolster its brand image (Bec et al., 2021).</w:t>
      </w:r>
    </w:p>
    <w:p w:rsidR="00000000" w:rsidDel="00000000" w:rsidP="00000000" w:rsidRDefault="00000000" w:rsidRPr="00000000" w14:paraId="0000008C">
      <w:pPr>
        <w:numPr>
          <w:ilvl w:val="1"/>
          <w:numId w:val="6"/>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Technological Integration</w:t>
      </w:r>
      <w:r w:rsidDel="00000000" w:rsidR="00000000" w:rsidRPr="00000000">
        <w:rPr>
          <w:rFonts w:ascii="Calibri" w:cs="Calibri" w:eastAsia="Calibri" w:hAnsi="Calibri"/>
          <w:rtl w:val="0"/>
        </w:rPr>
        <w:t xml:space="preserve">: Implementing AI and digital service enhancements, such as mobile check-ins and customisable in-room technology, could modernise the guest experience and streamline operations, making Hilton Paris Opera more competitive (Kandampully et al., 2023).</w:t>
      </w:r>
    </w:p>
    <w:p w:rsidR="00000000" w:rsidDel="00000000" w:rsidP="00000000" w:rsidRDefault="00000000" w:rsidRPr="00000000" w14:paraId="0000008D">
      <w:pPr>
        <w:numPr>
          <w:ilvl w:val="0"/>
          <w:numId w:val="6"/>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Threats</w:t>
      </w:r>
      <w:r w:rsidDel="00000000" w:rsidR="00000000" w:rsidRPr="00000000">
        <w:rPr>
          <w:rFonts w:ascii="Calibri" w:cs="Calibri" w:eastAsia="Calibri" w:hAnsi="Calibri"/>
          <w:rtl w:val="0"/>
        </w:rPr>
        <w:t xml:space="preserve">:</w:t>
      </w:r>
    </w:p>
    <w:p w:rsidR="00000000" w:rsidDel="00000000" w:rsidP="00000000" w:rsidRDefault="00000000" w:rsidRPr="00000000" w14:paraId="0000008E">
      <w:pPr>
        <w:numPr>
          <w:ilvl w:val="1"/>
          <w:numId w:val="6"/>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Competition from Boutique Hotels</w:t>
      </w:r>
      <w:r w:rsidDel="00000000" w:rsidR="00000000" w:rsidRPr="00000000">
        <w:rPr>
          <w:rFonts w:ascii="Calibri" w:cs="Calibri" w:eastAsia="Calibri" w:hAnsi="Calibri"/>
          <w:rtl w:val="0"/>
        </w:rPr>
        <w:t xml:space="preserve">: Boutique hotels, which offer unique, personalised experiences, appeal to luxury travellers seeking tailored stays, posing a competitive threat to Hilton Paris Opera (Lashley and Morrison, 2000).</w:t>
      </w:r>
    </w:p>
    <w:p w:rsidR="00000000" w:rsidDel="00000000" w:rsidP="00000000" w:rsidRDefault="00000000" w:rsidRPr="00000000" w14:paraId="0000008F">
      <w:pPr>
        <w:numPr>
          <w:ilvl w:val="1"/>
          <w:numId w:val="6"/>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Economic Fluctuations</w:t>
      </w:r>
      <w:r w:rsidDel="00000000" w:rsidR="00000000" w:rsidRPr="00000000">
        <w:rPr>
          <w:rFonts w:ascii="Calibri" w:cs="Calibri" w:eastAsia="Calibri" w:hAnsi="Calibri"/>
          <w:rtl w:val="0"/>
        </w:rPr>
        <w:t xml:space="preserve">: Economic downturns may affect discretionary spending, impacting the demand for luxury travel. Fluctuating tourism demand also influences revenue stability (Statista, 2024).</w:t>
      </w:r>
    </w:p>
    <w:p w:rsidR="00000000" w:rsidDel="00000000" w:rsidP="00000000" w:rsidRDefault="00000000" w:rsidRPr="00000000" w14:paraId="00000090">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This SWOT analysis highlights Hilton Paris Opera’s strong brand and service quality as strategic assets. However, to stay competitive, the hotel must address its weaknesses in digital service offerings and operational efficiency, while also capitalising on opportunities in sustainability and technological upgrades.</w:t>
      </w:r>
    </w:p>
    <w:p w:rsidR="00000000" w:rsidDel="00000000" w:rsidP="00000000" w:rsidRDefault="00000000" w:rsidRPr="00000000" w14:paraId="00000091">
      <w:pPr>
        <w:spacing w:line="360" w:lineRule="auto"/>
        <w:jc w:val="both"/>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92">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5.4 TOWS Analysis</w:t>
      </w:r>
    </w:p>
    <w:p w:rsidR="00000000" w:rsidDel="00000000" w:rsidP="00000000" w:rsidRDefault="00000000" w:rsidRPr="00000000" w14:paraId="00000093">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TOWS matrix is based on the SWOT findings in formulating strategies that utilize strengths to capitalize on opportunities, reduce weaknesses, and counteract threats.</w:t>
      </w:r>
    </w:p>
    <w:p w:rsidR="00000000" w:rsidDel="00000000" w:rsidP="00000000" w:rsidRDefault="00000000" w:rsidRPr="00000000" w14:paraId="00000094">
      <w:pPr>
        <w:numPr>
          <w:ilvl w:val="0"/>
          <w:numId w:val="11"/>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SO Strategies (Strengths-Opportunities)</w:t>
      </w:r>
      <w:r w:rsidDel="00000000" w:rsidR="00000000" w:rsidRPr="00000000">
        <w:rPr>
          <w:rFonts w:ascii="Calibri" w:cs="Calibri" w:eastAsia="Calibri" w:hAnsi="Calibri"/>
          <w:rtl w:val="0"/>
        </w:rPr>
        <w:t xml:space="preserve">:</w:t>
      </w:r>
    </w:p>
    <w:p w:rsidR="00000000" w:rsidDel="00000000" w:rsidP="00000000" w:rsidRDefault="00000000" w:rsidRPr="00000000" w14:paraId="00000095">
      <w:pPr>
        <w:numPr>
          <w:ilvl w:val="1"/>
          <w:numId w:val="11"/>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Leveraging Brand and Location for Sustainability</w:t>
      </w:r>
      <w:r w:rsidDel="00000000" w:rsidR="00000000" w:rsidRPr="00000000">
        <w:rPr>
          <w:rFonts w:ascii="Calibri" w:cs="Calibri" w:eastAsia="Calibri" w:hAnsi="Calibri"/>
          <w:rtl w:val="0"/>
        </w:rPr>
        <w:t xml:space="preserve">: Hilton Paris Opera’s prestigious brand and central location enable it to attract eco-conscious tourists by promoting sustainable initiatives, such as carbon footprint reduction and waste minimization practices.</w:t>
      </w:r>
    </w:p>
    <w:p w:rsidR="00000000" w:rsidDel="00000000" w:rsidP="00000000" w:rsidRDefault="00000000" w:rsidRPr="00000000" w14:paraId="00000096">
      <w:pPr>
        <w:numPr>
          <w:ilvl w:val="0"/>
          <w:numId w:val="11"/>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WO Strategies (Weaknesses-Opportunities)</w:t>
      </w:r>
      <w:r w:rsidDel="00000000" w:rsidR="00000000" w:rsidRPr="00000000">
        <w:rPr>
          <w:rFonts w:ascii="Calibri" w:cs="Calibri" w:eastAsia="Calibri" w:hAnsi="Calibri"/>
          <w:rtl w:val="0"/>
        </w:rPr>
        <w:t xml:space="preserve">:</w:t>
      </w:r>
    </w:p>
    <w:p w:rsidR="00000000" w:rsidDel="00000000" w:rsidP="00000000" w:rsidRDefault="00000000" w:rsidRPr="00000000" w14:paraId="00000097">
      <w:pPr>
        <w:numPr>
          <w:ilvl w:val="1"/>
          <w:numId w:val="11"/>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Digital Enhancement for Personalization</w:t>
      </w:r>
      <w:r w:rsidDel="00000000" w:rsidR="00000000" w:rsidRPr="00000000">
        <w:rPr>
          <w:rFonts w:ascii="Calibri" w:cs="Calibri" w:eastAsia="Calibri" w:hAnsi="Calibri"/>
          <w:rtl w:val="0"/>
        </w:rPr>
        <w:t xml:space="preserve">: Addressing Hilton Paris Opera's digital gaps through investment in AI-driven guest services—such as personalized room settings and mobile concierge options—could offer a more tailored and seamless guest experience.</w:t>
      </w:r>
    </w:p>
    <w:p w:rsidR="00000000" w:rsidDel="00000000" w:rsidP="00000000" w:rsidRDefault="00000000" w:rsidRPr="00000000" w14:paraId="00000098">
      <w:pPr>
        <w:numPr>
          <w:ilvl w:val="1"/>
          <w:numId w:val="11"/>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Cost Management through Automation</w:t>
      </w:r>
      <w:r w:rsidDel="00000000" w:rsidR="00000000" w:rsidRPr="00000000">
        <w:rPr>
          <w:rFonts w:ascii="Calibri" w:cs="Calibri" w:eastAsia="Calibri" w:hAnsi="Calibri"/>
          <w:rtl w:val="0"/>
        </w:rPr>
        <w:t xml:space="preserve">: Automating routine tasks, such as digital check-ins and housekeeping requests, would streamline operations, cut costs, and improve guest satisfaction by enhancing service efficiency.</w:t>
      </w:r>
    </w:p>
    <w:p w:rsidR="00000000" w:rsidDel="00000000" w:rsidP="00000000" w:rsidRDefault="00000000" w:rsidRPr="00000000" w14:paraId="00000099">
      <w:pPr>
        <w:numPr>
          <w:ilvl w:val="0"/>
          <w:numId w:val="11"/>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ST Strategies (Strengths-Threats)</w:t>
      </w:r>
      <w:r w:rsidDel="00000000" w:rsidR="00000000" w:rsidRPr="00000000">
        <w:rPr>
          <w:rFonts w:ascii="Calibri" w:cs="Calibri" w:eastAsia="Calibri" w:hAnsi="Calibri"/>
          <w:rtl w:val="0"/>
        </w:rPr>
        <w:t xml:space="preserve">:</w:t>
      </w:r>
    </w:p>
    <w:p w:rsidR="00000000" w:rsidDel="00000000" w:rsidP="00000000" w:rsidRDefault="00000000" w:rsidRPr="00000000" w14:paraId="0000009A">
      <w:pPr>
        <w:numPr>
          <w:ilvl w:val="1"/>
          <w:numId w:val="11"/>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Using Brand Strength to Differentiate from Boutiques</w:t>
      </w:r>
      <w:r w:rsidDel="00000000" w:rsidR="00000000" w:rsidRPr="00000000">
        <w:rPr>
          <w:rFonts w:ascii="Calibri" w:cs="Calibri" w:eastAsia="Calibri" w:hAnsi="Calibri"/>
          <w:rtl w:val="0"/>
        </w:rPr>
        <w:t xml:space="preserve">: By promoting its Parisian architectural heritage and unique luxury service, Hilton Paris Opera can distinguish itself from boutique hotels, appealing to travellers seeking an elegant, authentically Parisian experience (Jones and Lockwood, 2004).</w:t>
      </w:r>
    </w:p>
    <w:p w:rsidR="00000000" w:rsidDel="00000000" w:rsidP="00000000" w:rsidRDefault="00000000" w:rsidRPr="00000000" w14:paraId="0000009B">
      <w:pPr>
        <w:numPr>
          <w:ilvl w:val="1"/>
          <w:numId w:val="11"/>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Brand Loyalty Programs to Mitigate Economic Fluctuations</w:t>
      </w:r>
      <w:r w:rsidDel="00000000" w:rsidR="00000000" w:rsidRPr="00000000">
        <w:rPr>
          <w:rFonts w:ascii="Calibri" w:cs="Calibri" w:eastAsia="Calibri" w:hAnsi="Calibri"/>
          <w:rtl w:val="0"/>
        </w:rPr>
        <w:t xml:space="preserve">: Enhanced loyalty programs with discounts or added value during off-peak times could help maintain occupancy and revenue stability amid economic uncertainties (Wut et al., 2021).</w:t>
      </w:r>
    </w:p>
    <w:p w:rsidR="00000000" w:rsidDel="00000000" w:rsidP="00000000" w:rsidRDefault="00000000" w:rsidRPr="00000000" w14:paraId="0000009C">
      <w:pPr>
        <w:numPr>
          <w:ilvl w:val="0"/>
          <w:numId w:val="11"/>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WT Strategies (Weaknesses-Threats)</w:t>
      </w:r>
      <w:r w:rsidDel="00000000" w:rsidR="00000000" w:rsidRPr="00000000">
        <w:rPr>
          <w:rFonts w:ascii="Calibri" w:cs="Calibri" w:eastAsia="Calibri" w:hAnsi="Calibri"/>
          <w:rtl w:val="0"/>
        </w:rPr>
        <w:t xml:space="preserve">:</w:t>
      </w:r>
    </w:p>
    <w:p w:rsidR="00000000" w:rsidDel="00000000" w:rsidP="00000000" w:rsidRDefault="00000000" w:rsidRPr="00000000" w14:paraId="0000009D">
      <w:pPr>
        <w:numPr>
          <w:ilvl w:val="1"/>
          <w:numId w:val="11"/>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Addressing Digital Gaps to Compete with Boutique Hotels</w:t>
      </w:r>
      <w:r w:rsidDel="00000000" w:rsidR="00000000" w:rsidRPr="00000000">
        <w:rPr>
          <w:rFonts w:ascii="Calibri" w:cs="Calibri" w:eastAsia="Calibri" w:hAnsi="Calibri"/>
          <w:rtl w:val="0"/>
        </w:rPr>
        <w:t xml:space="preserve">: Enhancing digital offerings, especially mobile services, will help attract tech-savvy guests who may currently favour boutique hotels with high-tech conveniences (Morosan and Bowen, 2022).</w:t>
      </w:r>
    </w:p>
    <w:p w:rsidR="00000000" w:rsidDel="00000000" w:rsidP="00000000" w:rsidRDefault="00000000" w:rsidRPr="00000000" w14:paraId="0000009E">
      <w:pPr>
        <w:numPr>
          <w:ilvl w:val="1"/>
          <w:numId w:val="11"/>
        </w:numPr>
        <w:spacing w:line="360" w:lineRule="auto"/>
        <w:ind w:left="1440" w:hanging="360"/>
        <w:jc w:val="both"/>
        <w:rPr>
          <w:rFonts w:ascii="Calibri" w:cs="Calibri" w:eastAsia="Calibri" w:hAnsi="Calibri"/>
        </w:rPr>
      </w:pPr>
      <w:r w:rsidDel="00000000" w:rsidR="00000000" w:rsidRPr="00000000">
        <w:rPr>
          <w:rFonts w:ascii="Calibri" w:cs="Calibri" w:eastAsia="Calibri" w:hAnsi="Calibri"/>
          <w:b w:val="1"/>
          <w:rtl w:val="0"/>
        </w:rPr>
        <w:t xml:space="preserve">Reducing Labor Costs through Technology</w:t>
      </w:r>
      <w:r w:rsidDel="00000000" w:rsidR="00000000" w:rsidRPr="00000000">
        <w:rPr>
          <w:rFonts w:ascii="Calibri" w:cs="Calibri" w:eastAsia="Calibri" w:hAnsi="Calibri"/>
          <w:rtl w:val="0"/>
        </w:rPr>
        <w:t xml:space="preserve">: To offset high labour costs, the hotel can invest in staff training on digital tools to optimize service delivery, enabling a smaller workforce to efficiently handle peak guest volumes.</w:t>
      </w:r>
    </w:p>
    <w:p w:rsidR="00000000" w:rsidDel="00000000" w:rsidP="00000000" w:rsidRDefault="00000000" w:rsidRPr="00000000" w14:paraId="0000009F">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TOWS matrix suggests that Hilton Paris Opera should focus on digital enhancements and sustainability practices to build a competitive advantage, leveraging brand strengths and addressing cost-related weaknesses for optimal performance.</w:t>
      </w:r>
    </w:p>
    <w:p w:rsidR="00000000" w:rsidDel="00000000" w:rsidP="00000000" w:rsidRDefault="00000000" w:rsidRPr="00000000" w14:paraId="000000A0">
      <w:pPr>
        <w:spacing w:line="360" w:lineRule="auto"/>
        <w:jc w:val="both"/>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A1">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5.5 Current Performance Evaluation</w:t>
      </w:r>
    </w:p>
    <w:p w:rsidR="00000000" w:rsidDel="00000000" w:rsidP="00000000" w:rsidRDefault="00000000" w:rsidRPr="00000000" w14:paraId="000000A2">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Therefore, the current performance evaluation of Hilton Paris Opera reveals that though occupancy and guest satisfaction might be at healthy levels in its traditional areas of service provision, there are significant gaps related to digital convenience and operational efficiency. Many guests have often complained of needs for speedy check-in and personalisation of services, fields where boutique competitors excel. Operational data shows high resource utilisation and high labour costs, therefore affecting profitability. Hence, the need to undertake service delivery in a more efficient manner by automation (Hilton Hotels &amp; Resorts, 2023).</w:t>
      </w:r>
    </w:p>
    <w:p w:rsidR="00000000" w:rsidDel="00000000" w:rsidP="00000000" w:rsidRDefault="00000000" w:rsidRPr="00000000" w14:paraId="000000A3">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While sustainability programs for hotels are not so well developed compared to the leaders of the industry, there is a chance for Hilton Paris Opera to attract environmentally sensitive guests with some ecologically friendly practices. Performance indicators also show that strategic investments into technologies, along with personnel training and sustainability programs, may bring noticeable improvements for customer satisfaction and cost efficiency (Kandampully et al., 2017).</w:t>
      </w:r>
    </w:p>
    <w:p w:rsidR="00000000" w:rsidDel="00000000" w:rsidP="00000000" w:rsidRDefault="00000000" w:rsidRPr="00000000" w14:paraId="000000A4">
      <w:pPr>
        <w:spacing w:line="360" w:lineRule="auto"/>
        <w:jc w:val="both"/>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A5">
      <w:pPr>
        <w:pStyle w:val="Heading1"/>
        <w:spacing w:line="360" w:lineRule="auto"/>
        <w:jc w:val="both"/>
        <w:rPr>
          <w:rFonts w:ascii="Calibri" w:cs="Calibri" w:eastAsia="Calibri" w:hAnsi="Calibri"/>
          <w:sz w:val="36"/>
          <w:szCs w:val="36"/>
        </w:rPr>
      </w:pPr>
      <w:r w:rsidDel="00000000" w:rsidR="00000000" w:rsidRPr="00000000">
        <w:rPr>
          <w:rFonts w:ascii="Calibri" w:cs="Calibri" w:eastAsia="Calibri" w:hAnsi="Calibri"/>
          <w:sz w:val="36"/>
          <w:szCs w:val="36"/>
          <w:rtl w:val="0"/>
        </w:rPr>
        <w:t xml:space="preserve">6. Recommendations and Change Management </w:t>
      </w:r>
    </w:p>
    <w:p w:rsidR="00000000" w:rsidDel="00000000" w:rsidP="00000000" w:rsidRDefault="00000000" w:rsidRPr="00000000" w14:paraId="000000A6">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following list provides certain strategic recommendations for Hilton Paris Opera concerning its challenges in improving customer experience and overall operational effectiveness. These address digital upgrades, enhancements related to personalized services, and sustainable best practices. Implementation plans, a change management strategy, KPIs, and cost overviews are provided in order to facilitate an implementation plan for those recommendations in a realistic way.</w:t>
      </w:r>
    </w:p>
    <w:p w:rsidR="00000000" w:rsidDel="00000000" w:rsidP="00000000" w:rsidRDefault="00000000" w:rsidRPr="00000000" w14:paraId="000000A7">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6.1 Strategic Recommendations</w:t>
      </w:r>
    </w:p>
    <w:p w:rsidR="00000000" w:rsidDel="00000000" w:rsidP="00000000" w:rsidRDefault="00000000" w:rsidRPr="00000000" w14:paraId="000000A8">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To reinforce the competitive positioning of Hilton Paris Opera, three recommendations are most suggested:</w:t>
      </w:r>
    </w:p>
    <w:p w:rsidR="00000000" w:rsidDel="00000000" w:rsidP="00000000" w:rsidRDefault="00000000" w:rsidRPr="00000000" w14:paraId="000000A9">
      <w:pPr>
        <w:numPr>
          <w:ilvl w:val="0"/>
          <w:numId w:val="12"/>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Digital Improvements to its Services</w:t>
      </w:r>
      <w:r w:rsidDel="00000000" w:rsidR="00000000" w:rsidRPr="00000000">
        <w:rPr>
          <w:rFonts w:ascii="Calibri" w:cs="Calibri" w:eastAsia="Calibri" w:hAnsi="Calibri"/>
          <w:rtl w:val="0"/>
        </w:rPr>
        <w:t xml:space="preserve">: With the aid of digital solutions, such as AI-based guest applications and mobile check-ins, Hilton Paris Opera can modernize the guest experience. AI-driven applications can study guest preferences to make personalized recommendations, while mobile check-ins expedite the arrival process and reduce wait times, appealing particularly to tech-savvy guests and business travelers seeking efficiency (Cheng et al., 2023; Morosan and Bowen, 2022).</w:t>
      </w:r>
    </w:p>
    <w:p w:rsidR="00000000" w:rsidDel="00000000" w:rsidP="00000000" w:rsidRDefault="00000000" w:rsidRPr="00000000" w14:paraId="000000AA">
      <w:pPr>
        <w:numPr>
          <w:ilvl w:val="0"/>
          <w:numId w:val="12"/>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Guest Personalization</w:t>
      </w:r>
      <w:r w:rsidDel="00000000" w:rsidR="00000000" w:rsidRPr="00000000">
        <w:rPr>
          <w:rFonts w:ascii="Calibri" w:cs="Calibri" w:eastAsia="Calibri" w:hAnsi="Calibri"/>
          <w:rtl w:val="0"/>
        </w:rPr>
        <w:t xml:space="preserve">: Integrate AI-enabled personalization in the Hilton app, allowing guests to pre-book their in-room preferences (e.g., lighting, temperature) and select from personalized hospitality options. Personalization can also include pre-planned local excursions and on-demand services, offering a uniquely Parisian stay. This level of personalization positions Hilton Paris Opera more competitively against boutique hotels offering unique experiences (Azazz et al., 2024).</w:t>
      </w:r>
    </w:p>
    <w:p w:rsidR="00000000" w:rsidDel="00000000" w:rsidP="00000000" w:rsidRDefault="00000000" w:rsidRPr="00000000" w14:paraId="000000AB">
      <w:pPr>
        <w:numPr>
          <w:ilvl w:val="0"/>
          <w:numId w:val="12"/>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Sustainable Best Practices</w:t>
      </w:r>
      <w:r w:rsidDel="00000000" w:rsidR="00000000" w:rsidRPr="00000000">
        <w:rPr>
          <w:rFonts w:ascii="Calibri" w:cs="Calibri" w:eastAsia="Calibri" w:hAnsi="Calibri"/>
          <w:rtl w:val="0"/>
        </w:rPr>
        <w:t xml:space="preserve">: Advance sustainability at Hilton Paris Opera through eco-friendly initiatives like waste reduction programs, energy-efficient lighting, and reducing single-use plastics. These practices align with EU sustainability regulations and appeal to guests who prioritize environmentally responsible hospitality. Promoting these green initiatives will enhance brand reputation and attract the growing segment of eco-conscious travellers (Shanti and Joshi, 2022).</w:t>
      </w:r>
    </w:p>
    <w:p w:rsidR="00000000" w:rsidDel="00000000" w:rsidP="00000000" w:rsidRDefault="00000000" w:rsidRPr="00000000" w14:paraId="000000AC">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These recommendations respectively focus on key areas that impact guest satisfaction, operational efficiency, and competitive differentiation. By prioritizing digital upgrades, personalized service, and sustainable practices, Hilton Paris Opera will align with industry trends and meet the expectations of modern guests.</w:t>
      </w:r>
    </w:p>
    <w:p w:rsidR="00000000" w:rsidDel="00000000" w:rsidP="00000000" w:rsidRDefault="00000000" w:rsidRPr="00000000" w14:paraId="000000AD">
      <w:pPr>
        <w:spacing w:line="360" w:lineRule="auto"/>
        <w:jc w:val="both"/>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AE">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6.2 Implementation Plan</w:t>
      </w:r>
    </w:p>
    <w:p w:rsidR="00000000" w:rsidDel="00000000" w:rsidP="00000000" w:rsidRDefault="00000000" w:rsidRPr="00000000" w14:paraId="000000AF">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For this purpose, a phase-wise implementation plan is sought for the effective integration of those recommendations to minimize disruption on the ongoing operations.</w:t>
      </w:r>
    </w:p>
    <w:p w:rsidR="00000000" w:rsidDel="00000000" w:rsidP="00000000" w:rsidRDefault="00000000" w:rsidRPr="00000000" w14:paraId="000000B0">
      <w:pPr>
        <w:spacing w:line="360" w:lineRule="auto"/>
        <w:jc w:val="both"/>
        <w:rPr>
          <w:rFonts w:ascii="Calibri" w:cs="Calibri" w:eastAsia="Calibri" w:hAnsi="Calibri"/>
        </w:rPr>
      </w:pPr>
      <w:r w:rsidDel="00000000" w:rsidR="00000000" w:rsidRPr="00000000">
        <w:rPr>
          <w:rFonts w:ascii="Calibri" w:cs="Calibri" w:eastAsia="Calibri" w:hAnsi="Calibri"/>
          <w:b w:val="1"/>
          <w:rtl w:val="0"/>
        </w:rPr>
        <w:t xml:space="preserve">• Phase 1:</w:t>
      </w:r>
      <w:r w:rsidDel="00000000" w:rsidR="00000000" w:rsidRPr="00000000">
        <w:rPr>
          <w:rFonts w:ascii="Calibri" w:cs="Calibri" w:eastAsia="Calibri" w:hAnsi="Calibri"/>
          <w:rtl w:val="0"/>
        </w:rPr>
        <w:t xml:space="preserve"> Digital Service Enhancements (Months 1–3): Start with digital check-ins and mobile concierge services. In this regard, discussions with different IT vendors will be made for selecting and installing appropriate AI-driven solutions. Training of the staff in using new digital tools will ensure easy adoption to effectively promote an enhanced guest experience supporting Walker (2017) and Cheng et al.</w:t>
      </w:r>
    </w:p>
    <w:p w:rsidR="00000000" w:rsidDel="00000000" w:rsidP="00000000" w:rsidRDefault="00000000" w:rsidRPr="00000000" w14:paraId="000000B1">
      <w:pPr>
        <w:spacing w:line="360" w:lineRule="auto"/>
        <w:jc w:val="both"/>
        <w:rPr>
          <w:rFonts w:ascii="Calibri" w:cs="Calibri" w:eastAsia="Calibri" w:hAnsi="Calibri"/>
        </w:rPr>
      </w:pPr>
      <w:r w:rsidDel="00000000" w:rsidR="00000000" w:rsidRPr="00000000">
        <w:rPr>
          <w:rFonts w:ascii="Calibri" w:cs="Calibri" w:eastAsia="Calibri" w:hAnsi="Calibri"/>
          <w:b w:val="1"/>
          <w:rtl w:val="0"/>
        </w:rPr>
        <w:t xml:space="preserve">• Stage 2:</w:t>
      </w:r>
      <w:r w:rsidDel="00000000" w:rsidR="00000000" w:rsidRPr="00000000">
        <w:rPr>
          <w:rFonts w:ascii="Calibri" w:cs="Calibri" w:eastAsia="Calibri" w:hAnsi="Calibri"/>
          <w:rtl w:val="0"/>
        </w:rPr>
        <w:t xml:space="preserve"> Personalized Guest Experience Enhancements, Months 4–6: Where the first wave of digital rollouts has been implemented, in-room personalized settings and curated local itineraries can be introduced at Hilton Paris Opera. Information garnered through data in Phase 1 can be utilized to develop this offering, whereby staff can effectively tailor services to meet the needs of each guest. Sessions will be taught on how to use data proactively in order to anticipate the guest requirements for amenities. This ensures that a consistent level of personalized service is offered to every guest (Kandampully et al., 2023).</w:t>
      </w:r>
    </w:p>
    <w:p w:rsidR="00000000" w:rsidDel="00000000" w:rsidP="00000000" w:rsidRDefault="00000000" w:rsidRPr="00000000" w14:paraId="000000B2">
      <w:pPr>
        <w:spacing w:line="360" w:lineRule="auto"/>
        <w:jc w:val="both"/>
        <w:rPr>
          <w:rFonts w:ascii="Calibri" w:cs="Calibri" w:eastAsia="Calibri" w:hAnsi="Calibri"/>
        </w:rPr>
      </w:pPr>
      <w:r w:rsidDel="00000000" w:rsidR="00000000" w:rsidRPr="00000000">
        <w:rPr>
          <w:rFonts w:ascii="Calibri" w:cs="Calibri" w:eastAsia="Calibri" w:hAnsi="Calibri"/>
          <w:b w:val="1"/>
          <w:rtl w:val="0"/>
        </w:rPr>
        <w:t xml:space="preserve">• Phase 3:</w:t>
      </w:r>
      <w:r w:rsidDel="00000000" w:rsidR="00000000" w:rsidRPr="00000000">
        <w:rPr>
          <w:rFonts w:ascii="Calibri" w:cs="Calibri" w:eastAsia="Calibri" w:hAnsi="Calibri"/>
          <w:rtl w:val="0"/>
        </w:rPr>
        <w:t xml:space="preserve"> Embedding Sustainable Practice Months 7–9: In this final stage, Hilton Paris Opera should be introducing sustainability on-site, such as energy-efficient lighting, recycling programs, and reducing single-use plastics. These can be used in marketing campaigns to heighten awareness of its brand for environmentally sensitive customers (Sigala, 2020). Outcomes will still be monitored about waste and energy use reduction, according to EU standards on sustainability (Azazz et al., 2024).</w:t>
      </w:r>
    </w:p>
    <w:p w:rsidR="00000000" w:rsidDel="00000000" w:rsidP="00000000" w:rsidRDefault="00000000" w:rsidRPr="00000000" w14:paraId="000000B3">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Results of this multi-phased approach will be that Hilton Paris Opera may make changes incrementally, thereby eased by feedback and the need to operate, which minimizes disruptions by spreading over several months, enabling its staff to adapt progressively.</w:t>
      </w:r>
    </w:p>
    <w:p w:rsidR="00000000" w:rsidDel="00000000" w:rsidP="00000000" w:rsidRDefault="00000000" w:rsidRPr="00000000" w14:paraId="000000B4">
      <w:pPr>
        <w:spacing w:line="360" w:lineRule="auto"/>
        <w:jc w:val="both"/>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B5">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6.3 Change Management Approach</w:t>
      </w:r>
    </w:p>
    <w:p w:rsidR="00000000" w:rsidDel="00000000" w:rsidP="00000000" w:rsidRDefault="00000000" w:rsidRPr="00000000" w14:paraId="000000B6">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Therefore, a structured approach towards change management is of the essence in ensuring successful adoption of the proposed recommendations. This will be done by implementing Kotter's Eight-Step Change Model to navigate Hilton Paris Opera through a structured transformation process. In this way, Kotter's eight steps will be used to effect orderly change within Hilton Paris Opera (Kotter, 1996; Enz, 2010):</w:t>
      </w:r>
    </w:p>
    <w:p w:rsidR="00000000" w:rsidDel="00000000" w:rsidP="00000000" w:rsidRDefault="00000000" w:rsidRPr="00000000" w14:paraId="000000B7">
      <w:pPr>
        <w:numPr>
          <w:ilvl w:val="0"/>
          <w:numId w:val="13"/>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Establish a sense of urgency.</w:t>
      </w:r>
      <w:r w:rsidDel="00000000" w:rsidR="00000000" w:rsidRPr="00000000">
        <w:rPr>
          <w:rFonts w:ascii="Calibri" w:cs="Calibri" w:eastAsia="Calibri" w:hAnsi="Calibri"/>
          <w:rtl w:val="0"/>
        </w:rPr>
        <w:t xml:space="preserve"> This involves communicating the rationale behind change through guest expectations and developments with regards to competition. By highlighting the risks involved with doing nothing, such as a loss in guest satisfaction and market share, the staff will be motivated to support the change.</w:t>
      </w:r>
    </w:p>
    <w:p w:rsidR="00000000" w:rsidDel="00000000" w:rsidP="00000000" w:rsidRDefault="00000000" w:rsidRPr="00000000" w14:paraId="000000B8">
      <w:pPr>
        <w:numPr>
          <w:ilvl w:val="0"/>
          <w:numId w:val="13"/>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Guiding Coalition:</w:t>
      </w:r>
      <w:r w:rsidDel="00000000" w:rsidR="00000000" w:rsidRPr="00000000">
        <w:rPr>
          <w:rFonts w:ascii="Calibri" w:cs="Calibri" w:eastAsia="Calibri" w:hAnsi="Calibri"/>
          <w:rtl w:val="0"/>
        </w:rPr>
        <w:t xml:space="preserve"> Establish an IT, marketing, and operations cross-functional team that will guide the change. Such coalition would make sure the needs and concerns of each department are put into consideration for a collective approach.</w:t>
      </w:r>
    </w:p>
    <w:p w:rsidR="00000000" w:rsidDel="00000000" w:rsidP="00000000" w:rsidRDefault="00000000" w:rsidRPr="00000000" w14:paraId="000000B9">
      <w:pPr>
        <w:numPr>
          <w:ilvl w:val="0"/>
          <w:numId w:val="13"/>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Create a Vision of Change:</w:t>
      </w:r>
      <w:r w:rsidDel="00000000" w:rsidR="00000000" w:rsidRPr="00000000">
        <w:rPr>
          <w:rFonts w:ascii="Calibri" w:cs="Calibri" w:eastAsia="Calibri" w:hAnsi="Calibri"/>
          <w:rtl w:val="0"/>
        </w:rPr>
        <w:t xml:space="preserve"> Summarize the intent of digital, personalized, and sustainable changes. Clearly practice alignment with the brand values at Hilton Paris Opera, therefore enhancing this vision in creation of an extraordinary customer experience through innovation and eco-friendliness.</w:t>
      </w:r>
    </w:p>
    <w:p w:rsidR="00000000" w:rsidDel="00000000" w:rsidP="00000000" w:rsidRDefault="00000000" w:rsidRPr="00000000" w14:paraId="000000BA">
      <w:pPr>
        <w:numPr>
          <w:ilvl w:val="0"/>
          <w:numId w:val="13"/>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Communicate the Vision:</w:t>
      </w:r>
      <w:r w:rsidDel="00000000" w:rsidR="00000000" w:rsidRPr="00000000">
        <w:rPr>
          <w:rFonts w:ascii="Calibri" w:cs="Calibri" w:eastAsia="Calibri" w:hAnsi="Calibri"/>
          <w:rtl w:val="0"/>
        </w:rPr>
        <w:t xml:space="preserve"> Through regular staff meetings, emails, and from the bulletin boards, the change objectives will be constantly reminded to retain the focus of all employees on what they are trying to achieve by the change and the role of each in it. This is according to Kandampully et al. (2023).</w:t>
      </w:r>
    </w:p>
    <w:p w:rsidR="00000000" w:rsidDel="00000000" w:rsidP="00000000" w:rsidRDefault="00000000" w:rsidRPr="00000000" w14:paraId="000000BB">
      <w:pPr>
        <w:numPr>
          <w:ilvl w:val="0"/>
          <w:numId w:val="13"/>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Empower Employees for Action:</w:t>
      </w:r>
      <w:r w:rsidDel="00000000" w:rsidR="00000000" w:rsidRPr="00000000">
        <w:rPr>
          <w:rFonts w:ascii="Calibri" w:cs="Calibri" w:eastAsia="Calibri" w:hAnsi="Calibri"/>
          <w:rtl w:val="0"/>
        </w:rPr>
        <w:t xml:space="preserve"> The management will provide training and resources to cater for the staff to adapt to new digital tools and standards of services. It is Flipin likelihood that where employees are empowered, there is a likelihood that change will be embraced with ultimate confidence ( Waqanimaravu and Arasanmi, 2020).</w:t>
      </w:r>
    </w:p>
    <w:p w:rsidR="00000000" w:rsidDel="00000000" w:rsidP="00000000" w:rsidRDefault="00000000" w:rsidRPr="00000000" w14:paraId="000000BC">
      <w:pPr>
        <w:numPr>
          <w:ilvl w:val="0"/>
          <w:numId w:val="13"/>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Create Short-Term Wins:</w:t>
      </w:r>
      <w:r w:rsidDel="00000000" w:rsidR="00000000" w:rsidRPr="00000000">
        <w:rPr>
          <w:rFonts w:ascii="Calibri" w:cs="Calibri" w:eastAsia="Calibri" w:hAnsi="Calibri"/>
          <w:rtl w:val="0"/>
        </w:rPr>
        <w:t xml:space="preserve"> Celebrate early successes of, for instance, responses to digital check-ins from guests. Rewarding reinforces positive behaviour and drives the staff to continue with the process of change (Enz, 2010).</w:t>
      </w:r>
    </w:p>
    <w:p w:rsidR="00000000" w:rsidDel="00000000" w:rsidP="00000000" w:rsidRDefault="00000000" w:rsidRPr="00000000" w14:paraId="000000BD">
      <w:pPr>
        <w:numPr>
          <w:ilvl w:val="0"/>
          <w:numId w:val="13"/>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Consolidate Gains:</w:t>
      </w:r>
      <w:r w:rsidDel="00000000" w:rsidR="00000000" w:rsidRPr="00000000">
        <w:rPr>
          <w:rFonts w:ascii="Calibri" w:cs="Calibri" w:eastAsia="Calibri" w:hAnsi="Calibri"/>
          <w:rtl w:val="0"/>
        </w:rPr>
        <w:t xml:space="preserve"> Use feedback as a vehicle for improving new systems to continue to build on short-term wins and integrate successful practices into standard operations.</w:t>
      </w:r>
    </w:p>
    <w:p w:rsidR="00000000" w:rsidDel="00000000" w:rsidP="00000000" w:rsidRDefault="00000000" w:rsidRPr="00000000" w14:paraId="000000BE">
      <w:pPr>
        <w:numPr>
          <w:ilvl w:val="0"/>
          <w:numId w:val="13"/>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Anchor Changes in Culture:</w:t>
      </w:r>
      <w:r w:rsidDel="00000000" w:rsidR="00000000" w:rsidRPr="00000000">
        <w:rPr>
          <w:rFonts w:ascii="Calibri" w:cs="Calibri" w:eastAsia="Calibri" w:hAnsi="Calibri"/>
          <w:rtl w:val="0"/>
        </w:rPr>
        <w:t xml:space="preserve"> Embed practices within Hilton Paris Opera's core values; drive innovation, personalisation, and sustainability within each day's operation (Slack et al., 2010).</w:t>
      </w:r>
    </w:p>
    <w:p w:rsidR="00000000" w:rsidDel="00000000" w:rsidP="00000000" w:rsidRDefault="00000000" w:rsidRPr="00000000" w14:paraId="000000BF">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application of Kotter's model will ensure that the changes form part of Hilton Paris Opera's organizational culture to support long-term improvement both in the guest experience and operational efficiency.</w:t>
      </w:r>
    </w:p>
    <w:p w:rsidR="00000000" w:rsidDel="00000000" w:rsidP="00000000" w:rsidRDefault="00000000" w:rsidRPr="00000000" w14:paraId="000000C0">
      <w:pPr>
        <w:spacing w:line="36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0C1">
      <w:pPr>
        <w:spacing w:line="360" w:lineRule="auto"/>
        <w:jc w:val="both"/>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C2">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6.4 KPIs and Measurement</w:t>
      </w:r>
    </w:p>
    <w:p w:rsidR="00000000" w:rsidDel="00000000" w:rsidP="00000000" w:rsidRDefault="00000000" w:rsidRPr="00000000" w14:paraId="000000C3">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Success will be further measured by the usage of KPIs that track progress made in improving the guest experience, operational efficiency, and sustainability for Hilton Paris Opera.</w:t>
      </w:r>
    </w:p>
    <w:p w:rsidR="00000000" w:rsidDel="00000000" w:rsidP="00000000" w:rsidRDefault="00000000" w:rsidRPr="00000000" w14:paraId="000000C4">
      <w:pPr>
        <w:numPr>
          <w:ilvl w:val="0"/>
          <w:numId w:val="2"/>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Guest Satisfaction Scores:</w:t>
      </w:r>
      <w:r w:rsidDel="00000000" w:rsidR="00000000" w:rsidRPr="00000000">
        <w:rPr>
          <w:rFonts w:ascii="Calibri" w:cs="Calibri" w:eastAsia="Calibri" w:hAnsi="Calibri"/>
          <w:rtl w:val="0"/>
        </w:rPr>
        <w:t xml:space="preserve"> Monthly surveys will be used to measure the perception of guests regarding digital services, personalized experiences, and overall service quality. Improvement in the scores will indicate that the implementation of guest-focused changes has been successful according to Phillips et al. (2017).</w:t>
      </w:r>
    </w:p>
    <w:p w:rsidR="00000000" w:rsidDel="00000000" w:rsidP="00000000" w:rsidRDefault="00000000" w:rsidRPr="00000000" w14:paraId="000000C5">
      <w:pPr>
        <w:numPr>
          <w:ilvl w:val="0"/>
          <w:numId w:val="2"/>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Operational Efficiency Metrics:</w:t>
      </w:r>
      <w:r w:rsidDel="00000000" w:rsidR="00000000" w:rsidRPr="00000000">
        <w:rPr>
          <w:rFonts w:ascii="Calibri" w:cs="Calibri" w:eastAsia="Calibri" w:hAnsi="Calibri"/>
          <w:rtl w:val="0"/>
        </w:rPr>
        <w:t xml:space="preserve"> Expected metrics are average check-in time and service response time. Lower wait times and faster times of service delivery will imply that the integration of digital went well and operational efficiency enhanced (Gera and Kumar, 2023).</w:t>
      </w:r>
    </w:p>
    <w:p w:rsidR="00000000" w:rsidDel="00000000" w:rsidP="00000000" w:rsidRDefault="00000000" w:rsidRPr="00000000" w14:paraId="000000C6">
      <w:pPr>
        <w:numPr>
          <w:ilvl w:val="0"/>
          <w:numId w:val="2"/>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Sustainability Metrics:</w:t>
      </w:r>
      <w:r w:rsidDel="00000000" w:rsidR="00000000" w:rsidRPr="00000000">
        <w:rPr>
          <w:rFonts w:ascii="Calibri" w:cs="Calibri" w:eastAsia="Calibri" w:hAnsi="Calibri"/>
          <w:rtl w:val="0"/>
        </w:rPr>
        <w:t xml:space="preserve"> It will indicate energy consumption, waste reduction, and usage of plastic for eco-friendly behaviour. Meeting the set targets in these areas shall confirm the correspondence to the Hilton sustainability goals (Sigala, 2020).</w:t>
      </w:r>
    </w:p>
    <w:p w:rsidR="00000000" w:rsidDel="00000000" w:rsidP="00000000" w:rsidRDefault="00000000" w:rsidRPr="00000000" w14:paraId="000000C7">
      <w:pPr>
        <w:numPr>
          <w:ilvl w:val="0"/>
          <w:numId w:val="2"/>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Employee Engagement Levels:</w:t>
      </w:r>
      <w:r w:rsidDel="00000000" w:rsidR="00000000" w:rsidRPr="00000000">
        <w:rPr>
          <w:rFonts w:ascii="Calibri" w:cs="Calibri" w:eastAsia="Calibri" w:hAnsi="Calibri"/>
          <w:rtl w:val="0"/>
        </w:rPr>
        <w:t xml:space="preserve"> Proof of how personnel have adapted to new practices through post-training surveys and regular feedback sessions. A high engagement level shows that the staff are supported and in step with the hotel objectives (Waqanimaravu and Arasanmi, 2020).</w:t>
      </w:r>
    </w:p>
    <w:p w:rsidR="00000000" w:rsidDel="00000000" w:rsidP="00000000" w:rsidRDefault="00000000" w:rsidRPr="00000000" w14:paraId="000000C8">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These KPIs will be monitored quarterly to review whether changes are yielding desired outcomes and provide valuable data on how Hilton Paris Opera can refine strategies, if needed.</w:t>
      </w:r>
    </w:p>
    <w:p w:rsidR="00000000" w:rsidDel="00000000" w:rsidP="00000000" w:rsidRDefault="00000000" w:rsidRPr="00000000" w14:paraId="000000C9">
      <w:pPr>
        <w:spacing w:line="360" w:lineRule="auto"/>
        <w:jc w:val="both"/>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CA">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6.5 Costs Overview</w:t>
      </w:r>
    </w:p>
    <w:p w:rsidR="00000000" w:rsidDel="00000000" w:rsidP="00000000" w:rsidRDefault="00000000" w:rsidRPr="00000000" w14:paraId="000000CB">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 estimated costs for implementing these recommendations are as follows:</w:t>
      </w:r>
    </w:p>
    <w:p w:rsidR="00000000" w:rsidDel="00000000" w:rsidP="00000000" w:rsidRDefault="00000000" w:rsidRPr="00000000" w14:paraId="000000CC">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b w:val="1"/>
          <w:rtl w:val="0"/>
        </w:rPr>
        <w:t xml:space="preserve">Digital Enhancements:</w:t>
      </w:r>
      <w:r w:rsidDel="00000000" w:rsidR="00000000" w:rsidRPr="00000000">
        <w:rPr>
          <w:rFonts w:ascii="Calibri" w:cs="Calibri" w:eastAsia="Calibri" w:hAnsi="Calibri"/>
          <w:rtl w:val="0"/>
        </w:rPr>
        <w:t xml:space="preserve"> £60,000 for artificial intelligence-driven systems and mobile interfaces include setup costs and ongoing maintenance.</w:t>
      </w:r>
    </w:p>
    <w:p w:rsidR="00000000" w:rsidDel="00000000" w:rsidP="00000000" w:rsidRDefault="00000000" w:rsidRPr="00000000" w14:paraId="000000CD">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b w:val="1"/>
          <w:rtl w:val="0"/>
        </w:rPr>
        <w:t xml:space="preserve">Personalisation Upgrades:</w:t>
      </w:r>
      <w:r w:rsidDel="00000000" w:rsidR="00000000" w:rsidRPr="00000000">
        <w:rPr>
          <w:rFonts w:ascii="Calibri" w:cs="Calibri" w:eastAsia="Calibri" w:hAnsi="Calibri"/>
          <w:rtl w:val="0"/>
        </w:rPr>
        <w:t xml:space="preserve"> £40,000 to integrate customisation options within the Hilton app, with appropriate training to staff on the best use of data on guests.</w:t>
      </w:r>
    </w:p>
    <w:p w:rsidR="00000000" w:rsidDel="00000000" w:rsidP="00000000" w:rsidRDefault="00000000" w:rsidRPr="00000000" w14:paraId="000000CE">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b w:val="1"/>
          <w:rtl w:val="0"/>
        </w:rPr>
        <w:t xml:space="preserve">Sustainable Practices:</w:t>
      </w:r>
      <w:r w:rsidDel="00000000" w:rsidR="00000000" w:rsidRPr="00000000">
        <w:rPr>
          <w:rFonts w:ascii="Calibri" w:cs="Calibri" w:eastAsia="Calibri" w:hAnsi="Calibri"/>
          <w:rtl w:val="0"/>
        </w:rPr>
        <w:t xml:space="preserve"> £30,000 will be used in installing green-friendly lights, waste management systems, and marketing campaigns to promote the new green initiative (Azazz et al., 2024).</w:t>
      </w:r>
    </w:p>
    <w:p w:rsidR="00000000" w:rsidDel="00000000" w:rsidP="00000000" w:rsidRDefault="00000000" w:rsidRPr="00000000" w14:paraId="000000CF">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All these three investments are estimated to cost around £130,000 and are expected to generate returns on investment through improved guest retention, enhanced operational efficiency, and solid brand positioning within the eco-conscious market segment (Binesh et al., 2021).</w:t>
      </w:r>
    </w:p>
    <w:p w:rsidR="00000000" w:rsidDel="00000000" w:rsidP="00000000" w:rsidRDefault="00000000" w:rsidRPr="00000000" w14:paraId="000000D0">
      <w:pPr>
        <w:spacing w:line="360" w:lineRule="auto"/>
        <w:jc w:val="both"/>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D1">
      <w:pPr>
        <w:spacing w:line="360" w:lineRule="auto"/>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0D2">
      <w:pPr>
        <w:spacing w:line="360" w:lineRule="auto"/>
        <w:jc w:val="both"/>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D3">
      <w:pPr>
        <w:pStyle w:val="Heading1"/>
        <w:spacing w:line="360" w:lineRule="auto"/>
        <w:jc w:val="both"/>
        <w:rPr>
          <w:rFonts w:ascii="Calibri" w:cs="Calibri" w:eastAsia="Calibri" w:hAnsi="Calibri"/>
          <w:sz w:val="36"/>
          <w:szCs w:val="36"/>
        </w:rPr>
      </w:pPr>
      <w:r w:rsidDel="00000000" w:rsidR="00000000" w:rsidRPr="00000000">
        <w:rPr>
          <w:rFonts w:ascii="Calibri" w:cs="Calibri" w:eastAsia="Calibri" w:hAnsi="Calibri"/>
          <w:sz w:val="36"/>
          <w:szCs w:val="36"/>
          <w:rtl w:val="0"/>
        </w:rPr>
        <w:t xml:space="preserve">7. Action Plan</w:t>
      </w:r>
    </w:p>
    <w:p w:rsidR="00000000" w:rsidDel="00000000" w:rsidP="00000000" w:rsidRDefault="00000000" w:rsidRPr="00000000" w14:paraId="000000D4">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This action plan summarizes the main activities that Hilton Paris Opera should do to carry out the strategies recommended in this paper, including objectives, timelines, and estimated costs. The succeeding table outlines necessary actions, desired outcome, and completion timeline, thus making sure that Hilton Paris Opera will achieve the intended improvement of guests' experiens.</w:t>
      </w:r>
      <w:r w:rsidDel="00000000" w:rsidR="00000000" w:rsidRPr="00000000">
        <w:rPr>
          <w:rFonts w:ascii="Calibri" w:cs="Calibri" w:eastAsia="Calibri" w:hAnsi="Calibri"/>
        </w:rPr>
        <w:drawing>
          <wp:inline distB="0" distT="0" distL="0" distR="0">
            <wp:extent cx="5943600" cy="6409055"/>
            <wp:effectExtent b="0" l="0" r="0" t="0"/>
            <wp:docPr descr="A table of informational text&#10;&#10;Description automatically generated with medium confidence" id="2135516592" name="image3.png"/>
            <a:graphic>
              <a:graphicData uri="http://schemas.openxmlformats.org/drawingml/2006/picture">
                <pic:pic>
                  <pic:nvPicPr>
                    <pic:cNvPr descr="A table of informational text&#10;&#10;Description automatically generated with medium confidence" id="0" name="image3.png"/>
                    <pic:cNvPicPr preferRelativeResize="0"/>
                  </pic:nvPicPr>
                  <pic:blipFill>
                    <a:blip r:embed="rId8"/>
                    <a:srcRect b="0" l="0" r="0" t="0"/>
                    <a:stretch>
                      <a:fillRect/>
                    </a:stretch>
                  </pic:blipFill>
                  <pic:spPr>
                    <a:xfrm>
                      <a:off x="0" y="0"/>
                      <a:ext cx="5943600" cy="6409055"/>
                    </a:xfrm>
                    <a:prstGeom prst="rect"/>
                    <a:ln/>
                  </pic:spPr>
                </pic:pic>
              </a:graphicData>
            </a:graphic>
          </wp:inline>
        </w:drawing>
      </w:r>
      <w:r w:rsidDel="00000000" w:rsidR="00000000" w:rsidRPr="00000000">
        <w:rPr>
          <w:rtl w:val="0"/>
        </w:rPr>
      </w:r>
    </w:p>
    <w:p w:rsidR="00000000" w:rsidDel="00000000" w:rsidP="00000000" w:rsidRDefault="00000000" w:rsidRPr="00000000" w14:paraId="000000D5">
      <w:pPr>
        <w:spacing w:line="36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0D6">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Each point in this action plan also furthers and reinforces the step-by-step implementation approach. Emphasis is on a step-by-step alteration of processes and practices to minimize business disruption. Continuous monitoring of Key Performance Indicators (KPIs) allows revisions in light of feedback from guests and performance of the staff.</w:t>
      </w:r>
    </w:p>
    <w:p w:rsidR="00000000" w:rsidDel="00000000" w:rsidP="00000000" w:rsidRDefault="00000000" w:rsidRPr="00000000" w14:paraId="000000D7">
      <w:pPr>
        <w:numPr>
          <w:ilvl w:val="0"/>
          <w:numId w:val="3"/>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Phase 1 (Months 1–3):</w:t>
      </w:r>
      <w:r w:rsidDel="00000000" w:rsidR="00000000" w:rsidRPr="00000000">
        <w:rPr>
          <w:rFonts w:ascii="Calibri" w:cs="Calibri" w:eastAsia="Calibri" w:hAnsi="Calibri"/>
          <w:rtl w:val="0"/>
        </w:rPr>
        <w:t xml:space="preserve"> Lay the core digital framework, such as mobile check-ins and elementary AI-driven personalization functionality.</w:t>
      </w:r>
    </w:p>
    <w:p w:rsidR="00000000" w:rsidDel="00000000" w:rsidP="00000000" w:rsidRDefault="00000000" w:rsidRPr="00000000" w14:paraId="000000D8">
      <w:pPr>
        <w:numPr>
          <w:ilvl w:val="0"/>
          <w:numId w:val="3"/>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Phase 2 (Months 4–6):</w:t>
      </w:r>
      <w:r w:rsidDel="00000000" w:rsidR="00000000" w:rsidRPr="00000000">
        <w:rPr>
          <w:rFonts w:ascii="Calibri" w:cs="Calibri" w:eastAsia="Calibri" w:hAnsi="Calibri"/>
          <w:rtl w:val="0"/>
        </w:rPr>
        <w:t xml:space="preserve"> Further engages guests with personalized experiences and in-room options, for which extensive employee training is required.</w:t>
      </w:r>
    </w:p>
    <w:p w:rsidR="00000000" w:rsidDel="00000000" w:rsidP="00000000" w:rsidRDefault="00000000" w:rsidRPr="00000000" w14:paraId="000000D9">
      <w:pPr>
        <w:numPr>
          <w:ilvl w:val="0"/>
          <w:numId w:val="3"/>
        </w:numPr>
        <w:spacing w:line="360" w:lineRule="auto"/>
        <w:ind w:left="720" w:hanging="360"/>
        <w:jc w:val="both"/>
        <w:rPr>
          <w:rFonts w:ascii="Calibri" w:cs="Calibri" w:eastAsia="Calibri" w:hAnsi="Calibri"/>
        </w:rPr>
      </w:pPr>
      <w:r w:rsidDel="00000000" w:rsidR="00000000" w:rsidRPr="00000000">
        <w:rPr>
          <w:rFonts w:ascii="Calibri" w:cs="Calibri" w:eastAsia="Calibri" w:hAnsi="Calibri"/>
          <w:b w:val="1"/>
          <w:rtl w:val="0"/>
        </w:rPr>
        <w:t xml:space="preserve">Phase 3 (Months 7–9):</w:t>
      </w:r>
      <w:r w:rsidDel="00000000" w:rsidR="00000000" w:rsidRPr="00000000">
        <w:rPr>
          <w:rFonts w:ascii="Calibri" w:cs="Calibri" w:eastAsia="Calibri" w:hAnsi="Calibri"/>
          <w:rtl w:val="0"/>
        </w:rPr>
        <w:t xml:space="preserve"> Sustainability enhancements will be developed and promoted to the hotel's customers.</w:t>
      </w:r>
    </w:p>
    <w:p w:rsidR="00000000" w:rsidDel="00000000" w:rsidP="00000000" w:rsidRDefault="00000000" w:rsidRPr="00000000" w14:paraId="000000DA">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Structuring the process in this manner allows Hilton Paris Opera to systematically adopt new practices, building on the success of each phase to maximize long-term benefits.</w:t>
      </w:r>
    </w:p>
    <w:p w:rsidR="00000000" w:rsidDel="00000000" w:rsidP="00000000" w:rsidRDefault="00000000" w:rsidRPr="00000000" w14:paraId="000000DB">
      <w:pPr>
        <w:spacing w:line="360" w:lineRule="auto"/>
        <w:jc w:val="both"/>
        <w:rPr>
          <w:rFonts w:ascii="Calibri" w:cs="Calibri" w:eastAsia="Calibri" w:hAnsi="Calibri"/>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DC">
      <w:pPr>
        <w:pStyle w:val="Heading1"/>
        <w:spacing w:line="360" w:lineRule="auto"/>
        <w:jc w:val="both"/>
        <w:rPr>
          <w:rFonts w:ascii="Calibri" w:cs="Calibri" w:eastAsia="Calibri" w:hAnsi="Calibri"/>
          <w:sz w:val="36"/>
          <w:szCs w:val="36"/>
        </w:rPr>
      </w:pPr>
      <w:r w:rsidDel="00000000" w:rsidR="00000000" w:rsidRPr="00000000">
        <w:rPr>
          <w:rFonts w:ascii="Calibri" w:cs="Calibri" w:eastAsia="Calibri" w:hAnsi="Calibri"/>
          <w:sz w:val="36"/>
          <w:szCs w:val="36"/>
          <w:rtl w:val="0"/>
        </w:rPr>
        <w:t xml:space="preserve">8. Conclusion</w:t>
      </w:r>
    </w:p>
    <w:p w:rsidR="00000000" w:rsidDel="00000000" w:rsidP="00000000" w:rsidRDefault="00000000" w:rsidRPr="00000000" w14:paraId="000000DD">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This, therefore, means that with the adoption of digital innovations, personalized services, and best sustainable practices, Hilton Paris Opera is about to experience much more than an increase in guest experience and operational efficiency . This is where the ever-changing landscape of hospitality has compelled luxury hotels to not only meet high standards but also adapt to digitally enabled expectations and values of modern guests. AI-driven service enhancements, personalized guest journeys, and greening initiatives will further position Hilton Paris Opera among the best luxury destinations in the world .</w:t>
      </w:r>
    </w:p>
    <w:p w:rsidR="00000000" w:rsidDel="00000000" w:rsidP="00000000" w:rsidRDefault="00000000" w:rsidRPr="00000000" w14:paraId="000000DE">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Strategic recommendations flow from a proposed phased action plan underpinned with Kotter's structured approach to change management that provides clear direction for agile and fluid transformation. It will also make sure that the enhancements of KPIs related to guest satisfaction, operational efficiency, and sustainability are measurable for Hilton Paris Opera, and adjust strategies as necessary to stay competitive. With such focused initiatives, Hilton Paris Opera will successfully strike a balance between retaining historic elegance and modernizing its services that promise to increase guest loyalty, enhance its brand position, and thereby ensure sustainable growth.</w:t>
      </w:r>
    </w:p>
    <w:p w:rsidR="00000000" w:rsidDel="00000000" w:rsidP="00000000" w:rsidRDefault="00000000" w:rsidRPr="00000000" w14:paraId="000000DF">
      <w:pPr>
        <w:spacing w:line="360" w:lineRule="auto"/>
        <w:jc w:val="both"/>
        <w:rPr>
          <w:rFonts w:ascii="Calibri" w:cs="Calibri" w:eastAsia="Calibri" w:hAnsi="Calibri"/>
        </w:rPr>
      </w:pPr>
      <w:r w:rsidDel="00000000" w:rsidR="00000000" w:rsidRPr="00000000">
        <w:rPr>
          <w:rFonts w:ascii="Calibri" w:cs="Calibri" w:eastAsia="Calibri" w:hAnsi="Calibri"/>
          <w:rtl w:val="0"/>
        </w:rPr>
        <w:t xml:space="preserve">These actions consequently underpin how Hilton Paris Opera is committed to excellence in furthering both industry trends and guest preferences toward an experience in hospitality that is seamless, memorable, and responsible.</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E0">
      <w:pPr>
        <w:spacing w:line="360" w:lineRule="auto"/>
        <w:jc w:val="both"/>
        <w:rPr>
          <w:rFonts w:ascii="Calibri" w:cs="Calibri" w:eastAsia="Calibri" w:hAnsi="Calibri"/>
          <w:b w:val="1"/>
        </w:rPr>
      </w:pPr>
      <w:r w:rsidDel="00000000" w:rsidR="00000000" w:rsidRPr="00000000">
        <w:rPr>
          <w:rFonts w:ascii="Calibri" w:cs="Calibri" w:eastAsia="Calibri" w:hAnsi="Calibri"/>
          <w:b w:val="1"/>
          <w:rtl w:val="0"/>
        </w:rPr>
        <w:t xml:space="preserve">References:</w:t>
      </w:r>
    </w:p>
    <w:p w:rsidR="00000000" w:rsidDel="00000000" w:rsidP="00000000" w:rsidRDefault="00000000" w:rsidRPr="00000000" w14:paraId="000000E1">
      <w:pPr>
        <w:spacing w:line="36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0E2">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Azazz, A.M.S. et al. (2024) 'The influence of green demarketing on brand credibility, green authenticity, and greenwashing in the food industry', </w:t>
      </w:r>
      <w:r w:rsidDel="00000000" w:rsidR="00000000" w:rsidRPr="00000000">
        <w:rPr>
          <w:rFonts w:ascii="Calibri" w:cs="Calibri" w:eastAsia="Calibri" w:hAnsi="Calibri"/>
          <w:i w:val="1"/>
          <w:rtl w:val="0"/>
        </w:rPr>
        <w:t xml:space="preserve">Sustainability</w:t>
      </w:r>
      <w:r w:rsidDel="00000000" w:rsidR="00000000" w:rsidRPr="00000000">
        <w:rPr>
          <w:rFonts w:ascii="Calibri" w:cs="Calibri" w:eastAsia="Calibri" w:hAnsi="Calibri"/>
          <w:rtl w:val="0"/>
        </w:rPr>
        <w:t xml:space="preserve">, 16, p. 9215. Available at: </w:t>
      </w:r>
      <w:hyperlink r:id="rId9">
        <w:r w:rsidDel="00000000" w:rsidR="00000000" w:rsidRPr="00000000">
          <w:rPr>
            <w:rFonts w:ascii="Calibri" w:cs="Calibri" w:eastAsia="Calibri" w:hAnsi="Calibri"/>
            <w:color w:val="467886"/>
            <w:u w:val="single"/>
            <w:rtl w:val="0"/>
          </w:rPr>
          <w:t xml:space="preserve">https://doi.org/10.3390/su16219215</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E3">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Baloch, Q.B., Shah, S.N., Iqbal, N. et al. (2023) 'Impact of tourism development upon environmental sustainability: A suggested framework for sustainable ecotourism', </w:t>
      </w:r>
      <w:r w:rsidDel="00000000" w:rsidR="00000000" w:rsidRPr="00000000">
        <w:rPr>
          <w:rFonts w:ascii="Calibri" w:cs="Calibri" w:eastAsia="Calibri" w:hAnsi="Calibri"/>
          <w:i w:val="1"/>
          <w:rtl w:val="0"/>
        </w:rPr>
        <w:t xml:space="preserve">Environmental Science and Pollution Research</w:t>
      </w:r>
      <w:r w:rsidDel="00000000" w:rsidR="00000000" w:rsidRPr="00000000">
        <w:rPr>
          <w:rFonts w:ascii="Calibri" w:cs="Calibri" w:eastAsia="Calibri" w:hAnsi="Calibri"/>
          <w:rtl w:val="0"/>
        </w:rPr>
        <w:t xml:space="preserve">, 30, pp. 5917–5930. Available at: </w:t>
      </w:r>
      <w:hyperlink r:id="rId10">
        <w:r w:rsidDel="00000000" w:rsidR="00000000" w:rsidRPr="00000000">
          <w:rPr>
            <w:rFonts w:ascii="Calibri" w:cs="Calibri" w:eastAsia="Calibri" w:hAnsi="Calibri"/>
            <w:color w:val="467886"/>
            <w:u w:val="single"/>
            <w:rtl w:val="0"/>
          </w:rPr>
          <w:t xml:space="preserve">https://doi.org/10.1007/s11356-022-22496-w</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E4">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Barrows, C.W. and Powers, T., 2009. </w:t>
      </w:r>
      <w:r w:rsidDel="00000000" w:rsidR="00000000" w:rsidRPr="00000000">
        <w:rPr>
          <w:rFonts w:ascii="Calibri" w:cs="Calibri" w:eastAsia="Calibri" w:hAnsi="Calibri"/>
          <w:i w:val="1"/>
          <w:rtl w:val="0"/>
        </w:rPr>
        <w:t xml:space="preserve">Introduction to the Hospitality Industry</w:t>
      </w:r>
      <w:r w:rsidDel="00000000" w:rsidR="00000000" w:rsidRPr="00000000">
        <w:rPr>
          <w:rFonts w:ascii="Calibri" w:cs="Calibri" w:eastAsia="Calibri" w:hAnsi="Calibri"/>
          <w:rtl w:val="0"/>
        </w:rPr>
        <w:t xml:space="preserve">. 8th ed. Hoboken, NJ: John Wiley &amp; Sons.</w:t>
      </w:r>
    </w:p>
    <w:p w:rsidR="00000000" w:rsidDel="00000000" w:rsidP="00000000" w:rsidRDefault="00000000" w:rsidRPr="00000000" w14:paraId="000000E5">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Batat, W. (2019) 'Luxury staff training', in The new luxury experience. Management for Professionals. Cham: Springer. Available at: </w:t>
      </w:r>
      <w:hyperlink r:id="rId11">
        <w:r w:rsidDel="00000000" w:rsidR="00000000" w:rsidRPr="00000000">
          <w:rPr>
            <w:rFonts w:ascii="Calibri" w:cs="Calibri" w:eastAsia="Calibri" w:hAnsi="Calibri"/>
            <w:color w:val="467886"/>
            <w:u w:val="single"/>
            <w:rtl w:val="0"/>
          </w:rPr>
          <w:t xml:space="preserve">https://doi.org/10.1007/978-3-030-01671-5_7</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E6">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Bec, A., Moyle, B., Schaffer, V. and Timms, K. (2021) 'Virtual reality and mixed reality for second chance tourism', Tourism Management, 83, p. 104256. Available at: </w:t>
      </w:r>
      <w:hyperlink r:id="rId12">
        <w:r w:rsidDel="00000000" w:rsidR="00000000" w:rsidRPr="00000000">
          <w:rPr>
            <w:rFonts w:ascii="Calibri" w:cs="Calibri" w:eastAsia="Calibri" w:hAnsi="Calibri"/>
            <w:color w:val="467886"/>
            <w:u w:val="single"/>
            <w:rtl w:val="0"/>
          </w:rPr>
          <w:t xml:space="preserve">https://doi.org/10.1016/j.tourman.2020.104256</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E7">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Binesh, F., Belarmino, A. and Raab, C. (2021) 'A meta-analysis of hotel revenue management', </w:t>
      </w:r>
      <w:r w:rsidDel="00000000" w:rsidR="00000000" w:rsidRPr="00000000">
        <w:rPr>
          <w:rFonts w:ascii="Calibri" w:cs="Calibri" w:eastAsia="Calibri" w:hAnsi="Calibri"/>
          <w:i w:val="1"/>
          <w:rtl w:val="0"/>
        </w:rPr>
        <w:t xml:space="preserve">Journal of Revenue and Pricing Management</w:t>
      </w:r>
      <w:r w:rsidDel="00000000" w:rsidR="00000000" w:rsidRPr="00000000">
        <w:rPr>
          <w:rFonts w:ascii="Calibri" w:cs="Calibri" w:eastAsia="Calibri" w:hAnsi="Calibri"/>
          <w:rtl w:val="0"/>
        </w:rPr>
        <w:t xml:space="preserve">, 20, pp. 546–558. Available at: </w:t>
      </w:r>
      <w:hyperlink r:id="rId13">
        <w:r w:rsidDel="00000000" w:rsidR="00000000" w:rsidRPr="00000000">
          <w:rPr>
            <w:rFonts w:ascii="Calibri" w:cs="Calibri" w:eastAsia="Calibri" w:hAnsi="Calibri"/>
            <w:color w:val="467886"/>
            <w:u w:val="single"/>
            <w:rtl w:val="0"/>
          </w:rPr>
          <w:t xml:space="preserve">https://doi.org/10.1057/s41272-020-00268-w</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E8">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Boğan, E. and Dedeoğlu, B.B. (2020) 'Hotel employees' corporate social responsibility perception and organizational citizenship behavior: Perceived external prestige and pride in organization as serial mediators', </w:t>
      </w:r>
      <w:r w:rsidDel="00000000" w:rsidR="00000000" w:rsidRPr="00000000">
        <w:rPr>
          <w:rFonts w:ascii="Calibri" w:cs="Calibri" w:eastAsia="Calibri" w:hAnsi="Calibri"/>
          <w:i w:val="1"/>
          <w:rtl w:val="0"/>
        </w:rPr>
        <w:t xml:space="preserve">Corporate Social Responsibility and Environmental Management</w:t>
      </w:r>
      <w:r w:rsidDel="00000000" w:rsidR="00000000" w:rsidRPr="00000000">
        <w:rPr>
          <w:rFonts w:ascii="Calibri" w:cs="Calibri" w:eastAsia="Calibri" w:hAnsi="Calibri"/>
          <w:rtl w:val="0"/>
        </w:rPr>
        <w:t xml:space="preserve">. Available at: </w:t>
      </w:r>
      <w:hyperlink r:id="rId14">
        <w:r w:rsidDel="00000000" w:rsidR="00000000" w:rsidRPr="00000000">
          <w:rPr>
            <w:rFonts w:ascii="Calibri" w:cs="Calibri" w:eastAsia="Calibri" w:hAnsi="Calibri"/>
            <w:color w:val="467886"/>
            <w:u w:val="single"/>
            <w:rtl w:val="0"/>
          </w:rPr>
          <w:t xml:space="preserve">https://doi.org/10.1002/csr.1996</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E9">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Buhalis, D. and Amaranggana, A. (2015) 'Smart tourism destinations enhancing tourism experience through personalisation of services', in Tussyadiah, I. and Inversini, A. (eds) </w:t>
      </w:r>
      <w:r w:rsidDel="00000000" w:rsidR="00000000" w:rsidRPr="00000000">
        <w:rPr>
          <w:rFonts w:ascii="Calibri" w:cs="Calibri" w:eastAsia="Calibri" w:hAnsi="Calibri"/>
          <w:i w:val="1"/>
          <w:rtl w:val="0"/>
        </w:rPr>
        <w:t xml:space="preserve">Information and communication technologies in tourism 2015</w:t>
      </w:r>
      <w:r w:rsidDel="00000000" w:rsidR="00000000" w:rsidRPr="00000000">
        <w:rPr>
          <w:rFonts w:ascii="Calibri" w:cs="Calibri" w:eastAsia="Calibri" w:hAnsi="Calibri"/>
          <w:rtl w:val="0"/>
        </w:rPr>
        <w:t xml:space="preserve">. Cham: Springer. Available at: </w:t>
      </w:r>
      <w:hyperlink r:id="rId15">
        <w:r w:rsidDel="00000000" w:rsidR="00000000" w:rsidRPr="00000000">
          <w:rPr>
            <w:rFonts w:ascii="Calibri" w:cs="Calibri" w:eastAsia="Calibri" w:hAnsi="Calibri"/>
            <w:color w:val="467886"/>
            <w:u w:val="single"/>
            <w:rtl w:val="0"/>
          </w:rPr>
          <w:t xml:space="preserve">https://doi.org/10.1007/978-3-319-14343-9_28</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EA">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Cheng, X., Xue, T., Yang, B. and Ma, B. (2023), "A digital transformation approach in hospitality and tourism research", International Journal of Contemporary Hospitality Management, Vol. 35 No. 8, pp. 2944-2967. </w:t>
      </w:r>
      <w:hyperlink r:id="rId16">
        <w:r w:rsidDel="00000000" w:rsidR="00000000" w:rsidRPr="00000000">
          <w:rPr>
            <w:rFonts w:ascii="Calibri" w:cs="Calibri" w:eastAsia="Calibri" w:hAnsi="Calibri"/>
            <w:color w:val="467886"/>
            <w:u w:val="single"/>
            <w:rtl w:val="0"/>
          </w:rPr>
          <w:t xml:space="preserve">https://doi.org/10.1108/IJCHM-06-2022-0679</w:t>
        </w:r>
      </w:hyperlink>
      <w:r w:rsidDel="00000000" w:rsidR="00000000" w:rsidRPr="00000000">
        <w:rPr>
          <w:rtl w:val="0"/>
        </w:rPr>
      </w:r>
    </w:p>
    <w:p w:rsidR="00000000" w:rsidDel="00000000" w:rsidP="00000000" w:rsidRDefault="00000000" w:rsidRPr="00000000" w14:paraId="000000EB">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Enz, C.A., 2010. </w:t>
      </w:r>
      <w:r w:rsidDel="00000000" w:rsidR="00000000" w:rsidRPr="00000000">
        <w:rPr>
          <w:rFonts w:ascii="Calibri" w:cs="Calibri" w:eastAsia="Calibri" w:hAnsi="Calibri"/>
          <w:i w:val="1"/>
          <w:rtl w:val="0"/>
        </w:rPr>
        <w:t xml:space="preserve">Hospitality Strategic Management: Concepts and Cases</w:t>
      </w:r>
      <w:r w:rsidDel="00000000" w:rsidR="00000000" w:rsidRPr="00000000">
        <w:rPr>
          <w:rFonts w:ascii="Calibri" w:cs="Calibri" w:eastAsia="Calibri" w:hAnsi="Calibri"/>
          <w:rtl w:val="0"/>
        </w:rPr>
        <w:t xml:space="preserve">. 2nd ed. Hoboken, NJ: John Wiley &amp; Sons.</w:t>
      </w:r>
    </w:p>
    <w:p w:rsidR="00000000" w:rsidDel="00000000" w:rsidP="00000000" w:rsidRDefault="00000000" w:rsidRPr="00000000" w14:paraId="000000EC">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Gao, Y. et al. (2024) 'Security threats to agricultural artificial intelligence: Position and perspective', </w:t>
      </w:r>
      <w:r w:rsidDel="00000000" w:rsidR="00000000" w:rsidRPr="00000000">
        <w:rPr>
          <w:rFonts w:ascii="Calibri" w:cs="Calibri" w:eastAsia="Calibri" w:hAnsi="Calibri"/>
          <w:i w:val="1"/>
          <w:rtl w:val="0"/>
        </w:rPr>
        <w:t xml:space="preserve">Computers and Electronics in Agriculture</w:t>
      </w:r>
      <w:r w:rsidDel="00000000" w:rsidR="00000000" w:rsidRPr="00000000">
        <w:rPr>
          <w:rFonts w:ascii="Calibri" w:cs="Calibri" w:eastAsia="Calibri" w:hAnsi="Calibri"/>
          <w:rtl w:val="0"/>
        </w:rPr>
        <w:t xml:space="preserve">, 227, p. 109557. Available at: </w:t>
      </w:r>
      <w:hyperlink r:id="rId17">
        <w:r w:rsidDel="00000000" w:rsidR="00000000" w:rsidRPr="00000000">
          <w:rPr>
            <w:rFonts w:ascii="Calibri" w:cs="Calibri" w:eastAsia="Calibri" w:hAnsi="Calibri"/>
            <w:color w:val="467886"/>
            <w:u w:val="single"/>
            <w:rtl w:val="0"/>
          </w:rPr>
          <w:t xml:space="preserve">https://doi.org/10.1016/j.compag.2024.109557</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ED">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George, R. (2021) 'Digital marketing in tourism and hospitality', in </w:t>
      </w:r>
      <w:r w:rsidDel="00000000" w:rsidR="00000000" w:rsidRPr="00000000">
        <w:rPr>
          <w:rFonts w:ascii="Calibri" w:cs="Calibri" w:eastAsia="Calibri" w:hAnsi="Calibri"/>
          <w:i w:val="1"/>
          <w:rtl w:val="0"/>
        </w:rPr>
        <w:t xml:space="preserve">Marketing tourism and hospitality</w:t>
      </w:r>
      <w:r w:rsidDel="00000000" w:rsidR="00000000" w:rsidRPr="00000000">
        <w:rPr>
          <w:rFonts w:ascii="Calibri" w:cs="Calibri" w:eastAsia="Calibri" w:hAnsi="Calibri"/>
          <w:rtl w:val="0"/>
        </w:rPr>
        <w:t xml:space="preserve">. Cham: Palgrave Macmillan. Available at: </w:t>
      </w:r>
      <w:hyperlink r:id="rId18">
        <w:r w:rsidDel="00000000" w:rsidR="00000000" w:rsidRPr="00000000">
          <w:rPr>
            <w:rFonts w:ascii="Calibri" w:cs="Calibri" w:eastAsia="Calibri" w:hAnsi="Calibri"/>
            <w:color w:val="467886"/>
            <w:u w:val="single"/>
            <w:rtl w:val="0"/>
          </w:rPr>
          <w:t xml:space="preserve">https://doi.org/10.1007/978-3-030-64111-5_12</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EE">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Gera, R. and Kumar, A. (2023) 'Impact of COVID-19 on tourism destination resilience and recovery: A review of future research directions', in Dube, K., Nhamo, G. and Swart, M. (eds) </w:t>
      </w:r>
      <w:r w:rsidDel="00000000" w:rsidR="00000000" w:rsidRPr="00000000">
        <w:rPr>
          <w:rFonts w:ascii="Calibri" w:cs="Calibri" w:eastAsia="Calibri" w:hAnsi="Calibri"/>
          <w:i w:val="1"/>
          <w:rtl w:val="0"/>
        </w:rPr>
        <w:t xml:space="preserve">COVID-19, tourist destinations and prospects for recovery</w:t>
      </w:r>
      <w:r w:rsidDel="00000000" w:rsidR="00000000" w:rsidRPr="00000000">
        <w:rPr>
          <w:rFonts w:ascii="Calibri" w:cs="Calibri" w:eastAsia="Calibri" w:hAnsi="Calibri"/>
          <w:rtl w:val="0"/>
        </w:rPr>
        <w:t xml:space="preserve">. Cham: Springer. Available at: </w:t>
      </w:r>
      <w:hyperlink r:id="rId19">
        <w:r w:rsidDel="00000000" w:rsidR="00000000" w:rsidRPr="00000000">
          <w:rPr>
            <w:rFonts w:ascii="Calibri" w:cs="Calibri" w:eastAsia="Calibri" w:hAnsi="Calibri"/>
            <w:color w:val="467886"/>
            <w:u w:val="single"/>
            <w:rtl w:val="0"/>
          </w:rPr>
          <w:t xml:space="preserve">https://doi.org/10.1007/978-3-031-22257-3_2</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EF">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Ghani, B. et al. (2022) 'Challenges and strategies for employee retention in the hospitality industry: A review', </w:t>
      </w:r>
      <w:r w:rsidDel="00000000" w:rsidR="00000000" w:rsidRPr="00000000">
        <w:rPr>
          <w:rFonts w:ascii="Calibri" w:cs="Calibri" w:eastAsia="Calibri" w:hAnsi="Calibri"/>
          <w:i w:val="1"/>
          <w:rtl w:val="0"/>
        </w:rPr>
        <w:t xml:space="preserve">Sustainability</w:t>
      </w:r>
      <w:r w:rsidDel="00000000" w:rsidR="00000000" w:rsidRPr="00000000">
        <w:rPr>
          <w:rFonts w:ascii="Calibri" w:cs="Calibri" w:eastAsia="Calibri" w:hAnsi="Calibri"/>
          <w:rtl w:val="0"/>
        </w:rPr>
        <w:t xml:space="preserve">, 14, p. 2885. Available at: </w:t>
      </w:r>
      <w:hyperlink r:id="rId20">
        <w:r w:rsidDel="00000000" w:rsidR="00000000" w:rsidRPr="00000000">
          <w:rPr>
            <w:rFonts w:ascii="Calibri" w:cs="Calibri" w:eastAsia="Calibri" w:hAnsi="Calibri"/>
            <w:color w:val="467886"/>
            <w:u w:val="single"/>
            <w:rtl w:val="0"/>
          </w:rPr>
          <w:t xml:space="preserve">https://doi.org/10.3390/su14052885</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F0">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Goldsmith, A. and Allen, D., 2010. </w:t>
      </w:r>
      <w:r w:rsidDel="00000000" w:rsidR="00000000" w:rsidRPr="00000000">
        <w:rPr>
          <w:rFonts w:ascii="Calibri" w:cs="Calibri" w:eastAsia="Calibri" w:hAnsi="Calibri"/>
          <w:i w:val="1"/>
          <w:rtl w:val="0"/>
        </w:rPr>
        <w:t xml:space="preserve">Hospitality Management Education and Employment Prospects</w:t>
      </w:r>
      <w:r w:rsidDel="00000000" w:rsidR="00000000" w:rsidRPr="00000000">
        <w:rPr>
          <w:rFonts w:ascii="Calibri" w:cs="Calibri" w:eastAsia="Calibri" w:hAnsi="Calibri"/>
          <w:rtl w:val="0"/>
        </w:rPr>
        <w:t xml:space="preserve">. London: Routledge.</w:t>
      </w:r>
    </w:p>
    <w:p w:rsidR="00000000" w:rsidDel="00000000" w:rsidP="00000000" w:rsidRDefault="00000000" w:rsidRPr="00000000" w14:paraId="000000F1">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Govaerts, N., Kyndt, E., Dochy, F. and Baert, H. (2011) 'Influence of learning and working climate on the retention of talented employees', </w:t>
      </w:r>
      <w:r w:rsidDel="00000000" w:rsidR="00000000" w:rsidRPr="00000000">
        <w:rPr>
          <w:rFonts w:ascii="Calibri" w:cs="Calibri" w:eastAsia="Calibri" w:hAnsi="Calibri"/>
          <w:i w:val="1"/>
          <w:rtl w:val="0"/>
        </w:rPr>
        <w:t xml:space="preserve">Journal of Workplace Learning</w:t>
      </w:r>
      <w:r w:rsidDel="00000000" w:rsidR="00000000" w:rsidRPr="00000000">
        <w:rPr>
          <w:rFonts w:ascii="Calibri" w:cs="Calibri" w:eastAsia="Calibri" w:hAnsi="Calibri"/>
          <w:rtl w:val="0"/>
        </w:rPr>
        <w:t xml:space="preserve">, 23(1), pp. 35-55. Available at: </w:t>
      </w:r>
      <w:hyperlink r:id="rId21">
        <w:r w:rsidDel="00000000" w:rsidR="00000000" w:rsidRPr="00000000">
          <w:rPr>
            <w:rFonts w:ascii="Calibri" w:cs="Calibri" w:eastAsia="Calibri" w:hAnsi="Calibri"/>
            <w:color w:val="467886"/>
            <w:u w:val="single"/>
            <w:rtl w:val="0"/>
          </w:rPr>
          <w:t xml:space="preserve">https://doi.org/10.1108/13665621111097245</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F2">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Gutierriz, I., Ferreira, J.J. and Fernandes, P.O. (n.d.) 'Digital transformation and the new combinations in tourism: A systematic literature review', </w:t>
      </w:r>
      <w:r w:rsidDel="00000000" w:rsidR="00000000" w:rsidRPr="00000000">
        <w:rPr>
          <w:rFonts w:ascii="Calibri" w:cs="Calibri" w:eastAsia="Calibri" w:hAnsi="Calibri"/>
          <w:i w:val="1"/>
          <w:rtl w:val="0"/>
        </w:rPr>
        <w:t xml:space="preserve">Tourism and Hospitality Research</w:t>
      </w:r>
      <w:r w:rsidDel="00000000" w:rsidR="00000000" w:rsidRPr="00000000">
        <w:rPr>
          <w:rFonts w:ascii="Calibri" w:cs="Calibri" w:eastAsia="Calibri" w:hAnsi="Calibri"/>
          <w:rtl w:val="0"/>
        </w:rPr>
        <w:t xml:space="preserve">. Available at: </w:t>
      </w:r>
      <w:hyperlink r:id="rId22">
        <w:r w:rsidDel="00000000" w:rsidR="00000000" w:rsidRPr="00000000">
          <w:rPr>
            <w:rFonts w:ascii="Calibri" w:cs="Calibri" w:eastAsia="Calibri" w:hAnsi="Calibri"/>
            <w:color w:val="467886"/>
            <w:u w:val="single"/>
            <w:rtl w:val="0"/>
          </w:rPr>
          <w:t xml:space="preserve">https://doi.org/10.1177/14673584231198414</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F3">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Hayes, D.K. and Ninemeier, J.D., 2014. </w:t>
      </w:r>
      <w:r w:rsidDel="00000000" w:rsidR="00000000" w:rsidRPr="00000000">
        <w:rPr>
          <w:rFonts w:ascii="Calibri" w:cs="Calibri" w:eastAsia="Calibri" w:hAnsi="Calibri"/>
          <w:i w:val="1"/>
          <w:rtl w:val="0"/>
        </w:rPr>
        <w:t xml:space="preserve">Hotel Operations Management</w:t>
      </w:r>
      <w:r w:rsidDel="00000000" w:rsidR="00000000" w:rsidRPr="00000000">
        <w:rPr>
          <w:rFonts w:ascii="Calibri" w:cs="Calibri" w:eastAsia="Calibri" w:hAnsi="Calibri"/>
          <w:rtl w:val="0"/>
        </w:rPr>
        <w:t xml:space="preserve">. 3rd ed. Upper Saddle River, NJ: Pearson.</w:t>
      </w:r>
    </w:p>
    <w:p w:rsidR="00000000" w:rsidDel="00000000" w:rsidP="00000000" w:rsidRDefault="00000000" w:rsidRPr="00000000" w14:paraId="000000F4">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Hilton Hotels &amp; Resorts, 2023. Annual Report 2023. [online] Hilton Worldwide Holdings Inc. Available at: </w:t>
      </w:r>
      <w:hyperlink r:id="rId23">
        <w:r w:rsidDel="00000000" w:rsidR="00000000" w:rsidRPr="00000000">
          <w:rPr>
            <w:rFonts w:ascii="Calibri" w:cs="Calibri" w:eastAsia="Calibri" w:hAnsi="Calibri"/>
            <w:color w:val="467886"/>
            <w:u w:val="single"/>
            <w:rtl w:val="0"/>
          </w:rPr>
          <w:t xml:space="preserve">https://ir.hilton.com/~/media/Files/H/Hilton-Worldwide-IR-V3/quarterly-results/2024/q3-2024-earnings-release.pdf</w:t>
        </w:r>
      </w:hyperlink>
      <w:r w:rsidDel="00000000" w:rsidR="00000000" w:rsidRPr="00000000">
        <w:rPr>
          <w:rFonts w:ascii="Calibri" w:cs="Calibri" w:eastAsia="Calibri" w:hAnsi="Calibri"/>
          <w:rtl w:val="0"/>
        </w:rPr>
        <w:t xml:space="preserve">   [Accessed 27 October 2024]</w:t>
      </w:r>
    </w:p>
    <w:p w:rsidR="00000000" w:rsidDel="00000000" w:rsidP="00000000" w:rsidRDefault="00000000" w:rsidRPr="00000000" w14:paraId="000000F5">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Hilton Worldwide Holdings Inc., 2022. Global Social Impact Report. [online] Available at: </w:t>
      </w:r>
      <w:hyperlink r:id="rId24">
        <w:r w:rsidDel="00000000" w:rsidR="00000000" w:rsidRPr="00000000">
          <w:rPr>
            <w:rFonts w:ascii="Calibri" w:cs="Calibri" w:eastAsia="Calibri" w:hAnsi="Calibri"/>
            <w:color w:val="467886"/>
            <w:u w:val="single"/>
            <w:rtl w:val="0"/>
          </w:rPr>
          <w:t xml:space="preserve">https://ir.hilton.com/financial-reporting/annual-reports</w:t>
        </w:r>
      </w:hyperlink>
      <w:r w:rsidDel="00000000" w:rsidR="00000000" w:rsidRPr="00000000">
        <w:rPr>
          <w:rFonts w:ascii="Calibri" w:cs="Calibri" w:eastAsia="Calibri" w:hAnsi="Calibri"/>
          <w:rtl w:val="0"/>
        </w:rPr>
        <w:t xml:space="preserve"> [Accessed 27 October 2024]</w:t>
      </w:r>
    </w:p>
    <w:p w:rsidR="00000000" w:rsidDel="00000000" w:rsidP="00000000" w:rsidRDefault="00000000" w:rsidRPr="00000000" w14:paraId="000000F6">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Hilton Worldwide Holdings Inc., 2023. Sustainability Report. [online] Available at: </w:t>
      </w:r>
      <w:hyperlink r:id="rId25">
        <w:r w:rsidDel="00000000" w:rsidR="00000000" w:rsidRPr="00000000">
          <w:rPr>
            <w:rFonts w:ascii="Calibri" w:cs="Calibri" w:eastAsia="Calibri" w:hAnsi="Calibri"/>
            <w:color w:val="467886"/>
            <w:u w:val="single"/>
            <w:rtl w:val="0"/>
          </w:rPr>
          <w:t xml:space="preserve">https://esg.hilton.com/?_gl=1%2A1s7qcwh%2A_gcl_au%2AMzE3MjQ1Njg0LjE3MzAyMjA5ODc</w:t>
        </w:r>
      </w:hyperlink>
      <w:r w:rsidDel="00000000" w:rsidR="00000000" w:rsidRPr="00000000">
        <w:rPr>
          <w:rFonts w:ascii="Calibri" w:cs="Calibri" w:eastAsia="Calibri" w:hAnsi="Calibri"/>
          <w:rtl w:val="0"/>
        </w:rPr>
        <w:t xml:space="preserve">.   [Accessed 27 October 2024]</w:t>
      </w:r>
    </w:p>
    <w:p w:rsidR="00000000" w:rsidDel="00000000" w:rsidP="00000000" w:rsidRDefault="00000000" w:rsidRPr="00000000" w14:paraId="000000F7">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Jain, V., Wirtz, J., Salunke, P., Nunkoo, R. and Sharma, A. (2023) 'Luxury hospitality: A systematic literature review and research agenda', </w:t>
      </w:r>
      <w:r w:rsidDel="00000000" w:rsidR="00000000" w:rsidRPr="00000000">
        <w:rPr>
          <w:rFonts w:ascii="Calibri" w:cs="Calibri" w:eastAsia="Calibri" w:hAnsi="Calibri"/>
          <w:i w:val="1"/>
          <w:rtl w:val="0"/>
        </w:rPr>
        <w:t xml:space="preserve">International Journal of Hospitality Management</w:t>
      </w:r>
      <w:r w:rsidDel="00000000" w:rsidR="00000000" w:rsidRPr="00000000">
        <w:rPr>
          <w:rFonts w:ascii="Calibri" w:cs="Calibri" w:eastAsia="Calibri" w:hAnsi="Calibri"/>
          <w:rtl w:val="0"/>
        </w:rPr>
        <w:t xml:space="preserve">, 115, p. 103597. Available at: </w:t>
      </w:r>
      <w:hyperlink r:id="rId26">
        <w:r w:rsidDel="00000000" w:rsidR="00000000" w:rsidRPr="00000000">
          <w:rPr>
            <w:rFonts w:ascii="Calibri" w:cs="Calibri" w:eastAsia="Calibri" w:hAnsi="Calibri"/>
            <w:color w:val="467886"/>
            <w:u w:val="single"/>
            <w:rtl w:val="0"/>
          </w:rPr>
          <w:t xml:space="preserve">https://doi.org/10.1016/j.ijhm.2023.103597</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F8">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Jones, P. and Lockwood, A., 2004. </w:t>
      </w:r>
      <w:r w:rsidDel="00000000" w:rsidR="00000000" w:rsidRPr="00000000">
        <w:rPr>
          <w:rFonts w:ascii="Calibri" w:cs="Calibri" w:eastAsia="Calibri" w:hAnsi="Calibri"/>
          <w:i w:val="1"/>
          <w:rtl w:val="0"/>
        </w:rPr>
        <w:t xml:space="preserve">The Management of Hotel Operations</w:t>
      </w:r>
      <w:r w:rsidDel="00000000" w:rsidR="00000000" w:rsidRPr="00000000">
        <w:rPr>
          <w:rFonts w:ascii="Calibri" w:cs="Calibri" w:eastAsia="Calibri" w:hAnsi="Calibri"/>
          <w:rtl w:val="0"/>
        </w:rPr>
        <w:t xml:space="preserve">. London: Cengage Learning.</w:t>
      </w:r>
    </w:p>
    <w:p w:rsidR="00000000" w:rsidDel="00000000" w:rsidP="00000000" w:rsidRDefault="00000000" w:rsidRPr="00000000" w14:paraId="000000F9">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Jones, P., Hillier, D. and Comfort, D. (2014), "Sustainability in the global hotel industry", International Journal of Contemporary Hospitality Management, Vol. 26 No. 1, pp. 5-17. </w:t>
      </w:r>
      <w:hyperlink r:id="rId27">
        <w:r w:rsidDel="00000000" w:rsidR="00000000" w:rsidRPr="00000000">
          <w:rPr>
            <w:rFonts w:ascii="Calibri" w:cs="Calibri" w:eastAsia="Calibri" w:hAnsi="Calibri"/>
            <w:color w:val="467886"/>
            <w:u w:val="single"/>
            <w:rtl w:val="0"/>
          </w:rPr>
          <w:t xml:space="preserve">https://doi.org/10.1108/IJCHM-10-2012-0180</w:t>
        </w:r>
      </w:hyperlink>
      <w:r w:rsidDel="00000000" w:rsidR="00000000" w:rsidRPr="00000000">
        <w:rPr>
          <w:rtl w:val="0"/>
        </w:rPr>
      </w:r>
    </w:p>
    <w:p w:rsidR="00000000" w:rsidDel="00000000" w:rsidP="00000000" w:rsidRDefault="00000000" w:rsidRPr="00000000" w14:paraId="000000FA">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Kandampully, J., Bilgihan, A., Van Riel, A.C.R. and Sharma, A. (2023) 'Toward holistic experience-oriented service innovation: Co-creating sustainable value with customers and society', </w:t>
      </w:r>
      <w:r w:rsidDel="00000000" w:rsidR="00000000" w:rsidRPr="00000000">
        <w:rPr>
          <w:rFonts w:ascii="Calibri" w:cs="Calibri" w:eastAsia="Calibri" w:hAnsi="Calibri"/>
          <w:i w:val="1"/>
          <w:rtl w:val="0"/>
        </w:rPr>
        <w:t xml:space="preserve">Cornell Hospitality Quarterly</w:t>
      </w:r>
      <w:r w:rsidDel="00000000" w:rsidR="00000000" w:rsidRPr="00000000">
        <w:rPr>
          <w:rFonts w:ascii="Calibri" w:cs="Calibri" w:eastAsia="Calibri" w:hAnsi="Calibri"/>
          <w:rtl w:val="0"/>
        </w:rPr>
        <w:t xml:space="preserve">, 64(2), pp. 161-183. Available at: </w:t>
      </w:r>
      <w:hyperlink r:id="rId28">
        <w:r w:rsidDel="00000000" w:rsidR="00000000" w:rsidRPr="00000000">
          <w:rPr>
            <w:rFonts w:ascii="Calibri" w:cs="Calibri" w:eastAsia="Calibri" w:hAnsi="Calibri"/>
            <w:color w:val="467886"/>
            <w:u w:val="single"/>
            <w:rtl w:val="0"/>
          </w:rPr>
          <w:t xml:space="preserve">https://doi.org/10.1177/19389655221108334</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FB">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Kandampully, J., Zhang, T. and Jaakkola, E. (2017) 'Customer experience management in hospitality: A literature synthesis, new understanding and research agenda', </w:t>
      </w:r>
      <w:r w:rsidDel="00000000" w:rsidR="00000000" w:rsidRPr="00000000">
        <w:rPr>
          <w:rFonts w:ascii="Calibri" w:cs="Calibri" w:eastAsia="Calibri" w:hAnsi="Calibri"/>
          <w:i w:val="1"/>
          <w:rtl w:val="0"/>
        </w:rPr>
        <w:t xml:space="preserve">International Journal of Contemporary Hospitality Management</w:t>
      </w:r>
      <w:r w:rsidDel="00000000" w:rsidR="00000000" w:rsidRPr="00000000">
        <w:rPr>
          <w:rFonts w:ascii="Calibri" w:cs="Calibri" w:eastAsia="Calibri" w:hAnsi="Calibri"/>
          <w:rtl w:val="0"/>
        </w:rPr>
        <w:t xml:space="preserve">, 30(4), pp. 00-00. Available at: </w:t>
      </w:r>
      <w:hyperlink r:id="rId29">
        <w:r w:rsidDel="00000000" w:rsidR="00000000" w:rsidRPr="00000000">
          <w:rPr>
            <w:rFonts w:ascii="Calibri" w:cs="Calibri" w:eastAsia="Calibri" w:hAnsi="Calibri"/>
            <w:color w:val="467886"/>
            <w:u w:val="single"/>
            <w:rtl w:val="0"/>
          </w:rPr>
          <w:t xml:space="preserve">https://doi.org/10.1108/IJCHM-10-2015-0549</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FC">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Kim, D.Y. and Kim, H.-Y. (2021) 'Trust me, trust me not: A nuanced view of influencer marketing on social media', Journal of Business Research, 134, pp. 223-232. Available at: </w:t>
      </w:r>
      <w:hyperlink r:id="rId30">
        <w:r w:rsidDel="00000000" w:rsidR="00000000" w:rsidRPr="00000000">
          <w:rPr>
            <w:rFonts w:ascii="Calibri" w:cs="Calibri" w:eastAsia="Calibri" w:hAnsi="Calibri"/>
            <w:color w:val="467886"/>
            <w:u w:val="single"/>
            <w:rtl w:val="0"/>
          </w:rPr>
          <w:t xml:space="preserve">https://doi.org/10.1016/j.jbusres.2021.05.024</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FD">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Kim, H. and So, K.K.F. (2022) 'Two decades of customer experience research in hospitality and tourism: A bibliometric analysis and thematic content analysis', </w:t>
      </w:r>
      <w:r w:rsidDel="00000000" w:rsidR="00000000" w:rsidRPr="00000000">
        <w:rPr>
          <w:rFonts w:ascii="Calibri" w:cs="Calibri" w:eastAsia="Calibri" w:hAnsi="Calibri"/>
          <w:i w:val="1"/>
          <w:rtl w:val="0"/>
        </w:rPr>
        <w:t xml:space="preserve">International Journal of Hospitality Management</w:t>
      </w:r>
      <w:r w:rsidDel="00000000" w:rsidR="00000000" w:rsidRPr="00000000">
        <w:rPr>
          <w:rFonts w:ascii="Calibri" w:cs="Calibri" w:eastAsia="Calibri" w:hAnsi="Calibri"/>
          <w:rtl w:val="0"/>
        </w:rPr>
        <w:t xml:space="preserve">, 100, p. 103082. Available at: </w:t>
      </w:r>
      <w:hyperlink r:id="rId31">
        <w:r w:rsidDel="00000000" w:rsidR="00000000" w:rsidRPr="00000000">
          <w:rPr>
            <w:rFonts w:ascii="Calibri" w:cs="Calibri" w:eastAsia="Calibri" w:hAnsi="Calibri"/>
            <w:color w:val="467886"/>
            <w:u w:val="single"/>
            <w:rtl w:val="0"/>
          </w:rPr>
          <w:t xml:space="preserve">https://doi.org/10.1016/j.ijhm.2021.103082</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FE">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Kim, H. and So, K.K.F. (2023) 'The evolution of service failure and recovery research in hospitality and tourism: An integrative review and future research directions', </w:t>
      </w:r>
      <w:r w:rsidDel="00000000" w:rsidR="00000000" w:rsidRPr="00000000">
        <w:rPr>
          <w:rFonts w:ascii="Calibri" w:cs="Calibri" w:eastAsia="Calibri" w:hAnsi="Calibri"/>
          <w:i w:val="1"/>
          <w:rtl w:val="0"/>
        </w:rPr>
        <w:t xml:space="preserve">International Journal of Hospitality Management</w:t>
      </w:r>
      <w:r w:rsidDel="00000000" w:rsidR="00000000" w:rsidRPr="00000000">
        <w:rPr>
          <w:rFonts w:ascii="Calibri" w:cs="Calibri" w:eastAsia="Calibri" w:hAnsi="Calibri"/>
          <w:rtl w:val="0"/>
        </w:rPr>
        <w:t xml:space="preserve">, 111, p. 103457. Available at: </w:t>
      </w:r>
      <w:hyperlink r:id="rId32">
        <w:r w:rsidDel="00000000" w:rsidR="00000000" w:rsidRPr="00000000">
          <w:rPr>
            <w:rFonts w:ascii="Calibri" w:cs="Calibri" w:eastAsia="Calibri" w:hAnsi="Calibri"/>
            <w:color w:val="467886"/>
            <w:u w:val="single"/>
            <w:rtl w:val="0"/>
          </w:rPr>
          <w:t xml:space="preserve">https://doi.org/10.1016/j.ijhm.2023.103457</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0FF">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Koo, C., Xiang, Z., Gretzel, U. et al. (2021) 'Artificial intelligence (AI) and robotics in travel, hospitality and leisure', </w:t>
      </w:r>
      <w:r w:rsidDel="00000000" w:rsidR="00000000" w:rsidRPr="00000000">
        <w:rPr>
          <w:rFonts w:ascii="Calibri" w:cs="Calibri" w:eastAsia="Calibri" w:hAnsi="Calibri"/>
          <w:i w:val="1"/>
          <w:rtl w:val="0"/>
        </w:rPr>
        <w:t xml:space="preserve">Electronic Markets</w:t>
      </w:r>
      <w:r w:rsidDel="00000000" w:rsidR="00000000" w:rsidRPr="00000000">
        <w:rPr>
          <w:rFonts w:ascii="Calibri" w:cs="Calibri" w:eastAsia="Calibri" w:hAnsi="Calibri"/>
          <w:rtl w:val="0"/>
        </w:rPr>
        <w:t xml:space="preserve">, 31, pp. 473–476. Available at: </w:t>
      </w:r>
      <w:hyperlink r:id="rId33">
        <w:r w:rsidDel="00000000" w:rsidR="00000000" w:rsidRPr="00000000">
          <w:rPr>
            <w:rFonts w:ascii="Calibri" w:cs="Calibri" w:eastAsia="Calibri" w:hAnsi="Calibri"/>
            <w:color w:val="467886"/>
            <w:u w:val="single"/>
            <w:rtl w:val="0"/>
          </w:rPr>
          <w:t xml:space="preserve">https://doi.org/10.1007/s12525-021-00494-z</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00">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Kotler, P., Bowen, J.T. and Makens, J.C., 2016. </w:t>
      </w:r>
      <w:r w:rsidDel="00000000" w:rsidR="00000000" w:rsidRPr="00000000">
        <w:rPr>
          <w:rFonts w:ascii="Calibri" w:cs="Calibri" w:eastAsia="Calibri" w:hAnsi="Calibri"/>
          <w:i w:val="1"/>
          <w:rtl w:val="0"/>
        </w:rPr>
        <w:t xml:space="preserve">Marketing for Hospitality and Tourism</w:t>
      </w:r>
      <w:r w:rsidDel="00000000" w:rsidR="00000000" w:rsidRPr="00000000">
        <w:rPr>
          <w:rFonts w:ascii="Calibri" w:cs="Calibri" w:eastAsia="Calibri" w:hAnsi="Calibri"/>
          <w:rtl w:val="0"/>
        </w:rPr>
        <w:t xml:space="preserve">. 7th ed. Boston: Pearson.</w:t>
      </w:r>
    </w:p>
    <w:p w:rsidR="00000000" w:rsidDel="00000000" w:rsidP="00000000" w:rsidRDefault="00000000" w:rsidRPr="00000000" w14:paraId="00000101">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Lashley, C. and Morrison, A., 2000. </w:t>
      </w:r>
      <w:r w:rsidDel="00000000" w:rsidR="00000000" w:rsidRPr="00000000">
        <w:rPr>
          <w:rFonts w:ascii="Calibri" w:cs="Calibri" w:eastAsia="Calibri" w:hAnsi="Calibri"/>
          <w:i w:val="1"/>
          <w:rtl w:val="0"/>
        </w:rPr>
        <w:t xml:space="preserve">In Search of Hospitality: Theoretical Perspectives and Debates</w:t>
      </w:r>
      <w:r w:rsidDel="00000000" w:rsidR="00000000" w:rsidRPr="00000000">
        <w:rPr>
          <w:rFonts w:ascii="Calibri" w:cs="Calibri" w:eastAsia="Calibri" w:hAnsi="Calibri"/>
          <w:rtl w:val="0"/>
        </w:rPr>
        <w:t xml:space="preserve">. Oxford: Butterworth-Heinemann.</w:t>
      </w:r>
    </w:p>
    <w:p w:rsidR="00000000" w:rsidDel="00000000" w:rsidP="00000000" w:rsidRDefault="00000000" w:rsidRPr="00000000" w14:paraId="00000102">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Li, M., Fu, N., Chadwick, C. and Harney, B. (2023) 'Untangling human resource management and employee wellbeing relationships: Differentiating job resource HR practices from challenge demand HR practices', </w:t>
      </w:r>
      <w:r w:rsidDel="00000000" w:rsidR="00000000" w:rsidRPr="00000000">
        <w:rPr>
          <w:rFonts w:ascii="Calibri" w:cs="Calibri" w:eastAsia="Calibri" w:hAnsi="Calibri"/>
          <w:i w:val="1"/>
          <w:rtl w:val="0"/>
        </w:rPr>
        <w:t xml:space="preserve">Human Resource Management Journal</w:t>
      </w:r>
      <w:r w:rsidDel="00000000" w:rsidR="00000000" w:rsidRPr="00000000">
        <w:rPr>
          <w:rFonts w:ascii="Calibri" w:cs="Calibri" w:eastAsia="Calibri" w:hAnsi="Calibri"/>
          <w:rtl w:val="0"/>
        </w:rPr>
        <w:t xml:space="preserve">. Available at: </w:t>
      </w:r>
      <w:hyperlink r:id="rId34">
        <w:r w:rsidDel="00000000" w:rsidR="00000000" w:rsidRPr="00000000">
          <w:rPr>
            <w:rFonts w:ascii="Calibri" w:cs="Calibri" w:eastAsia="Calibri" w:hAnsi="Calibri"/>
            <w:color w:val="467886"/>
            <w:u w:val="single"/>
            <w:rtl w:val="0"/>
          </w:rPr>
          <w:t xml:space="preserve">https://doi.org/10.1111/1748-8583.12527</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03">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Li, T. and Chen, Y. (2021) 'The obstacles to building a self-management system: Exploring deviant tourists’ anger reactions to the intervention of others', </w:t>
      </w:r>
      <w:r w:rsidDel="00000000" w:rsidR="00000000" w:rsidRPr="00000000">
        <w:rPr>
          <w:rFonts w:ascii="Calibri" w:cs="Calibri" w:eastAsia="Calibri" w:hAnsi="Calibri"/>
          <w:i w:val="1"/>
          <w:rtl w:val="0"/>
        </w:rPr>
        <w:t xml:space="preserve">Journal of Hospitality and Tourism Management</w:t>
      </w:r>
      <w:r w:rsidDel="00000000" w:rsidR="00000000" w:rsidRPr="00000000">
        <w:rPr>
          <w:rFonts w:ascii="Calibri" w:cs="Calibri" w:eastAsia="Calibri" w:hAnsi="Calibri"/>
          <w:rtl w:val="0"/>
        </w:rPr>
        <w:t xml:space="preserve">, 47, pp. 303-311. Available at: </w:t>
      </w:r>
      <w:hyperlink r:id="rId35">
        <w:r w:rsidDel="00000000" w:rsidR="00000000" w:rsidRPr="00000000">
          <w:rPr>
            <w:rFonts w:ascii="Calibri" w:cs="Calibri" w:eastAsia="Calibri" w:hAnsi="Calibri"/>
            <w:color w:val="467886"/>
            <w:u w:val="single"/>
            <w:rtl w:val="0"/>
          </w:rPr>
          <w:t xml:space="preserve">https://doi.org/10.1016/j.jhtm.2021.04.004</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04">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McKinsey &amp; Company, 2024. Future of Hospitality: Trends and Challenges for 2024. [online] Available at: </w:t>
      </w:r>
      <w:hyperlink r:id="rId36">
        <w:r w:rsidDel="00000000" w:rsidR="00000000" w:rsidRPr="00000000">
          <w:rPr>
            <w:rFonts w:ascii="Calibri" w:cs="Calibri" w:eastAsia="Calibri" w:hAnsi="Calibri"/>
            <w:color w:val="467886"/>
            <w:u w:val="single"/>
            <w:rtl w:val="0"/>
          </w:rPr>
          <w:t xml:space="preserve">https://www.mckinsey.com/featured-insights/themes/how-to-prepare-for-the-tourists-of-tomorrow</w:t>
        </w:r>
      </w:hyperlink>
      <w:r w:rsidDel="00000000" w:rsidR="00000000" w:rsidRPr="00000000">
        <w:rPr>
          <w:rFonts w:ascii="Calibri" w:cs="Calibri" w:eastAsia="Calibri" w:hAnsi="Calibri"/>
          <w:rtl w:val="0"/>
        </w:rPr>
        <w:t xml:space="preserve"> [Accessed 27 October 2024]</w:t>
      </w:r>
    </w:p>
    <w:p w:rsidR="00000000" w:rsidDel="00000000" w:rsidP="00000000" w:rsidRDefault="00000000" w:rsidRPr="00000000" w14:paraId="00000105">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Morosan, C. and Bowen, J.T. (2022) 'Labor shortage solution: Redefining hospitality through digitization', </w:t>
      </w:r>
      <w:r w:rsidDel="00000000" w:rsidR="00000000" w:rsidRPr="00000000">
        <w:rPr>
          <w:rFonts w:ascii="Calibri" w:cs="Calibri" w:eastAsia="Calibri" w:hAnsi="Calibri"/>
          <w:i w:val="1"/>
          <w:rtl w:val="0"/>
        </w:rPr>
        <w:t xml:space="preserve">International Journal of Contemporary Hospitality Management</w:t>
      </w:r>
      <w:r w:rsidDel="00000000" w:rsidR="00000000" w:rsidRPr="00000000">
        <w:rPr>
          <w:rFonts w:ascii="Calibri" w:cs="Calibri" w:eastAsia="Calibri" w:hAnsi="Calibri"/>
          <w:rtl w:val="0"/>
        </w:rPr>
        <w:t xml:space="preserve">, 34(12), pp. 4674-4685. Available at: </w:t>
      </w:r>
      <w:hyperlink r:id="rId37">
        <w:r w:rsidDel="00000000" w:rsidR="00000000" w:rsidRPr="00000000">
          <w:rPr>
            <w:rFonts w:ascii="Calibri" w:cs="Calibri" w:eastAsia="Calibri" w:hAnsi="Calibri"/>
            <w:color w:val="467886"/>
            <w:u w:val="single"/>
            <w:rtl w:val="0"/>
          </w:rPr>
          <w:t xml:space="preserve">https://doi.org/10.1108/IJCHM-03-2022-0304</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06">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P.J., S. </w:t>
      </w:r>
      <w:r w:rsidDel="00000000" w:rsidR="00000000" w:rsidRPr="00000000">
        <w:rPr>
          <w:rFonts w:ascii="Calibri" w:cs="Calibri" w:eastAsia="Calibri" w:hAnsi="Calibri"/>
          <w:i w:val="1"/>
          <w:rtl w:val="0"/>
        </w:rPr>
        <w:t xml:space="preserve">et al.</w:t>
      </w:r>
      <w:r w:rsidDel="00000000" w:rsidR="00000000" w:rsidRPr="00000000">
        <w:rPr>
          <w:rFonts w:ascii="Calibri" w:cs="Calibri" w:eastAsia="Calibri" w:hAnsi="Calibri"/>
          <w:rtl w:val="0"/>
        </w:rPr>
        <w:t xml:space="preserve"> (2021) ‘Service Quality and Customer Satisfaction in Hospitality, Leisure, Sport and Tourism: An Assessment of Research in Web of Science’, </w:t>
      </w:r>
      <w:r w:rsidDel="00000000" w:rsidR="00000000" w:rsidRPr="00000000">
        <w:rPr>
          <w:rFonts w:ascii="Calibri" w:cs="Calibri" w:eastAsia="Calibri" w:hAnsi="Calibri"/>
          <w:i w:val="1"/>
          <w:rtl w:val="0"/>
        </w:rPr>
        <w:t xml:space="preserve">Journal of Quality Assurance in Hospitality &amp; Tourism</w:t>
      </w:r>
      <w:r w:rsidDel="00000000" w:rsidR="00000000" w:rsidRPr="00000000">
        <w:rPr>
          <w:rFonts w:ascii="Calibri" w:cs="Calibri" w:eastAsia="Calibri" w:hAnsi="Calibri"/>
          <w:rtl w:val="0"/>
        </w:rPr>
        <w:t xml:space="preserve">, 24(1), pp. 24–50. Available at: </w:t>
      </w:r>
      <w:hyperlink r:id="rId38">
        <w:r w:rsidDel="00000000" w:rsidR="00000000" w:rsidRPr="00000000">
          <w:rPr>
            <w:rFonts w:ascii="Calibri" w:cs="Calibri" w:eastAsia="Calibri" w:hAnsi="Calibri"/>
            <w:color w:val="467886"/>
            <w:u w:val="single"/>
            <w:rtl w:val="0"/>
          </w:rPr>
          <w:t xml:space="preserve">https://doi.org/10.1080/1528008X.2021.2012735</w:t>
        </w:r>
      </w:hyperlink>
      <w:r w:rsidDel="00000000" w:rsidR="00000000" w:rsidRPr="00000000">
        <w:rPr>
          <w:rFonts w:ascii="Calibri" w:cs="Calibri" w:eastAsia="Calibri" w:hAnsi="Calibri"/>
          <w:rtl w:val="0"/>
        </w:rPr>
        <w:t xml:space="preserve"> </w:t>
      </w:r>
    </w:p>
    <w:p w:rsidR="00000000" w:rsidDel="00000000" w:rsidP="00000000" w:rsidRDefault="00000000" w:rsidRPr="00000000" w14:paraId="00000107">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Peng, X., Zhu, J., Lee, S., Zhou, D., Song, W. and Ying, T. (2024) 'Digital transformation in the hospitality industry: A bibliometric review from 2000 to 2023', </w:t>
      </w:r>
      <w:r w:rsidDel="00000000" w:rsidR="00000000" w:rsidRPr="00000000">
        <w:rPr>
          <w:rFonts w:ascii="Calibri" w:cs="Calibri" w:eastAsia="Calibri" w:hAnsi="Calibri"/>
          <w:i w:val="1"/>
          <w:rtl w:val="0"/>
        </w:rPr>
        <w:t xml:space="preserve">International Journal of Hospitality Management</w:t>
      </w:r>
      <w:r w:rsidDel="00000000" w:rsidR="00000000" w:rsidRPr="00000000">
        <w:rPr>
          <w:rFonts w:ascii="Calibri" w:cs="Calibri" w:eastAsia="Calibri" w:hAnsi="Calibri"/>
          <w:rtl w:val="0"/>
        </w:rPr>
        <w:t xml:space="preserve">, 120, p. 103761. Available at: </w:t>
      </w:r>
      <w:hyperlink r:id="rId39">
        <w:r w:rsidDel="00000000" w:rsidR="00000000" w:rsidRPr="00000000">
          <w:rPr>
            <w:rFonts w:ascii="Calibri" w:cs="Calibri" w:eastAsia="Calibri" w:hAnsi="Calibri"/>
            <w:color w:val="467886"/>
            <w:u w:val="single"/>
            <w:rtl w:val="0"/>
          </w:rPr>
          <w:t xml:space="preserve">https://doi.org/10.1016/j.ijhm.2024.103761</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08">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Peng, X., Zhu, J., Lee, S., Zhou, D., Song, W. and Ying, T. (2024) 'Digital transformation in the hospitality industry: A bibliometric review from 2000 to 2023', International Journal of Hospitality Management, 120, p. 103761. Available at: </w:t>
      </w:r>
      <w:hyperlink r:id="rId40">
        <w:r w:rsidDel="00000000" w:rsidR="00000000" w:rsidRPr="00000000">
          <w:rPr>
            <w:rFonts w:ascii="Calibri" w:cs="Calibri" w:eastAsia="Calibri" w:hAnsi="Calibri"/>
            <w:color w:val="467886"/>
            <w:u w:val="single"/>
            <w:rtl w:val="0"/>
          </w:rPr>
          <w:t xml:space="preserve">https://doi.org/10.1016/j.ijhm.2024.103761</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09">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Phillips, P., Barnes, S., Zigan, K. and Schegg, R. (2017) 'Understanding the impact of online reviews on hotel performance: An empirical analysis', Journal of Travel Research, 56(2), pp. 235-249. Available at: </w:t>
      </w:r>
      <w:hyperlink r:id="rId41">
        <w:r w:rsidDel="00000000" w:rsidR="00000000" w:rsidRPr="00000000">
          <w:rPr>
            <w:rFonts w:ascii="Calibri" w:cs="Calibri" w:eastAsia="Calibri" w:hAnsi="Calibri"/>
            <w:color w:val="467886"/>
            <w:u w:val="single"/>
            <w:rtl w:val="0"/>
          </w:rPr>
          <w:t xml:space="preserve">https://doi.org/10.1177/0047287516636481</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0A">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Pike, S. (2018). </w:t>
      </w:r>
      <w:r w:rsidDel="00000000" w:rsidR="00000000" w:rsidRPr="00000000">
        <w:rPr>
          <w:rFonts w:ascii="Calibri" w:cs="Calibri" w:eastAsia="Calibri" w:hAnsi="Calibri"/>
          <w:i w:val="1"/>
          <w:rtl w:val="0"/>
        </w:rPr>
        <w:t xml:space="preserve">Tourism marketing for small businesses</w:t>
      </w:r>
      <w:r w:rsidDel="00000000" w:rsidR="00000000" w:rsidRPr="00000000">
        <w:rPr>
          <w:rFonts w:ascii="Calibri" w:cs="Calibri" w:eastAsia="Calibri" w:hAnsi="Calibri"/>
          <w:rtl w:val="0"/>
        </w:rPr>
        <w:t xml:space="preserve">. Oxford, UK: Goodfellow Publishers.</w:t>
      </w:r>
    </w:p>
    <w:p w:rsidR="00000000" w:rsidDel="00000000" w:rsidP="00000000" w:rsidRDefault="00000000" w:rsidRPr="00000000" w14:paraId="0000010B">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Pizam, A. and Ellis, T. (1999) 'Customer satisfaction and its measurement in hospitality enterprises', </w:t>
      </w:r>
      <w:r w:rsidDel="00000000" w:rsidR="00000000" w:rsidRPr="00000000">
        <w:rPr>
          <w:rFonts w:ascii="Calibri" w:cs="Calibri" w:eastAsia="Calibri" w:hAnsi="Calibri"/>
          <w:i w:val="1"/>
          <w:rtl w:val="0"/>
        </w:rPr>
        <w:t xml:space="preserve">International Journal of Contemporary Hospitality Management</w:t>
      </w:r>
      <w:r w:rsidDel="00000000" w:rsidR="00000000" w:rsidRPr="00000000">
        <w:rPr>
          <w:rFonts w:ascii="Calibri" w:cs="Calibri" w:eastAsia="Calibri" w:hAnsi="Calibri"/>
          <w:rtl w:val="0"/>
        </w:rPr>
        <w:t xml:space="preserve">, 11(7), pp. 326-339. Available at: </w:t>
      </w:r>
      <w:hyperlink r:id="rId42">
        <w:r w:rsidDel="00000000" w:rsidR="00000000" w:rsidRPr="00000000">
          <w:rPr>
            <w:rFonts w:ascii="Calibri" w:cs="Calibri" w:eastAsia="Calibri" w:hAnsi="Calibri"/>
            <w:color w:val="467886"/>
            <w:u w:val="single"/>
            <w:rtl w:val="0"/>
          </w:rPr>
          <w:t xml:space="preserve">https://doi.org/10.1108/09596119910293231</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0C">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Pizam, A. and Holcomb, J., 2008. </w:t>
      </w:r>
      <w:r w:rsidDel="00000000" w:rsidR="00000000" w:rsidRPr="00000000">
        <w:rPr>
          <w:rFonts w:ascii="Calibri" w:cs="Calibri" w:eastAsia="Calibri" w:hAnsi="Calibri"/>
          <w:i w:val="1"/>
          <w:rtl w:val="0"/>
        </w:rPr>
        <w:t xml:space="preserve">International Dictionary of Hospitality Management</w:t>
      </w:r>
      <w:r w:rsidDel="00000000" w:rsidR="00000000" w:rsidRPr="00000000">
        <w:rPr>
          <w:rFonts w:ascii="Calibri" w:cs="Calibri" w:eastAsia="Calibri" w:hAnsi="Calibri"/>
          <w:rtl w:val="0"/>
        </w:rPr>
        <w:t xml:space="preserve">. Oxford: Butterworth-Heinemann.</w:t>
      </w:r>
    </w:p>
    <w:p w:rsidR="00000000" w:rsidDel="00000000" w:rsidP="00000000" w:rsidRDefault="00000000" w:rsidRPr="00000000" w14:paraId="0000010D">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Rahman, N.A.A., Hassan, A., Ahmad, M.F. and Singh, R.K.S. (2023) 'Contactless hospitality technology in post-COVID-19 era: Future research clusters', in Hassan, A. and Rahman, N.A.A. (eds) Technology application in aviation, tourism and hospitality. Singapore: Springer. Available at: </w:t>
      </w:r>
      <w:hyperlink r:id="rId43">
        <w:r w:rsidDel="00000000" w:rsidR="00000000" w:rsidRPr="00000000">
          <w:rPr>
            <w:rFonts w:ascii="Calibri" w:cs="Calibri" w:eastAsia="Calibri" w:hAnsi="Calibri"/>
            <w:color w:val="467886"/>
            <w:u w:val="single"/>
            <w:rtl w:val="0"/>
          </w:rPr>
          <w:t xml:space="preserve">https://doi.org/10.1007/978-981-19-6619-4_13</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0E">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Sánchez Jiménez, M.Á., Gómez Carmona, D. and Moral Moral, M. (2024) 'Evolution of the impact of social media in hospitality: A bibliometric analysis', </w:t>
      </w:r>
      <w:r w:rsidDel="00000000" w:rsidR="00000000" w:rsidRPr="00000000">
        <w:rPr>
          <w:rFonts w:ascii="Calibri" w:cs="Calibri" w:eastAsia="Calibri" w:hAnsi="Calibri"/>
          <w:i w:val="1"/>
          <w:rtl w:val="0"/>
        </w:rPr>
        <w:t xml:space="preserve">Journal of Destination Marketing &amp; Management</w:t>
      </w:r>
      <w:r w:rsidDel="00000000" w:rsidR="00000000" w:rsidRPr="00000000">
        <w:rPr>
          <w:rFonts w:ascii="Calibri" w:cs="Calibri" w:eastAsia="Calibri" w:hAnsi="Calibri"/>
          <w:rtl w:val="0"/>
        </w:rPr>
        <w:t xml:space="preserve">, 31, p. 100868. Available at: </w:t>
      </w:r>
      <w:hyperlink r:id="rId44">
        <w:r w:rsidDel="00000000" w:rsidR="00000000" w:rsidRPr="00000000">
          <w:rPr>
            <w:rFonts w:ascii="Calibri" w:cs="Calibri" w:eastAsia="Calibri" w:hAnsi="Calibri"/>
            <w:color w:val="467886"/>
            <w:u w:val="single"/>
            <w:rtl w:val="0"/>
          </w:rPr>
          <w:t xml:space="preserve">https://doi.org/10.1016/j.jdmm.2024.100868</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0F">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Shanti, J. and Joshi, G. (2022) 'Examining the impact of environmentally sustainable practices on hotel brand equity: a case of Bangalore hotels', Environment, Development and Sustainability, 24, pp. 5764–5782. Available at: </w:t>
      </w:r>
      <w:hyperlink r:id="rId45">
        <w:r w:rsidDel="00000000" w:rsidR="00000000" w:rsidRPr="00000000">
          <w:rPr>
            <w:rFonts w:ascii="Calibri" w:cs="Calibri" w:eastAsia="Calibri" w:hAnsi="Calibri"/>
            <w:color w:val="467886"/>
            <w:u w:val="single"/>
            <w:rtl w:val="0"/>
          </w:rPr>
          <w:t xml:space="preserve">https://doi.org/10.1007/s10668-021-01682-9</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10">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Sharma, V. and Bhat, D.A.R. (2023) 'Resilience and recovery strategies to tackle COVID-19 pandemic and alike crisis: A systematic review and critical examination of the tourism and hospitality industry', in Dube, K., Nhamo, G. and Swart, M. (eds) COVID-19, tourist destinations and prospects for recovery. Cham: Springer. Available at: </w:t>
      </w:r>
      <w:hyperlink r:id="rId46">
        <w:r w:rsidDel="00000000" w:rsidR="00000000" w:rsidRPr="00000000">
          <w:rPr>
            <w:rFonts w:ascii="Calibri" w:cs="Calibri" w:eastAsia="Calibri" w:hAnsi="Calibri"/>
            <w:color w:val="467886"/>
            <w:u w:val="single"/>
            <w:rtl w:val="0"/>
          </w:rPr>
          <w:t xml:space="preserve">https://doi.org/10.1007/978-3-031-22257-3_16</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11">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Shin, H., Sharma, A., Nicolau, J.L. and Kang, J., 2021. The impact of hotel CSR for strategic philanthropy on booking behavior and hotel performance during the COVID-19 pandemic. </w:t>
      </w:r>
      <w:r w:rsidDel="00000000" w:rsidR="00000000" w:rsidRPr="00000000">
        <w:rPr>
          <w:rFonts w:ascii="Calibri" w:cs="Calibri" w:eastAsia="Calibri" w:hAnsi="Calibri"/>
          <w:i w:val="1"/>
          <w:rtl w:val="0"/>
        </w:rPr>
        <w:t xml:space="preserve">Tourism Management</w:t>
      </w:r>
      <w:r w:rsidDel="00000000" w:rsidR="00000000" w:rsidRPr="00000000">
        <w:rPr>
          <w:rFonts w:ascii="Calibri" w:cs="Calibri" w:eastAsia="Calibri" w:hAnsi="Calibri"/>
          <w:rtl w:val="0"/>
        </w:rPr>
        <w:t xml:space="preserve">, 85, p.104322. Available at: </w:t>
      </w:r>
      <w:hyperlink r:id="rId47">
        <w:r w:rsidDel="00000000" w:rsidR="00000000" w:rsidRPr="00000000">
          <w:rPr>
            <w:rFonts w:ascii="Calibri" w:cs="Calibri" w:eastAsia="Calibri" w:hAnsi="Calibri"/>
            <w:color w:val="467886"/>
            <w:u w:val="single"/>
            <w:rtl w:val="0"/>
          </w:rPr>
          <w:t xml:space="preserve">https://doi.org/10.1016/j.tourman.2021.104322</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12">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Sigala, M. (2020) 'Tourism and COVID-19: Impacts and implications for advancing and resetting industry and research', </w:t>
      </w:r>
      <w:r w:rsidDel="00000000" w:rsidR="00000000" w:rsidRPr="00000000">
        <w:rPr>
          <w:rFonts w:ascii="Calibri" w:cs="Calibri" w:eastAsia="Calibri" w:hAnsi="Calibri"/>
          <w:i w:val="1"/>
          <w:rtl w:val="0"/>
        </w:rPr>
        <w:t xml:space="preserve">Journal of Business Research</w:t>
      </w:r>
      <w:r w:rsidDel="00000000" w:rsidR="00000000" w:rsidRPr="00000000">
        <w:rPr>
          <w:rFonts w:ascii="Calibri" w:cs="Calibri" w:eastAsia="Calibri" w:hAnsi="Calibri"/>
          <w:rtl w:val="0"/>
        </w:rPr>
        <w:t xml:space="preserve">, 117, pp. 312-321. Available at: </w:t>
      </w:r>
      <w:hyperlink r:id="rId48">
        <w:r w:rsidDel="00000000" w:rsidR="00000000" w:rsidRPr="00000000">
          <w:rPr>
            <w:rFonts w:ascii="Calibri" w:cs="Calibri" w:eastAsia="Calibri" w:hAnsi="Calibri"/>
            <w:color w:val="467886"/>
            <w:u w:val="single"/>
            <w:rtl w:val="0"/>
          </w:rPr>
          <w:t xml:space="preserve">https://doi.org/10.1016/j.jbusres.2020.06.015</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13">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Slack, N., Chambers, S., and Johnston, R., 2010. </w:t>
      </w:r>
      <w:r w:rsidDel="00000000" w:rsidR="00000000" w:rsidRPr="00000000">
        <w:rPr>
          <w:rFonts w:ascii="Calibri" w:cs="Calibri" w:eastAsia="Calibri" w:hAnsi="Calibri"/>
          <w:i w:val="1"/>
          <w:rtl w:val="0"/>
        </w:rPr>
        <w:t xml:space="preserve">Operations Management</w:t>
      </w:r>
      <w:r w:rsidDel="00000000" w:rsidR="00000000" w:rsidRPr="00000000">
        <w:rPr>
          <w:rFonts w:ascii="Calibri" w:cs="Calibri" w:eastAsia="Calibri" w:hAnsi="Calibri"/>
          <w:rtl w:val="0"/>
        </w:rPr>
        <w:t xml:space="preserve">. 6th ed. London: Pearson Education.</w:t>
      </w:r>
    </w:p>
    <w:p w:rsidR="00000000" w:rsidDel="00000000" w:rsidP="00000000" w:rsidRDefault="00000000" w:rsidRPr="00000000" w14:paraId="00000114">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Srinivasan, R., Chandrasekaran, D. and Rossetti, F. (2024) 'Customer service opportunities and challenges in a post-pandemic world', in Sheth, J.N., Jain, V., Mogaji, E. and Ambika, A. (eds) Customer centric support services in the digital age. Cham: Palgrave Macmillan. Available at: </w:t>
      </w:r>
      <w:hyperlink r:id="rId49">
        <w:r w:rsidDel="00000000" w:rsidR="00000000" w:rsidRPr="00000000">
          <w:rPr>
            <w:rFonts w:ascii="Calibri" w:cs="Calibri" w:eastAsia="Calibri" w:hAnsi="Calibri"/>
            <w:color w:val="467886"/>
            <w:u w:val="single"/>
            <w:rtl w:val="0"/>
          </w:rPr>
          <w:t xml:space="preserve">https://doi.org/10.1007/978-3-031-37097-7_12</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15">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Statista, 2024. Market Share of Leading Hotel Chains Worldwide in 2024. [online] Available at: </w:t>
      </w:r>
      <w:hyperlink r:id="rId50">
        <w:r w:rsidDel="00000000" w:rsidR="00000000" w:rsidRPr="00000000">
          <w:rPr>
            <w:rFonts w:ascii="Calibri" w:cs="Calibri" w:eastAsia="Calibri" w:hAnsi="Calibri"/>
            <w:color w:val="467886"/>
            <w:u w:val="single"/>
            <w:rtl w:val="0"/>
          </w:rPr>
          <w:t xml:space="preserve">https://www.statista.com/statistics/1314352/largest-hotel-companies-market-value-worldwide/</w:t>
        </w:r>
      </w:hyperlink>
      <w:r w:rsidDel="00000000" w:rsidR="00000000" w:rsidRPr="00000000">
        <w:rPr>
          <w:rFonts w:ascii="Calibri" w:cs="Calibri" w:eastAsia="Calibri" w:hAnsi="Calibri"/>
          <w:rtl w:val="0"/>
        </w:rPr>
        <w:t xml:space="preserve"> [Accessed 27 October 2024]</w:t>
      </w:r>
    </w:p>
    <w:p w:rsidR="00000000" w:rsidDel="00000000" w:rsidP="00000000" w:rsidRDefault="00000000" w:rsidRPr="00000000" w14:paraId="00000116">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Su, C.-J. (2022) 'Post-pandemic studies in tourism and hospitality', Service Business, 16(3), pp. 413-416. Available at: </w:t>
      </w:r>
      <w:hyperlink r:id="rId51">
        <w:r w:rsidDel="00000000" w:rsidR="00000000" w:rsidRPr="00000000">
          <w:rPr>
            <w:rFonts w:ascii="Calibri" w:cs="Calibri" w:eastAsia="Calibri" w:hAnsi="Calibri"/>
            <w:color w:val="467886"/>
            <w:u w:val="single"/>
            <w:rtl w:val="0"/>
          </w:rPr>
          <w:t xml:space="preserve">https://doi.org/10.1007/s11628-022-00495-8</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17">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Walker, J.R., 2017. </w:t>
      </w:r>
      <w:r w:rsidDel="00000000" w:rsidR="00000000" w:rsidRPr="00000000">
        <w:rPr>
          <w:rFonts w:ascii="Calibri" w:cs="Calibri" w:eastAsia="Calibri" w:hAnsi="Calibri"/>
          <w:i w:val="1"/>
          <w:rtl w:val="0"/>
        </w:rPr>
        <w:t xml:space="preserve">Introduction to Hospitality</w:t>
      </w:r>
      <w:r w:rsidDel="00000000" w:rsidR="00000000" w:rsidRPr="00000000">
        <w:rPr>
          <w:rFonts w:ascii="Calibri" w:cs="Calibri" w:eastAsia="Calibri" w:hAnsi="Calibri"/>
          <w:rtl w:val="0"/>
        </w:rPr>
        <w:t xml:space="preserve">. 7th ed. Boston: Pearson.</w:t>
      </w:r>
    </w:p>
    <w:p w:rsidR="00000000" w:rsidDel="00000000" w:rsidP="00000000" w:rsidRDefault="00000000" w:rsidRPr="00000000" w14:paraId="00000118">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Waqanimaravu, M. and Arasanmi, C.N. (2020) 'Employee training and service quality in the hospitality industry', </w:t>
      </w:r>
      <w:r w:rsidDel="00000000" w:rsidR="00000000" w:rsidRPr="00000000">
        <w:rPr>
          <w:rFonts w:ascii="Calibri" w:cs="Calibri" w:eastAsia="Calibri" w:hAnsi="Calibri"/>
          <w:i w:val="1"/>
          <w:rtl w:val="0"/>
        </w:rPr>
        <w:t xml:space="preserve">Journal of Foodservice Business Research</w:t>
      </w:r>
      <w:r w:rsidDel="00000000" w:rsidR="00000000" w:rsidRPr="00000000">
        <w:rPr>
          <w:rFonts w:ascii="Calibri" w:cs="Calibri" w:eastAsia="Calibri" w:hAnsi="Calibri"/>
          <w:rtl w:val="0"/>
        </w:rPr>
        <w:t xml:space="preserve">, 23(3), pp. 216–227. Available at: </w:t>
      </w:r>
      <w:hyperlink r:id="rId52">
        <w:r w:rsidDel="00000000" w:rsidR="00000000" w:rsidRPr="00000000">
          <w:rPr>
            <w:rFonts w:ascii="Calibri" w:cs="Calibri" w:eastAsia="Calibri" w:hAnsi="Calibri"/>
            <w:color w:val="467886"/>
            <w:u w:val="single"/>
            <w:rtl w:val="0"/>
          </w:rPr>
          <w:t xml:space="preserve">https://doi.org/10.1080/15378020.2020.1724850</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19">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Wong, I.A., Ou, J. and Wilson, A. (2021) 'Evolution of hoteliers’ organizational crisis communication in the time of mega disruption', Tourism Management, 84, p. 104257. Available at: </w:t>
      </w:r>
      <w:hyperlink r:id="rId53">
        <w:r w:rsidDel="00000000" w:rsidR="00000000" w:rsidRPr="00000000">
          <w:rPr>
            <w:rFonts w:ascii="Calibri" w:cs="Calibri" w:eastAsia="Calibri" w:hAnsi="Calibri"/>
            <w:color w:val="467886"/>
            <w:u w:val="single"/>
            <w:rtl w:val="0"/>
          </w:rPr>
          <w:t xml:space="preserve">https://doi.org/10.1016/j.tourman.2020.104257</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1A">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Wu, S.-H. and Gao, Y. (2019), "Understanding emotional customer experience and co-creation behaviours in luxury hotels", International Journal of Contemporary Hospitality Management, Vol. 31 No. 11, pp. 4247-4275. </w:t>
      </w:r>
      <w:hyperlink r:id="rId54">
        <w:r w:rsidDel="00000000" w:rsidR="00000000" w:rsidRPr="00000000">
          <w:rPr>
            <w:rFonts w:ascii="Calibri" w:cs="Calibri" w:eastAsia="Calibri" w:hAnsi="Calibri"/>
            <w:color w:val="467886"/>
            <w:u w:val="single"/>
            <w:rtl w:val="0"/>
          </w:rPr>
          <w:t xml:space="preserve">https://doi.org/10.1108/IJCHM-04-2018-0302</w:t>
        </w:r>
      </w:hyperlink>
      <w:r w:rsidDel="00000000" w:rsidR="00000000" w:rsidRPr="00000000">
        <w:rPr>
          <w:rtl w:val="0"/>
        </w:rPr>
      </w:r>
    </w:p>
    <w:p w:rsidR="00000000" w:rsidDel="00000000" w:rsidP="00000000" w:rsidRDefault="00000000" w:rsidRPr="00000000" w14:paraId="0000011B">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Wut, T.M., Xu, J. and Wong, S.-m. (2021) 'Crisis management research (1985–2020) in the hospitality and tourism industry: A review and research agenda', </w:t>
      </w:r>
      <w:r w:rsidDel="00000000" w:rsidR="00000000" w:rsidRPr="00000000">
        <w:rPr>
          <w:rFonts w:ascii="Calibri" w:cs="Calibri" w:eastAsia="Calibri" w:hAnsi="Calibri"/>
          <w:i w:val="1"/>
          <w:rtl w:val="0"/>
        </w:rPr>
        <w:t xml:space="preserve">Tourism Management</w:t>
      </w:r>
      <w:r w:rsidDel="00000000" w:rsidR="00000000" w:rsidRPr="00000000">
        <w:rPr>
          <w:rFonts w:ascii="Calibri" w:cs="Calibri" w:eastAsia="Calibri" w:hAnsi="Calibri"/>
          <w:rtl w:val="0"/>
        </w:rPr>
        <w:t xml:space="preserve">, 85, p. 104307. Available at: </w:t>
      </w:r>
      <w:hyperlink r:id="rId55">
        <w:r w:rsidDel="00000000" w:rsidR="00000000" w:rsidRPr="00000000">
          <w:rPr>
            <w:rFonts w:ascii="Calibri" w:cs="Calibri" w:eastAsia="Calibri" w:hAnsi="Calibri"/>
            <w:color w:val="467886"/>
            <w:u w:val="single"/>
            <w:rtl w:val="0"/>
          </w:rPr>
          <w:t xml:space="preserve">https://doi.org/10.1016/j.tourman.2021.104307</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1C">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Xiang, K., Qiao, G., Gao, F. and Cao, Y. (2021) 'Information anxiety, intergroup emotion, and rational coping in hotel employees under normalized pandemic prevention measures', Journal of Hospitality and Tourism Management, 48, pp. 344-356. Available at: </w:t>
      </w:r>
      <w:hyperlink r:id="rId56">
        <w:r w:rsidDel="00000000" w:rsidR="00000000" w:rsidRPr="00000000">
          <w:rPr>
            <w:rFonts w:ascii="Calibri" w:cs="Calibri" w:eastAsia="Calibri" w:hAnsi="Calibri"/>
            <w:color w:val="467886"/>
            <w:u w:val="single"/>
            <w:rtl w:val="0"/>
          </w:rPr>
          <w:t xml:space="preserve">https://doi.org/10.1016/j.jhtm.2021.07.005</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1D">
      <w:pPr>
        <w:numPr>
          <w:ilvl w:val="0"/>
          <w:numId w:val="5"/>
        </w:numPr>
        <w:spacing w:line="360" w:lineRule="auto"/>
        <w:ind w:left="426" w:hanging="360"/>
        <w:rPr>
          <w:rFonts w:ascii="Calibri" w:cs="Calibri" w:eastAsia="Calibri" w:hAnsi="Calibri"/>
        </w:rPr>
      </w:pPr>
      <w:r w:rsidDel="00000000" w:rsidR="00000000" w:rsidRPr="00000000">
        <w:rPr>
          <w:rFonts w:ascii="Calibri" w:cs="Calibri" w:eastAsia="Calibri" w:hAnsi="Calibri"/>
          <w:rtl w:val="0"/>
        </w:rPr>
        <w:t xml:space="preserve">Zopiatis, A., Constanti, P. and Theocharous, A.L. (2014) 'Job involvement, commitment, satisfaction and turnover: Evidence from hotel employees in Cyprus', Tourism Management, 41, pp. 129-140. Available at: </w:t>
      </w:r>
      <w:hyperlink r:id="rId57">
        <w:r w:rsidDel="00000000" w:rsidR="00000000" w:rsidRPr="00000000">
          <w:rPr>
            <w:rFonts w:ascii="Calibri" w:cs="Calibri" w:eastAsia="Calibri" w:hAnsi="Calibri"/>
            <w:color w:val="467886"/>
            <w:u w:val="single"/>
            <w:rtl w:val="0"/>
          </w:rPr>
          <w:t xml:space="preserve">https://doi.org/10.1016/j.tourman.2013.09.013</w:t>
        </w:r>
      </w:hyperlink>
      <w:r w:rsidDel="00000000" w:rsidR="00000000" w:rsidRPr="00000000">
        <w:rPr>
          <w:rFonts w:ascii="Calibri" w:cs="Calibri" w:eastAsia="Calibri" w:hAnsi="Calibri"/>
          <w:rtl w:val="0"/>
        </w:rPr>
        <w:t xml:space="preserve">  (Accessed: 29 October 2024).</w:t>
      </w:r>
    </w:p>
    <w:p w:rsidR="00000000" w:rsidDel="00000000" w:rsidP="00000000" w:rsidRDefault="00000000" w:rsidRPr="00000000" w14:paraId="0000011E">
      <w:pPr>
        <w:spacing w:line="36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1F">
      <w:pPr>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120">
      <w:pPr>
        <w:pStyle w:val="Heading1"/>
        <w:rPr>
          <w:sz w:val="36"/>
          <w:szCs w:val="36"/>
        </w:rPr>
      </w:pPr>
      <w:r w:rsidDel="00000000" w:rsidR="00000000" w:rsidRPr="00000000">
        <w:rPr>
          <w:sz w:val="36"/>
          <w:szCs w:val="36"/>
          <w:rtl w:val="0"/>
        </w:rPr>
        <w:t xml:space="preserve">Appendices:</w:t>
      </w:r>
    </w:p>
    <w:p w:rsidR="00000000" w:rsidDel="00000000" w:rsidP="00000000" w:rsidRDefault="00000000" w:rsidRPr="00000000" w14:paraId="00000121">
      <w:pPr>
        <w:spacing w:line="360" w:lineRule="auto"/>
        <w:jc w:val="both"/>
        <w:rPr>
          <w:rFonts w:ascii="Calibri" w:cs="Calibri" w:eastAsia="Calibri" w:hAnsi="Calibri"/>
        </w:rPr>
      </w:pPr>
      <w:r w:rsidDel="00000000" w:rsidR="00000000" w:rsidRPr="00000000">
        <w:rPr>
          <w:rFonts w:ascii="Calibri" w:cs="Calibri" w:eastAsia="Calibri" w:hAnsi="Calibri"/>
        </w:rPr>
        <w:drawing>
          <wp:inline distB="0" distT="0" distL="0" distR="0">
            <wp:extent cx="4781469" cy="3552898"/>
            <wp:effectExtent b="0" l="0" r="0" t="0"/>
            <wp:docPr descr="A graph of blue and black lines&#10;&#10;Description automatically generated" id="2135516591" name="image1.png"/>
            <a:graphic>
              <a:graphicData uri="http://schemas.openxmlformats.org/drawingml/2006/picture">
                <pic:pic>
                  <pic:nvPicPr>
                    <pic:cNvPr descr="A graph of blue and black lines&#10;&#10;Description automatically generated" id="0" name="image1.png"/>
                    <pic:cNvPicPr preferRelativeResize="0"/>
                  </pic:nvPicPr>
                  <pic:blipFill>
                    <a:blip r:embed="rId58"/>
                    <a:srcRect b="0" l="0" r="0" t="0"/>
                    <a:stretch>
                      <a:fillRect/>
                    </a:stretch>
                  </pic:blipFill>
                  <pic:spPr>
                    <a:xfrm>
                      <a:off x="0" y="0"/>
                      <a:ext cx="4781469" cy="3552898"/>
                    </a:xfrm>
                    <a:prstGeom prst="rect"/>
                    <a:ln/>
                  </pic:spPr>
                </pic:pic>
              </a:graphicData>
            </a:graphic>
          </wp:inline>
        </w:drawing>
      </w:r>
      <w:r w:rsidDel="00000000" w:rsidR="00000000" w:rsidRPr="00000000">
        <w:rPr>
          <w:rtl w:val="0"/>
        </w:rPr>
      </w:r>
    </w:p>
    <w:p w:rsidR="00000000" w:rsidDel="00000000" w:rsidP="00000000" w:rsidRDefault="00000000" w:rsidRPr="00000000" w14:paraId="00000122">
      <w:pPr>
        <w:spacing w:line="360" w:lineRule="auto"/>
        <w:jc w:val="both"/>
        <w:rPr>
          <w:rFonts w:ascii="Calibri" w:cs="Calibri" w:eastAsia="Calibri" w:hAnsi="Calibri"/>
        </w:rPr>
      </w:pPr>
      <w:r w:rsidDel="00000000" w:rsidR="00000000" w:rsidRPr="00000000">
        <w:rPr>
          <w:rtl w:val="0"/>
        </w:rPr>
      </w:r>
    </w:p>
    <w:p w:rsidR="00000000" w:rsidDel="00000000" w:rsidP="00000000" w:rsidRDefault="00000000" w:rsidRPr="00000000" w14:paraId="00000123">
      <w:pPr>
        <w:spacing w:line="360" w:lineRule="auto"/>
        <w:jc w:val="both"/>
        <w:rPr>
          <w:rFonts w:ascii="Calibri" w:cs="Calibri" w:eastAsia="Calibri" w:hAnsi="Calibri"/>
        </w:rPr>
      </w:pPr>
      <w:r w:rsidDel="00000000" w:rsidR="00000000" w:rsidRPr="00000000">
        <w:rPr>
          <w:rFonts w:ascii="Calibri" w:cs="Calibri" w:eastAsia="Calibri" w:hAnsi="Calibri"/>
        </w:rPr>
        <w:drawing>
          <wp:inline distB="0" distT="0" distL="0" distR="0">
            <wp:extent cx="4745755" cy="3526360"/>
            <wp:effectExtent b="0" l="0" r="0" t="0"/>
            <wp:docPr descr="A graph of blue bars&#10;&#10;Description automatically generated" id="2135516594" name="image4.png"/>
            <a:graphic>
              <a:graphicData uri="http://schemas.openxmlformats.org/drawingml/2006/picture">
                <pic:pic>
                  <pic:nvPicPr>
                    <pic:cNvPr descr="A graph of blue bars&#10;&#10;Description automatically generated" id="0" name="image4.png"/>
                    <pic:cNvPicPr preferRelativeResize="0"/>
                  </pic:nvPicPr>
                  <pic:blipFill>
                    <a:blip r:embed="rId59"/>
                    <a:srcRect b="0" l="0" r="0" t="0"/>
                    <a:stretch>
                      <a:fillRect/>
                    </a:stretch>
                  </pic:blipFill>
                  <pic:spPr>
                    <a:xfrm>
                      <a:off x="0" y="0"/>
                      <a:ext cx="4745755" cy="3526360"/>
                    </a:xfrm>
                    <a:prstGeom prst="rect"/>
                    <a:ln/>
                  </pic:spPr>
                </pic:pic>
              </a:graphicData>
            </a:graphic>
          </wp:inline>
        </w:drawing>
      </w:r>
      <w:r w:rsidDel="00000000" w:rsidR="00000000" w:rsidRPr="00000000">
        <w:rPr>
          <w:rtl w:val="0"/>
        </w:rPr>
      </w:r>
    </w:p>
    <w:p w:rsidR="00000000" w:rsidDel="00000000" w:rsidP="00000000" w:rsidRDefault="00000000" w:rsidRPr="00000000" w14:paraId="00000124">
      <w:pPr>
        <w:spacing w:line="360" w:lineRule="auto"/>
        <w:jc w:val="both"/>
        <w:rPr>
          <w:rFonts w:ascii="Calibri" w:cs="Calibri" w:eastAsia="Calibri" w:hAnsi="Calibri"/>
        </w:rPr>
      </w:pPr>
      <w:r w:rsidDel="00000000" w:rsidR="00000000" w:rsidRPr="00000000">
        <w:rPr>
          <w:rFonts w:ascii="Calibri" w:cs="Calibri" w:eastAsia="Calibri" w:hAnsi="Calibri"/>
        </w:rPr>
        <w:drawing>
          <wp:inline distB="0" distT="0" distL="0" distR="0">
            <wp:extent cx="5943600" cy="4097655"/>
            <wp:effectExtent b="0" l="0" r="0" t="0"/>
            <wp:docPr descr="A screenshot of a computer&#10;&#10;Description automatically generated" id="2135516593" name="image2.png"/>
            <a:graphic>
              <a:graphicData uri="http://schemas.openxmlformats.org/drawingml/2006/picture">
                <pic:pic>
                  <pic:nvPicPr>
                    <pic:cNvPr descr="A screenshot of a computer&#10;&#10;Description automatically generated" id="0" name="image2.png"/>
                    <pic:cNvPicPr preferRelativeResize="0"/>
                  </pic:nvPicPr>
                  <pic:blipFill>
                    <a:blip r:embed="rId60"/>
                    <a:srcRect b="0" l="0" r="0" t="0"/>
                    <a:stretch>
                      <a:fillRect/>
                    </a:stretch>
                  </pic:blipFill>
                  <pic:spPr>
                    <a:xfrm>
                      <a:off x="0" y="0"/>
                      <a:ext cx="5943600" cy="4097655"/>
                    </a:xfrm>
                    <a:prstGeom prst="rect"/>
                    <a:ln/>
                  </pic:spPr>
                </pic:pic>
              </a:graphicData>
            </a:graphic>
          </wp:inline>
        </w:drawing>
      </w:r>
      <w:r w:rsidDel="00000000" w:rsidR="00000000" w:rsidRPr="00000000">
        <w:rPr>
          <w:rtl w:val="0"/>
        </w:rPr>
      </w:r>
    </w:p>
    <w:p w:rsidR="00000000" w:rsidDel="00000000" w:rsidP="00000000" w:rsidRDefault="00000000" w:rsidRPr="00000000" w14:paraId="00000125">
      <w:pPr>
        <w:spacing w:line="360" w:lineRule="auto"/>
        <w:jc w:val="right"/>
        <w:rPr>
          <w:rFonts w:ascii="Calibri" w:cs="Calibri" w:eastAsia="Calibri" w:hAnsi="Calibri"/>
        </w:rPr>
      </w:pPr>
      <w:r w:rsidDel="00000000" w:rsidR="00000000" w:rsidRPr="00000000">
        <w:rPr>
          <w:rFonts w:ascii="Calibri" w:cs="Calibri" w:eastAsia="Calibri" w:hAnsi="Calibri"/>
          <w:rtl w:val="0"/>
        </w:rPr>
        <w:t xml:space="preserve">Statista (2024).</w:t>
      </w:r>
    </w:p>
    <w:p w:rsidR="00000000" w:rsidDel="00000000" w:rsidP="00000000" w:rsidRDefault="00000000" w:rsidRPr="00000000" w14:paraId="00000126">
      <w:pPr>
        <w:spacing w:line="360" w:lineRule="auto"/>
        <w:jc w:val="right"/>
        <w:rPr>
          <w:rFonts w:ascii="Calibri" w:cs="Calibri" w:eastAsia="Calibri" w:hAnsi="Calibri"/>
        </w:rPr>
      </w:pPr>
      <w:r w:rsidDel="00000000" w:rsidR="00000000" w:rsidRPr="00000000">
        <w:rPr>
          <w:rtl w:val="0"/>
        </w:rPr>
      </w:r>
    </w:p>
    <w:p w:rsidR="00000000" w:rsidDel="00000000" w:rsidP="00000000" w:rsidRDefault="00000000" w:rsidRPr="00000000" w14:paraId="00000127">
      <w:pPr>
        <w:spacing w:line="360" w:lineRule="auto"/>
        <w:jc w:val="right"/>
        <w:rPr>
          <w:rFonts w:ascii="Calibri" w:cs="Calibri" w:eastAsia="Calibri" w:hAnsi="Calibri"/>
        </w:rPr>
      </w:pPr>
      <w:r w:rsidDel="00000000" w:rsidR="00000000" w:rsidRPr="00000000">
        <w:rPr>
          <w:rtl w:val="0"/>
        </w:rPr>
      </w:r>
    </w:p>
    <w:p w:rsidR="00000000" w:rsidDel="00000000" w:rsidP="00000000" w:rsidRDefault="00000000" w:rsidRPr="00000000" w14:paraId="00000128">
      <w:pPr>
        <w:spacing w:line="360" w:lineRule="auto"/>
        <w:jc w:val="right"/>
        <w:rPr>
          <w:rFonts w:ascii="Calibri" w:cs="Calibri" w:eastAsia="Calibri" w:hAnsi="Calibri"/>
        </w:rPr>
      </w:pPr>
      <w:r w:rsidDel="00000000" w:rsidR="00000000" w:rsidRPr="00000000">
        <w:rPr>
          <w:rtl w:val="0"/>
        </w:rPr>
      </w:r>
    </w:p>
    <w:p w:rsidR="00000000" w:rsidDel="00000000" w:rsidP="00000000" w:rsidRDefault="00000000" w:rsidRPr="00000000" w14:paraId="00000129">
      <w:pPr>
        <w:spacing w:line="360" w:lineRule="auto"/>
        <w:rPr>
          <w:rFonts w:ascii="Calibri" w:cs="Calibri" w:eastAsia="Calibri" w:hAnsi="Calibri"/>
        </w:rPr>
      </w:pPr>
      <w:r w:rsidDel="00000000" w:rsidR="00000000" w:rsidRPr="00000000">
        <w:rPr>
          <w:rFonts w:ascii="Calibri" w:cs="Calibri" w:eastAsia="Calibri" w:hAnsi="Calibri"/>
        </w:rPr>
        <w:drawing>
          <wp:inline distB="0" distT="0" distL="0" distR="0">
            <wp:extent cx="5943600" cy="3717925"/>
            <wp:effectExtent b="0" l="0" r="0" t="0"/>
            <wp:docPr descr="A graph of a number of people&#10;&#10;Description automatically generated with medium confidence" id="2135516596" name="image6.png"/>
            <a:graphic>
              <a:graphicData uri="http://schemas.openxmlformats.org/drawingml/2006/picture">
                <pic:pic>
                  <pic:nvPicPr>
                    <pic:cNvPr descr="A graph of a number of people&#10;&#10;Description automatically generated with medium confidence" id="0" name="image6.png"/>
                    <pic:cNvPicPr preferRelativeResize="0"/>
                  </pic:nvPicPr>
                  <pic:blipFill>
                    <a:blip r:embed="rId61"/>
                    <a:srcRect b="0" l="0" r="0" t="0"/>
                    <a:stretch>
                      <a:fillRect/>
                    </a:stretch>
                  </pic:blipFill>
                  <pic:spPr>
                    <a:xfrm>
                      <a:off x="0" y="0"/>
                      <a:ext cx="5943600" cy="3717925"/>
                    </a:xfrm>
                    <a:prstGeom prst="rect"/>
                    <a:ln/>
                  </pic:spPr>
                </pic:pic>
              </a:graphicData>
            </a:graphic>
          </wp:inline>
        </w:drawing>
      </w:r>
      <w:r w:rsidDel="00000000" w:rsidR="00000000" w:rsidRPr="00000000">
        <w:rPr>
          <w:rtl w:val="0"/>
        </w:rPr>
      </w:r>
    </w:p>
    <w:p w:rsidR="00000000" w:rsidDel="00000000" w:rsidP="00000000" w:rsidRDefault="00000000" w:rsidRPr="00000000" w14:paraId="0000012A">
      <w:pPr>
        <w:spacing w:line="360" w:lineRule="auto"/>
        <w:rPr>
          <w:rFonts w:ascii="Calibri" w:cs="Calibri" w:eastAsia="Calibri" w:hAnsi="Calibri"/>
        </w:rPr>
      </w:pPr>
      <w:r w:rsidDel="00000000" w:rsidR="00000000" w:rsidRPr="00000000">
        <w:rPr>
          <w:rFonts w:ascii="Calibri" w:cs="Calibri" w:eastAsia="Calibri" w:hAnsi="Calibri"/>
        </w:rPr>
        <w:drawing>
          <wp:inline distB="0" distT="0" distL="0" distR="0">
            <wp:extent cx="5844540" cy="1985010"/>
            <wp:effectExtent b="0" l="0" r="0" t="0"/>
            <wp:docPr descr="A blue bar with black text&#10;&#10;Description automatically generated" id="2135516595" name="image5.png"/>
            <a:graphic>
              <a:graphicData uri="http://schemas.openxmlformats.org/drawingml/2006/picture">
                <pic:pic>
                  <pic:nvPicPr>
                    <pic:cNvPr descr="A blue bar with black text&#10;&#10;Description automatically generated" id="0" name="image5.png"/>
                    <pic:cNvPicPr preferRelativeResize="0"/>
                  </pic:nvPicPr>
                  <pic:blipFill>
                    <a:blip r:embed="rId62"/>
                    <a:srcRect b="0" l="0" r="0" t="0"/>
                    <a:stretch>
                      <a:fillRect/>
                    </a:stretch>
                  </pic:blipFill>
                  <pic:spPr>
                    <a:xfrm>
                      <a:off x="0" y="0"/>
                      <a:ext cx="5844540" cy="1985010"/>
                    </a:xfrm>
                    <a:prstGeom prst="rect"/>
                    <a:ln/>
                  </pic:spPr>
                </pic:pic>
              </a:graphicData>
            </a:graphic>
          </wp:inline>
        </w:drawing>
      </w:r>
      <w:r w:rsidDel="00000000" w:rsidR="00000000" w:rsidRPr="00000000">
        <w:rPr>
          <w:rtl w:val="0"/>
        </w:rPr>
      </w:r>
    </w:p>
    <w:p w:rsidR="00000000" w:rsidDel="00000000" w:rsidP="00000000" w:rsidRDefault="00000000" w:rsidRPr="00000000" w14:paraId="0000012B">
      <w:pPr>
        <w:spacing w:line="360" w:lineRule="auto"/>
        <w:jc w:val="right"/>
        <w:rPr>
          <w:rFonts w:ascii="Calibri" w:cs="Calibri" w:eastAsia="Calibri" w:hAnsi="Calibri"/>
        </w:rPr>
      </w:pPr>
      <w:r w:rsidDel="00000000" w:rsidR="00000000" w:rsidRPr="00000000">
        <w:rPr>
          <w:rFonts w:ascii="Calibri" w:cs="Calibri" w:eastAsia="Calibri" w:hAnsi="Calibri"/>
          <w:rtl w:val="0"/>
        </w:rPr>
        <w:t xml:space="preserve">McKensey &amp; Company (2024).</w:t>
      </w:r>
    </w:p>
    <w:sectPr>
      <w:footerReference r:id="rId63" w:type="defaul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2C">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2D">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5">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2">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13">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GB"/>
      </w:rPr>
    </w:rPrDefault>
    <w:pPrDefault>
      <w:pPr>
        <w:spacing w:after="160" w:line="27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paragraph" w:styleId="Heading1">
    <w:name w:val="heading 1"/>
    <w:basedOn w:val="Normal"/>
    <w:next w:val="Normal"/>
    <w:link w:val="Heading1Char"/>
    <w:uiPriority w:val="9"/>
    <w:qFormat w:val="1"/>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paragraph" w:styleId="Heading2">
    <w:name w:val="heading 2"/>
    <w:basedOn w:val="Normal"/>
    <w:next w:val="Normal"/>
    <w:link w:val="Heading2Char"/>
    <w:uiPriority w:val="9"/>
    <w:unhideWhenUsed w:val="1"/>
    <w:qFormat w:val="1"/>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paragraph" w:styleId="Heading3">
    <w:name w:val="heading 3"/>
    <w:basedOn w:val="Normal"/>
    <w:next w:val="Normal"/>
    <w:link w:val="Heading3Char"/>
    <w:uiPriority w:val="9"/>
    <w:unhideWhenUsed w:val="1"/>
    <w:qFormat w:val="1"/>
    <w:pPr>
      <w:keepNext w:val="1"/>
      <w:keepLines w:val="1"/>
      <w:spacing w:after="80" w:before="160"/>
      <w:outlineLvl w:val="2"/>
    </w:pPr>
    <w:rPr>
      <w:rFonts w:cstheme="majorBidi" w:eastAsiaTheme="majorEastAsia"/>
      <w:color w:val="0f4761" w:themeColor="accent1" w:themeShade="0000BF"/>
      <w:sz w:val="28"/>
      <w:szCs w:val="28"/>
    </w:rPr>
  </w:style>
  <w:style w:type="paragraph" w:styleId="Heading4">
    <w:name w:val="heading 4"/>
    <w:basedOn w:val="Normal"/>
    <w:next w:val="Normal"/>
    <w:link w:val="Heading4Char"/>
    <w:uiPriority w:val="9"/>
    <w:unhideWhenUsed w:val="1"/>
    <w:qFormat w:val="1"/>
    <w:pPr>
      <w:keepNext w:val="1"/>
      <w:keepLines w:val="1"/>
      <w:spacing w:after="40" w:before="80"/>
      <w:outlineLvl w:val="3"/>
    </w:pPr>
    <w:rPr>
      <w:rFonts w:cstheme="majorBidi" w:eastAsiaTheme="majorEastAsia"/>
      <w:i w:val="1"/>
      <w:iCs w:val="1"/>
      <w:color w:val="0f4761" w:themeColor="accent1" w:themeShade="0000BF"/>
    </w:rPr>
  </w:style>
  <w:style w:type="paragraph" w:styleId="Heading5">
    <w:name w:val="heading 5"/>
    <w:basedOn w:val="Normal"/>
    <w:next w:val="Normal"/>
    <w:link w:val="Heading5Char"/>
    <w:uiPriority w:val="9"/>
    <w:unhideWhenUsed w:val="1"/>
    <w:qFormat w:val="1"/>
    <w:pPr>
      <w:keepNext w:val="1"/>
      <w:keepLines w:val="1"/>
      <w:spacing w:after="40" w:before="80"/>
      <w:outlineLvl w:val="4"/>
    </w:pPr>
    <w:rPr>
      <w:rFonts w:cstheme="majorBidi" w:eastAsiaTheme="majorEastAsia"/>
      <w:color w:val="0f4761" w:themeColor="accent1" w:themeShade="0000BF"/>
    </w:rPr>
  </w:style>
  <w:style w:type="paragraph" w:styleId="Heading6">
    <w:name w:val="heading 6"/>
    <w:basedOn w:val="Normal"/>
    <w:next w:val="Normal"/>
    <w:link w:val="Heading6Char"/>
    <w:uiPriority w:val="9"/>
    <w:unhideWhenUsed w:val="1"/>
    <w:qFormat w:val="1"/>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unhideWhenUsed w:val="1"/>
    <w:qFormat w:val="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unhideWhenUsed w:val="1"/>
    <w:qFormat w:val="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unhideWhenUsed w:val="1"/>
    <w:qFormat w:val="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Pr>
      <w:rFonts w:cstheme="majorBidi" w:eastAsiaTheme="majorEastAsia"/>
      <w:color w:val="595959" w:themeColor="text1" w:themeTint="0000A6"/>
    </w:rPr>
  </w:style>
  <w:style w:type="character" w:styleId="Heading8Char" w:customStyle="1">
    <w:name w:val="Heading 8 Char"/>
    <w:basedOn w:val="DefaultParagraphFont"/>
    <w:link w:val="Heading8"/>
    <w:uiPriority w:val="9"/>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rPr>
      <w:rFonts w:cstheme="majorBidi" w:eastAsiaTheme="majorEastAsia"/>
      <w:color w:val="272727" w:themeColor="text1" w:themeTint="0000D8"/>
    </w:rPr>
  </w:style>
  <w:style w:type="character" w:styleId="TitleChar" w:customStyle="1">
    <w:name w:val="Title Char"/>
    <w:basedOn w:val="DefaultParagraphFont"/>
    <w:link w:val="Title"/>
    <w:uiPriority w:val="10"/>
    <w:rPr>
      <w:rFonts w:asciiTheme="majorHAnsi" w:cstheme="majorBidi" w:eastAsiaTheme="majorEastAsia" w:hAnsiTheme="majorHAnsi"/>
      <w:spacing w:val="-10"/>
      <w:kern w:val="28"/>
      <w:sz w:val="56"/>
      <w:szCs w:val="56"/>
    </w:rPr>
  </w:style>
  <w:style w:type="paragraph" w:styleId="Title">
    <w:name w:val="Title"/>
    <w:basedOn w:val="Normal"/>
    <w:next w:val="Normal"/>
    <w:link w:val="TitleChar"/>
    <w:uiPriority w:val="10"/>
    <w:qFormat w:val="1"/>
    <w:pPr>
      <w:spacing w:after="80" w:line="240" w:lineRule="auto"/>
      <w:contextualSpacing w:val="1"/>
    </w:pPr>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Pr>
      <w:rFonts w:cstheme="majorBidi" w:eastAsiaTheme="majorEastAsia"/>
      <w:color w:val="595959" w:themeColor="text1" w:themeTint="0000A6"/>
      <w:spacing w:val="15"/>
      <w:sz w:val="28"/>
      <w:szCs w:val="28"/>
    </w:rPr>
  </w:style>
  <w:style w:type="paragraph" w:styleId="Subtitle">
    <w:name w:val="Subtitle"/>
    <w:basedOn w:val="Normal"/>
    <w:next w:val="Normal"/>
    <w:link w:val="SubtitleChar"/>
    <w:uiPriority w:val="11"/>
    <w:qFormat w:val="1"/>
    <w:pPr>
      <w:numPr>
        <w:ilvl w:val="1"/>
      </w:numPr>
    </w:pPr>
    <w:rPr>
      <w:rFonts w:cstheme="majorBidi" w:eastAsiaTheme="majorEastAsia"/>
      <w:color w:val="595959" w:themeColor="text1" w:themeTint="0000A6"/>
      <w:spacing w:val="15"/>
      <w:sz w:val="28"/>
      <w:szCs w:val="28"/>
    </w:rPr>
  </w:style>
  <w:style w:type="character" w:styleId="IntenseEmphasis">
    <w:name w:val="Intense Emphasis"/>
    <w:basedOn w:val="DefaultParagraphFont"/>
    <w:uiPriority w:val="21"/>
    <w:qFormat w:val="1"/>
    <w:rPr>
      <w:i w:val="1"/>
      <w:iCs w:val="1"/>
      <w:color w:val="0f4761" w:themeColor="accent1" w:themeShade="0000BF"/>
    </w:rPr>
  </w:style>
  <w:style w:type="character" w:styleId="QuoteChar" w:customStyle="1">
    <w:name w:val="Quote Char"/>
    <w:basedOn w:val="DefaultParagraphFont"/>
    <w:link w:val="Quote"/>
    <w:uiPriority w:val="29"/>
    <w:rPr>
      <w:i w:val="1"/>
      <w:iCs w:val="1"/>
      <w:color w:val="404040" w:themeColor="text1" w:themeTint="0000BF"/>
    </w:rPr>
  </w:style>
  <w:style w:type="paragraph" w:styleId="Quote">
    <w:name w:val="Quote"/>
    <w:basedOn w:val="Normal"/>
    <w:next w:val="Normal"/>
    <w:link w:val="QuoteChar"/>
    <w:uiPriority w:val="29"/>
    <w:qFormat w:val="1"/>
    <w:pPr>
      <w:spacing w:before="160"/>
      <w:jc w:val="center"/>
    </w:pPr>
    <w:rPr>
      <w:i w:val="1"/>
      <w:iCs w:val="1"/>
      <w:color w:val="404040" w:themeColor="text1" w:themeTint="0000BF"/>
    </w:rPr>
  </w:style>
  <w:style w:type="character" w:styleId="IntenseQuoteChar" w:customStyle="1">
    <w:name w:val="Intense Quote Char"/>
    <w:basedOn w:val="DefaultParagraphFont"/>
    <w:link w:val="IntenseQuote"/>
    <w:uiPriority w:val="30"/>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Reference">
    <w:name w:val="Intense Reference"/>
    <w:basedOn w:val="DefaultParagraphFont"/>
    <w:uiPriority w:val="32"/>
    <w:qFormat w:val="1"/>
    <w:rPr>
      <w:b w:val="1"/>
      <w:bCs w:val="1"/>
      <w:smallCaps w:val="1"/>
      <w:color w:val="0f4761" w:themeColor="accent1" w:themeShade="0000BF"/>
      <w:spacing w:val="5"/>
    </w:rPr>
  </w:style>
  <w:style w:type="character" w:styleId="Hyperlink">
    <w:name w:val="Hyperlink"/>
    <w:basedOn w:val="DefaultParagraphFont"/>
    <w:uiPriority w:val="99"/>
    <w:unhideWhenUsed w:val="1"/>
    <w:rsid w:val="00EA02FA"/>
    <w:rPr>
      <w:color w:val="467886" w:themeColor="hyperlink"/>
      <w:u w:val="single"/>
    </w:rPr>
  </w:style>
  <w:style w:type="character" w:styleId="UnresolvedMention">
    <w:name w:val="Unresolved Mention"/>
    <w:basedOn w:val="DefaultParagraphFont"/>
    <w:uiPriority w:val="99"/>
    <w:semiHidden w:val="1"/>
    <w:unhideWhenUsed w:val="1"/>
    <w:rsid w:val="00EA02FA"/>
    <w:rPr>
      <w:color w:val="605e5c"/>
      <w:shd w:color="auto" w:fill="e1dfdd" w:val="clear"/>
    </w:rPr>
  </w:style>
  <w:style w:type="character" w:styleId="FollowedHyperlink">
    <w:name w:val="FollowedHyperlink"/>
    <w:basedOn w:val="DefaultParagraphFont"/>
    <w:uiPriority w:val="99"/>
    <w:semiHidden w:val="1"/>
    <w:unhideWhenUsed w:val="1"/>
    <w:rsid w:val="00EA02FA"/>
    <w:rPr>
      <w:color w:val="96607d" w:themeColor="followedHyperlink"/>
      <w:u w:val="single"/>
    </w:rPr>
  </w:style>
  <w:style w:type="table" w:styleId="GridTable2-Accent6">
    <w:name w:val="Grid Table 2 Accent 6"/>
    <w:basedOn w:val="TableNormal"/>
    <w:uiPriority w:val="47"/>
    <w:rsid w:val="00F32D99"/>
    <w:pPr>
      <w:spacing w:after="0" w:line="240" w:lineRule="auto"/>
    </w:pPr>
    <w:tblPr>
      <w:tblStyleRowBandSize w:val="1"/>
      <w:tblStyleColBandSize w:val="1"/>
      <w:tblBorders>
        <w:top w:color="8dd873" w:space="0" w:sz="2" w:themeColor="accent6" w:themeTint="000099" w:val="single"/>
        <w:bottom w:color="8dd873" w:space="0" w:sz="2" w:themeColor="accent6" w:themeTint="000099" w:val="single"/>
        <w:insideH w:color="8dd873" w:space="0" w:sz="2" w:themeColor="accent6" w:themeTint="000099" w:val="single"/>
        <w:insideV w:color="8dd873" w:space="0" w:sz="2" w:themeColor="accent6" w:themeTint="000099" w:val="single"/>
      </w:tblBorders>
    </w:tblPr>
    <w:tblStylePr w:type="firstRow">
      <w:rPr>
        <w:b w:val="1"/>
        <w:bCs w:val="1"/>
      </w:rPr>
      <w:tblPr/>
      <w:tcPr>
        <w:tcBorders>
          <w:top w:space="0" w:sz="0" w:val="nil"/>
          <w:bottom w:color="8dd873" w:space="0" w:sz="12" w:themeColor="accent6" w:themeTint="000099" w:val="single"/>
          <w:insideH w:space="0" w:sz="0" w:val="nil"/>
          <w:insideV w:space="0" w:sz="0" w:val="nil"/>
        </w:tcBorders>
        <w:shd w:color="auto" w:fill="ffffff" w:themeFill="background1" w:val="clear"/>
      </w:tcPr>
    </w:tblStylePr>
    <w:tblStylePr w:type="lastRow">
      <w:rPr>
        <w:b w:val="1"/>
        <w:bCs w:val="1"/>
      </w:rPr>
      <w:tblPr/>
      <w:tcPr>
        <w:tcBorders>
          <w:top w:color="8dd873" w:space="0" w:sz="2" w:themeColor="accent6" w:themeTint="000099" w:val="double"/>
          <w:bottom w:space="0" w:sz="0" w:val="nil"/>
          <w:insideH w:space="0" w:sz="0" w:val="nil"/>
          <w:insideV w:space="0" w:sz="0" w:val="nil"/>
        </w:tcBorders>
        <w:shd w:color="auto" w:fill="ffffff" w:themeFill="background1" w:val="clear"/>
      </w:tcPr>
    </w:tblStylePr>
    <w:tblStylePr w:type="firstCol">
      <w:rPr>
        <w:b w:val="1"/>
        <w:bCs w:val="1"/>
      </w:rPr>
    </w:tblStylePr>
    <w:tblStylePr w:type="lastCol">
      <w:rPr>
        <w:b w:val="1"/>
        <w:bCs w:val="1"/>
      </w:rPr>
    </w:tblStylePr>
    <w:tblStylePr w:type="band1Vert">
      <w:tblPr/>
      <w:tcPr>
        <w:shd w:color="auto" w:fill="d9f2d0" w:themeFill="accent6" w:themeFillTint="000033" w:val="clear"/>
      </w:tcPr>
    </w:tblStylePr>
    <w:tblStylePr w:type="band1Horz">
      <w:tblPr/>
      <w:tcPr>
        <w:shd w:color="auto" w:fill="d9f2d0" w:themeFill="accent6" w:themeFillTint="000033" w:val="clear"/>
      </w:tcPr>
    </w:tblStylePr>
  </w:style>
  <w:style w:type="paragraph" w:styleId="ListParagraph">
    <w:name w:val="List Paragraph"/>
    <w:basedOn w:val="Normal"/>
    <w:uiPriority w:val="34"/>
    <w:qFormat w:val="1"/>
    <w:rsid w:val="009A5F5F"/>
    <w:pPr>
      <w:ind w:left="720"/>
      <w:contextualSpacing w:val="1"/>
    </w:pPr>
  </w:style>
  <w:style w:type="paragraph" w:styleId="Header">
    <w:name w:val="header"/>
    <w:basedOn w:val="Normal"/>
    <w:link w:val="HeaderChar"/>
    <w:uiPriority w:val="99"/>
    <w:unhideWhenUsed w:val="1"/>
    <w:rsid w:val="00720578"/>
    <w:pPr>
      <w:tabs>
        <w:tab w:val="center" w:pos="4513"/>
        <w:tab w:val="right" w:pos="9026"/>
      </w:tabs>
      <w:spacing w:after="0" w:line="240" w:lineRule="auto"/>
    </w:pPr>
  </w:style>
  <w:style w:type="character" w:styleId="HeaderChar" w:customStyle="1">
    <w:name w:val="Header Char"/>
    <w:basedOn w:val="DefaultParagraphFont"/>
    <w:link w:val="Header"/>
    <w:uiPriority w:val="99"/>
    <w:rsid w:val="00720578"/>
  </w:style>
  <w:style w:type="paragraph" w:styleId="Footer">
    <w:name w:val="footer"/>
    <w:basedOn w:val="Normal"/>
    <w:link w:val="FooterChar"/>
    <w:uiPriority w:val="99"/>
    <w:unhideWhenUsed w:val="1"/>
    <w:rsid w:val="00720578"/>
    <w:pPr>
      <w:tabs>
        <w:tab w:val="center" w:pos="4513"/>
        <w:tab w:val="right" w:pos="9026"/>
      </w:tabs>
      <w:spacing w:after="0" w:line="240" w:lineRule="auto"/>
    </w:pPr>
  </w:style>
  <w:style w:type="character" w:styleId="FooterChar" w:customStyle="1">
    <w:name w:val="Footer Char"/>
    <w:basedOn w:val="DefaultParagraphFont"/>
    <w:link w:val="Footer"/>
    <w:uiPriority w:val="99"/>
    <w:rsid w:val="00720578"/>
  </w:style>
  <w:style w:type="paragraph" w:styleId="NoSpacing">
    <w:name w:val="No Spacing"/>
    <w:link w:val="NoSpacingChar"/>
    <w:uiPriority w:val="1"/>
    <w:qFormat w:val="1"/>
    <w:rsid w:val="00891A1C"/>
    <w:pPr>
      <w:spacing w:after="0" w:line="240" w:lineRule="auto"/>
    </w:pPr>
    <w:rPr>
      <w:sz w:val="22"/>
      <w:szCs w:val="22"/>
      <w:lang w:eastAsia="en-GB" w:val="en-GB"/>
    </w:rPr>
  </w:style>
  <w:style w:type="character" w:styleId="NoSpacingChar" w:customStyle="1">
    <w:name w:val="No Spacing Char"/>
    <w:basedOn w:val="DefaultParagraphFont"/>
    <w:link w:val="NoSpacing"/>
    <w:uiPriority w:val="1"/>
    <w:rsid w:val="00891A1C"/>
    <w:rPr>
      <w:sz w:val="22"/>
      <w:szCs w:val="22"/>
      <w:lang w:eastAsia="en-GB" w:val="en-GB"/>
    </w:rPr>
  </w:style>
  <w:style w:type="paragraph" w:styleId="Subtitle">
    <w:name w:val="Subtitle"/>
    <w:basedOn w:val="Normal"/>
    <w:next w:val="Normal"/>
    <w:pPr/>
    <w:rPr>
      <w:color w:val="595959"/>
      <w:sz w:val="28"/>
      <w:szCs w:val="28"/>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1016/j.ijhm.2024.103761" TargetMode="External"/><Relationship Id="rId42" Type="http://schemas.openxmlformats.org/officeDocument/2006/relationships/hyperlink" Target="https://doi.org/10.1108/09596119910293231" TargetMode="External"/><Relationship Id="rId41" Type="http://schemas.openxmlformats.org/officeDocument/2006/relationships/hyperlink" Target="https://doi.org/10.1177/0047287516636481" TargetMode="External"/><Relationship Id="rId44" Type="http://schemas.openxmlformats.org/officeDocument/2006/relationships/hyperlink" Target="https://doi.org/10.1016/j.jdmm.2024.100868" TargetMode="External"/><Relationship Id="rId43" Type="http://schemas.openxmlformats.org/officeDocument/2006/relationships/hyperlink" Target="https://doi.org/10.1007/978-981-19-6619-4_13" TargetMode="External"/><Relationship Id="rId46" Type="http://schemas.openxmlformats.org/officeDocument/2006/relationships/hyperlink" Target="https://doi.org/10.1007/978-3-031-22257-3_16" TargetMode="External"/><Relationship Id="rId45" Type="http://schemas.openxmlformats.org/officeDocument/2006/relationships/hyperlink" Target="https://doi.org/10.1007/s10668-021-01682-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3390/su16219215" TargetMode="External"/><Relationship Id="rId48" Type="http://schemas.openxmlformats.org/officeDocument/2006/relationships/hyperlink" Target="https://doi.org/10.1016/j.jbusres.2020.06.015" TargetMode="External"/><Relationship Id="rId47" Type="http://schemas.openxmlformats.org/officeDocument/2006/relationships/hyperlink" Target="https://doi.org/10.1016/j.tourman.2021.104322" TargetMode="External"/><Relationship Id="rId49" Type="http://schemas.openxmlformats.org/officeDocument/2006/relationships/hyperlink" Target="https://doi.org/10.1007/978-3-031-37097-7_12"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7.png"/><Relationship Id="rId8" Type="http://schemas.openxmlformats.org/officeDocument/2006/relationships/image" Target="media/image3.png"/><Relationship Id="rId31" Type="http://schemas.openxmlformats.org/officeDocument/2006/relationships/hyperlink" Target="https://doi.org/10.1016/j.ijhm.2021.103082" TargetMode="External"/><Relationship Id="rId30" Type="http://schemas.openxmlformats.org/officeDocument/2006/relationships/hyperlink" Target="https://doi.org/10.1016/j.jbusres.2021.05.024" TargetMode="External"/><Relationship Id="rId33" Type="http://schemas.openxmlformats.org/officeDocument/2006/relationships/hyperlink" Target="https://doi.org/10.1007/s12525-021-00494-z" TargetMode="External"/><Relationship Id="rId32" Type="http://schemas.openxmlformats.org/officeDocument/2006/relationships/hyperlink" Target="https://doi.org/10.1016/j.ijhm.2023.103457" TargetMode="External"/><Relationship Id="rId35" Type="http://schemas.openxmlformats.org/officeDocument/2006/relationships/hyperlink" Target="https://doi.org/10.1016/j.jhtm.2021.04.004" TargetMode="External"/><Relationship Id="rId34" Type="http://schemas.openxmlformats.org/officeDocument/2006/relationships/hyperlink" Target="https://doi.org/10.1111/1748-8583.12527" TargetMode="External"/><Relationship Id="rId37" Type="http://schemas.openxmlformats.org/officeDocument/2006/relationships/hyperlink" Target="https://doi.org/10.1108/IJCHM-03-2022-0304" TargetMode="External"/><Relationship Id="rId36" Type="http://schemas.openxmlformats.org/officeDocument/2006/relationships/hyperlink" Target="https://www.mckinsey.com/featured-insights/themes/how-to-prepare-for-the-tourists-of-tomorrow" TargetMode="External"/><Relationship Id="rId39" Type="http://schemas.openxmlformats.org/officeDocument/2006/relationships/hyperlink" Target="https://doi.org/10.1016/j.ijhm.2024.103761" TargetMode="External"/><Relationship Id="rId38" Type="http://schemas.openxmlformats.org/officeDocument/2006/relationships/hyperlink" Target="https://doi.org/10.1080/1528008X.2021.2012735" TargetMode="External"/><Relationship Id="rId62" Type="http://schemas.openxmlformats.org/officeDocument/2006/relationships/image" Target="media/image5.png"/><Relationship Id="rId61" Type="http://schemas.openxmlformats.org/officeDocument/2006/relationships/image" Target="media/image6.png"/><Relationship Id="rId20" Type="http://schemas.openxmlformats.org/officeDocument/2006/relationships/hyperlink" Target="https://doi.org/10.3390/su14052885" TargetMode="External"/><Relationship Id="rId63" Type="http://schemas.openxmlformats.org/officeDocument/2006/relationships/footer" Target="footer1.xml"/><Relationship Id="rId22" Type="http://schemas.openxmlformats.org/officeDocument/2006/relationships/hyperlink" Target="https://doi.org/10.1177/14673584231198414" TargetMode="External"/><Relationship Id="rId21" Type="http://schemas.openxmlformats.org/officeDocument/2006/relationships/hyperlink" Target="https://doi.org/10.1108/13665621111097245" TargetMode="External"/><Relationship Id="rId24" Type="http://schemas.openxmlformats.org/officeDocument/2006/relationships/hyperlink" Target="https://ir.hilton.com/financial-reporting/annual-reports" TargetMode="External"/><Relationship Id="rId23" Type="http://schemas.openxmlformats.org/officeDocument/2006/relationships/hyperlink" Target="https://ir.hilton.com/~/media/Files/H/Hilton-Worldwide-IR-V3/quarterly-results/2024/q3-2024-earnings-release.pdf" TargetMode="External"/><Relationship Id="rId60" Type="http://schemas.openxmlformats.org/officeDocument/2006/relationships/image" Target="media/image2.png"/><Relationship Id="rId26" Type="http://schemas.openxmlformats.org/officeDocument/2006/relationships/hyperlink" Target="https://doi.org/10.1016/j.ijhm.2023.103597" TargetMode="External"/><Relationship Id="rId25" Type="http://schemas.openxmlformats.org/officeDocument/2006/relationships/hyperlink" Target="https://esg.hilton.com/?_gl=1%2A1s7qcwh%2A_gcl_au%2AMzE3MjQ1Njg0LjE3MzAyMjA5ODc" TargetMode="External"/><Relationship Id="rId28" Type="http://schemas.openxmlformats.org/officeDocument/2006/relationships/hyperlink" Target="https://doi.org/10.1177/19389655221108334" TargetMode="External"/><Relationship Id="rId27" Type="http://schemas.openxmlformats.org/officeDocument/2006/relationships/hyperlink" Target="https://doi.org/10.1108/IJCHM-10-2012-0180" TargetMode="External"/><Relationship Id="rId29" Type="http://schemas.openxmlformats.org/officeDocument/2006/relationships/hyperlink" Target="https://doi.org/10.1108/IJCHM-10-2015-0549" TargetMode="External"/><Relationship Id="rId51" Type="http://schemas.openxmlformats.org/officeDocument/2006/relationships/hyperlink" Target="https://doi.org/10.1007/s11628-022-00495-8" TargetMode="External"/><Relationship Id="rId50" Type="http://schemas.openxmlformats.org/officeDocument/2006/relationships/hyperlink" Target="https://www.statista.com/statistics/1314352/largest-hotel-companies-market-value-worldwide/" TargetMode="External"/><Relationship Id="rId53" Type="http://schemas.openxmlformats.org/officeDocument/2006/relationships/hyperlink" Target="https://doi.org/10.1016/j.tourman.2020.104257" TargetMode="External"/><Relationship Id="rId52" Type="http://schemas.openxmlformats.org/officeDocument/2006/relationships/hyperlink" Target="https://doi.org/10.1080/15378020.2020.1724850" TargetMode="External"/><Relationship Id="rId11" Type="http://schemas.openxmlformats.org/officeDocument/2006/relationships/hyperlink" Target="https://doi.org/10.1007/978-3-030-01671-5_7" TargetMode="External"/><Relationship Id="rId55" Type="http://schemas.openxmlformats.org/officeDocument/2006/relationships/hyperlink" Target="https://doi.org/10.1016/j.tourman.2021.104307" TargetMode="External"/><Relationship Id="rId10" Type="http://schemas.openxmlformats.org/officeDocument/2006/relationships/hyperlink" Target="https://doi.org/10.1007/s11356-022-22496-w" TargetMode="External"/><Relationship Id="rId54" Type="http://schemas.openxmlformats.org/officeDocument/2006/relationships/hyperlink" Target="https://doi.org/10.1108/IJCHM-04-2018-0302" TargetMode="External"/><Relationship Id="rId13" Type="http://schemas.openxmlformats.org/officeDocument/2006/relationships/hyperlink" Target="https://doi.org/10.1057/s41272-020-00268-w" TargetMode="External"/><Relationship Id="rId57" Type="http://schemas.openxmlformats.org/officeDocument/2006/relationships/hyperlink" Target="https://doi.org/10.1016/j.tourman.2013.09.013" TargetMode="External"/><Relationship Id="rId12" Type="http://schemas.openxmlformats.org/officeDocument/2006/relationships/hyperlink" Target="https://doi.org/10.1016/j.tourman.2020.104256" TargetMode="External"/><Relationship Id="rId56" Type="http://schemas.openxmlformats.org/officeDocument/2006/relationships/hyperlink" Target="https://doi.org/10.1016/j.jhtm.2021.07.005" TargetMode="External"/><Relationship Id="rId15" Type="http://schemas.openxmlformats.org/officeDocument/2006/relationships/hyperlink" Target="https://doi.org/10.1007/978-3-319-14343-9_28" TargetMode="External"/><Relationship Id="rId59" Type="http://schemas.openxmlformats.org/officeDocument/2006/relationships/image" Target="media/image4.png"/><Relationship Id="rId14" Type="http://schemas.openxmlformats.org/officeDocument/2006/relationships/hyperlink" Target="https://doi.org/10.1002/csr.1996" TargetMode="External"/><Relationship Id="rId58" Type="http://schemas.openxmlformats.org/officeDocument/2006/relationships/image" Target="media/image1.png"/><Relationship Id="rId17" Type="http://schemas.openxmlformats.org/officeDocument/2006/relationships/hyperlink" Target="https://doi.org/10.1016/j.compag.2024.109557" TargetMode="External"/><Relationship Id="rId16" Type="http://schemas.openxmlformats.org/officeDocument/2006/relationships/hyperlink" Target="https://doi.org/10.1108/IJCHM-06-2022-0679" TargetMode="External"/><Relationship Id="rId19" Type="http://schemas.openxmlformats.org/officeDocument/2006/relationships/hyperlink" Target="https://doi.org/10.1007/978-3-031-22257-3_2" TargetMode="External"/><Relationship Id="rId18" Type="http://schemas.openxmlformats.org/officeDocument/2006/relationships/hyperlink" Target="https://doi.org/10.1007/978-3-030-64111-5_12"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bw7O+SNQOi7ybUAkXGEaHFOXIcQ==">CgMxLjA4AHIhMS16SzJFVTNhZ05JMVFBUlBuQzVPaC1lTzVFcmgtakNN</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2024-10-29T18:57:00Z</dcterms:created>
  <dc:creator>Marin Evciuc</dc:creator>
</cp:coreProperties>
</file>