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B11B1" w14:textId="37383651" w:rsidR="007E39F6" w:rsidRPr="00166765" w:rsidRDefault="007E39F6" w:rsidP="00EC0BFA">
      <w:pPr>
        <w:pStyle w:val="TableParagraph"/>
        <w:spacing w:before="139" w:line="360" w:lineRule="auto"/>
        <w:rPr>
          <w:b/>
          <w:spacing w:val="-4"/>
          <w:sz w:val="64"/>
          <w:szCs w:val="64"/>
          <w:u w:val="single"/>
        </w:rPr>
      </w:pPr>
      <w:r w:rsidRPr="00166765">
        <w:rPr>
          <w:b/>
          <w:sz w:val="64"/>
          <w:szCs w:val="64"/>
          <w:u w:val="single"/>
        </w:rPr>
        <w:t>Psychology</w:t>
      </w:r>
      <w:r w:rsidRPr="00166765">
        <w:rPr>
          <w:b/>
          <w:spacing w:val="-6"/>
          <w:sz w:val="64"/>
          <w:szCs w:val="64"/>
          <w:u w:val="single"/>
        </w:rPr>
        <w:t xml:space="preserve"> </w:t>
      </w:r>
      <w:r w:rsidRPr="00166765">
        <w:rPr>
          <w:b/>
          <w:sz w:val="64"/>
          <w:szCs w:val="64"/>
          <w:u w:val="single"/>
        </w:rPr>
        <w:t>in</w:t>
      </w:r>
      <w:r w:rsidRPr="00166765">
        <w:rPr>
          <w:b/>
          <w:spacing w:val="-4"/>
          <w:sz w:val="64"/>
          <w:szCs w:val="64"/>
          <w:u w:val="single"/>
        </w:rPr>
        <w:t xml:space="preserve"> </w:t>
      </w:r>
      <w:r w:rsidRPr="00166765">
        <w:rPr>
          <w:b/>
          <w:sz w:val="64"/>
          <w:szCs w:val="64"/>
          <w:u w:val="single"/>
        </w:rPr>
        <w:t>Health</w:t>
      </w:r>
      <w:r w:rsidRPr="00166765">
        <w:rPr>
          <w:b/>
          <w:spacing w:val="-3"/>
          <w:sz w:val="64"/>
          <w:szCs w:val="64"/>
          <w:u w:val="single"/>
        </w:rPr>
        <w:t xml:space="preserve"> </w:t>
      </w:r>
      <w:r w:rsidRPr="00166765">
        <w:rPr>
          <w:b/>
          <w:sz w:val="64"/>
          <w:szCs w:val="64"/>
          <w:u w:val="single"/>
        </w:rPr>
        <w:t>and</w:t>
      </w:r>
      <w:r w:rsidRPr="00166765">
        <w:rPr>
          <w:b/>
          <w:spacing w:val="-4"/>
          <w:sz w:val="64"/>
          <w:szCs w:val="64"/>
          <w:u w:val="single"/>
        </w:rPr>
        <w:t xml:space="preserve"> </w:t>
      </w:r>
      <w:r w:rsidRPr="00166765">
        <w:rPr>
          <w:b/>
          <w:sz w:val="64"/>
          <w:szCs w:val="64"/>
          <w:u w:val="single"/>
        </w:rPr>
        <w:t>Social</w:t>
      </w:r>
      <w:r w:rsidRPr="00166765">
        <w:rPr>
          <w:b/>
          <w:spacing w:val="-4"/>
          <w:sz w:val="64"/>
          <w:szCs w:val="64"/>
          <w:u w:val="single"/>
        </w:rPr>
        <w:t xml:space="preserve"> Care- LCHS4010- (Component 2)</w:t>
      </w:r>
    </w:p>
    <w:p w14:paraId="77F18706" w14:textId="77777777" w:rsidR="00166765" w:rsidRPr="00166765" w:rsidRDefault="00166765" w:rsidP="00EC0BFA">
      <w:pPr>
        <w:pStyle w:val="TableParagraph"/>
        <w:spacing w:before="139" w:line="360" w:lineRule="auto"/>
        <w:rPr>
          <w:b/>
          <w:spacing w:val="-4"/>
          <w:sz w:val="64"/>
          <w:szCs w:val="64"/>
          <w:u w:val="single"/>
        </w:rPr>
      </w:pPr>
    </w:p>
    <w:p w14:paraId="3588CF20" w14:textId="051998F7" w:rsidR="00166765" w:rsidRPr="00166765" w:rsidRDefault="00166765" w:rsidP="00EC0BFA">
      <w:pPr>
        <w:pStyle w:val="TableParagraph"/>
        <w:spacing w:before="139" w:line="360" w:lineRule="auto"/>
        <w:rPr>
          <w:b/>
          <w:sz w:val="64"/>
          <w:szCs w:val="64"/>
          <w:u w:val="single"/>
        </w:rPr>
      </w:pPr>
      <w:r w:rsidRPr="00166765">
        <w:rPr>
          <w:b/>
          <w:bCs/>
          <w:sz w:val="64"/>
          <w:szCs w:val="64"/>
          <w:u w:val="single"/>
        </w:rPr>
        <w:t>Assignment Title:</w:t>
      </w:r>
      <w:r w:rsidRPr="00166765">
        <w:rPr>
          <w:b/>
          <w:sz w:val="64"/>
          <w:szCs w:val="64"/>
          <w:u w:val="single"/>
        </w:rPr>
        <w:t xml:space="preserve"> </w:t>
      </w:r>
      <w:r w:rsidRPr="00166765">
        <w:rPr>
          <w:bCs/>
          <w:sz w:val="64"/>
          <w:szCs w:val="64"/>
        </w:rPr>
        <w:t>Annotated Bibliography and Report</w:t>
      </w:r>
    </w:p>
    <w:p w14:paraId="32FE7ADC" w14:textId="77777777" w:rsidR="007E39F6" w:rsidRPr="00166765" w:rsidRDefault="007E39F6" w:rsidP="00EC0BFA">
      <w:pPr>
        <w:spacing w:line="360" w:lineRule="auto"/>
        <w:rPr>
          <w:b/>
          <w:bCs/>
          <w:sz w:val="64"/>
          <w:szCs w:val="64"/>
          <w:u w:val="single"/>
        </w:rPr>
      </w:pPr>
    </w:p>
    <w:p w14:paraId="36CD69D3" w14:textId="77777777" w:rsidR="00A617FC" w:rsidRPr="00166765" w:rsidRDefault="007E39F6" w:rsidP="00EC0BFA">
      <w:pPr>
        <w:spacing w:line="360" w:lineRule="auto"/>
        <w:rPr>
          <w:bCs/>
          <w:sz w:val="64"/>
          <w:szCs w:val="64"/>
        </w:rPr>
      </w:pPr>
      <w:r w:rsidRPr="00166765">
        <w:rPr>
          <w:b/>
          <w:bCs/>
          <w:sz w:val="64"/>
          <w:szCs w:val="64"/>
          <w:u w:val="single"/>
        </w:rPr>
        <w:t>Student Name:</w:t>
      </w:r>
      <w:r w:rsidRPr="00166765">
        <w:rPr>
          <w:b/>
          <w:sz w:val="64"/>
          <w:szCs w:val="64"/>
          <w:u w:val="single"/>
        </w:rPr>
        <w:t xml:space="preserve"> </w:t>
      </w:r>
      <w:r w:rsidRPr="00166765">
        <w:rPr>
          <w:bCs/>
          <w:sz w:val="64"/>
          <w:szCs w:val="64"/>
        </w:rPr>
        <w:t>Haleemah Akhtar</w:t>
      </w:r>
    </w:p>
    <w:p w14:paraId="1579E3C3" w14:textId="77777777" w:rsidR="00A617FC" w:rsidRPr="00166765" w:rsidRDefault="007E39F6" w:rsidP="00EC0BFA">
      <w:pPr>
        <w:spacing w:line="360" w:lineRule="auto"/>
        <w:rPr>
          <w:bCs/>
          <w:sz w:val="64"/>
          <w:szCs w:val="64"/>
        </w:rPr>
      </w:pPr>
      <w:r w:rsidRPr="00166765">
        <w:rPr>
          <w:b/>
          <w:sz w:val="64"/>
          <w:szCs w:val="64"/>
          <w:u w:val="single"/>
        </w:rPr>
        <w:br/>
      </w:r>
      <w:r w:rsidRPr="00166765">
        <w:rPr>
          <w:b/>
          <w:bCs/>
          <w:sz w:val="64"/>
          <w:szCs w:val="64"/>
          <w:u w:val="single"/>
        </w:rPr>
        <w:t>Student ID:</w:t>
      </w:r>
      <w:r w:rsidRPr="00166765">
        <w:rPr>
          <w:b/>
          <w:sz w:val="64"/>
          <w:szCs w:val="64"/>
          <w:u w:val="single"/>
        </w:rPr>
        <w:t xml:space="preserve"> </w:t>
      </w:r>
      <w:r w:rsidRPr="00166765">
        <w:rPr>
          <w:bCs/>
          <w:sz w:val="64"/>
          <w:szCs w:val="64"/>
        </w:rPr>
        <w:t>2432717</w:t>
      </w:r>
    </w:p>
    <w:p w14:paraId="4E2B8B2B" w14:textId="77777777" w:rsidR="00166765" w:rsidRDefault="00166765" w:rsidP="00EC0BFA">
      <w:pPr>
        <w:spacing w:line="360" w:lineRule="auto"/>
        <w:rPr>
          <w:bCs/>
          <w:sz w:val="72"/>
          <w:szCs w:val="72"/>
        </w:rPr>
      </w:pPr>
    </w:p>
    <w:p w14:paraId="6E543AC8" w14:textId="405B7926" w:rsidR="00A617FC" w:rsidRDefault="000772E3" w:rsidP="00EC0BFA">
      <w:pPr>
        <w:spacing w:line="360" w:lineRule="auto"/>
        <w:rPr>
          <w:b/>
          <w:u w:val="single"/>
        </w:rPr>
      </w:pPr>
      <w:r>
        <w:rPr>
          <w:b/>
          <w:u w:val="single"/>
        </w:rPr>
        <w:lastRenderedPageBreak/>
        <w:t xml:space="preserve">Part A: </w:t>
      </w:r>
      <w:r w:rsidR="00A617FC" w:rsidRPr="00A617FC">
        <w:rPr>
          <w:b/>
          <w:u w:val="single"/>
        </w:rPr>
        <w:t>Annotated Bibliography</w:t>
      </w:r>
    </w:p>
    <w:p w14:paraId="2F163526" w14:textId="77777777" w:rsidR="000772E3" w:rsidRPr="000772E3" w:rsidRDefault="000772E3" w:rsidP="000772E3">
      <w:pPr>
        <w:spacing w:line="360" w:lineRule="auto"/>
        <w:rPr>
          <w:lang w:val="en-GB"/>
        </w:rPr>
      </w:pPr>
      <w:r w:rsidRPr="000772E3">
        <w:rPr>
          <w:lang w:val="en-GB"/>
        </w:rPr>
        <w:t>This annotated bibliography reviews four academic sources that explore psychological theories related to ageing and wellbeing in older adulthood. The selected sources mainly focus on Erikson’s psychosocial development theory and activity theory, which help explain how psychological wellbeing can be supported in later life, particularly within health and social care settings such as residential care homes.</w:t>
      </w:r>
    </w:p>
    <w:p w14:paraId="2DCE91A5" w14:textId="77777777" w:rsidR="0011069A" w:rsidRDefault="0011069A" w:rsidP="00EC0BFA">
      <w:pPr>
        <w:spacing w:line="360" w:lineRule="auto"/>
        <w:rPr>
          <w:b/>
          <w:bCs/>
          <w:lang w:val="en-GB"/>
        </w:rPr>
      </w:pPr>
    </w:p>
    <w:p w14:paraId="1A708FE8" w14:textId="5EF9BCD8" w:rsidR="00402ADD" w:rsidRPr="00402ADD" w:rsidRDefault="00402ADD" w:rsidP="00EC0BFA">
      <w:pPr>
        <w:spacing w:line="360" w:lineRule="auto"/>
        <w:rPr>
          <w:bCs/>
          <w:u w:val="single"/>
          <w:lang w:val="en-GB"/>
        </w:rPr>
      </w:pPr>
      <w:r w:rsidRPr="00402ADD">
        <w:rPr>
          <w:b/>
          <w:bCs/>
          <w:u w:val="single"/>
          <w:lang w:val="en-GB"/>
        </w:rPr>
        <w:t>Source 1</w:t>
      </w:r>
    </w:p>
    <w:p w14:paraId="6B4D6728" w14:textId="77777777" w:rsidR="00402ADD" w:rsidRPr="00402ADD" w:rsidRDefault="00402ADD" w:rsidP="00EC0BFA">
      <w:pPr>
        <w:spacing w:line="360" w:lineRule="auto"/>
        <w:rPr>
          <w:bCs/>
          <w:lang w:val="en-GB"/>
        </w:rPr>
      </w:pPr>
      <w:r w:rsidRPr="00402ADD">
        <w:rPr>
          <w:b/>
          <w:bCs/>
          <w:lang w:val="en-GB"/>
        </w:rPr>
        <w:t>Reference</w:t>
      </w:r>
    </w:p>
    <w:p w14:paraId="45C25F9D" w14:textId="77777777" w:rsidR="00402ADD" w:rsidRDefault="00402ADD" w:rsidP="00EC0BFA">
      <w:pPr>
        <w:spacing w:line="360" w:lineRule="auto"/>
        <w:rPr>
          <w:bCs/>
        </w:rPr>
      </w:pPr>
      <w:r w:rsidRPr="00402ADD">
        <w:rPr>
          <w:bCs/>
          <w:lang w:val="en-GB"/>
        </w:rPr>
        <w:t xml:space="preserve">Chen, P.Y., Cheung, M.K. and Fan, W. (2021) ‘Predicting ego integrity using prior ego development stages’, </w:t>
      </w:r>
      <w:r w:rsidRPr="00402ADD">
        <w:rPr>
          <w:bCs/>
          <w:i/>
          <w:iCs/>
          <w:lang w:val="en-GB"/>
        </w:rPr>
        <w:t>International Journal of Environmental Research and Public Health</w:t>
      </w:r>
      <w:r w:rsidRPr="00402ADD">
        <w:rPr>
          <w:bCs/>
          <w:lang w:val="en-GB"/>
        </w:rPr>
        <w:t>, 18(18). Available at:</w:t>
      </w:r>
      <w:r>
        <w:rPr>
          <w:bCs/>
          <w:lang w:val="en-GB"/>
        </w:rPr>
        <w:t xml:space="preserve"> </w:t>
      </w:r>
      <w:hyperlink r:id="rId6" w:history="1">
        <w:r w:rsidRPr="00DF292E">
          <w:rPr>
            <w:rStyle w:val="Hyperlink"/>
            <w:bCs/>
          </w:rPr>
          <w:t>https://www.mdpi.com/1660-4601/18/18/9490</w:t>
        </w:r>
      </w:hyperlink>
      <w:r>
        <w:rPr>
          <w:bCs/>
        </w:rPr>
        <w:t xml:space="preserve"> </w:t>
      </w:r>
    </w:p>
    <w:p w14:paraId="541465E4" w14:textId="77777777" w:rsidR="0011069A" w:rsidRPr="0011069A" w:rsidRDefault="0011069A" w:rsidP="00EC0BFA">
      <w:pPr>
        <w:spacing w:line="360" w:lineRule="auto"/>
        <w:rPr>
          <w:bCs/>
          <w:lang w:val="en-GB"/>
        </w:rPr>
      </w:pPr>
      <w:r w:rsidRPr="0011069A">
        <w:rPr>
          <w:b/>
          <w:bCs/>
          <w:lang w:val="en-GB"/>
        </w:rPr>
        <w:t>Summary</w:t>
      </w:r>
    </w:p>
    <w:p w14:paraId="5E1769E9" w14:textId="4333B20C" w:rsidR="0011069A" w:rsidRDefault="000772E3" w:rsidP="00EC0BFA">
      <w:pPr>
        <w:spacing w:line="360" w:lineRule="auto"/>
        <w:rPr>
          <w:bCs/>
          <w:lang w:val="en-GB"/>
        </w:rPr>
      </w:pPr>
      <w:r w:rsidRPr="000772E3">
        <w:t>This article explores Erikson’s psychosocial theory of development, particularly the final stage known as ego integrity versus despair. According to Erikson’s theory, individuals in older adulthood reflect on their life experiences and consider whether they feel satisfied with the life they have lived. Chen, Cheung and Fan (2021) explain that individuals who achieve ego integrity often experience a sense of acceptance, fulfilment and emotional wellbeing. In contrast, individuals who focus mainly on regrets or missed opportunities may experience despair, which can lead to feelings of sadness and dissatisfaction with life. The article also suggests that earlier life experiences and personal achievements can influence whether individuals develop ego integrity in later life.</w:t>
      </w:r>
      <w:r>
        <w:br/>
      </w:r>
      <w:r w:rsidR="0011069A" w:rsidRPr="0011069A">
        <w:rPr>
          <w:b/>
          <w:bCs/>
          <w:lang w:val="en-GB"/>
        </w:rPr>
        <w:t>Critical relevance</w:t>
      </w:r>
    </w:p>
    <w:p w14:paraId="58DD5CC2" w14:textId="7EADABB5" w:rsidR="000772E3" w:rsidRDefault="000772E3" w:rsidP="00EC0BFA">
      <w:pPr>
        <w:spacing w:line="360" w:lineRule="auto"/>
        <w:rPr>
          <w:bCs/>
        </w:rPr>
      </w:pPr>
      <w:r w:rsidRPr="000772E3">
        <w:rPr>
          <w:bCs/>
        </w:rPr>
        <w:t>This source is relevant to health and social care because many older adults living in residential care settings spend time reflecting on their past experiences. Care professionals can support residents through activities such as reminiscence therapy, storytelling and life review discussions. These activities encourage residents to focus on meaningful memories and achievements. However, one limitation of Erikson’s theory is that it assumes ageing follows a similar psychological process for everyone. In reality, experiences of ageing can differ depending on factors such as health, culture and personal circumstances. Despite this limitation, the theory still provides a useful framework for understanding wellbeing in later life.</w:t>
      </w:r>
    </w:p>
    <w:p w14:paraId="5E853BE8" w14:textId="77777777" w:rsidR="000772E3" w:rsidRPr="000772E3" w:rsidRDefault="000772E3" w:rsidP="00EC0BFA">
      <w:pPr>
        <w:spacing w:line="360" w:lineRule="auto"/>
        <w:rPr>
          <w:bCs/>
          <w:lang w:val="en-GB"/>
        </w:rPr>
      </w:pPr>
    </w:p>
    <w:p w14:paraId="3C0EFC81" w14:textId="77777777" w:rsidR="0011069A" w:rsidRPr="0011069A" w:rsidRDefault="0011069A" w:rsidP="00EC0BFA">
      <w:pPr>
        <w:spacing w:line="360" w:lineRule="auto"/>
        <w:rPr>
          <w:bCs/>
          <w:u w:val="single"/>
          <w:lang w:val="en-GB"/>
        </w:rPr>
      </w:pPr>
      <w:r w:rsidRPr="0011069A">
        <w:rPr>
          <w:b/>
          <w:bCs/>
          <w:u w:val="single"/>
          <w:lang w:val="en-GB"/>
        </w:rPr>
        <w:t>Source 2</w:t>
      </w:r>
    </w:p>
    <w:p w14:paraId="25F9AF04" w14:textId="77777777" w:rsidR="0011069A" w:rsidRPr="0011069A" w:rsidRDefault="0011069A" w:rsidP="00EC0BFA">
      <w:pPr>
        <w:spacing w:line="360" w:lineRule="auto"/>
        <w:rPr>
          <w:bCs/>
          <w:lang w:val="en-GB"/>
        </w:rPr>
      </w:pPr>
      <w:r w:rsidRPr="0011069A">
        <w:rPr>
          <w:b/>
          <w:bCs/>
          <w:lang w:val="en-GB"/>
        </w:rPr>
        <w:t>Reference</w:t>
      </w:r>
    </w:p>
    <w:p w14:paraId="76BBF13C" w14:textId="4B47F03A" w:rsidR="0011069A" w:rsidRDefault="0011069A" w:rsidP="00EC0BFA">
      <w:pPr>
        <w:spacing w:line="360" w:lineRule="auto"/>
        <w:rPr>
          <w:bCs/>
        </w:rPr>
      </w:pPr>
      <w:r w:rsidRPr="0011069A">
        <w:rPr>
          <w:bCs/>
          <w:lang w:val="en-GB"/>
        </w:rPr>
        <w:t xml:space="preserve">Van der </w:t>
      </w:r>
      <w:proofErr w:type="spellStart"/>
      <w:r w:rsidRPr="0011069A">
        <w:rPr>
          <w:bCs/>
          <w:lang w:val="en-GB"/>
        </w:rPr>
        <w:t>Kaap-Deeder</w:t>
      </w:r>
      <w:proofErr w:type="spellEnd"/>
      <w:r w:rsidRPr="0011069A">
        <w:rPr>
          <w:bCs/>
          <w:lang w:val="en-GB"/>
        </w:rPr>
        <w:t xml:space="preserve">, J., et al. (2021) ‘Ego integrity and despair in older adults: The role of basic psychological need satisfaction’, </w:t>
      </w:r>
      <w:r w:rsidRPr="0011069A">
        <w:rPr>
          <w:bCs/>
          <w:i/>
          <w:iCs/>
          <w:lang w:val="en-GB"/>
        </w:rPr>
        <w:t>European Journal of Ageing</w:t>
      </w:r>
      <w:r w:rsidRPr="0011069A">
        <w:rPr>
          <w:bCs/>
          <w:lang w:val="en-GB"/>
        </w:rPr>
        <w:t>. Available at:</w:t>
      </w:r>
      <w:r>
        <w:rPr>
          <w:bCs/>
          <w:lang w:val="en-GB"/>
        </w:rPr>
        <w:t xml:space="preserve"> </w:t>
      </w:r>
      <w:hyperlink r:id="rId7" w:history="1">
        <w:r w:rsidRPr="00DF292E">
          <w:rPr>
            <w:rStyle w:val="Hyperlink"/>
            <w:bCs/>
          </w:rPr>
          <w:t>https://pmc.ncbi.nlm.nih.gov/articles/PMC7914386/</w:t>
        </w:r>
      </w:hyperlink>
      <w:r>
        <w:rPr>
          <w:bCs/>
        </w:rPr>
        <w:t xml:space="preserve"> </w:t>
      </w:r>
    </w:p>
    <w:p w14:paraId="1077CCD4" w14:textId="6A3748E9" w:rsidR="0011069A" w:rsidRPr="0011069A" w:rsidRDefault="0011069A" w:rsidP="00EC0BFA">
      <w:pPr>
        <w:spacing w:line="360" w:lineRule="auto"/>
        <w:rPr>
          <w:bCs/>
          <w:lang w:val="en-GB"/>
        </w:rPr>
      </w:pPr>
      <w:r w:rsidRPr="0011069A">
        <w:rPr>
          <w:b/>
          <w:bCs/>
          <w:lang w:val="en-GB"/>
        </w:rPr>
        <w:t>Summary</w:t>
      </w:r>
      <w:r w:rsidR="000772E3">
        <w:rPr>
          <w:b/>
          <w:bCs/>
          <w:lang w:val="en-GB"/>
        </w:rPr>
        <w:br/>
      </w:r>
      <w:r w:rsidR="000772E3" w:rsidRPr="000772E3">
        <w:t xml:space="preserve">This research examines the relationship between ego integrity, despair and psychological wellbeing in older adults. The study found that individuals who develop a strong sense of ego integrity tend to experience higher levels of life satisfaction, emotional resilience and overall wellbeing (Van der </w:t>
      </w:r>
      <w:proofErr w:type="spellStart"/>
      <w:r w:rsidR="000772E3" w:rsidRPr="000772E3">
        <w:t>Kaap-Deeder</w:t>
      </w:r>
      <w:proofErr w:type="spellEnd"/>
      <w:r w:rsidR="000772E3" w:rsidRPr="000772E3">
        <w:t xml:space="preserve"> et al., 2021). In contrast, individuals who experience despair are more likely to report symptoms of depression and lower wellbeing. The research also suggests that supportive relationships and opportunities for meaningful activities can help older adults develop ego integrity.</w:t>
      </w:r>
      <w:r w:rsidR="000772E3">
        <w:rPr>
          <w:b/>
          <w:bCs/>
          <w:lang w:val="en-GB"/>
        </w:rPr>
        <w:br/>
      </w:r>
    </w:p>
    <w:p w14:paraId="292CA727" w14:textId="77777777" w:rsidR="0011069A" w:rsidRPr="0011069A" w:rsidRDefault="0011069A" w:rsidP="00EC0BFA">
      <w:pPr>
        <w:spacing w:line="360" w:lineRule="auto"/>
        <w:rPr>
          <w:bCs/>
          <w:lang w:val="en-GB"/>
        </w:rPr>
      </w:pPr>
      <w:r w:rsidRPr="0011069A">
        <w:rPr>
          <w:b/>
          <w:bCs/>
          <w:lang w:val="en-GB"/>
        </w:rPr>
        <w:t>Critical relevance</w:t>
      </w:r>
    </w:p>
    <w:p w14:paraId="557B55FE" w14:textId="4C2BE4A4" w:rsidR="000772E3" w:rsidRDefault="000772E3" w:rsidP="00EC0BFA">
      <w:pPr>
        <w:spacing w:line="360" w:lineRule="auto"/>
        <w:rPr>
          <w:bCs/>
        </w:rPr>
      </w:pPr>
      <w:r w:rsidRPr="000772E3">
        <w:rPr>
          <w:bCs/>
        </w:rPr>
        <w:t>This source highlights the importance of emotional support and social connections in later life. In residential care homes, staff often play an important role in supporting residents’ psychological wellbeing. Encouraging positive relationships and opportunities for social interaction can help reduce loneliness and isolation. However, the research mainly focuses on psychological wellbeing and does not fully address practical challenges such as limited time or resources within care homes. Despite this limitation, the study still provides useful evidence showing that emotional support can significantly improve wellbeing among older adults.</w:t>
      </w:r>
    </w:p>
    <w:p w14:paraId="362FF42C" w14:textId="77777777" w:rsidR="000772E3" w:rsidRDefault="000772E3" w:rsidP="00EC0BFA">
      <w:pPr>
        <w:spacing w:line="360" w:lineRule="auto"/>
        <w:rPr>
          <w:bCs/>
          <w:lang w:val="en-GB"/>
        </w:rPr>
      </w:pPr>
    </w:p>
    <w:p w14:paraId="0313965D" w14:textId="77777777" w:rsidR="0011069A" w:rsidRPr="0011069A" w:rsidRDefault="0011069A" w:rsidP="00EC0BFA">
      <w:pPr>
        <w:spacing w:line="360" w:lineRule="auto"/>
        <w:rPr>
          <w:bCs/>
          <w:u w:val="single"/>
          <w:lang w:val="en-GB"/>
        </w:rPr>
      </w:pPr>
      <w:r w:rsidRPr="0011069A">
        <w:rPr>
          <w:b/>
          <w:bCs/>
          <w:u w:val="single"/>
          <w:lang w:val="en-GB"/>
        </w:rPr>
        <w:t>Source 3</w:t>
      </w:r>
    </w:p>
    <w:p w14:paraId="7703E16B" w14:textId="77777777" w:rsidR="00592570" w:rsidRPr="00592570" w:rsidRDefault="00592570" w:rsidP="00EC0BFA">
      <w:pPr>
        <w:spacing w:line="360" w:lineRule="auto"/>
        <w:rPr>
          <w:bCs/>
          <w:lang w:val="en-GB"/>
        </w:rPr>
      </w:pPr>
      <w:r w:rsidRPr="00592570">
        <w:rPr>
          <w:b/>
          <w:bCs/>
          <w:lang w:val="en-GB"/>
        </w:rPr>
        <w:t>Reference</w:t>
      </w:r>
    </w:p>
    <w:p w14:paraId="1E8993DA" w14:textId="7A14B68F" w:rsidR="00592570" w:rsidRDefault="00592570" w:rsidP="00EC0BFA">
      <w:pPr>
        <w:spacing w:line="360" w:lineRule="auto"/>
        <w:rPr>
          <w:bCs/>
        </w:rPr>
      </w:pPr>
      <w:r w:rsidRPr="00592570">
        <w:rPr>
          <w:bCs/>
          <w:lang w:val="en-GB"/>
        </w:rPr>
        <w:t xml:space="preserve">Röcke, C., </w:t>
      </w:r>
      <w:proofErr w:type="spellStart"/>
      <w:r w:rsidRPr="00592570">
        <w:rPr>
          <w:bCs/>
          <w:lang w:val="en-GB"/>
        </w:rPr>
        <w:t>Wrzus</w:t>
      </w:r>
      <w:proofErr w:type="spellEnd"/>
      <w:r w:rsidRPr="00592570">
        <w:rPr>
          <w:bCs/>
          <w:lang w:val="en-GB"/>
        </w:rPr>
        <w:t xml:space="preserve">, C. and Wagner, G.G. (2023) ‘Charting everyday activities in later life: Study protocol of the interdisciplinary Daily Activity and Health Study’, </w:t>
      </w:r>
      <w:r w:rsidRPr="00592570">
        <w:rPr>
          <w:bCs/>
          <w:i/>
          <w:iCs/>
          <w:lang w:val="en-GB"/>
        </w:rPr>
        <w:t>Frontiers in Psychology</w:t>
      </w:r>
      <w:r w:rsidRPr="00592570">
        <w:rPr>
          <w:bCs/>
          <w:lang w:val="en-GB"/>
        </w:rPr>
        <w:t>, 13. Available at:</w:t>
      </w:r>
      <w:r>
        <w:rPr>
          <w:bCs/>
          <w:lang w:val="en-GB"/>
        </w:rPr>
        <w:t xml:space="preserve"> </w:t>
      </w:r>
      <w:hyperlink r:id="rId8" w:history="1">
        <w:r w:rsidRPr="00DF292E">
          <w:rPr>
            <w:rStyle w:val="Hyperlink"/>
            <w:bCs/>
          </w:rPr>
          <w:t>https://www.frontiersin.org/journals/psychology/articles/10.3389/fpsyg.2022.1011177/full</w:t>
        </w:r>
      </w:hyperlink>
      <w:r>
        <w:rPr>
          <w:bCs/>
        </w:rPr>
        <w:t xml:space="preserve"> </w:t>
      </w:r>
    </w:p>
    <w:p w14:paraId="49DB7957" w14:textId="2456AE88" w:rsidR="00592570" w:rsidRPr="00592570" w:rsidRDefault="00592570" w:rsidP="00EC0BFA">
      <w:pPr>
        <w:spacing w:line="360" w:lineRule="auto"/>
        <w:rPr>
          <w:bCs/>
          <w:lang w:val="en-GB"/>
        </w:rPr>
      </w:pPr>
      <w:r w:rsidRPr="00592570">
        <w:rPr>
          <w:b/>
          <w:bCs/>
          <w:lang w:val="en-GB"/>
        </w:rPr>
        <w:t>Summary</w:t>
      </w:r>
      <w:r w:rsidR="000772E3">
        <w:rPr>
          <w:b/>
          <w:bCs/>
          <w:lang w:val="en-GB"/>
        </w:rPr>
        <w:br/>
      </w:r>
      <w:r w:rsidR="000772E3" w:rsidRPr="000772E3">
        <w:rPr>
          <w:bCs/>
        </w:rPr>
        <w:t xml:space="preserve">This article focuses on everyday activities in later life and how they relate to wellbeing in older adults. Röcke, </w:t>
      </w:r>
      <w:proofErr w:type="spellStart"/>
      <w:r w:rsidR="000772E3" w:rsidRPr="000772E3">
        <w:rPr>
          <w:bCs/>
        </w:rPr>
        <w:t>Wrzus</w:t>
      </w:r>
      <w:proofErr w:type="spellEnd"/>
      <w:r w:rsidR="000772E3" w:rsidRPr="000772E3">
        <w:rPr>
          <w:bCs/>
        </w:rPr>
        <w:t xml:space="preserve"> and Wagner (2023) explain that daily activities such as hobbies, social participation and routine tasks can influence emotional wellbeing, physical health and quality of life. The article supports ideas connected to activity theory, which suggests that staying engaged in meaningful activities helps older adults maintain a sense of purpose and identity. It also highlights that wellbeing in later life is shaped not only by major life events but also by everyday experiences.</w:t>
      </w:r>
    </w:p>
    <w:p w14:paraId="188DB733" w14:textId="77777777" w:rsidR="00592570" w:rsidRPr="00592570" w:rsidRDefault="00592570" w:rsidP="00EC0BFA">
      <w:pPr>
        <w:spacing w:line="360" w:lineRule="auto"/>
        <w:rPr>
          <w:bCs/>
          <w:lang w:val="en-GB"/>
        </w:rPr>
      </w:pPr>
      <w:r w:rsidRPr="00592570">
        <w:rPr>
          <w:b/>
          <w:bCs/>
          <w:lang w:val="en-GB"/>
        </w:rPr>
        <w:t>Critical relevance</w:t>
      </w:r>
    </w:p>
    <w:p w14:paraId="4B68781F" w14:textId="7A7C2726" w:rsidR="00592570" w:rsidRDefault="000772E3" w:rsidP="00EC0BFA">
      <w:pPr>
        <w:spacing w:line="360" w:lineRule="auto"/>
        <w:rPr>
          <w:bCs/>
        </w:rPr>
      </w:pPr>
      <w:r w:rsidRPr="000772E3">
        <w:rPr>
          <w:bCs/>
        </w:rPr>
        <w:t xml:space="preserve">This source is useful for health and social care because it shows that everyday activities can have a strong impact on wellbeing. In residential care homes, staff can support residents by </w:t>
      </w:r>
      <w:r w:rsidRPr="000772E3">
        <w:rPr>
          <w:bCs/>
        </w:rPr>
        <w:lastRenderedPageBreak/>
        <w:t>encouraging meaningful daily routines and social interaction. Moving into care can sometimes reduce independence and disrupt normal routines, so maintaining activities can help residents feel more engaged and connected. A limitation is that the article is a study protocol, meaning it focuses on research design rather than full results. However, it still supports the importance of activity and engagement in later life.</w:t>
      </w:r>
    </w:p>
    <w:p w14:paraId="579AAF3B" w14:textId="77777777" w:rsidR="000772E3" w:rsidRDefault="000772E3" w:rsidP="00EC0BFA">
      <w:pPr>
        <w:spacing w:line="360" w:lineRule="auto"/>
        <w:rPr>
          <w:bCs/>
          <w:lang w:val="en-GB"/>
        </w:rPr>
      </w:pPr>
    </w:p>
    <w:p w14:paraId="227EA052" w14:textId="77777777" w:rsidR="00592570" w:rsidRPr="00592570" w:rsidRDefault="00592570" w:rsidP="00EC0BFA">
      <w:pPr>
        <w:spacing w:line="360" w:lineRule="auto"/>
        <w:rPr>
          <w:bCs/>
          <w:u w:val="single"/>
          <w:lang w:val="en-GB"/>
        </w:rPr>
      </w:pPr>
      <w:r w:rsidRPr="00592570">
        <w:rPr>
          <w:b/>
          <w:bCs/>
          <w:u w:val="single"/>
          <w:lang w:val="en-GB"/>
        </w:rPr>
        <w:t>Source 4</w:t>
      </w:r>
    </w:p>
    <w:p w14:paraId="6ED92AC0" w14:textId="77777777" w:rsidR="00592570" w:rsidRPr="00592570" w:rsidRDefault="00592570" w:rsidP="00EC0BFA">
      <w:pPr>
        <w:spacing w:line="360" w:lineRule="auto"/>
        <w:rPr>
          <w:bCs/>
          <w:lang w:val="en-GB"/>
        </w:rPr>
      </w:pPr>
      <w:r w:rsidRPr="00592570">
        <w:rPr>
          <w:b/>
          <w:bCs/>
          <w:lang w:val="en-GB"/>
        </w:rPr>
        <w:t>Reference</w:t>
      </w:r>
    </w:p>
    <w:p w14:paraId="1C49F419" w14:textId="7AC2F08B" w:rsidR="00592570" w:rsidRDefault="00592570" w:rsidP="00EC0BFA">
      <w:pPr>
        <w:spacing w:line="360" w:lineRule="auto"/>
        <w:rPr>
          <w:bCs/>
        </w:rPr>
      </w:pPr>
      <w:r w:rsidRPr="00592570">
        <w:rPr>
          <w:bCs/>
          <w:lang w:val="en-GB"/>
        </w:rPr>
        <w:t xml:space="preserve">Adams, K.B., Leibbrandt, S. and Moon, H. (2011) ‘A critical review of the literature on social and leisure activity and wellbeing in later life’, </w:t>
      </w:r>
      <w:r w:rsidRPr="00592570">
        <w:rPr>
          <w:bCs/>
          <w:i/>
          <w:iCs/>
          <w:lang w:val="en-GB"/>
        </w:rPr>
        <w:t>Ageing &amp; Society</w:t>
      </w:r>
      <w:r w:rsidRPr="00592570">
        <w:rPr>
          <w:bCs/>
          <w:lang w:val="en-GB"/>
        </w:rPr>
        <w:t>, 31(4), pp. 683–712. Available at:</w:t>
      </w:r>
      <w:r>
        <w:rPr>
          <w:bCs/>
          <w:lang w:val="en-GB"/>
        </w:rPr>
        <w:t xml:space="preserve"> </w:t>
      </w:r>
      <w:hyperlink r:id="rId9" w:history="1">
        <w:r w:rsidRPr="00DF292E">
          <w:rPr>
            <w:rStyle w:val="Hyperlink"/>
            <w:bCs/>
          </w:rPr>
          <w:t>https://www.cambridge.org/core/journals/ageing-and-society/article/critical-review-of-the-literature-on-social-and-leisure-activity-and-wellbeing-in-later-life/2F2A22FDE0F28D435F56D6E69B25FF9E</w:t>
        </w:r>
      </w:hyperlink>
      <w:r>
        <w:rPr>
          <w:bCs/>
        </w:rPr>
        <w:t xml:space="preserve"> </w:t>
      </w:r>
    </w:p>
    <w:p w14:paraId="091552D4" w14:textId="645B7364" w:rsidR="00592570" w:rsidRPr="00592570" w:rsidRDefault="00592570" w:rsidP="00EC0BFA">
      <w:pPr>
        <w:spacing w:line="360" w:lineRule="auto"/>
        <w:rPr>
          <w:bCs/>
          <w:lang w:val="en-GB"/>
        </w:rPr>
      </w:pPr>
      <w:r w:rsidRPr="00592570">
        <w:rPr>
          <w:b/>
          <w:bCs/>
          <w:lang w:val="en-GB"/>
        </w:rPr>
        <w:t>Summary</w:t>
      </w:r>
      <w:r w:rsidR="000772E3">
        <w:rPr>
          <w:b/>
          <w:bCs/>
          <w:lang w:val="en-GB"/>
        </w:rPr>
        <w:br/>
      </w:r>
      <w:r w:rsidR="000772E3" w:rsidRPr="000772E3">
        <w:rPr>
          <w:bCs/>
        </w:rPr>
        <w:t>This article reviews research examining how social and leisure activities affect wellbeing in older adulthood. Adams, Leibbrandt and Moon (2011) found that older adults who regularly participate in social and enjoyable activities often report better mental wellbeing, higher life satisfaction and lower levels of loneliness. The review suggests that social engagement allows older adults to maintain relationships and a sense of belonging. These findings support activity theory, which argues that staying socially active can contribute to positive wellbeing in later life.</w:t>
      </w:r>
    </w:p>
    <w:p w14:paraId="241EEDC3" w14:textId="77777777" w:rsidR="00592570" w:rsidRPr="00592570" w:rsidRDefault="00592570" w:rsidP="00EC0BFA">
      <w:pPr>
        <w:spacing w:line="360" w:lineRule="auto"/>
        <w:rPr>
          <w:bCs/>
          <w:lang w:val="en-GB"/>
        </w:rPr>
      </w:pPr>
      <w:r w:rsidRPr="00592570">
        <w:rPr>
          <w:b/>
          <w:bCs/>
          <w:lang w:val="en-GB"/>
        </w:rPr>
        <w:t>Critical relevance</w:t>
      </w:r>
    </w:p>
    <w:p w14:paraId="141C7E50" w14:textId="282A6CAA" w:rsidR="00592570" w:rsidRDefault="000772E3" w:rsidP="00EC0BFA">
      <w:pPr>
        <w:spacing w:line="360" w:lineRule="auto"/>
        <w:rPr>
          <w:bCs/>
        </w:rPr>
      </w:pPr>
      <w:r w:rsidRPr="000772E3">
        <w:rPr>
          <w:bCs/>
        </w:rPr>
        <w:t>This source is particularly relevant to residential care homes where loneliness and social isolation are common issues. Encouraging residents to participate in social and leisure activities such as group discussions, games or creative sessions can help improve emotional wellbeing and social connection. However, not every resident will enjoy the same activities, so care professionals need to provide a range of options to suit different preferences and abilities. Even so, the research highlights the important role that social participation plays in supporting wellbeing among older adults.</w:t>
      </w:r>
    </w:p>
    <w:p w14:paraId="4EBF834C" w14:textId="77777777" w:rsidR="000772E3" w:rsidRDefault="000772E3" w:rsidP="00EC0BFA">
      <w:pPr>
        <w:spacing w:line="360" w:lineRule="auto"/>
        <w:rPr>
          <w:bCs/>
        </w:rPr>
      </w:pPr>
    </w:p>
    <w:p w14:paraId="0298DFBC" w14:textId="6BC7A8B4" w:rsidR="000772E3" w:rsidRDefault="000772E3" w:rsidP="00EC0BFA">
      <w:pPr>
        <w:spacing w:line="360" w:lineRule="auto"/>
        <w:rPr>
          <w:bCs/>
          <w:lang w:val="en-GB"/>
        </w:rPr>
      </w:pPr>
      <w:r w:rsidRPr="000772E3">
        <w:rPr>
          <w:bCs/>
        </w:rPr>
        <w:t>Overall, the sources reviewed highlight the importance of psychological theories such as Erikson’s psychosocial development theory and activity theory in understanding wellbeing in older adulthood. They show that life reflection, meaningful activities and social engagement can play a key role in supporting emotional wellbeing. These ideas are particularly relevant in residential care settings, where health and social care professionals can apply psychological theory to improve the wellbeing and quality of life of older adults.</w:t>
      </w:r>
    </w:p>
    <w:p w14:paraId="32AEA98C" w14:textId="77777777" w:rsidR="00592570" w:rsidRDefault="00592570" w:rsidP="00EC0BFA">
      <w:pPr>
        <w:spacing w:line="360" w:lineRule="auto"/>
        <w:rPr>
          <w:bCs/>
          <w:lang w:val="en-GB"/>
        </w:rPr>
      </w:pPr>
    </w:p>
    <w:p w14:paraId="25271212" w14:textId="77777777" w:rsidR="00592570" w:rsidRDefault="00592570" w:rsidP="00EC0BFA">
      <w:pPr>
        <w:spacing w:line="360" w:lineRule="auto"/>
        <w:rPr>
          <w:bCs/>
          <w:lang w:val="en-GB"/>
        </w:rPr>
      </w:pPr>
    </w:p>
    <w:p w14:paraId="2DEB36A8" w14:textId="7144E224" w:rsidR="00592570" w:rsidRDefault="00592570" w:rsidP="00EC0BFA">
      <w:pPr>
        <w:spacing w:line="360" w:lineRule="auto"/>
        <w:rPr>
          <w:b/>
          <w:u w:val="single"/>
          <w:lang w:val="en-GB"/>
        </w:rPr>
      </w:pPr>
      <w:r w:rsidRPr="00592570">
        <w:rPr>
          <w:b/>
          <w:u w:val="single"/>
          <w:lang w:val="en-GB"/>
        </w:rPr>
        <w:t>Part B: Short Report</w:t>
      </w:r>
    </w:p>
    <w:p w14:paraId="10B4415C" w14:textId="77777777" w:rsidR="00592570" w:rsidRDefault="00592570" w:rsidP="00EC0BFA">
      <w:pPr>
        <w:spacing w:line="360" w:lineRule="auto"/>
        <w:rPr>
          <w:b/>
          <w:u w:val="single"/>
          <w:lang w:val="en-GB"/>
        </w:rPr>
      </w:pPr>
    </w:p>
    <w:p w14:paraId="5D2D87BD" w14:textId="77777777" w:rsidR="00592570" w:rsidRPr="00592570" w:rsidRDefault="00592570" w:rsidP="00EC0BFA">
      <w:pPr>
        <w:spacing w:line="360" w:lineRule="auto"/>
        <w:rPr>
          <w:b/>
          <w:u w:val="single"/>
          <w:lang w:val="en-GB"/>
        </w:rPr>
      </w:pPr>
      <w:r w:rsidRPr="00592570">
        <w:rPr>
          <w:b/>
          <w:bCs/>
          <w:u w:val="single"/>
          <w:lang w:val="en-GB"/>
        </w:rPr>
        <w:t>Applying Erikson’s Psychosocial Theory to Support Psychological Wellbeing in Residential Care Homes</w:t>
      </w:r>
    </w:p>
    <w:p w14:paraId="36BD41FD" w14:textId="5535AF60" w:rsidR="00592570" w:rsidRDefault="00592570" w:rsidP="00EC0BFA">
      <w:pPr>
        <w:spacing w:line="360" w:lineRule="auto"/>
      </w:pPr>
      <w:r w:rsidRPr="00592570">
        <w:rPr>
          <w:b/>
          <w:bCs/>
          <w:u w:val="single"/>
          <w:lang w:val="en-GB"/>
        </w:rPr>
        <w:t>Introduction</w:t>
      </w:r>
      <w:r w:rsidR="006C4A64">
        <w:rPr>
          <w:b/>
          <w:bCs/>
          <w:u w:val="single"/>
          <w:lang w:val="en-GB"/>
        </w:rPr>
        <w:br/>
      </w:r>
      <w:r w:rsidR="006C4A64" w:rsidRPr="006C4A64">
        <w:t>Psychological wellbeing is an important aspect of quality of life for older adults, particularly those living in residential care homes. Many individuals experience major life changes in later life such as retirement, declining physical health and the loss of loved ones. These changes can affect emotional wellbeing and life satisfaction. Moving into residential care can also be a difficult adjustment because it may involve leaving familiar environments and routines. Psychological theories of ageing can help health and social care professionals better understand these experiences and develop appropriate support strategies. One theory that is particularly relevant is Erikson’s psychosocial development theory, specifically the stage of ego integrity versus despair. This report explains how Erikson’s theory can be applied in residential care settings to support the psychological wellbeing of older adults.</w:t>
      </w:r>
    </w:p>
    <w:p w14:paraId="3BC9821B" w14:textId="77777777" w:rsidR="006C4A64" w:rsidRPr="006C4A64" w:rsidRDefault="006C4A64" w:rsidP="00EC0BFA">
      <w:pPr>
        <w:spacing w:line="360" w:lineRule="auto"/>
        <w:rPr>
          <w:lang w:val="en-GB"/>
        </w:rPr>
      </w:pPr>
    </w:p>
    <w:p w14:paraId="47772D7D" w14:textId="77777777" w:rsidR="00592570" w:rsidRPr="00592570" w:rsidRDefault="00592570" w:rsidP="00EC0BFA">
      <w:pPr>
        <w:spacing w:line="360" w:lineRule="auto"/>
        <w:rPr>
          <w:b/>
          <w:bCs/>
          <w:u w:val="single"/>
          <w:lang w:val="en-GB"/>
        </w:rPr>
      </w:pPr>
      <w:r w:rsidRPr="00592570">
        <w:rPr>
          <w:b/>
          <w:bCs/>
          <w:u w:val="single"/>
          <w:lang w:val="en-GB"/>
        </w:rPr>
        <w:t>Erikson’s Theory of Ego Integrity vs Despair</w:t>
      </w:r>
    </w:p>
    <w:p w14:paraId="62FA317D" w14:textId="77777777" w:rsidR="006C4A64" w:rsidRPr="006C4A64" w:rsidRDefault="006C4A64" w:rsidP="006C4A64">
      <w:pPr>
        <w:spacing w:line="360" w:lineRule="auto"/>
        <w:rPr>
          <w:bCs/>
          <w:lang w:val="en-GB"/>
        </w:rPr>
      </w:pPr>
      <w:r w:rsidRPr="006C4A64">
        <w:rPr>
          <w:bCs/>
          <w:lang w:val="en-GB"/>
        </w:rPr>
        <w:t>Erikson’s psychosocial development theory suggests that individuals go through eight stages of psychological development across their lifespan. Each stage involves a conflict that individuals must resolve in order to achieve healthy development. The final stage occurs in older adulthood and is known as ego integrity versus despair (Chen, Cheung and Fan, 2021).</w:t>
      </w:r>
    </w:p>
    <w:p w14:paraId="334982FE" w14:textId="77777777" w:rsidR="006C4A64" w:rsidRPr="006C4A64" w:rsidRDefault="006C4A64" w:rsidP="006C4A64">
      <w:pPr>
        <w:spacing w:line="360" w:lineRule="auto"/>
        <w:rPr>
          <w:bCs/>
          <w:lang w:val="en-GB"/>
        </w:rPr>
      </w:pPr>
      <w:r w:rsidRPr="006C4A64">
        <w:rPr>
          <w:bCs/>
          <w:lang w:val="en-GB"/>
        </w:rPr>
        <w:t xml:space="preserve">During this stage individuals reflect on their past experiences and evaluate whether they feel satisfied with the life they have lived. If individuals feel proud of their achievements and relationships, they may develop a sense of ego integrity, which is associated with acceptance and emotional wellbeing. However, if individuals focus mainly on regrets or believe their life lacked meaning, they may experience despair. Despair can lead to feelings of sadness, anxiety and dissatisfaction with life (Van der </w:t>
      </w:r>
      <w:proofErr w:type="spellStart"/>
      <w:r w:rsidRPr="006C4A64">
        <w:rPr>
          <w:bCs/>
          <w:lang w:val="en-GB"/>
        </w:rPr>
        <w:t>Kaap-Deeder</w:t>
      </w:r>
      <w:proofErr w:type="spellEnd"/>
      <w:r w:rsidRPr="006C4A64">
        <w:rPr>
          <w:bCs/>
          <w:lang w:val="en-GB"/>
        </w:rPr>
        <w:t xml:space="preserve"> et al., 2021).</w:t>
      </w:r>
    </w:p>
    <w:p w14:paraId="26332A69" w14:textId="77777777" w:rsidR="006C4A64" w:rsidRPr="006C4A64" w:rsidRDefault="006C4A64" w:rsidP="006C4A64">
      <w:pPr>
        <w:spacing w:line="360" w:lineRule="auto"/>
        <w:rPr>
          <w:bCs/>
          <w:lang w:val="en-GB"/>
        </w:rPr>
      </w:pPr>
      <w:r w:rsidRPr="006C4A64">
        <w:rPr>
          <w:bCs/>
          <w:lang w:val="en-GB"/>
        </w:rPr>
        <w:t>Research suggests that achieving ego integrity is linked to higher life satisfaction and better psychological wellbeing in older adults (Chen, Cheung and Fan, 2021). Supportive relationships and opportunities for reflection can help individuals develop this sense of fulfilment. This makes Erikson’s theory useful for professionals working in residential care settings where many residents are in this stage of life.</w:t>
      </w:r>
    </w:p>
    <w:p w14:paraId="0828CC25" w14:textId="208AC012" w:rsidR="00592570" w:rsidRPr="00592570" w:rsidRDefault="00592570" w:rsidP="00EC0BFA">
      <w:pPr>
        <w:spacing w:line="360" w:lineRule="auto"/>
        <w:rPr>
          <w:b/>
          <w:u w:val="single"/>
          <w:lang w:val="en-GB"/>
        </w:rPr>
      </w:pPr>
    </w:p>
    <w:p w14:paraId="202C579F" w14:textId="77777777" w:rsidR="00592570" w:rsidRPr="00592570" w:rsidRDefault="00592570" w:rsidP="00EC0BFA">
      <w:pPr>
        <w:spacing w:line="360" w:lineRule="auto"/>
        <w:rPr>
          <w:b/>
          <w:bCs/>
          <w:u w:val="single"/>
          <w:lang w:val="en-GB"/>
        </w:rPr>
      </w:pPr>
      <w:r w:rsidRPr="00592570">
        <w:rPr>
          <w:b/>
          <w:bCs/>
          <w:u w:val="single"/>
          <w:lang w:val="en-GB"/>
        </w:rPr>
        <w:t>Applying the Theory in Residential Care</w:t>
      </w:r>
    </w:p>
    <w:p w14:paraId="6D6135DE" w14:textId="77777777" w:rsidR="006C4A64" w:rsidRPr="006C4A64" w:rsidRDefault="006C4A64" w:rsidP="006C4A64">
      <w:pPr>
        <w:spacing w:line="360" w:lineRule="auto"/>
        <w:rPr>
          <w:bCs/>
          <w:lang w:val="en-GB"/>
        </w:rPr>
      </w:pPr>
      <w:r w:rsidRPr="006C4A64">
        <w:rPr>
          <w:bCs/>
          <w:lang w:val="en-GB"/>
        </w:rPr>
        <w:t xml:space="preserve">Health and social care professionals can apply Erikson’s theory by creating opportunities for </w:t>
      </w:r>
      <w:r w:rsidRPr="006C4A64">
        <w:rPr>
          <w:bCs/>
          <w:lang w:val="en-GB"/>
        </w:rPr>
        <w:lastRenderedPageBreak/>
        <w:t xml:space="preserve">residents to reflect positively on their life experiences. One common approach is </w:t>
      </w:r>
      <w:r w:rsidRPr="006C4A64">
        <w:rPr>
          <w:lang w:val="en-GB"/>
        </w:rPr>
        <w:t>reminiscence therapy</w:t>
      </w:r>
      <w:r w:rsidRPr="006C4A64">
        <w:rPr>
          <w:bCs/>
          <w:lang w:val="en-GB"/>
        </w:rPr>
        <w:t>, which encourages residents to talk about important memories, achievements and life events.</w:t>
      </w:r>
    </w:p>
    <w:p w14:paraId="455C6E06" w14:textId="7C1BBD3E" w:rsidR="006C4A64" w:rsidRPr="006C4A64" w:rsidRDefault="006C4A64" w:rsidP="006C4A64">
      <w:pPr>
        <w:spacing w:line="360" w:lineRule="auto"/>
        <w:rPr>
          <w:bCs/>
          <w:lang w:val="en-GB"/>
        </w:rPr>
      </w:pPr>
      <w:r w:rsidRPr="006C4A64">
        <w:rPr>
          <w:bCs/>
          <w:lang w:val="en-GB"/>
        </w:rPr>
        <w:t xml:space="preserve">Activities may include discussing photographs, sharing personal stories or creating life story books. These activities help residents reflect on meaningful experiences and recognise the value of their life achievements. </w:t>
      </w:r>
      <w:r w:rsidR="00166765" w:rsidRPr="00166765">
        <w:rPr>
          <w:bCs/>
        </w:rPr>
        <w:t xml:space="preserve">This is important because developing a sense of identity and meaning is strongly linked to psychological wellbeing in later life (Van der </w:t>
      </w:r>
      <w:proofErr w:type="spellStart"/>
      <w:r w:rsidR="00166765" w:rsidRPr="00166765">
        <w:rPr>
          <w:bCs/>
        </w:rPr>
        <w:t>Kaap-Deeder</w:t>
      </w:r>
      <w:proofErr w:type="spellEnd"/>
      <w:r w:rsidR="00166765" w:rsidRPr="00166765">
        <w:rPr>
          <w:bCs/>
        </w:rPr>
        <w:t xml:space="preserve"> et al., 2021).</w:t>
      </w:r>
      <w:r w:rsidR="00166765">
        <w:rPr>
          <w:bCs/>
        </w:rPr>
        <w:t xml:space="preserve"> </w:t>
      </w:r>
      <w:r w:rsidRPr="006C4A64">
        <w:rPr>
          <w:bCs/>
          <w:lang w:val="en-GB"/>
        </w:rPr>
        <w:t xml:space="preserve">They can also support identity and emotional wellbeing. Research shows that meaningful daily activities and social engagement can improve life satisfaction in later life (Röcke, </w:t>
      </w:r>
      <w:proofErr w:type="spellStart"/>
      <w:r w:rsidRPr="006C4A64">
        <w:rPr>
          <w:bCs/>
          <w:lang w:val="en-GB"/>
        </w:rPr>
        <w:t>Wrzus</w:t>
      </w:r>
      <w:proofErr w:type="spellEnd"/>
      <w:r w:rsidRPr="006C4A64">
        <w:rPr>
          <w:bCs/>
          <w:lang w:val="en-GB"/>
        </w:rPr>
        <w:t xml:space="preserve"> and Wagner, 2023).</w:t>
      </w:r>
    </w:p>
    <w:p w14:paraId="05F5B712" w14:textId="77777777" w:rsidR="006C4A64" w:rsidRPr="006C4A64" w:rsidRDefault="006C4A64" w:rsidP="006C4A64">
      <w:pPr>
        <w:spacing w:line="360" w:lineRule="auto"/>
        <w:rPr>
          <w:bCs/>
          <w:lang w:val="en-GB"/>
        </w:rPr>
      </w:pPr>
      <w:r w:rsidRPr="006C4A64">
        <w:rPr>
          <w:bCs/>
          <w:lang w:val="en-GB"/>
        </w:rPr>
        <w:t>Care homes can also support psychological wellbeing by encouraging residents to take part in social activities such as group discussions, games or creative sessions. Social participation helps residents maintain relationships and reduces feelings of loneliness (Adams, Leibbrandt and Moon, 2011). These activities create a supportive environment where residents feel valued and connected.</w:t>
      </w:r>
    </w:p>
    <w:p w14:paraId="745A1151" w14:textId="10E4472A" w:rsidR="00592570" w:rsidRPr="006C4A64" w:rsidRDefault="00592570" w:rsidP="00EC0BFA">
      <w:pPr>
        <w:spacing w:line="360" w:lineRule="auto"/>
        <w:rPr>
          <w:bCs/>
          <w:lang w:val="en-GB"/>
        </w:rPr>
      </w:pPr>
    </w:p>
    <w:p w14:paraId="3E5734AE" w14:textId="77777777" w:rsidR="00592570" w:rsidRPr="00592570" w:rsidRDefault="00592570" w:rsidP="00EC0BFA">
      <w:pPr>
        <w:spacing w:line="360" w:lineRule="auto"/>
        <w:rPr>
          <w:b/>
          <w:bCs/>
          <w:u w:val="single"/>
          <w:lang w:val="en-GB"/>
        </w:rPr>
      </w:pPr>
      <w:r w:rsidRPr="00592570">
        <w:rPr>
          <w:b/>
          <w:bCs/>
          <w:u w:val="single"/>
          <w:lang w:val="en-GB"/>
        </w:rPr>
        <w:t>Case Example</w:t>
      </w:r>
    </w:p>
    <w:p w14:paraId="73DD38A2" w14:textId="371B4033" w:rsidR="006C4A64" w:rsidRPr="006C4A64" w:rsidRDefault="006C4A64" w:rsidP="006C4A64">
      <w:pPr>
        <w:spacing w:line="360" w:lineRule="auto"/>
        <w:rPr>
          <w:bCs/>
          <w:lang w:val="en-GB"/>
        </w:rPr>
      </w:pPr>
      <w:r w:rsidRPr="006C4A64">
        <w:rPr>
          <w:bCs/>
          <w:lang w:val="en-GB"/>
        </w:rPr>
        <w:t>For example, Mr Thomas is an 80-year-old resident who recently moved into a care home due to mobility difficulties. At first, he appeared withdrawn and often spoke about regrets from his past. Care staff introduced a reminiscence activity where residents shared stories about their careers and achievements.</w:t>
      </w:r>
    </w:p>
    <w:p w14:paraId="08D29564" w14:textId="77777777" w:rsidR="006C4A64" w:rsidRPr="006C4A64" w:rsidRDefault="006C4A64" w:rsidP="006C4A64">
      <w:pPr>
        <w:spacing w:line="360" w:lineRule="auto"/>
        <w:rPr>
          <w:bCs/>
          <w:lang w:val="en-GB"/>
        </w:rPr>
      </w:pPr>
      <w:r w:rsidRPr="006C4A64">
        <w:rPr>
          <w:bCs/>
          <w:lang w:val="en-GB"/>
        </w:rPr>
        <w:t>Mr Thomas began talking about his work as a mechanic and the skills he had developed throughout his life. Staff also helped him create a life story book with photographs and memories from his family. Over time he became more engaged with other residents and began participating in group activities. This example demonstrates how reflecting on positive life experiences can help residents develop a sense of pride and satisfaction with their lives.</w:t>
      </w:r>
    </w:p>
    <w:p w14:paraId="2C5696CF" w14:textId="77777777" w:rsidR="00592570" w:rsidRDefault="00592570" w:rsidP="00EC0BFA">
      <w:pPr>
        <w:spacing w:line="360" w:lineRule="auto"/>
        <w:rPr>
          <w:b/>
          <w:u w:val="single"/>
          <w:lang w:val="en-GB"/>
        </w:rPr>
      </w:pPr>
    </w:p>
    <w:p w14:paraId="773C5BBA" w14:textId="6B86C593" w:rsidR="00592570" w:rsidRPr="00592570" w:rsidRDefault="00592570" w:rsidP="00EC0BFA">
      <w:pPr>
        <w:spacing w:line="360" w:lineRule="auto"/>
        <w:rPr>
          <w:b/>
          <w:bCs/>
          <w:u w:val="single"/>
          <w:lang w:val="en-GB"/>
        </w:rPr>
      </w:pPr>
      <w:r w:rsidRPr="00592570">
        <w:rPr>
          <w:b/>
          <w:bCs/>
          <w:u w:val="single"/>
          <w:lang w:val="en-GB"/>
        </w:rPr>
        <w:t>Challenges and Strategies</w:t>
      </w:r>
    </w:p>
    <w:p w14:paraId="07FA4DE6" w14:textId="77777777" w:rsidR="006C4A64" w:rsidRPr="006C4A64" w:rsidRDefault="006C4A64" w:rsidP="006C4A64">
      <w:pPr>
        <w:spacing w:line="360" w:lineRule="auto"/>
        <w:rPr>
          <w:bCs/>
          <w:lang w:val="en-GB"/>
        </w:rPr>
      </w:pPr>
      <w:r w:rsidRPr="006C4A64">
        <w:rPr>
          <w:bCs/>
          <w:lang w:val="en-GB"/>
        </w:rPr>
        <w:t xml:space="preserve">Although Erikson’s theory can be useful in practice, professionals may face challenges when applying it in residential care. Some residents may experience </w:t>
      </w:r>
      <w:r w:rsidRPr="006C4A64">
        <w:rPr>
          <w:lang w:val="en-GB"/>
        </w:rPr>
        <w:t>cognitive decline or dementia</w:t>
      </w:r>
      <w:r w:rsidRPr="006C4A64">
        <w:rPr>
          <w:bCs/>
          <w:lang w:val="en-GB"/>
        </w:rPr>
        <w:t>, which can make it difficult for them to recall past experiences.</w:t>
      </w:r>
    </w:p>
    <w:p w14:paraId="288B22FC" w14:textId="77777777" w:rsidR="006C4A64" w:rsidRPr="006C4A64" w:rsidRDefault="006C4A64" w:rsidP="006C4A64">
      <w:pPr>
        <w:spacing w:line="360" w:lineRule="auto"/>
        <w:rPr>
          <w:bCs/>
          <w:lang w:val="en-GB"/>
        </w:rPr>
      </w:pPr>
      <w:r w:rsidRPr="006C4A64">
        <w:rPr>
          <w:bCs/>
          <w:lang w:val="en-GB"/>
        </w:rPr>
        <w:t xml:space="preserve">One strategy to address this challenge is using </w:t>
      </w:r>
      <w:r w:rsidRPr="006C4A64">
        <w:rPr>
          <w:lang w:val="en-GB"/>
        </w:rPr>
        <w:t>visual prompts</w:t>
      </w:r>
      <w:r w:rsidRPr="006C4A64">
        <w:rPr>
          <w:bCs/>
          <w:lang w:val="en-GB"/>
        </w:rPr>
        <w:t xml:space="preserve"> such as photographs, music or personal objects to stimulate memories. Family members can also help by sharing information about the resident’s life history. Adapting reminiscence activities to suit different cognitive abilities can help ensure that residents are still able to participate in meaningful ways.</w:t>
      </w:r>
    </w:p>
    <w:p w14:paraId="2F22FCF4" w14:textId="335DF63C" w:rsidR="00592570" w:rsidRPr="00592570" w:rsidRDefault="00592570" w:rsidP="00EC0BFA">
      <w:pPr>
        <w:spacing w:line="360" w:lineRule="auto"/>
        <w:rPr>
          <w:bCs/>
          <w:lang w:val="en-GB"/>
        </w:rPr>
      </w:pPr>
    </w:p>
    <w:p w14:paraId="6C4EEF22" w14:textId="77777777" w:rsidR="00592570" w:rsidRPr="00592570" w:rsidRDefault="00592570" w:rsidP="00EC0BFA">
      <w:pPr>
        <w:spacing w:line="360" w:lineRule="auto"/>
        <w:rPr>
          <w:b/>
          <w:u w:val="single"/>
          <w:lang w:val="en-GB"/>
        </w:rPr>
      </w:pPr>
      <w:r w:rsidRPr="00592570">
        <w:rPr>
          <w:b/>
          <w:u w:val="single"/>
          <w:lang w:val="en-GB"/>
        </w:rPr>
        <w:lastRenderedPageBreak/>
        <w:t>Conclusion</w:t>
      </w:r>
    </w:p>
    <w:p w14:paraId="59503F47" w14:textId="0B027DDD" w:rsidR="00F925B7" w:rsidRDefault="006C4A64" w:rsidP="00EC0BFA">
      <w:pPr>
        <w:spacing w:line="360" w:lineRule="auto"/>
        <w:rPr>
          <w:bCs/>
          <w:lang w:val="en-GB"/>
        </w:rPr>
      </w:pPr>
      <w:r w:rsidRPr="006C4A64">
        <w:rPr>
          <w:bCs/>
        </w:rPr>
        <w:t xml:space="preserve">In conclusion, Erikson’s theory of ego integrity versus despair provides a useful way of understanding psychological wellbeing in older adulthood. The theory </w:t>
      </w:r>
      <w:proofErr w:type="spellStart"/>
      <w:r w:rsidRPr="006C4A64">
        <w:rPr>
          <w:bCs/>
        </w:rPr>
        <w:t>emphasises</w:t>
      </w:r>
      <w:proofErr w:type="spellEnd"/>
      <w:r w:rsidRPr="006C4A64">
        <w:rPr>
          <w:bCs/>
        </w:rPr>
        <w:t xml:space="preserve"> the importance of reflecting on life experiences and developing a sense of acceptance and fulfilment. In residential care homes, strategies such as reminiscence therapy, life story books and social activities can help residents reflect positively on their lives and maintain social connections. Although challenges such as cognitive decline may affect participation, adapting activities and involving family members can help overcome these difficulties. Applying psychological theories like Erikson’s can therefore help professionals support the wellbeing and dignity of older adults in residential care.</w:t>
      </w:r>
    </w:p>
    <w:p w14:paraId="4E35FEBB" w14:textId="77777777" w:rsidR="00F925B7" w:rsidRDefault="00F925B7" w:rsidP="00EC0BFA">
      <w:pPr>
        <w:spacing w:line="360" w:lineRule="auto"/>
        <w:rPr>
          <w:bCs/>
          <w:lang w:val="en-GB"/>
        </w:rPr>
      </w:pPr>
    </w:p>
    <w:p w14:paraId="51E264C6" w14:textId="77777777" w:rsidR="00F925B7" w:rsidRDefault="00F925B7" w:rsidP="00EC0BFA">
      <w:pPr>
        <w:spacing w:line="360" w:lineRule="auto"/>
        <w:rPr>
          <w:bCs/>
          <w:lang w:val="en-GB"/>
        </w:rPr>
      </w:pPr>
    </w:p>
    <w:p w14:paraId="52EC77E0" w14:textId="77777777" w:rsidR="00F925B7" w:rsidRDefault="00F925B7" w:rsidP="00EC0BFA">
      <w:pPr>
        <w:spacing w:line="360" w:lineRule="auto"/>
        <w:rPr>
          <w:bCs/>
          <w:lang w:val="en-GB"/>
        </w:rPr>
      </w:pPr>
    </w:p>
    <w:p w14:paraId="2B6A7E59" w14:textId="77777777" w:rsidR="004826A3" w:rsidRDefault="004826A3" w:rsidP="00EC0BFA">
      <w:pPr>
        <w:spacing w:line="360" w:lineRule="auto"/>
        <w:rPr>
          <w:b/>
          <w:bCs/>
          <w:u w:val="single"/>
          <w:lang w:val="en-GB"/>
        </w:rPr>
      </w:pPr>
    </w:p>
    <w:p w14:paraId="0B6B896A" w14:textId="77777777" w:rsidR="004826A3" w:rsidRDefault="004826A3" w:rsidP="00EC0BFA">
      <w:pPr>
        <w:spacing w:line="360" w:lineRule="auto"/>
        <w:rPr>
          <w:b/>
          <w:bCs/>
          <w:u w:val="single"/>
          <w:lang w:val="en-GB"/>
        </w:rPr>
      </w:pPr>
    </w:p>
    <w:p w14:paraId="456BA58A" w14:textId="77777777" w:rsidR="004826A3" w:rsidRDefault="004826A3" w:rsidP="00EC0BFA">
      <w:pPr>
        <w:spacing w:line="360" w:lineRule="auto"/>
        <w:rPr>
          <w:b/>
          <w:bCs/>
          <w:u w:val="single"/>
          <w:lang w:val="en-GB"/>
        </w:rPr>
      </w:pPr>
    </w:p>
    <w:p w14:paraId="0366F529" w14:textId="77777777" w:rsidR="004826A3" w:rsidRDefault="004826A3" w:rsidP="00EC0BFA">
      <w:pPr>
        <w:spacing w:line="360" w:lineRule="auto"/>
        <w:rPr>
          <w:b/>
          <w:bCs/>
          <w:u w:val="single"/>
          <w:lang w:val="en-GB"/>
        </w:rPr>
      </w:pPr>
    </w:p>
    <w:p w14:paraId="3941A616" w14:textId="77777777" w:rsidR="004826A3" w:rsidRDefault="004826A3" w:rsidP="00EC0BFA">
      <w:pPr>
        <w:spacing w:line="360" w:lineRule="auto"/>
        <w:rPr>
          <w:b/>
          <w:bCs/>
          <w:u w:val="single"/>
          <w:lang w:val="en-GB"/>
        </w:rPr>
      </w:pPr>
    </w:p>
    <w:p w14:paraId="1A963015" w14:textId="77777777" w:rsidR="004826A3" w:rsidRDefault="004826A3" w:rsidP="00EC0BFA">
      <w:pPr>
        <w:spacing w:line="360" w:lineRule="auto"/>
        <w:rPr>
          <w:b/>
          <w:bCs/>
          <w:u w:val="single"/>
          <w:lang w:val="en-GB"/>
        </w:rPr>
      </w:pPr>
    </w:p>
    <w:p w14:paraId="5B44C3E7" w14:textId="77777777" w:rsidR="004826A3" w:rsidRDefault="004826A3" w:rsidP="00EC0BFA">
      <w:pPr>
        <w:spacing w:line="360" w:lineRule="auto"/>
        <w:rPr>
          <w:b/>
          <w:bCs/>
          <w:u w:val="single"/>
          <w:lang w:val="en-GB"/>
        </w:rPr>
      </w:pPr>
    </w:p>
    <w:p w14:paraId="72004EE5" w14:textId="77777777" w:rsidR="004826A3" w:rsidRDefault="004826A3" w:rsidP="00EC0BFA">
      <w:pPr>
        <w:spacing w:line="360" w:lineRule="auto"/>
        <w:rPr>
          <w:b/>
          <w:bCs/>
          <w:u w:val="single"/>
          <w:lang w:val="en-GB"/>
        </w:rPr>
      </w:pPr>
    </w:p>
    <w:p w14:paraId="6D1A76F9" w14:textId="77777777" w:rsidR="004826A3" w:rsidRDefault="004826A3" w:rsidP="00EC0BFA">
      <w:pPr>
        <w:spacing w:line="360" w:lineRule="auto"/>
        <w:rPr>
          <w:b/>
          <w:bCs/>
          <w:u w:val="single"/>
          <w:lang w:val="en-GB"/>
        </w:rPr>
      </w:pPr>
    </w:p>
    <w:p w14:paraId="2F96CD90" w14:textId="77777777" w:rsidR="004826A3" w:rsidRDefault="004826A3" w:rsidP="00EC0BFA">
      <w:pPr>
        <w:spacing w:line="360" w:lineRule="auto"/>
        <w:rPr>
          <w:b/>
          <w:bCs/>
          <w:u w:val="single"/>
          <w:lang w:val="en-GB"/>
        </w:rPr>
      </w:pPr>
    </w:p>
    <w:p w14:paraId="34EB5FE8" w14:textId="77777777" w:rsidR="004826A3" w:rsidRDefault="004826A3" w:rsidP="00EC0BFA">
      <w:pPr>
        <w:spacing w:line="360" w:lineRule="auto"/>
        <w:rPr>
          <w:b/>
          <w:bCs/>
          <w:u w:val="single"/>
          <w:lang w:val="en-GB"/>
        </w:rPr>
      </w:pPr>
    </w:p>
    <w:p w14:paraId="3E60E3D7" w14:textId="77777777" w:rsidR="004826A3" w:rsidRDefault="004826A3" w:rsidP="00EC0BFA">
      <w:pPr>
        <w:spacing w:line="360" w:lineRule="auto"/>
        <w:rPr>
          <w:b/>
          <w:bCs/>
          <w:u w:val="single"/>
          <w:lang w:val="en-GB"/>
        </w:rPr>
      </w:pPr>
    </w:p>
    <w:p w14:paraId="0AE79045" w14:textId="77777777" w:rsidR="004826A3" w:rsidRDefault="004826A3" w:rsidP="00EC0BFA">
      <w:pPr>
        <w:spacing w:line="360" w:lineRule="auto"/>
        <w:rPr>
          <w:b/>
          <w:bCs/>
          <w:u w:val="single"/>
          <w:lang w:val="en-GB"/>
        </w:rPr>
      </w:pPr>
    </w:p>
    <w:p w14:paraId="52AC3D36" w14:textId="77777777" w:rsidR="004826A3" w:rsidRDefault="004826A3" w:rsidP="00EC0BFA">
      <w:pPr>
        <w:spacing w:line="360" w:lineRule="auto"/>
        <w:rPr>
          <w:b/>
          <w:bCs/>
          <w:u w:val="single"/>
          <w:lang w:val="en-GB"/>
        </w:rPr>
      </w:pPr>
    </w:p>
    <w:p w14:paraId="23CD4048" w14:textId="77777777" w:rsidR="004826A3" w:rsidRDefault="004826A3" w:rsidP="00EC0BFA">
      <w:pPr>
        <w:spacing w:line="360" w:lineRule="auto"/>
        <w:rPr>
          <w:b/>
          <w:bCs/>
          <w:u w:val="single"/>
          <w:lang w:val="en-GB"/>
        </w:rPr>
      </w:pPr>
    </w:p>
    <w:p w14:paraId="543DFA8A" w14:textId="77777777" w:rsidR="004826A3" w:rsidRDefault="004826A3" w:rsidP="00EC0BFA">
      <w:pPr>
        <w:spacing w:line="360" w:lineRule="auto"/>
        <w:rPr>
          <w:b/>
          <w:bCs/>
          <w:u w:val="single"/>
          <w:lang w:val="en-GB"/>
        </w:rPr>
      </w:pPr>
    </w:p>
    <w:p w14:paraId="5DB96AB6" w14:textId="77777777" w:rsidR="004826A3" w:rsidRDefault="004826A3" w:rsidP="00EC0BFA">
      <w:pPr>
        <w:spacing w:line="360" w:lineRule="auto"/>
        <w:rPr>
          <w:b/>
          <w:bCs/>
          <w:u w:val="single"/>
          <w:lang w:val="en-GB"/>
        </w:rPr>
      </w:pPr>
    </w:p>
    <w:p w14:paraId="011798EF" w14:textId="77777777" w:rsidR="004826A3" w:rsidRDefault="004826A3" w:rsidP="00EC0BFA">
      <w:pPr>
        <w:spacing w:line="360" w:lineRule="auto"/>
        <w:rPr>
          <w:b/>
          <w:bCs/>
          <w:u w:val="single"/>
          <w:lang w:val="en-GB"/>
        </w:rPr>
      </w:pPr>
    </w:p>
    <w:p w14:paraId="5D06338B" w14:textId="77777777" w:rsidR="004826A3" w:rsidRDefault="004826A3" w:rsidP="00EC0BFA">
      <w:pPr>
        <w:spacing w:line="360" w:lineRule="auto"/>
        <w:rPr>
          <w:b/>
          <w:bCs/>
          <w:u w:val="single"/>
          <w:lang w:val="en-GB"/>
        </w:rPr>
      </w:pPr>
    </w:p>
    <w:p w14:paraId="21AA63A2" w14:textId="77777777" w:rsidR="004826A3" w:rsidRDefault="004826A3" w:rsidP="00EC0BFA">
      <w:pPr>
        <w:spacing w:line="360" w:lineRule="auto"/>
        <w:rPr>
          <w:b/>
          <w:bCs/>
          <w:u w:val="single"/>
          <w:lang w:val="en-GB"/>
        </w:rPr>
      </w:pPr>
    </w:p>
    <w:p w14:paraId="10C71889" w14:textId="77777777" w:rsidR="004826A3" w:rsidRDefault="004826A3" w:rsidP="00EC0BFA">
      <w:pPr>
        <w:spacing w:line="360" w:lineRule="auto"/>
        <w:rPr>
          <w:b/>
          <w:bCs/>
          <w:u w:val="single"/>
          <w:lang w:val="en-GB"/>
        </w:rPr>
      </w:pPr>
    </w:p>
    <w:p w14:paraId="79728156" w14:textId="77777777" w:rsidR="004826A3" w:rsidRDefault="004826A3" w:rsidP="00EC0BFA">
      <w:pPr>
        <w:spacing w:line="360" w:lineRule="auto"/>
        <w:rPr>
          <w:b/>
          <w:bCs/>
          <w:u w:val="single"/>
          <w:lang w:val="en-GB"/>
        </w:rPr>
      </w:pPr>
    </w:p>
    <w:p w14:paraId="6BF1A2E3" w14:textId="77777777" w:rsidR="004826A3" w:rsidRDefault="004826A3" w:rsidP="00EC0BFA">
      <w:pPr>
        <w:spacing w:line="360" w:lineRule="auto"/>
        <w:rPr>
          <w:b/>
          <w:bCs/>
          <w:u w:val="single"/>
          <w:lang w:val="en-GB"/>
        </w:rPr>
      </w:pPr>
    </w:p>
    <w:p w14:paraId="79A0B261" w14:textId="77777777" w:rsidR="004826A3" w:rsidRDefault="004826A3" w:rsidP="00EC0BFA">
      <w:pPr>
        <w:spacing w:line="360" w:lineRule="auto"/>
        <w:rPr>
          <w:b/>
          <w:bCs/>
          <w:u w:val="single"/>
          <w:lang w:val="en-GB"/>
        </w:rPr>
      </w:pPr>
    </w:p>
    <w:p w14:paraId="79807996" w14:textId="77777777" w:rsidR="004826A3" w:rsidRDefault="004826A3" w:rsidP="00EC0BFA">
      <w:pPr>
        <w:spacing w:line="360" w:lineRule="auto"/>
        <w:rPr>
          <w:b/>
          <w:bCs/>
          <w:u w:val="single"/>
          <w:lang w:val="en-GB"/>
        </w:rPr>
      </w:pPr>
    </w:p>
    <w:p w14:paraId="41BF6CF6" w14:textId="77777777" w:rsidR="004826A3" w:rsidRDefault="004826A3" w:rsidP="00EC0BFA">
      <w:pPr>
        <w:spacing w:line="360" w:lineRule="auto"/>
        <w:rPr>
          <w:b/>
          <w:bCs/>
          <w:u w:val="single"/>
          <w:lang w:val="en-GB"/>
        </w:rPr>
      </w:pPr>
    </w:p>
    <w:p w14:paraId="551047E9" w14:textId="50C57251" w:rsidR="00F925B7" w:rsidRDefault="00F925B7" w:rsidP="00EC0BFA">
      <w:pPr>
        <w:spacing w:line="360" w:lineRule="auto"/>
        <w:rPr>
          <w:b/>
          <w:bCs/>
          <w:u w:val="single"/>
          <w:lang w:val="en-GB"/>
        </w:rPr>
      </w:pPr>
      <w:r w:rsidRPr="00F925B7">
        <w:rPr>
          <w:b/>
          <w:bCs/>
          <w:u w:val="single"/>
          <w:lang w:val="en-GB"/>
        </w:rPr>
        <w:t>Reference List:</w:t>
      </w:r>
    </w:p>
    <w:p w14:paraId="4CAEFFD1" w14:textId="77777777" w:rsidR="00F925B7" w:rsidRPr="00F925B7" w:rsidRDefault="00F925B7" w:rsidP="00EC0BFA">
      <w:pPr>
        <w:spacing w:line="360" w:lineRule="auto"/>
        <w:rPr>
          <w:b/>
          <w:bCs/>
          <w:u w:val="single"/>
          <w:lang w:val="en-GB"/>
        </w:rPr>
      </w:pPr>
    </w:p>
    <w:p w14:paraId="5B1E3233" w14:textId="620D4F83" w:rsidR="00F925B7" w:rsidRDefault="00F925B7" w:rsidP="00EC0BFA">
      <w:pPr>
        <w:spacing w:line="360" w:lineRule="auto"/>
        <w:rPr>
          <w:bCs/>
        </w:rPr>
      </w:pPr>
      <w:r w:rsidRPr="00F925B7">
        <w:rPr>
          <w:bCs/>
          <w:lang w:val="en-GB"/>
        </w:rPr>
        <w:t xml:space="preserve">Adams, K.B., Leibbrandt, S. and Moon, H. (2011) ‘A critical review of the literature on social and leisure activity and wellbeing in later life’, </w:t>
      </w:r>
      <w:r w:rsidRPr="00F925B7">
        <w:rPr>
          <w:bCs/>
          <w:i/>
          <w:iCs/>
          <w:lang w:val="en-GB"/>
        </w:rPr>
        <w:t>Ageing &amp; Society</w:t>
      </w:r>
      <w:r w:rsidRPr="00F925B7">
        <w:rPr>
          <w:bCs/>
          <w:lang w:val="en-GB"/>
        </w:rPr>
        <w:t>, 31(4), pp. 683–712. Available at:</w:t>
      </w:r>
      <w:r>
        <w:rPr>
          <w:bCs/>
          <w:lang w:val="en-GB"/>
        </w:rPr>
        <w:t xml:space="preserve"> </w:t>
      </w:r>
      <w:hyperlink r:id="rId10" w:history="1">
        <w:r w:rsidRPr="00DF292E">
          <w:rPr>
            <w:rStyle w:val="Hyperlink"/>
            <w:bCs/>
          </w:rPr>
          <w:t>https://www.cambridge.org/core/journals/ageing-and-society/article/critical-review-of-the-literature-on-social-and-leisure-activity-and-wellbeing-in-later-life/2F2A22FDE0F28D435F56D6E69B25FF9E</w:t>
        </w:r>
      </w:hyperlink>
      <w:r>
        <w:rPr>
          <w:bCs/>
        </w:rPr>
        <w:t xml:space="preserve"> (Accessed: 07/03/2026)</w:t>
      </w:r>
    </w:p>
    <w:p w14:paraId="3018F432" w14:textId="77777777" w:rsidR="00F925B7" w:rsidRDefault="00F925B7" w:rsidP="00EC0BFA">
      <w:pPr>
        <w:spacing w:line="360" w:lineRule="auto"/>
        <w:rPr>
          <w:bCs/>
        </w:rPr>
      </w:pPr>
    </w:p>
    <w:p w14:paraId="0A05F739" w14:textId="3A202AF3" w:rsidR="00F925B7" w:rsidRDefault="00F925B7" w:rsidP="00EC0BFA">
      <w:pPr>
        <w:spacing w:line="360" w:lineRule="auto"/>
        <w:rPr>
          <w:bCs/>
        </w:rPr>
      </w:pPr>
      <w:r w:rsidRPr="00F925B7">
        <w:rPr>
          <w:bCs/>
        </w:rPr>
        <w:t xml:space="preserve">Chen, P.Y., Cheung, M.K. and Fan, W. (2021) ‘Predicting ego integrity using prior ego development stages’, </w:t>
      </w:r>
      <w:r w:rsidRPr="00F925B7">
        <w:rPr>
          <w:bCs/>
          <w:i/>
          <w:iCs/>
        </w:rPr>
        <w:t>International Journal of Environmental Research and Public Health</w:t>
      </w:r>
      <w:r w:rsidRPr="00F925B7">
        <w:rPr>
          <w:bCs/>
        </w:rPr>
        <w:t>, 18(18). Available at:</w:t>
      </w:r>
      <w:r>
        <w:rPr>
          <w:bCs/>
        </w:rPr>
        <w:t xml:space="preserve"> </w:t>
      </w:r>
      <w:hyperlink r:id="rId11" w:history="1">
        <w:r w:rsidRPr="00DF292E">
          <w:rPr>
            <w:rStyle w:val="Hyperlink"/>
            <w:bCs/>
          </w:rPr>
          <w:t>https://www.mdpi.com/1660-4601/18/18/9490</w:t>
        </w:r>
      </w:hyperlink>
      <w:r>
        <w:rPr>
          <w:bCs/>
        </w:rPr>
        <w:t xml:space="preserve"> (Accessed: 07/03/2026)</w:t>
      </w:r>
    </w:p>
    <w:p w14:paraId="03328B82" w14:textId="77777777" w:rsidR="00F925B7" w:rsidRDefault="00F925B7" w:rsidP="00EC0BFA">
      <w:pPr>
        <w:spacing w:line="360" w:lineRule="auto"/>
        <w:rPr>
          <w:bCs/>
        </w:rPr>
      </w:pPr>
    </w:p>
    <w:p w14:paraId="4373B5A7" w14:textId="179613D9" w:rsidR="00F925B7" w:rsidRDefault="00F925B7" w:rsidP="00EC0BFA">
      <w:pPr>
        <w:spacing w:line="360" w:lineRule="auto"/>
        <w:rPr>
          <w:bCs/>
        </w:rPr>
      </w:pPr>
      <w:r w:rsidRPr="00F925B7">
        <w:rPr>
          <w:bCs/>
        </w:rPr>
        <w:t xml:space="preserve">Röcke, C., </w:t>
      </w:r>
      <w:proofErr w:type="spellStart"/>
      <w:r w:rsidRPr="00F925B7">
        <w:rPr>
          <w:bCs/>
        </w:rPr>
        <w:t>Wrzus</w:t>
      </w:r>
      <w:proofErr w:type="spellEnd"/>
      <w:r w:rsidRPr="00F925B7">
        <w:rPr>
          <w:bCs/>
        </w:rPr>
        <w:t xml:space="preserve">, C. and Wagner, G.G. (2023) ‘Charting everyday activities in later life: Study protocol of the interdisciplinary Daily Activity and Health Study’, </w:t>
      </w:r>
      <w:r w:rsidRPr="00F925B7">
        <w:rPr>
          <w:bCs/>
          <w:i/>
          <w:iCs/>
        </w:rPr>
        <w:t>Frontiers in Psychology</w:t>
      </w:r>
      <w:r w:rsidRPr="00F925B7">
        <w:rPr>
          <w:bCs/>
        </w:rPr>
        <w:t>, 13. Available at:</w:t>
      </w:r>
      <w:r>
        <w:rPr>
          <w:bCs/>
        </w:rPr>
        <w:t xml:space="preserve"> </w:t>
      </w:r>
      <w:hyperlink r:id="rId12" w:history="1">
        <w:r w:rsidRPr="00DF292E">
          <w:rPr>
            <w:rStyle w:val="Hyperlink"/>
            <w:bCs/>
          </w:rPr>
          <w:t>https://www.frontiersin.org/journals/psychology/articles/10.3389/fpsyg.2022.1011177/full</w:t>
        </w:r>
      </w:hyperlink>
      <w:r>
        <w:rPr>
          <w:bCs/>
        </w:rPr>
        <w:t xml:space="preserve"> (Accessed: </w:t>
      </w:r>
      <w:r w:rsidR="0015420B">
        <w:rPr>
          <w:bCs/>
        </w:rPr>
        <w:t>10/03/2026)</w:t>
      </w:r>
    </w:p>
    <w:p w14:paraId="32FED9D7" w14:textId="77777777" w:rsidR="0015420B" w:rsidRDefault="0015420B" w:rsidP="00EC0BFA">
      <w:pPr>
        <w:spacing w:line="360" w:lineRule="auto"/>
        <w:rPr>
          <w:bCs/>
        </w:rPr>
      </w:pPr>
    </w:p>
    <w:p w14:paraId="41836DAC" w14:textId="59EB7111" w:rsidR="0015420B" w:rsidRDefault="0015420B" w:rsidP="00EC0BFA">
      <w:pPr>
        <w:spacing w:line="360" w:lineRule="auto"/>
        <w:rPr>
          <w:bCs/>
        </w:rPr>
      </w:pPr>
      <w:r w:rsidRPr="0015420B">
        <w:rPr>
          <w:bCs/>
        </w:rPr>
        <w:t xml:space="preserve">Van der </w:t>
      </w:r>
      <w:proofErr w:type="spellStart"/>
      <w:r w:rsidRPr="0015420B">
        <w:rPr>
          <w:bCs/>
        </w:rPr>
        <w:t>Kaap-Deeder</w:t>
      </w:r>
      <w:proofErr w:type="spellEnd"/>
      <w:r w:rsidRPr="0015420B">
        <w:rPr>
          <w:bCs/>
        </w:rPr>
        <w:t xml:space="preserve">, J., et al. (2021) ‘Ego integrity and despair in older adults: The role of basic psychological need satisfaction’, </w:t>
      </w:r>
      <w:r w:rsidRPr="0015420B">
        <w:rPr>
          <w:bCs/>
          <w:i/>
          <w:iCs/>
        </w:rPr>
        <w:t>European Journal of Ageing</w:t>
      </w:r>
      <w:r w:rsidRPr="0015420B">
        <w:rPr>
          <w:bCs/>
        </w:rPr>
        <w:t>. Available at:</w:t>
      </w:r>
      <w:r>
        <w:rPr>
          <w:bCs/>
        </w:rPr>
        <w:t xml:space="preserve"> </w:t>
      </w:r>
      <w:hyperlink r:id="rId13" w:history="1">
        <w:r w:rsidRPr="00DF292E">
          <w:rPr>
            <w:rStyle w:val="Hyperlink"/>
            <w:bCs/>
          </w:rPr>
          <w:t>https://pmc.ncbi.nlm.nih.gov/articles/PMC7914386/</w:t>
        </w:r>
      </w:hyperlink>
      <w:r>
        <w:rPr>
          <w:bCs/>
        </w:rPr>
        <w:t xml:space="preserve"> (Accessed: 05/03/2026)</w:t>
      </w:r>
    </w:p>
    <w:p w14:paraId="262C2737" w14:textId="77777777" w:rsidR="00F925B7" w:rsidRPr="00592570" w:rsidRDefault="00F925B7" w:rsidP="00592570">
      <w:pPr>
        <w:spacing w:line="360" w:lineRule="auto"/>
        <w:rPr>
          <w:bCs/>
          <w:lang w:val="en-GB"/>
        </w:rPr>
      </w:pPr>
    </w:p>
    <w:p w14:paraId="419D592A" w14:textId="5EBA7D18" w:rsidR="00592570" w:rsidRPr="00592570" w:rsidRDefault="00592570" w:rsidP="00592570">
      <w:pPr>
        <w:spacing w:line="360" w:lineRule="auto"/>
        <w:rPr>
          <w:b/>
          <w:u w:val="single"/>
          <w:lang w:val="en-GB"/>
        </w:rPr>
      </w:pPr>
    </w:p>
    <w:p w14:paraId="169731BE" w14:textId="77777777" w:rsidR="00592570" w:rsidRPr="00592570" w:rsidRDefault="00592570" w:rsidP="00592570">
      <w:pPr>
        <w:spacing w:line="360" w:lineRule="auto"/>
        <w:rPr>
          <w:b/>
          <w:u w:val="single"/>
          <w:lang w:val="en-GB"/>
        </w:rPr>
      </w:pPr>
    </w:p>
    <w:p w14:paraId="589F4960" w14:textId="77777777" w:rsidR="00592570" w:rsidRPr="00592570" w:rsidRDefault="00592570" w:rsidP="00592570">
      <w:pPr>
        <w:spacing w:line="360" w:lineRule="auto"/>
        <w:rPr>
          <w:bCs/>
          <w:lang w:val="en-GB"/>
        </w:rPr>
      </w:pPr>
    </w:p>
    <w:p w14:paraId="6AEBCBD7" w14:textId="1EF9C85F" w:rsidR="00592570" w:rsidRPr="00592570" w:rsidRDefault="00592570" w:rsidP="00592570">
      <w:pPr>
        <w:spacing w:line="360" w:lineRule="auto"/>
        <w:rPr>
          <w:bCs/>
          <w:lang w:val="en-GB"/>
        </w:rPr>
      </w:pPr>
    </w:p>
    <w:p w14:paraId="14430CC7" w14:textId="77777777" w:rsidR="0011069A" w:rsidRPr="0011069A" w:rsidRDefault="0011069A" w:rsidP="0011069A">
      <w:pPr>
        <w:spacing w:line="360" w:lineRule="auto"/>
        <w:rPr>
          <w:bCs/>
          <w:lang w:val="en-GB"/>
        </w:rPr>
      </w:pPr>
    </w:p>
    <w:p w14:paraId="5DF49E21" w14:textId="3611A5EE" w:rsidR="008774CA" w:rsidRPr="00402ADD" w:rsidRDefault="007E39F6" w:rsidP="007B4769">
      <w:pPr>
        <w:spacing w:line="360" w:lineRule="auto"/>
        <w:rPr>
          <w:bCs/>
          <w:lang w:val="en-GB"/>
        </w:rPr>
      </w:pPr>
      <w:r w:rsidRPr="007B4769">
        <w:rPr>
          <w:bCs/>
        </w:rPr>
        <w:br/>
      </w:r>
    </w:p>
    <w:p w14:paraId="344808F5" w14:textId="77777777" w:rsidR="007E39F6" w:rsidRDefault="007E39F6"/>
    <w:p w14:paraId="210535B7" w14:textId="77777777" w:rsidR="00A617FC" w:rsidRDefault="00A617FC"/>
    <w:p w14:paraId="38AFF834" w14:textId="7033747A" w:rsidR="00A617FC" w:rsidRDefault="00A617FC"/>
    <w:sectPr w:rsidR="00A617F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97F4D" w14:textId="77777777" w:rsidR="00B40262" w:rsidRDefault="00B40262" w:rsidP="004826A3">
      <w:r>
        <w:separator/>
      </w:r>
    </w:p>
  </w:endnote>
  <w:endnote w:type="continuationSeparator" w:id="0">
    <w:p w14:paraId="24EB13D8" w14:textId="77777777" w:rsidR="00B40262" w:rsidRDefault="00B40262" w:rsidP="00482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7775418"/>
      <w:docPartObj>
        <w:docPartGallery w:val="Page Numbers (Bottom of Page)"/>
        <w:docPartUnique/>
      </w:docPartObj>
    </w:sdtPr>
    <w:sdtEndPr>
      <w:rPr>
        <w:noProof/>
      </w:rPr>
    </w:sdtEndPr>
    <w:sdtContent>
      <w:p w14:paraId="172C62FD" w14:textId="16CB6270" w:rsidR="004826A3" w:rsidRDefault="004826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AE97F3" w14:textId="77777777" w:rsidR="004826A3" w:rsidRDefault="004826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FC2EF" w14:textId="77777777" w:rsidR="00B40262" w:rsidRDefault="00B40262" w:rsidP="004826A3">
      <w:r>
        <w:separator/>
      </w:r>
    </w:p>
  </w:footnote>
  <w:footnote w:type="continuationSeparator" w:id="0">
    <w:p w14:paraId="6A403515" w14:textId="77777777" w:rsidR="00B40262" w:rsidRDefault="00B40262" w:rsidP="004826A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9F6"/>
    <w:rsid w:val="000772E3"/>
    <w:rsid w:val="0011069A"/>
    <w:rsid w:val="0015420B"/>
    <w:rsid w:val="00166765"/>
    <w:rsid w:val="003D767D"/>
    <w:rsid w:val="00402ADD"/>
    <w:rsid w:val="004826A3"/>
    <w:rsid w:val="00592570"/>
    <w:rsid w:val="006077E1"/>
    <w:rsid w:val="006C4A64"/>
    <w:rsid w:val="007B4769"/>
    <w:rsid w:val="007E39F6"/>
    <w:rsid w:val="0086180B"/>
    <w:rsid w:val="008774CA"/>
    <w:rsid w:val="00973147"/>
    <w:rsid w:val="00A617FC"/>
    <w:rsid w:val="00B40262"/>
    <w:rsid w:val="00E32027"/>
    <w:rsid w:val="00EC0BFA"/>
    <w:rsid w:val="00F925B7"/>
    <w:rsid w:val="00FB76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F2A9A"/>
  <w15:chartTrackingRefBased/>
  <w15:docId w15:val="{0FB0FB96-3582-4730-B953-028F61CD8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9F6"/>
    <w:pPr>
      <w:widowControl w:val="0"/>
      <w:autoSpaceDE w:val="0"/>
      <w:autoSpaceDN w:val="0"/>
      <w:spacing w:after="0" w:line="240" w:lineRule="auto"/>
    </w:pPr>
    <w:rPr>
      <w:rFonts w:ascii="Arial" w:eastAsia="Arial" w:hAnsi="Arial" w:cs="Arial"/>
      <w:kern w:val="0"/>
      <w:sz w:val="22"/>
      <w:szCs w:val="22"/>
      <w:lang w:val="en-US"/>
      <w14:ligatures w14:val="none"/>
    </w:rPr>
  </w:style>
  <w:style w:type="paragraph" w:styleId="Heading1">
    <w:name w:val="heading 1"/>
    <w:basedOn w:val="Normal"/>
    <w:next w:val="Normal"/>
    <w:link w:val="Heading1Char"/>
    <w:uiPriority w:val="9"/>
    <w:qFormat/>
    <w:rsid w:val="007E39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E39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E39F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E39F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E39F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E39F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39F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39F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39F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39F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E39F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E39F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E39F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E39F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E39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39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39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39F6"/>
    <w:rPr>
      <w:rFonts w:eastAsiaTheme="majorEastAsia" w:cstheme="majorBidi"/>
      <w:color w:val="272727" w:themeColor="text1" w:themeTint="D8"/>
    </w:rPr>
  </w:style>
  <w:style w:type="paragraph" w:styleId="Title">
    <w:name w:val="Title"/>
    <w:basedOn w:val="Normal"/>
    <w:next w:val="Normal"/>
    <w:link w:val="TitleChar"/>
    <w:uiPriority w:val="10"/>
    <w:qFormat/>
    <w:rsid w:val="007E39F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39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39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39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39F6"/>
    <w:pPr>
      <w:spacing w:before="160"/>
      <w:jc w:val="center"/>
    </w:pPr>
    <w:rPr>
      <w:i/>
      <w:iCs/>
      <w:color w:val="404040" w:themeColor="text1" w:themeTint="BF"/>
    </w:rPr>
  </w:style>
  <w:style w:type="character" w:customStyle="1" w:styleId="QuoteChar">
    <w:name w:val="Quote Char"/>
    <w:basedOn w:val="DefaultParagraphFont"/>
    <w:link w:val="Quote"/>
    <w:uiPriority w:val="29"/>
    <w:rsid w:val="007E39F6"/>
    <w:rPr>
      <w:i/>
      <w:iCs/>
      <w:color w:val="404040" w:themeColor="text1" w:themeTint="BF"/>
    </w:rPr>
  </w:style>
  <w:style w:type="paragraph" w:styleId="ListParagraph">
    <w:name w:val="List Paragraph"/>
    <w:basedOn w:val="Normal"/>
    <w:uiPriority w:val="34"/>
    <w:qFormat/>
    <w:rsid w:val="007E39F6"/>
    <w:pPr>
      <w:ind w:left="720"/>
      <w:contextualSpacing/>
    </w:pPr>
  </w:style>
  <w:style w:type="character" w:styleId="IntenseEmphasis">
    <w:name w:val="Intense Emphasis"/>
    <w:basedOn w:val="DefaultParagraphFont"/>
    <w:uiPriority w:val="21"/>
    <w:qFormat/>
    <w:rsid w:val="007E39F6"/>
    <w:rPr>
      <w:i/>
      <w:iCs/>
      <w:color w:val="2F5496" w:themeColor="accent1" w:themeShade="BF"/>
    </w:rPr>
  </w:style>
  <w:style w:type="paragraph" w:styleId="IntenseQuote">
    <w:name w:val="Intense Quote"/>
    <w:basedOn w:val="Normal"/>
    <w:next w:val="Normal"/>
    <w:link w:val="IntenseQuoteChar"/>
    <w:uiPriority w:val="30"/>
    <w:qFormat/>
    <w:rsid w:val="007E39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E39F6"/>
    <w:rPr>
      <w:i/>
      <w:iCs/>
      <w:color w:val="2F5496" w:themeColor="accent1" w:themeShade="BF"/>
    </w:rPr>
  </w:style>
  <w:style w:type="character" w:styleId="IntenseReference">
    <w:name w:val="Intense Reference"/>
    <w:basedOn w:val="DefaultParagraphFont"/>
    <w:uiPriority w:val="32"/>
    <w:qFormat/>
    <w:rsid w:val="007E39F6"/>
    <w:rPr>
      <w:b/>
      <w:bCs/>
      <w:smallCaps/>
      <w:color w:val="2F5496" w:themeColor="accent1" w:themeShade="BF"/>
      <w:spacing w:val="5"/>
    </w:rPr>
  </w:style>
  <w:style w:type="paragraph" w:customStyle="1" w:styleId="TableParagraph">
    <w:name w:val="Table Paragraph"/>
    <w:basedOn w:val="Normal"/>
    <w:uiPriority w:val="1"/>
    <w:qFormat/>
    <w:rsid w:val="007E39F6"/>
  </w:style>
  <w:style w:type="character" w:styleId="Hyperlink">
    <w:name w:val="Hyperlink"/>
    <w:basedOn w:val="DefaultParagraphFont"/>
    <w:uiPriority w:val="99"/>
    <w:unhideWhenUsed/>
    <w:rsid w:val="00402ADD"/>
    <w:rPr>
      <w:color w:val="0563C1" w:themeColor="hyperlink"/>
      <w:u w:val="single"/>
    </w:rPr>
  </w:style>
  <w:style w:type="character" w:styleId="UnresolvedMention">
    <w:name w:val="Unresolved Mention"/>
    <w:basedOn w:val="DefaultParagraphFont"/>
    <w:uiPriority w:val="99"/>
    <w:semiHidden/>
    <w:unhideWhenUsed/>
    <w:rsid w:val="00402ADD"/>
    <w:rPr>
      <w:color w:val="605E5C"/>
      <w:shd w:val="clear" w:color="auto" w:fill="E1DFDD"/>
    </w:rPr>
  </w:style>
  <w:style w:type="paragraph" w:styleId="NormalWeb">
    <w:name w:val="Normal (Web)"/>
    <w:basedOn w:val="Normal"/>
    <w:uiPriority w:val="99"/>
    <w:semiHidden/>
    <w:unhideWhenUsed/>
    <w:rsid w:val="00592570"/>
    <w:rPr>
      <w:rFonts w:ascii="Times New Roman" w:hAnsi="Times New Roman" w:cs="Times New Roman"/>
      <w:sz w:val="24"/>
      <w:szCs w:val="24"/>
    </w:rPr>
  </w:style>
  <w:style w:type="paragraph" w:styleId="Header">
    <w:name w:val="header"/>
    <w:basedOn w:val="Normal"/>
    <w:link w:val="HeaderChar"/>
    <w:uiPriority w:val="99"/>
    <w:unhideWhenUsed/>
    <w:rsid w:val="004826A3"/>
    <w:pPr>
      <w:tabs>
        <w:tab w:val="center" w:pos="4513"/>
        <w:tab w:val="right" w:pos="9026"/>
      </w:tabs>
    </w:pPr>
  </w:style>
  <w:style w:type="character" w:customStyle="1" w:styleId="HeaderChar">
    <w:name w:val="Header Char"/>
    <w:basedOn w:val="DefaultParagraphFont"/>
    <w:link w:val="Header"/>
    <w:uiPriority w:val="99"/>
    <w:rsid w:val="004826A3"/>
    <w:rPr>
      <w:rFonts w:ascii="Arial" w:eastAsia="Arial" w:hAnsi="Arial" w:cs="Arial"/>
      <w:kern w:val="0"/>
      <w:sz w:val="22"/>
      <w:szCs w:val="22"/>
      <w:lang w:val="en-US"/>
      <w14:ligatures w14:val="none"/>
    </w:rPr>
  </w:style>
  <w:style w:type="paragraph" w:styleId="Footer">
    <w:name w:val="footer"/>
    <w:basedOn w:val="Normal"/>
    <w:link w:val="FooterChar"/>
    <w:uiPriority w:val="99"/>
    <w:unhideWhenUsed/>
    <w:rsid w:val="004826A3"/>
    <w:pPr>
      <w:tabs>
        <w:tab w:val="center" w:pos="4513"/>
        <w:tab w:val="right" w:pos="9026"/>
      </w:tabs>
    </w:pPr>
  </w:style>
  <w:style w:type="character" w:customStyle="1" w:styleId="FooterChar">
    <w:name w:val="Footer Char"/>
    <w:basedOn w:val="DefaultParagraphFont"/>
    <w:link w:val="Footer"/>
    <w:uiPriority w:val="99"/>
    <w:rsid w:val="004826A3"/>
    <w:rPr>
      <w:rFonts w:ascii="Arial" w:eastAsia="Arial" w:hAnsi="Arial" w:cs="Arial"/>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ntiersin.org/journals/psychology/articles/10.3389/fpsyg.2022.1011177/full" TargetMode="External"/><Relationship Id="rId13" Type="http://schemas.openxmlformats.org/officeDocument/2006/relationships/hyperlink" Target="https://pmc.ncbi.nlm.nih.gov/articles/PMC7914386/" TargetMode="External"/><Relationship Id="rId3" Type="http://schemas.openxmlformats.org/officeDocument/2006/relationships/webSettings" Target="webSettings.xml"/><Relationship Id="rId7" Type="http://schemas.openxmlformats.org/officeDocument/2006/relationships/hyperlink" Target="https://pmc.ncbi.nlm.nih.gov/articles/PMC7914386/" TargetMode="External"/><Relationship Id="rId12" Type="http://schemas.openxmlformats.org/officeDocument/2006/relationships/hyperlink" Target="https://www.frontiersin.org/journals/psychology/articles/10.3389/fpsyg.2022.1011177/full"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mdpi.com/1660-4601/18/18/9490" TargetMode="External"/><Relationship Id="rId11" Type="http://schemas.openxmlformats.org/officeDocument/2006/relationships/hyperlink" Target="https://www.mdpi.com/1660-4601/18/18/9490"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cambridge.org/core/journals/ageing-and-society/article/critical-review-of-the-literature-on-social-and-leisure-activity-and-wellbeing-in-later-life/2F2A22FDE0F28D435F56D6E69B25FF9E" TargetMode="External"/><Relationship Id="rId4" Type="http://schemas.openxmlformats.org/officeDocument/2006/relationships/footnotes" Target="footnotes.xml"/><Relationship Id="rId9" Type="http://schemas.openxmlformats.org/officeDocument/2006/relationships/hyperlink" Target="https://www.cambridge.org/core/journals/ageing-and-society/article/critical-review-of-the-literature-on-social-and-leisure-activity-and-wellbeing-in-later-life/2F2A22FDE0F28D435F56D6E69B25FF9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2345</Words>
  <Characters>13371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Haleemah Akhtar (2432717)</dc:creator>
  <cp:keywords/>
  <dc:description/>
  <cp:lastModifiedBy>Haleemah Akhtar (2432717)</cp:lastModifiedBy>
  <cp:revision>5</cp:revision>
  <dcterms:created xsi:type="dcterms:W3CDTF">2026-03-10T12:11:00Z</dcterms:created>
  <dcterms:modified xsi:type="dcterms:W3CDTF">2026-03-22T15:23:00Z</dcterms:modified>
</cp:coreProperties>
</file>