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FA4" w:rsidRDefault="00BA00FC">
      <w:r>
        <w:t xml:space="preserve">Sophie Megan JOSEPH </w:t>
      </w:r>
    </w:p>
    <w:p w:rsidR="00BA00FC" w:rsidRDefault="00BA00FC">
      <w:r>
        <w:t>SWP 6910</w:t>
      </w:r>
    </w:p>
    <w:p w:rsidR="00BA00FC" w:rsidRDefault="00BA00FC">
      <w:r>
        <w:t>2029484</w:t>
      </w:r>
    </w:p>
    <w:p w:rsidR="00BA00FC" w:rsidRDefault="00BA00FC">
      <w:r>
        <w:t>Exam 2</w:t>
      </w:r>
    </w:p>
    <w:p w:rsidR="00BA00FC" w:rsidRDefault="00BA00FC">
      <w:r>
        <w:t>23</w:t>
      </w:r>
      <w:r w:rsidRPr="00BA00FC">
        <w:rPr>
          <w:vertAlign w:val="superscript"/>
        </w:rPr>
        <w:t>rd</w:t>
      </w:r>
      <w:r>
        <w:t xml:space="preserve"> August 2021 </w:t>
      </w:r>
    </w:p>
    <w:p w:rsidR="00BA00FC" w:rsidRDefault="00BA00FC"/>
    <w:p w:rsidR="005E209F" w:rsidRDefault="005E209F" w:rsidP="005E209F">
      <w:pPr>
        <w:pStyle w:val="ListParagraph"/>
        <w:numPr>
          <w:ilvl w:val="0"/>
          <w:numId w:val="1"/>
        </w:numPr>
      </w:pPr>
      <w:r>
        <w:t>Section 163 Road Traffic Act 1988.</w:t>
      </w:r>
    </w:p>
    <w:p w:rsidR="005E209F" w:rsidRDefault="005E209F" w:rsidP="005E209F">
      <w:pPr>
        <w:pStyle w:val="ListParagraph"/>
      </w:pPr>
      <w:r>
        <w:t xml:space="preserve">A person driving a mechanically propelled vehicle on a road must stop the vehicle on being required to do so by a constable in uniform or a traffic officer. A person riding a cycle on a road must stop the vehicle on being required to do so by a constable in uniform or a traffic officer. If a person fails to comply with this section he is guilty of an offence. </w:t>
      </w:r>
    </w:p>
    <w:p w:rsidR="005E209F" w:rsidRDefault="005E209F" w:rsidP="005E209F">
      <w:pPr>
        <w:pStyle w:val="ListParagraph"/>
      </w:pPr>
    </w:p>
    <w:p w:rsidR="005E209F" w:rsidRDefault="005E209F" w:rsidP="005E209F">
      <w:pPr>
        <w:pStyle w:val="ListParagraph"/>
      </w:pPr>
    </w:p>
    <w:p w:rsidR="00102BBF" w:rsidRDefault="00102BBF" w:rsidP="00102BBF">
      <w:pPr>
        <w:pStyle w:val="ListParagraph"/>
        <w:numPr>
          <w:ilvl w:val="0"/>
          <w:numId w:val="1"/>
        </w:numPr>
      </w:pPr>
      <w:r>
        <w:t>If any of the subsections (2) to (5) apply, a constable in uniform has the power to require any person to cooperate with any one or more preliminary test</w:t>
      </w:r>
    </w:p>
    <w:p w:rsidR="00102BBF" w:rsidRDefault="00102BBF" w:rsidP="00102BBF">
      <w:pPr>
        <w:pStyle w:val="ListParagraph"/>
      </w:pPr>
      <w:r>
        <w:t>This subsection 6 (4) applies if a constable reasonably suspects that a person</w:t>
      </w:r>
    </w:p>
    <w:p w:rsidR="00102BBF" w:rsidRDefault="00102BBF" w:rsidP="00102BBF">
      <w:pPr>
        <w:pStyle w:val="ListParagraph"/>
        <w:numPr>
          <w:ilvl w:val="0"/>
          <w:numId w:val="3"/>
        </w:numPr>
      </w:pPr>
      <w:r>
        <w:t>Is or has been driving, attempting to drive or in charge of a motor vehicle on a road, and</w:t>
      </w:r>
    </w:p>
    <w:p w:rsidR="00102BBF" w:rsidRDefault="00102BBF" w:rsidP="00102BBF">
      <w:pPr>
        <w:pStyle w:val="ListParagraph"/>
        <w:numPr>
          <w:ilvl w:val="0"/>
          <w:numId w:val="3"/>
        </w:numPr>
      </w:pPr>
      <w:r>
        <w:t>Has committed a traffic offence whilst the vehicle is in motion</w:t>
      </w:r>
    </w:p>
    <w:p w:rsidR="00102BBF" w:rsidRDefault="00102BBF" w:rsidP="00102BBF"/>
    <w:p w:rsidR="00102BBF" w:rsidRDefault="00102BBF" w:rsidP="00102BBF">
      <w:pPr>
        <w:pStyle w:val="ListParagraph"/>
        <w:numPr>
          <w:ilvl w:val="0"/>
          <w:numId w:val="1"/>
        </w:numPr>
      </w:pPr>
      <w:r>
        <w:t>Section 3 of the Road Traffic Act 1988 states:</w:t>
      </w:r>
    </w:p>
    <w:p w:rsidR="00102BBF" w:rsidRDefault="00102BBF" w:rsidP="00102BBF">
      <w:pPr>
        <w:pStyle w:val="ListParagraph"/>
      </w:pPr>
      <w:r>
        <w:t xml:space="preserve">A person who drives a mechanically propelled vehicle on a road or public place without due care and attention or without reasonable consideration for other persons using the road is guilty of an offence. </w:t>
      </w:r>
    </w:p>
    <w:p w:rsidR="00102BBF" w:rsidRDefault="00102BBF" w:rsidP="00102BBF"/>
    <w:p w:rsidR="00102BBF" w:rsidRDefault="00102BBF" w:rsidP="00102BBF">
      <w:pPr>
        <w:pStyle w:val="ListParagraph"/>
        <w:numPr>
          <w:ilvl w:val="0"/>
          <w:numId w:val="1"/>
        </w:numPr>
      </w:pPr>
      <w:r w:rsidRPr="00A04C19">
        <w:t xml:space="preserve">The effective use of roads policing powers can help to reduce wider unlawful activity of criminals by through utilising powers such as Section </w:t>
      </w:r>
      <w:r w:rsidR="00A04C19">
        <w:t xml:space="preserve">4 PACE the power to stop a vehicle and conduct road check to identify whether a vehicle is carrying </w:t>
      </w:r>
    </w:p>
    <w:p w:rsidR="00A04C19" w:rsidRDefault="00A04C19" w:rsidP="00A04C19">
      <w:pPr>
        <w:pStyle w:val="ListParagraph"/>
        <w:numPr>
          <w:ilvl w:val="0"/>
          <w:numId w:val="11"/>
        </w:numPr>
      </w:pPr>
      <w:r>
        <w:t>A person who has committed an offence other than a road traffic offence or vehicle excise offence</w:t>
      </w:r>
    </w:p>
    <w:p w:rsidR="00A04C19" w:rsidRDefault="00A04C19" w:rsidP="00A04C19">
      <w:pPr>
        <w:pStyle w:val="ListParagraph"/>
        <w:numPr>
          <w:ilvl w:val="0"/>
          <w:numId w:val="11"/>
        </w:numPr>
      </w:pPr>
      <w:r>
        <w:t>A person who is witness to such offence</w:t>
      </w:r>
    </w:p>
    <w:p w:rsidR="00A04C19" w:rsidRDefault="00A04C19" w:rsidP="00A04C19">
      <w:pPr>
        <w:pStyle w:val="ListParagraph"/>
        <w:numPr>
          <w:ilvl w:val="0"/>
          <w:numId w:val="11"/>
        </w:numPr>
      </w:pPr>
      <w:r>
        <w:t>A person who is about to commit such offence</w:t>
      </w:r>
    </w:p>
    <w:p w:rsidR="00A04C19" w:rsidRDefault="00A04C19" w:rsidP="00A04C19">
      <w:pPr>
        <w:pStyle w:val="ListParagraph"/>
        <w:numPr>
          <w:ilvl w:val="0"/>
          <w:numId w:val="11"/>
        </w:numPr>
      </w:pPr>
      <w:r>
        <w:t>A person unlawfully at large</w:t>
      </w:r>
    </w:p>
    <w:p w:rsidR="00A04C19" w:rsidRPr="00A04C19" w:rsidRDefault="00A04C19" w:rsidP="00A04C19">
      <w:pPr>
        <w:ind w:left="720"/>
      </w:pPr>
      <w:r>
        <w:t xml:space="preserve">The effective use of roads policing powers can also disrupt criminality such as county lines where persons are travelling across borders and countries. </w:t>
      </w:r>
    </w:p>
    <w:p w:rsidR="00102BBF" w:rsidRDefault="00102BBF" w:rsidP="00102BBF">
      <w:pPr>
        <w:pStyle w:val="ListParagraph"/>
        <w:rPr>
          <w:highlight w:val="yellow"/>
        </w:rPr>
      </w:pPr>
    </w:p>
    <w:p w:rsidR="00102BBF" w:rsidRPr="00102BBF" w:rsidRDefault="00102BBF" w:rsidP="00102BBF">
      <w:pPr>
        <w:pStyle w:val="ListParagraph"/>
        <w:rPr>
          <w:highlight w:val="yellow"/>
        </w:rPr>
      </w:pPr>
    </w:p>
    <w:p w:rsidR="00102BBF" w:rsidRDefault="00102BBF" w:rsidP="00102BBF">
      <w:pPr>
        <w:pStyle w:val="ListParagraph"/>
        <w:numPr>
          <w:ilvl w:val="0"/>
          <w:numId w:val="1"/>
        </w:numPr>
      </w:pPr>
      <w:r>
        <w:t>If a constable has reasonable grounds to suspect that person driving/having driven a motor vehicle on a road with no insurance, no driving license or otherwise than in accordance with a licence, or fails to stop and the constable has reasonable grounds to suspect the above then the vehicle is seized. Contrary to Section 165A Road Traffic Act 1988.</w:t>
      </w:r>
    </w:p>
    <w:p w:rsidR="00102BBF" w:rsidRDefault="00102BBF" w:rsidP="00102BBF">
      <w:pPr>
        <w:pStyle w:val="ListParagraph"/>
      </w:pPr>
    </w:p>
    <w:p w:rsidR="00102BBF" w:rsidRDefault="00102BBF" w:rsidP="00102BBF">
      <w:pPr>
        <w:pStyle w:val="ListParagraph"/>
      </w:pPr>
    </w:p>
    <w:p w:rsidR="00102BBF" w:rsidRDefault="00102BBF" w:rsidP="00102BBF">
      <w:pPr>
        <w:pStyle w:val="ListParagraph"/>
        <w:numPr>
          <w:ilvl w:val="0"/>
          <w:numId w:val="1"/>
        </w:numPr>
      </w:pPr>
      <w:r>
        <w:t>Owing to the presence of a mechanically propelled vehicle (MPV) on a road or other public place, an accident occurs whereby personal injury is caused to a person other than the driver of that MPV, or,</w:t>
      </w:r>
    </w:p>
    <w:p w:rsidR="00102BBF" w:rsidRDefault="00102BBF" w:rsidP="00102BBF">
      <w:pPr>
        <w:pStyle w:val="ListParagraph"/>
      </w:pPr>
      <w:r>
        <w:t>damage is caused to a vehicle other than that MPV or any trailer being drawn by it, or</w:t>
      </w:r>
    </w:p>
    <w:p w:rsidR="00102BBF" w:rsidRDefault="00102BBF" w:rsidP="00102BBF">
      <w:pPr>
        <w:pStyle w:val="ListParagraph"/>
      </w:pPr>
      <w:r>
        <w:t>damage is caused to an animal other than one in or on that MPV or any trailer being drawn by it, or</w:t>
      </w:r>
    </w:p>
    <w:p w:rsidR="00102BBF" w:rsidRDefault="00102BBF" w:rsidP="00102BBF">
      <w:pPr>
        <w:pStyle w:val="ListParagraph"/>
      </w:pPr>
      <w:r>
        <w:t xml:space="preserve">damage is caused to property constructed on, fixed to, growing in, or otherwise forming part of the land in which the road or place in question is situated or land adjacent to such land. </w:t>
      </w:r>
      <w:r w:rsidR="00330E25">
        <w:t>Contrary to Section 170(1) Road Traffic Act 1988.</w:t>
      </w:r>
    </w:p>
    <w:p w:rsidR="00330E25" w:rsidRDefault="00330E25" w:rsidP="00330E25"/>
    <w:p w:rsidR="00330E25" w:rsidRDefault="00330E25" w:rsidP="00330E25">
      <w:pPr>
        <w:pStyle w:val="ListParagraph"/>
        <w:numPr>
          <w:ilvl w:val="0"/>
          <w:numId w:val="1"/>
        </w:numPr>
      </w:pPr>
      <w:r>
        <w:t xml:space="preserve">A Family Liaison Officer (FLO) is a specially trained officer who has the responsibility of being the link between a victim’s family and the Senior Investigating Officer (SIO) when there has been a fatal road traffic collision. The FLO is primarily there to investigate and provide information that is vital to the investigation. The role of the FLO also involves providing updates and information to the victim’s family in a timely manner, as well as coordinating scene visits and identification of the victim, where appropriate. The FLO is there to assist the family, however, they are not counsellors and as such should provide information to the family on sources of support such as Roadpeace, Brake, Victim Support etc. </w:t>
      </w:r>
    </w:p>
    <w:p w:rsidR="00330E25" w:rsidRDefault="00330E25" w:rsidP="00330E25">
      <w:pPr>
        <w:pStyle w:val="ListParagraph"/>
      </w:pPr>
    </w:p>
    <w:p w:rsidR="00330E25" w:rsidRDefault="00330E25" w:rsidP="00330E25">
      <w:pPr>
        <w:pStyle w:val="ListParagraph"/>
      </w:pPr>
      <w:r>
        <w:t xml:space="preserve">If the road traffic collision involves multiple fatalities then the FLO will report back to a Family Liaison Coordinator (FLC) who will then feedback to the SIO. Any contact that the FLO has with the family must be documented. </w:t>
      </w:r>
    </w:p>
    <w:p w:rsidR="00330E25" w:rsidRDefault="00330E25" w:rsidP="00330E25">
      <w:pPr>
        <w:pStyle w:val="ListParagraph"/>
      </w:pPr>
    </w:p>
    <w:p w:rsidR="00330E25" w:rsidRDefault="00330E25" w:rsidP="00330E25">
      <w:pPr>
        <w:pStyle w:val="ListParagraph"/>
        <w:numPr>
          <w:ilvl w:val="0"/>
          <w:numId w:val="1"/>
        </w:numPr>
      </w:pPr>
      <w:r>
        <w:t xml:space="preserve">Contrary to Section 170 of the Road Traffic Act 1988, a driver of a mechanically propelled vehicle who has been involved in a road traffic collision must stop and remain at the scene for as long as is sufficient to allow any person, who has reasonably grounds for doing so, to return to the scene and request from the driver directly and personally their details. The details that must be provided are the name and address of the driver of the vehicle, the name and address of the owner of the vehicle and the vehicle registration or ID. If personal injury or damage to property has occurred then the driver must provide insurance details. If a person fails to provide these details or report the road traffic collision, then they must attend a police station in person to report as soon as reasonably practicable, or in any case within 24 hours. </w:t>
      </w:r>
    </w:p>
    <w:p w:rsidR="00330E25" w:rsidRDefault="00330E25" w:rsidP="00330E25">
      <w:pPr>
        <w:pStyle w:val="ListParagraph"/>
      </w:pPr>
    </w:p>
    <w:p w:rsidR="000411B0" w:rsidRDefault="000411B0" w:rsidP="000411B0">
      <w:pPr>
        <w:pStyle w:val="ListParagraph"/>
        <w:numPr>
          <w:ilvl w:val="0"/>
          <w:numId w:val="1"/>
        </w:numPr>
      </w:pPr>
      <w:r>
        <w:t>Under section 6E of the Road Traffic Act 1988: A constable may enter any premises, using reasonable force if necessary, in order to:</w:t>
      </w:r>
    </w:p>
    <w:p w:rsidR="000411B0" w:rsidRDefault="000411B0" w:rsidP="000411B0">
      <w:pPr>
        <w:pStyle w:val="ListParagraph"/>
      </w:pPr>
      <w:r>
        <w:t>Require a person reasonably believed to be driving, attempting to drive, or in charge of a mechanically propelled vehicle whilst u</w:t>
      </w:r>
      <w:r w:rsidR="00EC2457">
        <w:t>nfit to drive through alcohol or drugs or u</w:t>
      </w:r>
      <w:r>
        <w:t>nder the influence of a drug to provide a preliminary test, or</w:t>
      </w:r>
    </w:p>
    <w:p w:rsidR="000411B0" w:rsidRDefault="000411B0" w:rsidP="000411B0">
      <w:pPr>
        <w:pStyle w:val="ListParagraph"/>
      </w:pPr>
      <w:r>
        <w:t xml:space="preserve">Arrest a person who has provided a positive breath test, or </w:t>
      </w:r>
    </w:p>
    <w:p w:rsidR="000411B0" w:rsidRDefault="000411B0" w:rsidP="000411B0">
      <w:pPr>
        <w:pStyle w:val="ListParagraph"/>
      </w:pPr>
      <w:r>
        <w:t xml:space="preserve">Arrest a person who is/was driving, attempting to drive, or in charge of a motor vehicle </w:t>
      </w:r>
      <w:r w:rsidR="00A04C19">
        <w:t>whom he has reasonable grounds to believe to have alcohol or drugs in his body or be under the influence of a drug</w:t>
      </w:r>
      <w:r w:rsidR="00EC2457">
        <w:t xml:space="preserve"> and failed to stop</w:t>
      </w:r>
      <w:bookmarkStart w:id="0" w:name="_GoBack"/>
      <w:bookmarkEnd w:id="0"/>
    </w:p>
    <w:p w:rsidR="000411B0" w:rsidRDefault="000411B0" w:rsidP="000411B0">
      <w:pPr>
        <w:pStyle w:val="ListParagraph"/>
      </w:pPr>
    </w:p>
    <w:p w:rsidR="000411B0" w:rsidRDefault="000411B0" w:rsidP="000411B0">
      <w:pPr>
        <w:pStyle w:val="ListParagraph"/>
        <w:numPr>
          <w:ilvl w:val="0"/>
          <w:numId w:val="1"/>
        </w:numPr>
      </w:pPr>
      <w:r>
        <w:lastRenderedPageBreak/>
        <w:t xml:space="preserve">A person who causes the death of another person by driving a mechanically propelled vehicle dangerously on a road or other public place is guilty of an offence. Section 1 Road Traffic Act 1988. </w:t>
      </w:r>
    </w:p>
    <w:p w:rsidR="000411B0" w:rsidRDefault="000411B0" w:rsidP="000411B0">
      <w:pPr>
        <w:pStyle w:val="ListParagraph"/>
      </w:pPr>
    </w:p>
    <w:p w:rsidR="000411B0" w:rsidRDefault="000411B0" w:rsidP="000411B0">
      <w:pPr>
        <w:pStyle w:val="ListParagraph"/>
        <w:numPr>
          <w:ilvl w:val="0"/>
          <w:numId w:val="1"/>
        </w:numPr>
      </w:pPr>
      <w:r>
        <w:t xml:space="preserve">The prescribed limit for alcohol in a persons’ breath is 35 micrograms per 100 millilitres of breath, 80 milligrams of alcohol per 100 millilitres of blood and 107 millilitres of alcohol per 100 millilitres of urine. The prescribed limit for drug-driving related offences are 10 milligrams of cocaine per 100 millilitres of blood and 2 milligrams of cannabis (tetra-hydrocannabinoid (THC)) per 100 millilitres of urine. </w:t>
      </w:r>
    </w:p>
    <w:p w:rsidR="000411B0" w:rsidRDefault="000411B0" w:rsidP="000411B0">
      <w:pPr>
        <w:pStyle w:val="ListParagraph"/>
      </w:pPr>
    </w:p>
    <w:p w:rsidR="000411B0" w:rsidRDefault="000411B0" w:rsidP="000411B0">
      <w:pPr>
        <w:pStyle w:val="ListParagraph"/>
      </w:pPr>
    </w:p>
    <w:p w:rsidR="000411B0" w:rsidRDefault="000411B0" w:rsidP="000411B0">
      <w:pPr>
        <w:pStyle w:val="ListParagraph"/>
      </w:pPr>
    </w:p>
    <w:p w:rsidR="000411B0" w:rsidRDefault="002D5A1F" w:rsidP="002D5A1F">
      <w:pPr>
        <w:pStyle w:val="ListParagraph"/>
        <w:numPr>
          <w:ilvl w:val="0"/>
          <w:numId w:val="1"/>
        </w:numPr>
      </w:pPr>
      <w:r>
        <w:t xml:space="preserve">During a suspect interview there may be an interpreter present, the purpose of an interpreter is to translate the conversation if English is not the suspects’ first language. The interpreter may translate the full interview between the interviewing officer and suspect, or may translate only parts where the suspect does not fully understand. Also present during a suspect interview may be a legal representative (solicitor) who will be there to protect the rights of their client and ensure the interview is being conducted within the Police and Criminal Evidence compliance guidelines. The legal representative may provide advice to their client but cannot speak on their behalf. Finally, there may be an Appropriate Adult in attendance at the interview if the suspect has additional learning needs which means they require a person to assist them in understanding what is being asked of them. </w:t>
      </w:r>
    </w:p>
    <w:p w:rsidR="002D5A1F" w:rsidRDefault="002D5A1F" w:rsidP="002D5A1F">
      <w:pPr>
        <w:pStyle w:val="ListParagraph"/>
      </w:pPr>
    </w:p>
    <w:p w:rsidR="002D5A1F" w:rsidRDefault="002D5A1F" w:rsidP="002D5A1F">
      <w:pPr>
        <w:pStyle w:val="ListParagraph"/>
        <w:numPr>
          <w:ilvl w:val="0"/>
          <w:numId w:val="1"/>
        </w:numPr>
      </w:pPr>
      <w:r>
        <w:t>PEACE is the national police interviewing model that was created to ensure continuity and consistency across all police forces. The PEACE model has been implemented in all UK police forces and can be outlined as follows:</w:t>
      </w:r>
    </w:p>
    <w:p w:rsidR="002D5A1F" w:rsidRDefault="002D5A1F" w:rsidP="002D5A1F">
      <w:pPr>
        <w:pStyle w:val="ListParagraph"/>
      </w:pPr>
    </w:p>
    <w:p w:rsidR="002D5A1F" w:rsidRDefault="002D5A1F" w:rsidP="002D5A1F">
      <w:pPr>
        <w:pStyle w:val="ListParagraph"/>
      </w:pPr>
      <w:r>
        <w:t>Planning and Preparation – this is the first phase before the interview takes place where the interviewing officer must familiarise themselves with any action taken so far, the details of the case and prepare for the interview. It involves things such as planning a location (for a witness interview) and catering to the witness’ needs. The interviewing officer should devise a plan including topics that they wish to be covered during the interview, and the points to prove for the offence.</w:t>
      </w:r>
    </w:p>
    <w:p w:rsidR="002D5A1F" w:rsidRDefault="002D5A1F" w:rsidP="002D5A1F">
      <w:pPr>
        <w:pStyle w:val="ListParagraph"/>
      </w:pPr>
    </w:p>
    <w:p w:rsidR="002D5A1F" w:rsidRDefault="002D5A1F" w:rsidP="002D5A1F">
      <w:pPr>
        <w:pStyle w:val="ListParagraph"/>
      </w:pPr>
      <w:r>
        <w:t>Engage and Explain – the second stage is where you meet the witness/suspect at the interview and explain how the interview will run. For a witness interview this can involve greeting them, engaging in non-threatening conversation to make them feel comfortable. It is then pertinent to explain the reason for the person being there, the routine or how the interview will run and the route map (what will happen following the interview). The prospect of court must also be mentioned at this stage, and potential special measures for a witness.</w:t>
      </w:r>
    </w:p>
    <w:p w:rsidR="002D5A1F" w:rsidRDefault="002D5A1F" w:rsidP="002D5A1F">
      <w:pPr>
        <w:pStyle w:val="ListParagraph"/>
      </w:pPr>
    </w:p>
    <w:p w:rsidR="002D5A1F" w:rsidRDefault="002D5A1F" w:rsidP="002D5A1F">
      <w:pPr>
        <w:pStyle w:val="ListParagraph"/>
      </w:pPr>
      <w:r>
        <w:t xml:space="preserve">Account – this is the stage whereby the witness/suspect provides their first account or a ‘free recall’ of the incident that has taken place. It is their opportunity to provide their side of the story. This should be followed by open questions such as “tell, explain, describe”. </w:t>
      </w:r>
      <w:r w:rsidR="003F0F36">
        <w:t xml:space="preserve">Closed questions such as who, what, where, when, why, how may also be used. A summary of each stage must be provided to clarify the information you have recorded. </w:t>
      </w:r>
    </w:p>
    <w:p w:rsidR="003F0F36" w:rsidRDefault="003F0F36" w:rsidP="002D5A1F">
      <w:pPr>
        <w:pStyle w:val="ListParagraph"/>
      </w:pPr>
    </w:p>
    <w:p w:rsidR="003F0F36" w:rsidRDefault="003F0F36" w:rsidP="002D5A1F">
      <w:pPr>
        <w:pStyle w:val="ListParagraph"/>
      </w:pPr>
      <w:r>
        <w:lastRenderedPageBreak/>
        <w:t xml:space="preserve">Closure – following the interview the process of what happens next will be provided. This is an opportunity for the witness/suspect to ask any questions they have or seek clarity on anything. </w:t>
      </w:r>
    </w:p>
    <w:p w:rsidR="003F0F36" w:rsidRDefault="003F0F36" w:rsidP="002D5A1F">
      <w:pPr>
        <w:pStyle w:val="ListParagraph"/>
      </w:pPr>
    </w:p>
    <w:p w:rsidR="003F0F36" w:rsidRDefault="003F0F36" w:rsidP="002D5A1F">
      <w:pPr>
        <w:pStyle w:val="ListParagraph"/>
      </w:pPr>
      <w:r>
        <w:t xml:space="preserve">Evaluate – the final stage is where the interviewer must evaluate the interview, identify how it fits in with the rest of the investigation and whether there are any further lines of inquiry to be pursued. The second strand of the evaluation is the interviewer’s performance. </w:t>
      </w:r>
    </w:p>
    <w:p w:rsidR="003F0F36" w:rsidRDefault="003F0F36" w:rsidP="003F0F36"/>
    <w:p w:rsidR="003F0F36" w:rsidRDefault="003F0F36" w:rsidP="003F0F36">
      <w:pPr>
        <w:pStyle w:val="ListParagraph"/>
        <w:numPr>
          <w:ilvl w:val="0"/>
          <w:numId w:val="1"/>
        </w:numPr>
      </w:pPr>
      <w:r>
        <w:t>Section 76 of the Serious Crime Act 2015 states:</w:t>
      </w:r>
    </w:p>
    <w:p w:rsidR="003F0F36" w:rsidRDefault="003F0F36" w:rsidP="003F0F36">
      <w:pPr>
        <w:pStyle w:val="ListParagraph"/>
      </w:pPr>
      <w:r>
        <w:t>A person (A) commits an offence if:</w:t>
      </w:r>
    </w:p>
    <w:p w:rsidR="003F0F36" w:rsidRDefault="003F0F36" w:rsidP="003F0F36">
      <w:pPr>
        <w:pStyle w:val="ListParagraph"/>
        <w:numPr>
          <w:ilvl w:val="0"/>
          <w:numId w:val="4"/>
        </w:numPr>
      </w:pPr>
      <w:r>
        <w:t xml:space="preserve">A repeatedly and continuously engages in behaviour towards another person (B) that is controlling and coercive. </w:t>
      </w:r>
    </w:p>
    <w:p w:rsidR="003F0F36" w:rsidRDefault="003F0F36" w:rsidP="003F0F36">
      <w:pPr>
        <w:pStyle w:val="ListParagraph"/>
        <w:numPr>
          <w:ilvl w:val="0"/>
          <w:numId w:val="4"/>
        </w:numPr>
      </w:pPr>
      <w:r>
        <w:t xml:space="preserve">At the time of the behaviour A and B are personally connected. </w:t>
      </w:r>
    </w:p>
    <w:p w:rsidR="003F0F36" w:rsidRDefault="003F0F36" w:rsidP="003F0F36">
      <w:pPr>
        <w:pStyle w:val="ListParagraph"/>
        <w:numPr>
          <w:ilvl w:val="0"/>
          <w:numId w:val="4"/>
        </w:numPr>
      </w:pPr>
      <w:r>
        <w:t>The behaviour has a serious effect on B</w:t>
      </w:r>
    </w:p>
    <w:p w:rsidR="003F0F36" w:rsidRDefault="003F0F36" w:rsidP="003F0F36">
      <w:pPr>
        <w:pStyle w:val="ListParagraph"/>
        <w:numPr>
          <w:ilvl w:val="0"/>
          <w:numId w:val="4"/>
        </w:numPr>
      </w:pPr>
      <w:r>
        <w:t>A knows or ought to know that the behaviour would have a serious effect on B.</w:t>
      </w:r>
    </w:p>
    <w:p w:rsidR="003F0F36" w:rsidRDefault="003F0F36" w:rsidP="003F0F36"/>
    <w:p w:rsidR="003F0F36" w:rsidRPr="00A04C19" w:rsidRDefault="003F0F36" w:rsidP="003F0F36">
      <w:pPr>
        <w:pStyle w:val="ListParagraph"/>
        <w:numPr>
          <w:ilvl w:val="0"/>
          <w:numId w:val="1"/>
        </w:numPr>
      </w:pPr>
      <w:r w:rsidRPr="00A04C19">
        <w:t xml:space="preserve">The offence of coercive control is important as it criminalises behaviour that is not necessarily physical or visible to persons outside of those involved. Although </w:t>
      </w:r>
      <w:r w:rsidR="00A04C19">
        <w:t xml:space="preserve">coercive control is not always obvious, it can be the most dangerous as victims may be cut off from friends and family, have no access to money or job, no social life and no self-worth. </w:t>
      </w:r>
    </w:p>
    <w:p w:rsidR="003F0F36" w:rsidRDefault="003F0F36" w:rsidP="003F0F36">
      <w:pPr>
        <w:ind w:left="360"/>
        <w:rPr>
          <w:highlight w:val="yellow"/>
        </w:rPr>
      </w:pPr>
    </w:p>
    <w:p w:rsidR="003F0F36" w:rsidRDefault="003F0F36" w:rsidP="003F0F36">
      <w:pPr>
        <w:pStyle w:val="ListParagraph"/>
        <w:numPr>
          <w:ilvl w:val="0"/>
          <w:numId w:val="1"/>
        </w:numPr>
      </w:pPr>
      <w:r>
        <w:t>Under section 46 of the Children Act 1989;</w:t>
      </w:r>
    </w:p>
    <w:p w:rsidR="003F0F36" w:rsidRDefault="003F0F36" w:rsidP="003F0F36">
      <w:pPr>
        <w:pStyle w:val="ListParagraph"/>
      </w:pPr>
    </w:p>
    <w:p w:rsidR="003F0F36" w:rsidRDefault="003F0F36" w:rsidP="003F0F36">
      <w:pPr>
        <w:pStyle w:val="ListParagraph"/>
      </w:pPr>
      <w:r>
        <w:t>Where a constable reasonably believes that a child would otherwise be likely to suffer significant harm, they may</w:t>
      </w:r>
    </w:p>
    <w:p w:rsidR="003F0F36" w:rsidRDefault="003F0F36" w:rsidP="003F0F36">
      <w:pPr>
        <w:pStyle w:val="ListParagraph"/>
        <w:numPr>
          <w:ilvl w:val="0"/>
          <w:numId w:val="5"/>
        </w:numPr>
      </w:pPr>
      <w:r>
        <w:t>Remove the child to a suitable accommodation and keep them there</w:t>
      </w:r>
    </w:p>
    <w:p w:rsidR="003F0F36" w:rsidRDefault="003F0F36" w:rsidP="003F0F36">
      <w:pPr>
        <w:pStyle w:val="ListParagraph"/>
        <w:numPr>
          <w:ilvl w:val="0"/>
          <w:numId w:val="5"/>
        </w:numPr>
      </w:pPr>
      <w:r>
        <w:t xml:space="preserve">Take such steps as a reasonable to ensure the child’s removal from any hospital or any other place in which they are being accommodated, is prevented. </w:t>
      </w:r>
    </w:p>
    <w:p w:rsidR="003F0F36" w:rsidRDefault="003F0F36" w:rsidP="003F0F36"/>
    <w:p w:rsidR="003F0F36" w:rsidRDefault="003F0F36" w:rsidP="003F0F36">
      <w:pPr>
        <w:pStyle w:val="ListParagraph"/>
        <w:numPr>
          <w:ilvl w:val="0"/>
          <w:numId w:val="1"/>
        </w:numPr>
      </w:pPr>
      <w:r>
        <w:t xml:space="preserve">It is an offence for a person aged 16 or over, who, having responsibility for a child under 16, wilfully assaults, ill-treats, neglects, abandons or exposes the child in a manner which is likely to cause unnecessary suffering or injury to health. Section 1 of the Children and Young Persons Act 1933. </w:t>
      </w:r>
    </w:p>
    <w:p w:rsidR="003F0F36" w:rsidRDefault="003F0F36" w:rsidP="003F0F36">
      <w:pPr>
        <w:pStyle w:val="ListParagraph"/>
      </w:pPr>
    </w:p>
    <w:p w:rsidR="003F0F36" w:rsidRDefault="003F0F36" w:rsidP="003F0F36">
      <w:pPr>
        <w:pStyle w:val="ListParagraph"/>
        <w:numPr>
          <w:ilvl w:val="0"/>
          <w:numId w:val="1"/>
        </w:numPr>
      </w:pPr>
      <w:r>
        <w:t>Domestic Abuse Stalking and Harassment (DASH) model is a risk identification, assessment and management model</w:t>
      </w:r>
      <w:r w:rsidR="00BA1661">
        <w:t xml:space="preserve"> that</w:t>
      </w:r>
      <w:r>
        <w:t xml:space="preserve"> seeks to assist frontline staff and practitioners in identifying high-risk domestic abuse, stalking, harassment and honour based abuse victims. It also helps to identify dangerous and serial perpetrators and </w:t>
      </w:r>
      <w:r w:rsidR="00BA1661">
        <w:t xml:space="preserve">implement ways to deal with their behaviour. Once completed, a DASH form becomes an active record that is shared amongst partners. The DASH model is a tool used and understood by all partner agencies that are a part of the MARAC (multi-agency risk assessment conference) process. The MARAC partner agencies include; police, probation, education, health, housing, Independent Domestic Violence Advocates and social services. The DASH model should be used in all domestic </w:t>
      </w:r>
      <w:r w:rsidR="00BA1661">
        <w:lastRenderedPageBreak/>
        <w:t xml:space="preserve">abuse cases and all high-risk cases should be referred to the MARAC whereby partners can discuss measures of safeguarding for the victim. </w:t>
      </w:r>
    </w:p>
    <w:p w:rsidR="00BA1661" w:rsidRDefault="00BA1661" w:rsidP="00BA1661">
      <w:pPr>
        <w:pStyle w:val="ListParagraph"/>
      </w:pPr>
    </w:p>
    <w:p w:rsidR="00BA1661" w:rsidRDefault="00BA1661" w:rsidP="00BA1661">
      <w:pPr>
        <w:pStyle w:val="ListParagraph"/>
      </w:pPr>
    </w:p>
    <w:p w:rsidR="00BA1661" w:rsidRDefault="00BA1661" w:rsidP="00BA1661">
      <w:pPr>
        <w:pStyle w:val="ListParagraph"/>
      </w:pPr>
    </w:p>
    <w:p w:rsidR="00BA1661" w:rsidRDefault="00BA1661" w:rsidP="003F0F36">
      <w:pPr>
        <w:pStyle w:val="ListParagraph"/>
        <w:numPr>
          <w:ilvl w:val="0"/>
          <w:numId w:val="1"/>
        </w:numPr>
      </w:pPr>
      <w:r>
        <w:t xml:space="preserve">A Public Protection Notification (PPN) is a form that should be submitted by the attending officer at every domestic abuse incident, and incidents involving a child at risk, vulnerable adult, missing person and adult at risk. The PPN outlines 29 questions that must be asked and answered to help identify the risk posed to the victim of the incident. Following completion, the PPN must be graded as standard, medium or high risk and submitted to the local Public Protection Unit (PPU) for review and further risk assessment by the PPU officer. The PPN helps to identify risk and will allow police and partners to safeguard victims. </w:t>
      </w:r>
    </w:p>
    <w:p w:rsidR="00A04C19" w:rsidRDefault="00A04C19" w:rsidP="00A04C19">
      <w:pPr>
        <w:pStyle w:val="ListParagraph"/>
      </w:pPr>
    </w:p>
    <w:p w:rsidR="009D1C9E" w:rsidRDefault="00BA1661" w:rsidP="003F0F36">
      <w:pPr>
        <w:pStyle w:val="ListParagraph"/>
        <w:numPr>
          <w:ilvl w:val="0"/>
          <w:numId w:val="1"/>
        </w:numPr>
      </w:pPr>
      <w:r>
        <w:t xml:space="preserve">The Domestic Violence Protection Notification (DVPN) process should be utilised by officers investigating domestic abuse incidents but are not an alternative to prosecution. DVPN’s were introduced in 2010 and implemented in all 43 forces by 2014. The </w:t>
      </w:r>
      <w:r w:rsidR="009D1C9E">
        <w:t xml:space="preserve">DVPN can be issued to a perpetrator where violence has been used or threatened to a victim or the officer believes that the DVPN is necessary to protect a victim from future use or threats of violence. The investigating officer must complete the DVPN form and submit to supervisor for approval before submitting to a Superintendent or above for authorisation. The DVPN will be approved if the authorising officer has reasonable grounds to believe that the perpetrator has used or threatened violence to the victim or the victim is at risk of violence or threats of violence. </w:t>
      </w:r>
    </w:p>
    <w:p w:rsidR="009D1C9E" w:rsidRDefault="009D1C9E" w:rsidP="009D1C9E">
      <w:pPr>
        <w:pStyle w:val="ListParagraph"/>
      </w:pPr>
      <w:r>
        <w:t>A DVPN will involve prohibitions for the perpetrator to ensure they are not molesting the victim. The victim and perpetrator do not have to live at the same address, but if they do then the prohibitions can be as follows:</w:t>
      </w:r>
    </w:p>
    <w:p w:rsidR="009D1C9E" w:rsidRDefault="009D1C9E" w:rsidP="009D1C9E">
      <w:pPr>
        <w:pStyle w:val="ListParagraph"/>
        <w:numPr>
          <w:ilvl w:val="0"/>
          <w:numId w:val="6"/>
        </w:numPr>
      </w:pPr>
      <w:r>
        <w:t>Require the perpetrator to leave the address</w:t>
      </w:r>
    </w:p>
    <w:p w:rsidR="009D1C9E" w:rsidRDefault="009D1C9E" w:rsidP="009D1C9E">
      <w:pPr>
        <w:pStyle w:val="ListParagraph"/>
        <w:numPr>
          <w:ilvl w:val="0"/>
          <w:numId w:val="6"/>
        </w:numPr>
      </w:pPr>
      <w:r>
        <w:t>Prohibit the perpetrator from returning to the address</w:t>
      </w:r>
    </w:p>
    <w:p w:rsidR="009D1C9E" w:rsidRDefault="009D1C9E" w:rsidP="009D1C9E">
      <w:pPr>
        <w:pStyle w:val="ListParagraph"/>
        <w:numPr>
          <w:ilvl w:val="0"/>
          <w:numId w:val="6"/>
        </w:numPr>
      </w:pPr>
      <w:r>
        <w:t>Prohibit the perpetrator from evicting or excluding the victim from the address</w:t>
      </w:r>
    </w:p>
    <w:p w:rsidR="009D1C9E" w:rsidRDefault="009D1C9E" w:rsidP="009D1C9E">
      <w:pPr>
        <w:pStyle w:val="ListParagraph"/>
        <w:numPr>
          <w:ilvl w:val="0"/>
          <w:numId w:val="6"/>
        </w:numPr>
      </w:pPr>
      <w:r>
        <w:t>Prohibit the perpetrator from coming within a specified distance of the premises</w:t>
      </w:r>
    </w:p>
    <w:p w:rsidR="009D1C9E" w:rsidRDefault="009D1C9E" w:rsidP="009D1C9E">
      <w:pPr>
        <w:pStyle w:val="ListParagraph"/>
      </w:pPr>
    </w:p>
    <w:p w:rsidR="009D1C9E" w:rsidRDefault="009D1C9E" w:rsidP="009D1C9E">
      <w:pPr>
        <w:pStyle w:val="ListParagraph"/>
      </w:pPr>
      <w:r>
        <w:t>Following authorisation, the DVPN must be served to the perpetrator in person by a police officer and treated as a summons to court with the date and time for court clearly state. The perpetrator must be given the DVPN leaflet and the victim issued with a DVPN victim leaflet.</w:t>
      </w:r>
    </w:p>
    <w:p w:rsidR="009D1C9E" w:rsidRDefault="009D1C9E" w:rsidP="009D1C9E">
      <w:pPr>
        <w:pStyle w:val="ListParagraph"/>
      </w:pPr>
    </w:p>
    <w:p w:rsidR="00BA1661" w:rsidRPr="003F0F36" w:rsidRDefault="009D1C9E" w:rsidP="009D1C9E">
      <w:pPr>
        <w:pStyle w:val="ListParagraph"/>
      </w:pPr>
      <w:r>
        <w:t>The police officer must then apply to the Magistrates court to be heard within 48 hours for application of a Domestic Violence Protection Order (DVPO). The DVPO will include the same prohibitions but extended for a period of 14 to 28 days.</w:t>
      </w:r>
      <w:r w:rsidR="00BA1661">
        <w:t xml:space="preserve">  </w:t>
      </w:r>
    </w:p>
    <w:p w:rsidR="00102BBF" w:rsidRDefault="00102BBF" w:rsidP="00102BBF">
      <w:pPr>
        <w:pStyle w:val="ListParagraph"/>
      </w:pPr>
    </w:p>
    <w:p w:rsidR="00102BBF" w:rsidRDefault="009D1C9E" w:rsidP="009D1C9E">
      <w:pPr>
        <w:pStyle w:val="ListParagraph"/>
        <w:numPr>
          <w:ilvl w:val="0"/>
          <w:numId w:val="1"/>
        </w:numPr>
      </w:pPr>
      <w:r>
        <w:t xml:space="preserve">As per the 2017 definition, Child Sexual Exploitation is a form of child sexual abuse. It occurs when an individual or group takes advantage of an imbalance of power to coerce, manipulate or deceive a child or young person under the age of 18 into sexual activity. </w:t>
      </w:r>
    </w:p>
    <w:p w:rsidR="009D1C9E" w:rsidRDefault="009D1C9E" w:rsidP="009D1C9E">
      <w:pPr>
        <w:pStyle w:val="ListParagraph"/>
        <w:numPr>
          <w:ilvl w:val="0"/>
          <w:numId w:val="7"/>
        </w:numPr>
      </w:pPr>
      <w:r>
        <w:t>In exchange for something the victim needs or wants</w:t>
      </w:r>
    </w:p>
    <w:p w:rsidR="009D1C9E" w:rsidRDefault="009D1C9E" w:rsidP="009D1C9E">
      <w:pPr>
        <w:pStyle w:val="ListParagraph"/>
        <w:numPr>
          <w:ilvl w:val="0"/>
          <w:numId w:val="7"/>
        </w:numPr>
      </w:pPr>
      <w:r>
        <w:t xml:space="preserve">For financial advantage or increased status of the perpetrator or facilitator. </w:t>
      </w:r>
    </w:p>
    <w:p w:rsidR="009D1C9E" w:rsidRDefault="00E167BF" w:rsidP="009D1C9E">
      <w:pPr>
        <w:ind w:left="720"/>
      </w:pPr>
      <w:r>
        <w:t xml:space="preserve">The victim may have been sexually exploited even if the sexual activity appears consensual. Child sexual exploitation does not always involve physical contact, it can also occur through the use of technology. </w:t>
      </w:r>
    </w:p>
    <w:p w:rsidR="00E167BF" w:rsidRDefault="00E167BF" w:rsidP="00E167BF"/>
    <w:p w:rsidR="00E167BF" w:rsidRDefault="00E167BF" w:rsidP="00E167BF">
      <w:pPr>
        <w:pStyle w:val="ListParagraph"/>
        <w:numPr>
          <w:ilvl w:val="0"/>
          <w:numId w:val="1"/>
        </w:numPr>
      </w:pPr>
      <w:r>
        <w:t xml:space="preserve">Child Sexual Offender Disclosure Scheme (Sarah’s Law) was introduced in 2007 and allows any person to make an application for a disclosure on a person’s previous convictions in relation to children if there is a concern for a child in question. Any person can make an application (e.g. grandparent, friend, neighbour) if they have concerns regarding an individual who has contact with any child(ren) they are referring to. However, if there is a disclosure to be made then this may not necessarily be done to that person but to the most appropriate adult i.e. a parent/guardian. </w:t>
      </w:r>
    </w:p>
    <w:p w:rsidR="00E167BF" w:rsidRDefault="00E167BF" w:rsidP="00E167BF">
      <w:pPr>
        <w:pStyle w:val="ListParagraph"/>
      </w:pPr>
    </w:p>
    <w:p w:rsidR="00E167BF" w:rsidRDefault="00E167BF" w:rsidP="00E167BF">
      <w:pPr>
        <w:pStyle w:val="ListParagraph"/>
      </w:pPr>
      <w:r>
        <w:t>This scheme consists of six stages:</w:t>
      </w:r>
    </w:p>
    <w:p w:rsidR="00E167BF" w:rsidRDefault="00E167BF" w:rsidP="00E167BF">
      <w:pPr>
        <w:pStyle w:val="ListParagraph"/>
      </w:pPr>
      <w:r>
        <w:t>Stage 1 is the initial contact stage where a person raises concerns to a police officer or attends a police station, and this is done within a maximum of 24 hours. Stage 2 is a face to face meeting where the person making the application must provide ID and initial checks on PNC will be completed but nothing will be disclosed. Stage 3 is empowerment where information regarding how to better safeguard the child(ren)’s safety is provided. Stage 4 is where the full risk assessment will be completed within 10 days. Stage 5 is where a decision is made on whether the individual raises concerns or no concerns, and if there are concerns, should this be disclosed. The final stage 6 is the outcome and closure of the application. If at any stage there is immediate risk identified to a child or children, then action will be taken as a matter of urgency.</w:t>
      </w:r>
    </w:p>
    <w:p w:rsidR="00E167BF" w:rsidRDefault="00E167BF" w:rsidP="00E167BF"/>
    <w:p w:rsidR="00E167BF" w:rsidRDefault="00E167BF" w:rsidP="00E167BF">
      <w:pPr>
        <w:pStyle w:val="ListParagraph"/>
        <w:numPr>
          <w:ilvl w:val="0"/>
          <w:numId w:val="1"/>
        </w:numPr>
      </w:pPr>
      <w:r>
        <w:t xml:space="preserve">Contrary to Section 75 (1) of the Sexual Offences Act 2003, the evidential presumptions are, if it is proved in proceedings that </w:t>
      </w:r>
    </w:p>
    <w:p w:rsidR="00E167BF" w:rsidRDefault="00E167BF" w:rsidP="00E167BF">
      <w:pPr>
        <w:pStyle w:val="ListParagraph"/>
        <w:numPr>
          <w:ilvl w:val="0"/>
          <w:numId w:val="8"/>
        </w:numPr>
      </w:pPr>
      <w:r>
        <w:t>The defendant did the relevant act</w:t>
      </w:r>
    </w:p>
    <w:p w:rsidR="00E167BF" w:rsidRDefault="00E167BF" w:rsidP="00E167BF">
      <w:pPr>
        <w:pStyle w:val="ListParagraph"/>
        <w:numPr>
          <w:ilvl w:val="0"/>
          <w:numId w:val="8"/>
        </w:numPr>
      </w:pPr>
      <w:r>
        <w:t>Any of the circumstances specified in subsection (2) existed</w:t>
      </w:r>
    </w:p>
    <w:p w:rsidR="000F7C72" w:rsidRDefault="00E167BF" w:rsidP="000F7C72">
      <w:pPr>
        <w:pStyle w:val="ListParagraph"/>
        <w:numPr>
          <w:ilvl w:val="0"/>
          <w:numId w:val="8"/>
        </w:numPr>
      </w:pPr>
      <w:r>
        <w:t>The defendant knew the circumstances existed</w:t>
      </w:r>
    </w:p>
    <w:p w:rsidR="000F7C72" w:rsidRDefault="000F7C72" w:rsidP="000F7C72">
      <w:pPr>
        <w:ind w:left="720"/>
      </w:pPr>
      <w:r>
        <w:t>Contrary to section 75 (2) the circumstances are:</w:t>
      </w:r>
    </w:p>
    <w:p w:rsidR="000F7C72" w:rsidRDefault="000F7C72" w:rsidP="000F7C72">
      <w:pPr>
        <w:pStyle w:val="ListParagraph"/>
        <w:numPr>
          <w:ilvl w:val="0"/>
          <w:numId w:val="9"/>
        </w:numPr>
      </w:pPr>
      <w:r>
        <w:t>Any person was during the relevant act, or immediately before it began, using violence against the complainant or the complainant was in fear that violence was being used</w:t>
      </w:r>
    </w:p>
    <w:p w:rsidR="000F7C72" w:rsidRDefault="000F7C72" w:rsidP="000F7C72">
      <w:pPr>
        <w:pStyle w:val="ListParagraph"/>
        <w:numPr>
          <w:ilvl w:val="0"/>
          <w:numId w:val="9"/>
        </w:numPr>
      </w:pPr>
      <w:r>
        <w:t xml:space="preserve">Any person was during the relevant act, or immediately before it began, using violence against a person or the complainant </w:t>
      </w:r>
      <w:r w:rsidR="00944B4C">
        <w:t>was in fear</w:t>
      </w:r>
      <w:r>
        <w:t xml:space="preserve"> that violence was being used against any person</w:t>
      </w:r>
    </w:p>
    <w:p w:rsidR="000F7C72" w:rsidRDefault="000F7C72" w:rsidP="000F7C72">
      <w:pPr>
        <w:pStyle w:val="ListParagraph"/>
        <w:numPr>
          <w:ilvl w:val="0"/>
          <w:numId w:val="9"/>
        </w:numPr>
      </w:pPr>
      <w:r>
        <w:t xml:space="preserve">At the time of the relevant act the complainant was, but the defendant was not being unlawfully detained </w:t>
      </w:r>
    </w:p>
    <w:p w:rsidR="000F7C72" w:rsidRDefault="000F7C72" w:rsidP="000F7C72">
      <w:pPr>
        <w:pStyle w:val="ListParagraph"/>
        <w:numPr>
          <w:ilvl w:val="0"/>
          <w:numId w:val="9"/>
        </w:numPr>
      </w:pPr>
      <w:r>
        <w:t xml:space="preserve">At the time of the relevant act the complainant was sleeping or otherwise unconscious </w:t>
      </w:r>
    </w:p>
    <w:p w:rsidR="000F7C72" w:rsidRDefault="000F7C72" w:rsidP="000F7C72">
      <w:pPr>
        <w:pStyle w:val="ListParagraph"/>
        <w:numPr>
          <w:ilvl w:val="0"/>
          <w:numId w:val="9"/>
        </w:numPr>
      </w:pPr>
      <w:r>
        <w:t xml:space="preserve">Due to a physical disability the complainant could not communicate their consent </w:t>
      </w:r>
    </w:p>
    <w:p w:rsidR="000F7C72" w:rsidRDefault="000F7C72" w:rsidP="000F7C72">
      <w:pPr>
        <w:pStyle w:val="ListParagraph"/>
        <w:numPr>
          <w:ilvl w:val="0"/>
          <w:numId w:val="9"/>
        </w:numPr>
      </w:pPr>
      <w:r>
        <w:t>A substance was administered to or caused a substance to be taken by the complainant, without their consent, so as to overpower or stupefy the complainant at the time of the relevant act</w:t>
      </w:r>
    </w:p>
    <w:p w:rsidR="000F7C72" w:rsidRDefault="000F7C72" w:rsidP="000F7C72"/>
    <w:p w:rsidR="000F7C72" w:rsidRDefault="000F7C72" w:rsidP="000F7C72">
      <w:pPr>
        <w:pStyle w:val="ListParagraph"/>
        <w:numPr>
          <w:ilvl w:val="0"/>
          <w:numId w:val="1"/>
        </w:numPr>
      </w:pPr>
      <w:r>
        <w:t>The overriding objectives of the procedural code are:</w:t>
      </w:r>
    </w:p>
    <w:p w:rsidR="000F7C72" w:rsidRDefault="000F7C72" w:rsidP="000F7C72">
      <w:pPr>
        <w:pStyle w:val="ListParagraph"/>
        <w:numPr>
          <w:ilvl w:val="0"/>
          <w:numId w:val="10"/>
        </w:numPr>
      </w:pPr>
      <w:r>
        <w:t xml:space="preserve">Acquittal of the innocent and conviction of the guilty </w:t>
      </w:r>
    </w:p>
    <w:p w:rsidR="002227F5" w:rsidRDefault="002227F5" w:rsidP="000F7C72">
      <w:pPr>
        <w:pStyle w:val="ListParagraph"/>
        <w:numPr>
          <w:ilvl w:val="0"/>
          <w:numId w:val="10"/>
        </w:numPr>
      </w:pPr>
    </w:p>
    <w:p w:rsidR="000F7C72" w:rsidRDefault="000F7C72" w:rsidP="000F7C72"/>
    <w:p w:rsidR="000F7C72" w:rsidRDefault="000F7C72" w:rsidP="000F7C72">
      <w:pPr>
        <w:pStyle w:val="ListParagraph"/>
        <w:numPr>
          <w:ilvl w:val="0"/>
          <w:numId w:val="1"/>
        </w:numPr>
      </w:pPr>
      <w:r>
        <w:t>The full code test must be satisfied before a prosecution can continue, this test consists of two stages, evidential stage and public interest stage.</w:t>
      </w:r>
    </w:p>
    <w:p w:rsidR="000F7C72" w:rsidRDefault="000F7C72" w:rsidP="000F7C72">
      <w:pPr>
        <w:pStyle w:val="ListParagraph"/>
      </w:pPr>
      <w:r>
        <w:t>Evidential stage – all available evidence must be gathered and to ensure for a realistic prospect of conviction.</w:t>
      </w:r>
    </w:p>
    <w:p w:rsidR="000F7C72" w:rsidRDefault="000F7C72" w:rsidP="000F7C72">
      <w:pPr>
        <w:pStyle w:val="ListParagraph"/>
      </w:pPr>
      <w:r>
        <w:t xml:space="preserve">Public interest stage – is it in the public interest to prosecute the person. The considerations would be the seriousness of the offence, age, culpability, community impact. </w:t>
      </w:r>
    </w:p>
    <w:p w:rsidR="00102BBF" w:rsidRDefault="00102BBF" w:rsidP="00102BBF">
      <w:pPr>
        <w:pStyle w:val="ListParagraph"/>
      </w:pPr>
    </w:p>
    <w:sectPr w:rsidR="00102BBF" w:rsidSect="00BA00F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19" w:rsidRDefault="00A04C19" w:rsidP="00BA00FC">
      <w:pPr>
        <w:spacing w:after="0" w:line="240" w:lineRule="auto"/>
      </w:pPr>
      <w:r>
        <w:separator/>
      </w:r>
    </w:p>
  </w:endnote>
  <w:endnote w:type="continuationSeparator" w:id="0">
    <w:p w:rsidR="00A04C19" w:rsidRDefault="00A04C19" w:rsidP="00BA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C19" w:rsidRDefault="00EC2457" w:rsidP="00EC2457">
    <w:pPr>
      <w:pStyle w:val="Footer"/>
      <w:rPr>
        <w:color w:val="000000"/>
        <w:sz w:val="17"/>
      </w:rPr>
    </w:pPr>
    <w:bookmarkStart w:id="3" w:name="TITUS1FooterEvenPages"/>
    <w:r>
      <w:rPr>
        <w:color w:val="000000"/>
        <w:sz w:val="17"/>
      </w:rPr>
      <w:t> </w:t>
    </w:r>
  </w:p>
  <w:bookmarkEnd w:id="3"/>
  <w:p w:rsidR="00A04C19" w:rsidRDefault="00A04C19" w:rsidP="009D6AED">
    <w:pPr>
      <w:pStyle w:val="Footer"/>
    </w:pPr>
  </w:p>
  <w:p w:rsidR="00A04C19" w:rsidRDefault="00A04C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C19" w:rsidRDefault="00EC2457" w:rsidP="00EC2457">
    <w:pPr>
      <w:pStyle w:val="Footer"/>
      <w:rPr>
        <w:color w:val="000000"/>
        <w:sz w:val="17"/>
      </w:rPr>
    </w:pPr>
    <w:bookmarkStart w:id="4" w:name="TITUS1FooterPrimary"/>
    <w:r>
      <w:rPr>
        <w:color w:val="000000"/>
        <w:sz w:val="17"/>
      </w:rPr>
      <w:t> </w:t>
    </w:r>
  </w:p>
  <w:bookmarkEnd w:id="4"/>
  <w:p w:rsidR="00A04C19" w:rsidRDefault="00A04C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C19" w:rsidRDefault="00EC2457" w:rsidP="00EC2457">
    <w:pPr>
      <w:pStyle w:val="Footer"/>
      <w:rPr>
        <w:color w:val="000000"/>
        <w:sz w:val="17"/>
      </w:rPr>
    </w:pPr>
    <w:bookmarkStart w:id="6" w:name="TITUS1FooterFirstPage"/>
    <w:r>
      <w:rPr>
        <w:color w:val="000000"/>
        <w:sz w:val="17"/>
      </w:rPr>
      <w:t> </w:t>
    </w:r>
  </w:p>
  <w:bookmarkEnd w:id="6"/>
  <w:p w:rsidR="00A04C19" w:rsidRDefault="00A04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19" w:rsidRDefault="00A04C19" w:rsidP="00BA00FC">
      <w:pPr>
        <w:spacing w:after="0" w:line="240" w:lineRule="auto"/>
      </w:pPr>
      <w:r>
        <w:separator/>
      </w:r>
    </w:p>
  </w:footnote>
  <w:footnote w:type="continuationSeparator" w:id="0">
    <w:p w:rsidR="00A04C19" w:rsidRDefault="00A04C19" w:rsidP="00BA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C19" w:rsidRDefault="00EC2457" w:rsidP="00EC2457">
    <w:pPr>
      <w:pStyle w:val="Header"/>
      <w:rPr>
        <w:color w:val="000000"/>
        <w:sz w:val="17"/>
      </w:rPr>
    </w:pPr>
    <w:bookmarkStart w:id="1" w:name="TITUS1HeaderEvenPages"/>
    <w:r>
      <w:rPr>
        <w:color w:val="000000"/>
        <w:sz w:val="17"/>
      </w:rPr>
      <w:t> </w:t>
    </w:r>
  </w:p>
  <w:bookmarkEnd w:id="1"/>
  <w:p w:rsidR="00A04C19" w:rsidRDefault="00A04C19" w:rsidP="009D6AED">
    <w:pPr>
      <w:pStyle w:val="Header"/>
    </w:pPr>
  </w:p>
  <w:p w:rsidR="00A04C19" w:rsidRDefault="00A04C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C19" w:rsidRDefault="00EC2457" w:rsidP="00EC2457">
    <w:pPr>
      <w:pStyle w:val="Header"/>
      <w:rPr>
        <w:color w:val="000000"/>
        <w:sz w:val="17"/>
      </w:rPr>
    </w:pPr>
    <w:bookmarkStart w:id="2" w:name="TITUS1HeaderPrimary"/>
    <w:r>
      <w:rPr>
        <w:color w:val="000000"/>
        <w:sz w:val="17"/>
      </w:rPr>
      <w:t> </w:t>
    </w:r>
  </w:p>
  <w:bookmarkEnd w:id="2"/>
  <w:p w:rsidR="00A04C19" w:rsidRDefault="00A04C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C19" w:rsidRDefault="00EC2457" w:rsidP="00EC2457">
    <w:pPr>
      <w:pStyle w:val="Header"/>
      <w:rPr>
        <w:color w:val="000000"/>
        <w:sz w:val="17"/>
      </w:rPr>
    </w:pPr>
    <w:bookmarkStart w:id="5" w:name="TITUS1HeaderFirstPage"/>
    <w:r>
      <w:rPr>
        <w:color w:val="000000"/>
        <w:sz w:val="17"/>
      </w:rPr>
      <w:t> </w:t>
    </w:r>
  </w:p>
  <w:bookmarkEnd w:id="5"/>
  <w:p w:rsidR="00A04C19" w:rsidRDefault="00A04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82B7D"/>
    <w:multiLevelType w:val="hybridMultilevel"/>
    <w:tmpl w:val="5A280844"/>
    <w:lvl w:ilvl="0" w:tplc="73680182">
      <w:start w:val="17"/>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055CE7"/>
    <w:multiLevelType w:val="hybridMultilevel"/>
    <w:tmpl w:val="00B6B90C"/>
    <w:lvl w:ilvl="0" w:tplc="B074E14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151851"/>
    <w:multiLevelType w:val="hybridMultilevel"/>
    <w:tmpl w:val="77CAE674"/>
    <w:lvl w:ilvl="0" w:tplc="A3F20210">
      <w:start w:val="2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8D27A8"/>
    <w:multiLevelType w:val="hybridMultilevel"/>
    <w:tmpl w:val="005E97CC"/>
    <w:lvl w:ilvl="0" w:tplc="A9140D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84706D"/>
    <w:multiLevelType w:val="hybridMultilevel"/>
    <w:tmpl w:val="1F78AAF4"/>
    <w:lvl w:ilvl="0" w:tplc="05E2162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C38786A"/>
    <w:multiLevelType w:val="hybridMultilevel"/>
    <w:tmpl w:val="65F282CC"/>
    <w:lvl w:ilvl="0" w:tplc="3C6C4E6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E336D75"/>
    <w:multiLevelType w:val="hybridMultilevel"/>
    <w:tmpl w:val="3B4C4962"/>
    <w:lvl w:ilvl="0" w:tplc="C450BD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0681766"/>
    <w:multiLevelType w:val="hybridMultilevel"/>
    <w:tmpl w:val="6F629578"/>
    <w:lvl w:ilvl="0" w:tplc="B5D8C1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8744087"/>
    <w:multiLevelType w:val="hybridMultilevel"/>
    <w:tmpl w:val="B9600CE8"/>
    <w:lvl w:ilvl="0" w:tplc="4BBE37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AB12F43"/>
    <w:multiLevelType w:val="hybridMultilevel"/>
    <w:tmpl w:val="23E21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422F2"/>
    <w:multiLevelType w:val="hybridMultilevel"/>
    <w:tmpl w:val="EAF091A0"/>
    <w:lvl w:ilvl="0" w:tplc="94609BB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8"/>
  </w:num>
  <w:num w:numId="3">
    <w:abstractNumId w:val="6"/>
  </w:num>
  <w:num w:numId="4">
    <w:abstractNumId w:val="10"/>
  </w:num>
  <w:num w:numId="5">
    <w:abstractNumId w:val="7"/>
  </w:num>
  <w:num w:numId="6">
    <w:abstractNumId w:val="0"/>
  </w:num>
  <w:num w:numId="7">
    <w:abstractNumId w:val="5"/>
  </w:num>
  <w:num w:numId="8">
    <w:abstractNumId w:val="3"/>
  </w:num>
  <w:num w:numId="9">
    <w:abstractNumId w:val="1"/>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0FC"/>
    <w:rsid w:val="000411B0"/>
    <w:rsid w:val="000F7C72"/>
    <w:rsid w:val="00102BBF"/>
    <w:rsid w:val="00112872"/>
    <w:rsid w:val="002227F5"/>
    <w:rsid w:val="002936A7"/>
    <w:rsid w:val="002D5A1F"/>
    <w:rsid w:val="00330E25"/>
    <w:rsid w:val="00361FF7"/>
    <w:rsid w:val="003F0F36"/>
    <w:rsid w:val="005E209F"/>
    <w:rsid w:val="00805F4A"/>
    <w:rsid w:val="00944B4C"/>
    <w:rsid w:val="00963FA4"/>
    <w:rsid w:val="009D1C9E"/>
    <w:rsid w:val="009D6AED"/>
    <w:rsid w:val="00A04C19"/>
    <w:rsid w:val="00BA00FC"/>
    <w:rsid w:val="00BA1661"/>
    <w:rsid w:val="00C15846"/>
    <w:rsid w:val="00E167BF"/>
    <w:rsid w:val="00EC2457"/>
    <w:rsid w:val="00FB1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64012"/>
  <w15:chartTrackingRefBased/>
  <w15:docId w15:val="{EEDB6C6E-1225-4200-8469-95B8283A9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0FC"/>
  </w:style>
  <w:style w:type="paragraph" w:styleId="Footer">
    <w:name w:val="footer"/>
    <w:basedOn w:val="Normal"/>
    <w:link w:val="FooterChar"/>
    <w:uiPriority w:val="99"/>
    <w:unhideWhenUsed/>
    <w:rsid w:val="00BA0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0FC"/>
  </w:style>
  <w:style w:type="paragraph" w:styleId="ListParagraph">
    <w:name w:val="List Paragraph"/>
    <w:basedOn w:val="Normal"/>
    <w:uiPriority w:val="34"/>
    <w:qFormat/>
    <w:rsid w:val="005E20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Joseph,Sophie swp6910</dc:creator>
  <cp:keywords/>
  <dc:description/>
  <cp:lastModifiedBy>Joseph,Sophie swp6910</cp:lastModifiedBy>
  <cp:revision>11</cp:revision>
  <dcterms:created xsi:type="dcterms:W3CDTF">2021-08-23T10:41:00Z</dcterms:created>
  <dcterms:modified xsi:type="dcterms:W3CDTF">2021-08-23T14:01:00Z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b2254f4b-0943-402d-a1d3-b091c80d60d5</vt:lpwstr>
  </property>
  <property fmtid="{D5CDD505-2E9C-101B-9397-08002B2CF9AE}" pid="3" name="Classification">
    <vt:lpwstr>OFFICIAL</vt:lpwstr>
  </property>
  <property fmtid="{D5CDD505-2E9C-101B-9397-08002B2CF9AE}" pid="4" name="Visibility">
    <vt:lpwstr>NOT VISIBLE</vt:lpwstr>
  </property>
</Properties>
</file>