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D9D82C" w14:textId="05A289AC" w:rsidR="00BE1AA8" w:rsidRDefault="00BE1AA8" w:rsidP="00B64EAE">
      <w:pPr>
        <w:spacing w:line="480" w:lineRule="auto"/>
        <w:rPr>
          <w:rFonts w:ascii="Arial" w:hAnsi="Arial" w:cs="Arial"/>
          <w:sz w:val="24"/>
          <w:szCs w:val="24"/>
        </w:rPr>
      </w:pPr>
      <w:r>
        <w:rPr>
          <w:rFonts w:ascii="Arial" w:hAnsi="Arial" w:cs="Arial"/>
          <w:sz w:val="24"/>
          <w:szCs w:val="24"/>
        </w:rPr>
        <w:t>Student Name: Jacob Ferriday</w:t>
      </w:r>
    </w:p>
    <w:p w14:paraId="52C15F92" w14:textId="2E3A6431" w:rsidR="00BE1AA8" w:rsidRDefault="00BE1AA8" w:rsidP="00B64EAE">
      <w:pPr>
        <w:spacing w:line="480" w:lineRule="auto"/>
        <w:rPr>
          <w:rFonts w:ascii="Arial" w:hAnsi="Arial" w:cs="Arial"/>
          <w:sz w:val="24"/>
          <w:szCs w:val="24"/>
        </w:rPr>
      </w:pPr>
      <w:r>
        <w:rPr>
          <w:rFonts w:ascii="Arial" w:hAnsi="Arial" w:cs="Arial"/>
          <w:sz w:val="24"/>
          <w:szCs w:val="24"/>
        </w:rPr>
        <w:t>Student Number: 2005300</w:t>
      </w:r>
    </w:p>
    <w:p w14:paraId="73D55D1A" w14:textId="0F378541" w:rsidR="00BE1AA8" w:rsidRDefault="00BE1AA8" w:rsidP="00B64EAE">
      <w:pPr>
        <w:spacing w:line="480" w:lineRule="auto"/>
        <w:rPr>
          <w:rFonts w:ascii="Arial" w:hAnsi="Arial" w:cs="Arial"/>
          <w:sz w:val="24"/>
          <w:szCs w:val="24"/>
        </w:rPr>
      </w:pPr>
      <w:r>
        <w:rPr>
          <w:rFonts w:ascii="Arial" w:hAnsi="Arial" w:cs="Arial"/>
          <w:sz w:val="24"/>
          <w:szCs w:val="24"/>
        </w:rPr>
        <w:t>Tutors Name: Donna Williams</w:t>
      </w:r>
    </w:p>
    <w:p w14:paraId="53BD088C" w14:textId="63B45A81" w:rsidR="00BE1AA8" w:rsidRDefault="00BE1AA8" w:rsidP="00B64EAE">
      <w:pPr>
        <w:spacing w:line="480" w:lineRule="auto"/>
        <w:rPr>
          <w:rFonts w:ascii="Arial" w:hAnsi="Arial" w:cs="Arial"/>
          <w:sz w:val="24"/>
          <w:szCs w:val="24"/>
        </w:rPr>
      </w:pPr>
      <w:r>
        <w:rPr>
          <w:rFonts w:ascii="Arial" w:hAnsi="Arial" w:cs="Arial"/>
          <w:sz w:val="24"/>
          <w:szCs w:val="24"/>
        </w:rPr>
        <w:t>Programme of study: BA Graphic Design</w:t>
      </w:r>
    </w:p>
    <w:p w14:paraId="54934A36" w14:textId="2CFF8C97" w:rsidR="00BE1AA8" w:rsidRDefault="00BE1AA8" w:rsidP="00B64EAE">
      <w:pPr>
        <w:spacing w:line="480" w:lineRule="auto"/>
        <w:rPr>
          <w:rFonts w:ascii="Arial" w:hAnsi="Arial" w:cs="Arial"/>
          <w:sz w:val="24"/>
          <w:szCs w:val="24"/>
        </w:rPr>
      </w:pPr>
      <w:r>
        <w:rPr>
          <w:rFonts w:ascii="Arial" w:hAnsi="Arial" w:cs="Arial"/>
          <w:sz w:val="24"/>
          <w:szCs w:val="24"/>
        </w:rPr>
        <w:t>Module: ADAD5004/C</w:t>
      </w:r>
      <w:r w:rsidR="00093D4D">
        <w:rPr>
          <w:rFonts w:ascii="Arial" w:hAnsi="Arial" w:cs="Arial"/>
          <w:sz w:val="24"/>
          <w:szCs w:val="24"/>
        </w:rPr>
        <w:t xml:space="preserve"> Research in Practice </w:t>
      </w:r>
    </w:p>
    <w:p w14:paraId="2F41F659" w14:textId="77777777" w:rsidR="00093D4D" w:rsidRDefault="00093D4D" w:rsidP="00B64EAE">
      <w:pPr>
        <w:spacing w:line="480" w:lineRule="auto"/>
        <w:rPr>
          <w:rFonts w:ascii="Arial" w:hAnsi="Arial" w:cs="Arial"/>
          <w:sz w:val="24"/>
          <w:szCs w:val="24"/>
        </w:rPr>
      </w:pPr>
    </w:p>
    <w:p w14:paraId="613AF426" w14:textId="7E0209E1" w:rsidR="00BE1AA8" w:rsidRDefault="00093D4D" w:rsidP="00B64EAE">
      <w:pPr>
        <w:spacing w:line="480" w:lineRule="auto"/>
        <w:rPr>
          <w:rFonts w:ascii="Arial" w:hAnsi="Arial" w:cs="Arial"/>
          <w:sz w:val="24"/>
          <w:szCs w:val="24"/>
        </w:rPr>
      </w:pPr>
      <w:r>
        <w:rPr>
          <w:rFonts w:ascii="Arial" w:hAnsi="Arial" w:cs="Arial"/>
          <w:sz w:val="24"/>
          <w:szCs w:val="24"/>
        </w:rPr>
        <w:t xml:space="preserve">Content: </w:t>
      </w:r>
    </w:p>
    <w:p w14:paraId="5685ADAA" w14:textId="1F98F4FE" w:rsidR="00093D4D" w:rsidRDefault="00093D4D" w:rsidP="00B64EAE">
      <w:pPr>
        <w:spacing w:line="480" w:lineRule="auto"/>
        <w:rPr>
          <w:rFonts w:ascii="Arial" w:hAnsi="Arial" w:cs="Arial"/>
          <w:sz w:val="24"/>
          <w:szCs w:val="24"/>
        </w:rPr>
      </w:pPr>
      <w:r>
        <w:rPr>
          <w:rFonts w:ascii="Arial" w:hAnsi="Arial" w:cs="Arial"/>
          <w:sz w:val="24"/>
          <w:szCs w:val="24"/>
        </w:rPr>
        <w:tab/>
        <w:t>Introduction</w:t>
      </w:r>
    </w:p>
    <w:p w14:paraId="500F5CA8" w14:textId="741A36F7" w:rsidR="00093D4D" w:rsidRDefault="00093D4D" w:rsidP="00B64EAE">
      <w:pPr>
        <w:spacing w:line="480" w:lineRule="auto"/>
        <w:rPr>
          <w:rFonts w:ascii="Arial" w:hAnsi="Arial" w:cs="Arial"/>
          <w:sz w:val="24"/>
          <w:szCs w:val="24"/>
        </w:rPr>
      </w:pPr>
      <w:r>
        <w:rPr>
          <w:rFonts w:ascii="Arial" w:hAnsi="Arial" w:cs="Arial"/>
          <w:sz w:val="24"/>
          <w:szCs w:val="24"/>
        </w:rPr>
        <w:tab/>
        <w:t>Fear</w:t>
      </w:r>
    </w:p>
    <w:p w14:paraId="33B3716B" w14:textId="0AB6A1C8" w:rsidR="00093D4D" w:rsidRDefault="00093D4D" w:rsidP="00B64EAE">
      <w:pPr>
        <w:spacing w:line="480" w:lineRule="auto"/>
        <w:rPr>
          <w:rFonts w:ascii="Arial" w:hAnsi="Arial" w:cs="Arial"/>
          <w:sz w:val="24"/>
          <w:szCs w:val="24"/>
        </w:rPr>
      </w:pPr>
      <w:r>
        <w:rPr>
          <w:rFonts w:ascii="Arial" w:hAnsi="Arial" w:cs="Arial"/>
          <w:sz w:val="24"/>
          <w:szCs w:val="24"/>
        </w:rPr>
        <w:tab/>
        <w:t>Escapism</w:t>
      </w:r>
    </w:p>
    <w:p w14:paraId="2D1C665C" w14:textId="355F2CEB" w:rsidR="00093D4D" w:rsidRDefault="00093D4D" w:rsidP="00B64EAE">
      <w:pPr>
        <w:spacing w:line="480" w:lineRule="auto"/>
        <w:rPr>
          <w:rFonts w:ascii="Arial" w:hAnsi="Arial" w:cs="Arial"/>
          <w:sz w:val="24"/>
          <w:szCs w:val="24"/>
        </w:rPr>
      </w:pPr>
      <w:r>
        <w:rPr>
          <w:rFonts w:ascii="Arial" w:hAnsi="Arial" w:cs="Arial"/>
          <w:sz w:val="24"/>
          <w:szCs w:val="24"/>
        </w:rPr>
        <w:tab/>
        <w:t>Birds</w:t>
      </w:r>
    </w:p>
    <w:p w14:paraId="1A21C681" w14:textId="368FF103" w:rsidR="00093D4D" w:rsidRDefault="00093D4D" w:rsidP="00B64EAE">
      <w:pPr>
        <w:spacing w:line="480" w:lineRule="auto"/>
        <w:rPr>
          <w:rFonts w:ascii="Arial" w:hAnsi="Arial" w:cs="Arial"/>
          <w:sz w:val="24"/>
          <w:szCs w:val="24"/>
        </w:rPr>
      </w:pPr>
      <w:r>
        <w:rPr>
          <w:rFonts w:ascii="Arial" w:hAnsi="Arial" w:cs="Arial"/>
          <w:sz w:val="24"/>
          <w:szCs w:val="24"/>
        </w:rPr>
        <w:tab/>
        <w:t>Conclusion</w:t>
      </w:r>
    </w:p>
    <w:p w14:paraId="2C9B0E2F" w14:textId="537BF3B8" w:rsidR="00093D4D" w:rsidRDefault="00093D4D" w:rsidP="00B64EAE">
      <w:pPr>
        <w:spacing w:line="480" w:lineRule="auto"/>
        <w:rPr>
          <w:rFonts w:ascii="Arial" w:hAnsi="Arial" w:cs="Arial"/>
          <w:sz w:val="24"/>
          <w:szCs w:val="24"/>
        </w:rPr>
      </w:pPr>
      <w:r>
        <w:rPr>
          <w:rFonts w:ascii="Arial" w:hAnsi="Arial" w:cs="Arial"/>
          <w:sz w:val="24"/>
          <w:szCs w:val="24"/>
        </w:rPr>
        <w:tab/>
        <w:t>Bibliography</w:t>
      </w:r>
    </w:p>
    <w:p w14:paraId="44A52818" w14:textId="77777777" w:rsidR="00093D4D" w:rsidRDefault="00093D4D" w:rsidP="00B64EAE">
      <w:pPr>
        <w:spacing w:line="480" w:lineRule="auto"/>
        <w:rPr>
          <w:rFonts w:ascii="Arial" w:hAnsi="Arial" w:cs="Arial"/>
          <w:sz w:val="24"/>
          <w:szCs w:val="24"/>
        </w:rPr>
      </w:pPr>
    </w:p>
    <w:p w14:paraId="7E8666CF" w14:textId="3F9924A3" w:rsidR="00BE1AA8" w:rsidRDefault="00BE1AA8" w:rsidP="00B64EAE">
      <w:pPr>
        <w:spacing w:line="480" w:lineRule="auto"/>
        <w:rPr>
          <w:rFonts w:ascii="Arial" w:hAnsi="Arial" w:cs="Arial"/>
          <w:sz w:val="24"/>
          <w:szCs w:val="24"/>
        </w:rPr>
      </w:pPr>
      <w:r>
        <w:rPr>
          <w:rFonts w:ascii="Arial" w:hAnsi="Arial" w:cs="Arial"/>
          <w:sz w:val="24"/>
          <w:szCs w:val="24"/>
        </w:rPr>
        <w:t>Word Count: 2461</w:t>
      </w:r>
    </w:p>
    <w:p w14:paraId="5C7BE82B" w14:textId="594E1F07" w:rsidR="00BE1AA8" w:rsidRDefault="00BE1AA8" w:rsidP="00B64EAE">
      <w:pPr>
        <w:spacing w:line="480" w:lineRule="auto"/>
        <w:rPr>
          <w:rFonts w:ascii="Arial" w:hAnsi="Arial" w:cs="Arial"/>
          <w:sz w:val="24"/>
          <w:szCs w:val="24"/>
        </w:rPr>
      </w:pPr>
      <w:r>
        <w:rPr>
          <w:rFonts w:ascii="Arial" w:hAnsi="Arial" w:cs="Arial"/>
          <w:sz w:val="24"/>
          <w:szCs w:val="24"/>
        </w:rPr>
        <w:t>Bibliography: 466</w:t>
      </w:r>
    </w:p>
    <w:p w14:paraId="56999B18" w14:textId="77777777" w:rsidR="00093D4D" w:rsidRDefault="00093D4D" w:rsidP="00B64EAE">
      <w:pPr>
        <w:spacing w:line="480" w:lineRule="auto"/>
        <w:rPr>
          <w:rFonts w:ascii="Arial" w:hAnsi="Arial" w:cs="Arial"/>
          <w:sz w:val="24"/>
          <w:szCs w:val="24"/>
        </w:rPr>
      </w:pPr>
    </w:p>
    <w:p w14:paraId="706F8A50" w14:textId="77777777" w:rsidR="00093D4D" w:rsidRDefault="00093D4D" w:rsidP="00B64EAE">
      <w:pPr>
        <w:spacing w:line="480" w:lineRule="auto"/>
        <w:rPr>
          <w:rFonts w:ascii="Arial" w:hAnsi="Arial" w:cs="Arial"/>
          <w:sz w:val="24"/>
          <w:szCs w:val="24"/>
        </w:rPr>
      </w:pPr>
    </w:p>
    <w:p w14:paraId="3A969A6B" w14:textId="77777777" w:rsidR="00093D4D" w:rsidRDefault="00093D4D" w:rsidP="00B64EAE">
      <w:pPr>
        <w:spacing w:line="480" w:lineRule="auto"/>
        <w:rPr>
          <w:rFonts w:ascii="Arial" w:hAnsi="Arial" w:cs="Arial"/>
          <w:sz w:val="24"/>
          <w:szCs w:val="24"/>
        </w:rPr>
      </w:pPr>
    </w:p>
    <w:p w14:paraId="55C9BFC8" w14:textId="77777777" w:rsidR="00093D4D" w:rsidRPr="00BE1AA8" w:rsidRDefault="00093D4D" w:rsidP="00B64EAE">
      <w:pPr>
        <w:spacing w:line="480" w:lineRule="auto"/>
        <w:rPr>
          <w:rFonts w:ascii="Arial" w:hAnsi="Arial" w:cs="Arial"/>
          <w:sz w:val="24"/>
          <w:szCs w:val="24"/>
        </w:rPr>
      </w:pPr>
    </w:p>
    <w:p w14:paraId="468E2A27" w14:textId="215E61B5" w:rsidR="00B64EAE" w:rsidRDefault="00B64EAE" w:rsidP="00B64EAE">
      <w:pPr>
        <w:spacing w:line="480" w:lineRule="auto"/>
        <w:rPr>
          <w:rFonts w:ascii="Arial" w:hAnsi="Arial" w:cs="Arial"/>
          <w:b/>
          <w:bCs/>
          <w:sz w:val="24"/>
          <w:szCs w:val="24"/>
          <w:u w:val="single"/>
        </w:rPr>
      </w:pPr>
      <w:r>
        <w:rPr>
          <w:rFonts w:ascii="Arial" w:hAnsi="Arial" w:cs="Arial"/>
          <w:b/>
          <w:bCs/>
          <w:sz w:val="24"/>
          <w:szCs w:val="24"/>
          <w:u w:val="single"/>
        </w:rPr>
        <w:lastRenderedPageBreak/>
        <w:t>Introduction:</w:t>
      </w:r>
    </w:p>
    <w:p w14:paraId="56F3FA3A" w14:textId="77777777" w:rsidR="00B64EAE" w:rsidRPr="00C7686C" w:rsidRDefault="00B64EAE" w:rsidP="00B64EAE">
      <w:pPr>
        <w:spacing w:line="480" w:lineRule="auto"/>
        <w:rPr>
          <w:rFonts w:ascii="Arial" w:hAnsi="Arial" w:cs="Arial"/>
          <w:sz w:val="24"/>
          <w:szCs w:val="24"/>
        </w:rPr>
      </w:pPr>
      <w:r w:rsidRPr="00C7686C">
        <w:rPr>
          <w:rFonts w:ascii="Arial" w:hAnsi="Arial" w:cs="Arial"/>
          <w:sz w:val="24"/>
          <w:szCs w:val="24"/>
        </w:rPr>
        <w:t>Fear, Escapism and Birds, three seemingly unrelate keywords that have captured my and many thinkers and artists attention throughout history. In this essay I will be exploring these topics in turn, focusing on one key person and image as a focus point for each. For Fear I will be focusing on the work of a neurologist who explores the role of fear and anxiety in human psyche, named Joseph Ledoux and I will be looking at a piece by Francisco Goya titled ‘Two Old Men’ and how these expresses fear in art. For Escapism I will be looking at the work of Erich Fromm and his views on the mentality behind Escapism, I will also be looking at the different forms of Escapism within media, specifically movies and music and comparing the affects each can have on an individual. Finally for Birds I will be exploring the symbolism of different birds across history and how they have changed or perhaps stayed the same. To do this I will be look at the research of Mircea Eliade, a Romanian historian of religion and a painting titled “The Garden of Earthly Delights” by Dutch painter Hieronymus Bosch and the symbolism hidden in the birds seen within the painting. My hope for this essay is that I can conclude this essay with a research question that I will help be decide on a topic for my dissertation next year.</w:t>
      </w:r>
    </w:p>
    <w:p w14:paraId="68D357AA" w14:textId="77777777" w:rsidR="00B64EAE" w:rsidRPr="003366E0" w:rsidRDefault="00B64EAE" w:rsidP="00B64EAE">
      <w:pPr>
        <w:spacing w:line="480" w:lineRule="auto"/>
        <w:rPr>
          <w:rFonts w:ascii="Arial" w:hAnsi="Arial" w:cs="Arial"/>
          <w:sz w:val="24"/>
          <w:szCs w:val="24"/>
        </w:rPr>
      </w:pPr>
      <w:r w:rsidRPr="003366E0">
        <w:rPr>
          <w:rFonts w:ascii="Arial" w:hAnsi="Arial" w:cs="Arial"/>
          <w:b/>
          <w:bCs/>
          <w:sz w:val="24"/>
          <w:szCs w:val="24"/>
          <w:u w:val="single"/>
        </w:rPr>
        <w:t>Fear:</w:t>
      </w:r>
    </w:p>
    <w:p w14:paraId="0ED6F15F" w14:textId="459FBE2A" w:rsidR="00B64EAE" w:rsidRDefault="00B64EAE" w:rsidP="00B64EAE">
      <w:pPr>
        <w:spacing w:line="480" w:lineRule="auto"/>
        <w:rPr>
          <w:rFonts w:ascii="Arial" w:hAnsi="Arial" w:cs="Arial"/>
          <w:sz w:val="24"/>
          <w:szCs w:val="24"/>
        </w:rPr>
      </w:pPr>
      <w:r w:rsidRPr="003366E0">
        <w:rPr>
          <w:rFonts w:ascii="Arial" w:hAnsi="Arial" w:cs="Arial"/>
          <w:sz w:val="24"/>
          <w:szCs w:val="24"/>
        </w:rPr>
        <w:t xml:space="preserve">The first keyword that I’m going to be exploring is ‘Fear’ and its effects on people and its uses throughout history. Fear is the emotional reaction to a perceived danger to us, weather that be physical or emotional. Joseph LeDoux defines fear as “an affective state that arises in response to an imminent or perceived threat to one’s physical or psychological integrity, or the integrity of significant others” (LeDoux, 2015, p.12). Ledoux believed that fear is a natural and adaptive response to danger, </w:t>
      </w:r>
      <w:r w:rsidRPr="003366E0">
        <w:rPr>
          <w:rFonts w:ascii="Arial" w:hAnsi="Arial" w:cs="Arial"/>
          <w:sz w:val="24"/>
          <w:szCs w:val="24"/>
        </w:rPr>
        <w:lastRenderedPageBreak/>
        <w:t xml:space="preserve">but that could also become pathological and interfere with a person’s ability to function effectively in the real world. The reason I want to explore fear is because I think it is interesting that people will often seek out fear as a way to desensitise themselves to situations that are out of their control as a way to cope with stress and anxiety. Research shows that while using fear as a coping mechanism could be an adaptive and productive way cope from stress and anxiety as it can “lead to greater perceived control over the stressor, which in turn can promote a sense of well-being” (Aspinwall and Taylor, 1992, p.416). However it can also be maladaptive and counterproductive as “chronic fear, anxiety and worry can lead to a sense of helplessness, depression and psychopathology” (Lazarus and Folkman, 1984, </w:t>
      </w:r>
      <w:r w:rsidRPr="003366E0">
        <w:rPr>
          <w:rFonts w:ascii="Arial" w:hAnsi="Arial" w:cs="Arial"/>
          <w:noProof/>
          <w:sz w:val="24"/>
          <w:szCs w:val="24"/>
        </w:rPr>
        <w:drawing>
          <wp:anchor distT="0" distB="0" distL="114300" distR="114300" simplePos="0" relativeHeight="251660288" behindDoc="0" locked="0" layoutInCell="1" allowOverlap="0" wp14:anchorId="51C651C0" wp14:editId="4745FE8A">
            <wp:simplePos x="0" y="0"/>
            <wp:positionH relativeFrom="margin">
              <wp:align>left</wp:align>
            </wp:positionH>
            <wp:positionV relativeFrom="paragraph">
              <wp:posOffset>3798570</wp:posOffset>
            </wp:positionV>
            <wp:extent cx="2138045" cy="4051300"/>
            <wp:effectExtent l="0" t="0" r="0" b="6350"/>
            <wp:wrapSquare wrapText="right"/>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138045" cy="4051300"/>
                    </a:xfrm>
                    <a:prstGeom prst="rect">
                      <a:avLst/>
                    </a:prstGeom>
                  </pic:spPr>
                </pic:pic>
              </a:graphicData>
            </a:graphic>
            <wp14:sizeRelH relativeFrom="page">
              <wp14:pctWidth>0</wp14:pctWidth>
            </wp14:sizeRelH>
            <wp14:sizeRelV relativeFrom="page">
              <wp14:pctHeight>0</wp14:pctHeight>
            </wp14:sizeRelV>
          </wp:anchor>
        </w:drawing>
      </w:r>
      <w:r w:rsidRPr="003366E0">
        <w:rPr>
          <w:rFonts w:ascii="Arial" w:hAnsi="Arial" w:cs="Arial"/>
          <w:sz w:val="24"/>
          <w:szCs w:val="24"/>
        </w:rPr>
        <w:t>p.259).</w:t>
      </w:r>
      <w:r>
        <w:rPr>
          <w:rFonts w:ascii="Arial" w:hAnsi="Arial" w:cs="Arial"/>
          <w:sz w:val="24"/>
          <w:szCs w:val="24"/>
        </w:rPr>
        <w:t xml:space="preserve"> </w:t>
      </w:r>
    </w:p>
    <w:p w14:paraId="66F69077" w14:textId="76966242" w:rsidR="00B64EAE" w:rsidRDefault="00B64EAE" w:rsidP="00B64EAE">
      <w:pPr>
        <w:spacing w:line="480" w:lineRule="auto"/>
        <w:rPr>
          <w:rFonts w:ascii="Arial" w:hAnsi="Arial" w:cs="Arial"/>
          <w:sz w:val="24"/>
          <w:szCs w:val="24"/>
        </w:rPr>
      </w:pPr>
    </w:p>
    <w:p w14:paraId="1C1125F6" w14:textId="0FBFA168" w:rsidR="00B64EAE" w:rsidRDefault="00B64EAE" w:rsidP="00B64EAE">
      <w:pPr>
        <w:spacing w:line="480" w:lineRule="auto"/>
        <w:rPr>
          <w:rFonts w:ascii="Arial" w:hAnsi="Arial" w:cs="Arial"/>
          <w:sz w:val="24"/>
          <w:szCs w:val="24"/>
        </w:rPr>
      </w:pPr>
    </w:p>
    <w:p w14:paraId="58EA0417" w14:textId="77777777" w:rsidR="00B64EAE" w:rsidRDefault="00B64EAE" w:rsidP="00B64EAE">
      <w:pPr>
        <w:spacing w:line="480" w:lineRule="auto"/>
        <w:rPr>
          <w:rFonts w:ascii="Arial" w:hAnsi="Arial" w:cs="Arial"/>
          <w:sz w:val="24"/>
          <w:szCs w:val="24"/>
        </w:rPr>
      </w:pPr>
    </w:p>
    <w:p w14:paraId="24ABC943" w14:textId="77777777" w:rsidR="00B64EAE" w:rsidRDefault="00B64EAE" w:rsidP="00B64EAE">
      <w:pPr>
        <w:spacing w:line="480" w:lineRule="auto"/>
        <w:rPr>
          <w:rFonts w:ascii="Arial" w:hAnsi="Arial" w:cs="Arial"/>
          <w:sz w:val="24"/>
          <w:szCs w:val="24"/>
        </w:rPr>
      </w:pPr>
    </w:p>
    <w:p w14:paraId="6D54E02F" w14:textId="77777777" w:rsidR="00B64EAE" w:rsidRDefault="00B64EAE" w:rsidP="00B64EAE">
      <w:pPr>
        <w:spacing w:line="480" w:lineRule="auto"/>
        <w:rPr>
          <w:rFonts w:ascii="Arial" w:hAnsi="Arial" w:cs="Arial"/>
          <w:sz w:val="24"/>
          <w:szCs w:val="24"/>
        </w:rPr>
      </w:pPr>
    </w:p>
    <w:p w14:paraId="6C296AE6" w14:textId="77777777" w:rsidR="00B64EAE" w:rsidRDefault="00B64EAE" w:rsidP="00B64EAE">
      <w:pPr>
        <w:spacing w:line="480" w:lineRule="auto"/>
        <w:rPr>
          <w:rFonts w:ascii="Arial" w:hAnsi="Arial" w:cs="Arial"/>
          <w:sz w:val="24"/>
          <w:szCs w:val="24"/>
        </w:rPr>
      </w:pPr>
    </w:p>
    <w:p w14:paraId="5A62EEA0" w14:textId="77777777" w:rsidR="00B64EAE" w:rsidRDefault="00B64EAE" w:rsidP="00B64EAE">
      <w:pPr>
        <w:spacing w:line="480" w:lineRule="auto"/>
        <w:rPr>
          <w:rFonts w:ascii="Arial" w:hAnsi="Arial" w:cs="Arial"/>
          <w:sz w:val="24"/>
          <w:szCs w:val="24"/>
        </w:rPr>
      </w:pPr>
      <w:r w:rsidRPr="003366E0">
        <w:rPr>
          <w:rFonts w:ascii="Arial" w:hAnsi="Arial" w:cs="Arial"/>
          <w:sz w:val="24"/>
          <w:szCs w:val="24"/>
        </w:rPr>
        <w:t>Two Old Men</w:t>
      </w:r>
    </w:p>
    <w:p w14:paraId="7557D24E" w14:textId="77777777" w:rsidR="00B64EAE" w:rsidRDefault="00B64EAE" w:rsidP="00B64EAE">
      <w:pPr>
        <w:spacing w:line="480" w:lineRule="auto"/>
        <w:rPr>
          <w:rFonts w:ascii="Arial" w:hAnsi="Arial" w:cs="Arial"/>
          <w:sz w:val="24"/>
          <w:szCs w:val="24"/>
        </w:rPr>
      </w:pPr>
      <w:r w:rsidRPr="003366E0">
        <w:rPr>
          <w:rFonts w:ascii="Arial" w:hAnsi="Arial" w:cs="Arial"/>
          <w:sz w:val="24"/>
          <w:szCs w:val="24"/>
        </w:rPr>
        <w:t>(Goya, 1820) Figure 1</w:t>
      </w:r>
      <w:r>
        <w:rPr>
          <w:rFonts w:ascii="Arial" w:hAnsi="Arial" w:cs="Arial"/>
          <w:sz w:val="24"/>
          <w:szCs w:val="24"/>
        </w:rPr>
        <w:t>.</w:t>
      </w:r>
    </w:p>
    <w:p w14:paraId="548AA99B" w14:textId="77777777" w:rsidR="00B64EAE" w:rsidRDefault="00B64EAE" w:rsidP="00B64EAE">
      <w:pPr>
        <w:spacing w:line="480" w:lineRule="auto"/>
        <w:rPr>
          <w:rFonts w:ascii="Arial" w:hAnsi="Arial" w:cs="Arial"/>
          <w:sz w:val="24"/>
          <w:szCs w:val="24"/>
        </w:rPr>
      </w:pPr>
    </w:p>
    <w:p w14:paraId="024D1A26" w14:textId="1FF7828B" w:rsidR="00B64EAE" w:rsidRDefault="00B64EAE" w:rsidP="00B64EAE">
      <w:pPr>
        <w:spacing w:line="480" w:lineRule="auto"/>
        <w:rPr>
          <w:rFonts w:ascii="Arial" w:hAnsi="Arial" w:cs="Arial"/>
          <w:sz w:val="24"/>
          <w:szCs w:val="24"/>
        </w:rPr>
      </w:pPr>
      <w:r w:rsidRPr="003366E0">
        <w:rPr>
          <w:rFonts w:ascii="Arial" w:hAnsi="Arial" w:cs="Arial"/>
          <w:sz w:val="24"/>
          <w:szCs w:val="24"/>
        </w:rPr>
        <w:t xml:space="preserve">This brings me onto Francisco Goya, one of my favourite artists because of the collection of his work titled ‘The black paintings’. it’s a series of paintings done on the </w:t>
      </w:r>
      <w:r w:rsidRPr="003366E0">
        <w:rPr>
          <w:rFonts w:ascii="Arial" w:hAnsi="Arial" w:cs="Arial"/>
          <w:sz w:val="24"/>
          <w:szCs w:val="24"/>
        </w:rPr>
        <w:lastRenderedPageBreak/>
        <w:t xml:space="preserve">walls of his home during his most distressed years of his life. They portray powerful and haunting themes that reflect both his fear of insanity and his woeful outlook on humanity. “Goya’s art is full of terrors, phantasms, and hallucinations, but It also provides a profound meditation on the very nature of fear itself” (Licht, 1997, p. 1). It’s not known what these 14 paintings we’re inspired </w:t>
      </w:r>
      <w:proofErr w:type="gramStart"/>
      <w:r w:rsidRPr="003366E0">
        <w:rPr>
          <w:rFonts w:ascii="Arial" w:hAnsi="Arial" w:cs="Arial"/>
          <w:sz w:val="24"/>
          <w:szCs w:val="24"/>
        </w:rPr>
        <w:t>by,</w:t>
      </w:r>
      <w:proofErr w:type="gramEnd"/>
      <w:r w:rsidRPr="003366E0">
        <w:rPr>
          <w:rFonts w:ascii="Arial" w:hAnsi="Arial" w:cs="Arial"/>
          <w:sz w:val="24"/>
          <w:szCs w:val="24"/>
        </w:rPr>
        <w:t xml:space="preserve"> some believe they are a response to the social and political turmoil of the time while others believe they are an expression of his fears of the human condition and his own mortality as he'd from suffered 2 mystery illnesses and mental health issues including depression and deafness. The piece that I want to draw attention to is called ‘Two Old Men’ (Figure 1 pictured above) which depicts 2 old men huddled together for warmth, the one in front looks aged and decrepit while the one behind, with a hand on his shoulder speaks into his ear. Goya’s art is often interpreted in many different ways, however in all his later work a” sense of fear and vulnerability, both physical and psychic, is reflected in the images he created (Tiffany, 2005, p. 98-121). This suggests that this painting is almost a self-portrait of him and his friend who cared for him while he suffered an unknown illness. Goya being the one in front showing his age with a long grey beard and being held up with a cane while his friend speak into his ear because he was mostly deaf by the time this painting was produced.</w:t>
      </w:r>
      <w:r w:rsidRPr="003366E0">
        <w:rPr>
          <w:rFonts w:ascii="Arial" w:hAnsi="Arial" w:cs="Arial"/>
          <w:color w:val="FF0000"/>
          <w:sz w:val="24"/>
          <w:szCs w:val="24"/>
        </w:rPr>
        <w:t xml:space="preserve"> </w:t>
      </w:r>
      <w:r w:rsidRPr="003366E0">
        <w:rPr>
          <w:rFonts w:ascii="Arial" w:hAnsi="Arial" w:cs="Arial"/>
          <w:sz w:val="24"/>
          <w:szCs w:val="24"/>
        </w:rPr>
        <w:t xml:space="preserve">Goya’s work could be seen as a way for him to cope with his feeling of fear and anxiety of the time as his art is often “seen as a therapeutic exercise, a means of confronting his own personal demons and achieving a kind of emotional catharsis” (Calvo Serraller, 1994, p. 42) No matter what your interpretation of Goya’s work, it is obvious that it is deeply personal and expressive of Fear. I think it’s important that fear is expressed through the act of creation as it allows the creator and viewer to gain a sense of control over their fears which in turn reduces its power over them. “Through the act of creating </w:t>
      </w:r>
      <w:r w:rsidRPr="003366E0">
        <w:rPr>
          <w:rFonts w:ascii="Arial" w:hAnsi="Arial" w:cs="Arial"/>
          <w:sz w:val="24"/>
          <w:szCs w:val="24"/>
        </w:rPr>
        <w:lastRenderedPageBreak/>
        <w:t xml:space="preserve">art, individuals can gain a sense of control over their fears, as well as a greater understanding of themselves and their emotions” (Creswell, 2018). </w:t>
      </w:r>
      <w:r>
        <w:rPr>
          <w:rFonts w:ascii="Arial" w:hAnsi="Arial" w:cs="Arial"/>
          <w:sz w:val="24"/>
          <w:szCs w:val="24"/>
        </w:rPr>
        <w:t>It’s clear that fear is driving force for many things, art being one of them and it’s this expression of fear that help keep it in check and help us to evolve and move past these them.</w:t>
      </w:r>
    </w:p>
    <w:p w14:paraId="62F0CE96" w14:textId="77777777" w:rsidR="00B64EAE" w:rsidRDefault="00B64EAE" w:rsidP="00B64EAE">
      <w:pPr>
        <w:spacing w:line="480" w:lineRule="auto"/>
        <w:rPr>
          <w:rFonts w:ascii="Arial" w:hAnsi="Arial" w:cs="Arial"/>
          <w:b/>
          <w:bCs/>
          <w:sz w:val="24"/>
          <w:szCs w:val="24"/>
          <w:u w:val="single"/>
        </w:rPr>
      </w:pPr>
      <w:r>
        <w:rPr>
          <w:rFonts w:ascii="Arial" w:hAnsi="Arial" w:cs="Arial"/>
          <w:b/>
          <w:bCs/>
          <w:sz w:val="24"/>
          <w:szCs w:val="24"/>
          <w:u w:val="single"/>
        </w:rPr>
        <w:t>Escapism:</w:t>
      </w:r>
    </w:p>
    <w:p w14:paraId="4B3245D5" w14:textId="77777777" w:rsidR="00B64EAE" w:rsidRPr="00C7686C" w:rsidRDefault="00B64EAE" w:rsidP="00B64EAE">
      <w:pPr>
        <w:spacing w:line="480" w:lineRule="auto"/>
        <w:rPr>
          <w:rFonts w:ascii="Arial" w:hAnsi="Arial" w:cs="Arial"/>
          <w:sz w:val="24"/>
          <w:szCs w:val="24"/>
        </w:rPr>
      </w:pPr>
      <w:r>
        <w:rPr>
          <w:rFonts w:ascii="Arial" w:hAnsi="Arial" w:cs="Arial"/>
          <w:sz w:val="24"/>
          <w:szCs w:val="24"/>
        </w:rPr>
        <w:t xml:space="preserve">The next keyword that I will be exploring is ‘Escapism’ and the reasoning behind why people may seek out to escape from their reality and what forms of escapism Is present in the modern world. Escapism is when someone seeks out a different reality to their own for many differing reasons ranging from expressing creativity, fulfilling unmet needs to finding meaning and purpose in life. Erich Fromm, a German psychoanalyst, defines escapism as “the tendency to escape from the present reality into a world of fantasy or into a utopian dream world” (Fromm, 1941). Fromm argues that fear of freedom and the overwhelming nature of modern society are the major factors that contributes to people seeking escapism as a way to cope with anxiety and conflicts. Escapism can be viewed as a positive thing for people to seek out as it may provide someone the chance to express themselves creatively, allow for personal growth and reflection and offers relief and relaxation when they may not find it elsewhere. While Fromm has a generally negative view of Escapism as he describes it as a </w:t>
      </w:r>
      <w:r w:rsidRPr="0011553C">
        <w:rPr>
          <w:rFonts w:ascii="Arial" w:hAnsi="Arial" w:cs="Arial"/>
          <w:sz w:val="24"/>
          <w:szCs w:val="24"/>
        </w:rPr>
        <w:t>“flight from reality into illusion and self-deception, a flight from anxiety into self-delusion” (Fromm, 1941, p. 248)</w:t>
      </w:r>
      <w:r>
        <w:rPr>
          <w:rFonts w:ascii="Arial" w:hAnsi="Arial" w:cs="Arial"/>
          <w:sz w:val="24"/>
          <w:szCs w:val="24"/>
        </w:rPr>
        <w:t xml:space="preserve">. There are many who disagree with Fromm’s views </w:t>
      </w:r>
      <w:r w:rsidRPr="00C7686C">
        <w:rPr>
          <w:rFonts w:ascii="Arial" w:hAnsi="Arial" w:cs="Arial"/>
          <w:sz w:val="24"/>
          <w:szCs w:val="24"/>
        </w:rPr>
        <w:t xml:space="preserve">by saying “Fromm’s analysis is important, but it is too dismissive of the complex cultural, social and economic structure that can constrain our choices and encourage us to seek out fantasy and illusion.” Gregersen and Olaison, 2014). And that “There are many forms of escapism that involve positive psychological benefits, such as promoting relaxation, reducing stress, and enhancing creativity” </w:t>
      </w:r>
      <w:r w:rsidRPr="00C7686C">
        <w:rPr>
          <w:rFonts w:ascii="Arial" w:hAnsi="Arial" w:cs="Arial"/>
          <w:sz w:val="24"/>
          <w:szCs w:val="24"/>
        </w:rPr>
        <w:lastRenderedPageBreak/>
        <w:t>(Reilly, 2012). Overall Escapism isn’t something to be avoided as it’s generally encouraged in modern day as it offers escape from the mundanities of daily life, however it can become dangerous if sought out excessively</w:t>
      </w:r>
    </w:p>
    <w:p w14:paraId="62ADD817" w14:textId="77777777" w:rsidR="00B64EAE" w:rsidRDefault="00B64EAE" w:rsidP="00B64EAE">
      <w:pPr>
        <w:spacing w:line="480" w:lineRule="auto"/>
        <w:rPr>
          <w:rFonts w:ascii="Arial" w:hAnsi="Arial" w:cs="Arial"/>
          <w:color w:val="7030A0"/>
          <w:sz w:val="24"/>
          <w:szCs w:val="24"/>
        </w:rPr>
      </w:pPr>
      <w:r>
        <w:rPr>
          <w:rFonts w:ascii="Arial" w:hAnsi="Arial" w:cs="Arial"/>
          <w:noProof/>
          <w:color w:val="7030A0"/>
          <w:sz w:val="24"/>
          <w:szCs w:val="24"/>
        </w:rPr>
        <w:drawing>
          <wp:anchor distT="0" distB="0" distL="114300" distR="114300" simplePos="0" relativeHeight="251659264" behindDoc="0" locked="0" layoutInCell="1" allowOverlap="1" wp14:anchorId="3852A101" wp14:editId="54F783F2">
            <wp:simplePos x="0" y="0"/>
            <wp:positionH relativeFrom="margin">
              <wp:align>left</wp:align>
            </wp:positionH>
            <wp:positionV relativeFrom="paragraph">
              <wp:posOffset>244</wp:posOffset>
            </wp:positionV>
            <wp:extent cx="3258820" cy="4832985"/>
            <wp:effectExtent l="0" t="0" r="0" b="5715"/>
            <wp:wrapSquare wrapText="right"/>
            <wp:docPr id="1531285194" name="Picture 2"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285194" name="Picture 2" descr="A picture containing text, book&#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61714" cy="4836996"/>
                    </a:xfrm>
                    <a:prstGeom prst="rect">
                      <a:avLst/>
                    </a:prstGeom>
                  </pic:spPr>
                </pic:pic>
              </a:graphicData>
            </a:graphic>
            <wp14:sizeRelH relativeFrom="page">
              <wp14:pctWidth>0</wp14:pctWidth>
            </wp14:sizeRelH>
            <wp14:sizeRelV relativeFrom="page">
              <wp14:pctHeight>0</wp14:pctHeight>
            </wp14:sizeRelV>
          </wp:anchor>
        </w:drawing>
      </w:r>
    </w:p>
    <w:p w14:paraId="4247D0C8" w14:textId="77777777" w:rsidR="00B64EAE" w:rsidRDefault="00B64EAE" w:rsidP="00B64EAE">
      <w:pPr>
        <w:spacing w:line="480" w:lineRule="auto"/>
        <w:rPr>
          <w:rFonts w:ascii="Arial" w:hAnsi="Arial" w:cs="Arial"/>
          <w:color w:val="7030A0"/>
          <w:sz w:val="24"/>
          <w:szCs w:val="24"/>
        </w:rPr>
      </w:pPr>
    </w:p>
    <w:p w14:paraId="58216E1C" w14:textId="77777777" w:rsidR="00B64EAE" w:rsidRDefault="00B64EAE" w:rsidP="00B64EAE">
      <w:pPr>
        <w:spacing w:line="480" w:lineRule="auto"/>
        <w:rPr>
          <w:rFonts w:ascii="Arial" w:hAnsi="Arial" w:cs="Arial"/>
          <w:color w:val="7030A0"/>
          <w:sz w:val="24"/>
          <w:szCs w:val="24"/>
        </w:rPr>
      </w:pPr>
    </w:p>
    <w:p w14:paraId="1589FFC4" w14:textId="77777777" w:rsidR="00B64EAE" w:rsidRDefault="00B64EAE" w:rsidP="00B64EAE">
      <w:pPr>
        <w:spacing w:line="480" w:lineRule="auto"/>
        <w:rPr>
          <w:rFonts w:ascii="Arial" w:hAnsi="Arial" w:cs="Arial"/>
          <w:color w:val="7030A0"/>
          <w:sz w:val="24"/>
          <w:szCs w:val="24"/>
        </w:rPr>
      </w:pPr>
    </w:p>
    <w:p w14:paraId="6A25C2A4" w14:textId="77777777" w:rsidR="00B64EAE" w:rsidRDefault="00B64EAE" w:rsidP="00B64EAE">
      <w:pPr>
        <w:spacing w:line="480" w:lineRule="auto"/>
        <w:rPr>
          <w:rFonts w:ascii="Arial" w:hAnsi="Arial" w:cs="Arial"/>
          <w:color w:val="7030A0"/>
          <w:sz w:val="24"/>
          <w:szCs w:val="24"/>
        </w:rPr>
      </w:pPr>
    </w:p>
    <w:p w14:paraId="45A8EF82" w14:textId="77777777" w:rsidR="00B64EAE" w:rsidRDefault="00B64EAE" w:rsidP="00B64EAE">
      <w:pPr>
        <w:spacing w:line="480" w:lineRule="auto"/>
        <w:rPr>
          <w:rFonts w:ascii="Arial" w:hAnsi="Arial" w:cs="Arial"/>
          <w:color w:val="7030A0"/>
          <w:sz w:val="24"/>
          <w:szCs w:val="24"/>
        </w:rPr>
      </w:pPr>
    </w:p>
    <w:p w14:paraId="7CF93793" w14:textId="77777777" w:rsidR="00B64EAE" w:rsidRDefault="00B64EAE" w:rsidP="00B64EAE">
      <w:pPr>
        <w:spacing w:line="480" w:lineRule="auto"/>
        <w:rPr>
          <w:rFonts w:ascii="Arial" w:hAnsi="Arial" w:cs="Arial"/>
          <w:color w:val="7030A0"/>
          <w:sz w:val="24"/>
          <w:szCs w:val="24"/>
        </w:rPr>
      </w:pPr>
    </w:p>
    <w:p w14:paraId="7FD5EB13" w14:textId="77777777" w:rsidR="00B64EAE" w:rsidRDefault="00B64EAE" w:rsidP="00B64EAE">
      <w:pPr>
        <w:spacing w:line="480" w:lineRule="auto"/>
        <w:rPr>
          <w:rFonts w:ascii="Arial" w:hAnsi="Arial" w:cs="Arial"/>
          <w:color w:val="7030A0"/>
          <w:sz w:val="24"/>
          <w:szCs w:val="24"/>
        </w:rPr>
      </w:pPr>
    </w:p>
    <w:p w14:paraId="4CA82EAA" w14:textId="77777777" w:rsidR="00B64EAE" w:rsidRDefault="00B64EAE" w:rsidP="00B64EAE">
      <w:pPr>
        <w:spacing w:line="480" w:lineRule="auto"/>
        <w:rPr>
          <w:rFonts w:ascii="Arial" w:hAnsi="Arial" w:cs="Arial"/>
          <w:color w:val="7030A0"/>
          <w:sz w:val="24"/>
          <w:szCs w:val="24"/>
        </w:rPr>
      </w:pPr>
    </w:p>
    <w:p w14:paraId="53D44AB8" w14:textId="77777777" w:rsidR="00B64EAE" w:rsidRDefault="00B64EAE" w:rsidP="00B64EAE">
      <w:pPr>
        <w:spacing w:line="480" w:lineRule="auto"/>
        <w:rPr>
          <w:rFonts w:ascii="Arial" w:hAnsi="Arial" w:cs="Arial"/>
          <w:sz w:val="24"/>
          <w:szCs w:val="24"/>
        </w:rPr>
      </w:pPr>
      <w:r>
        <w:rPr>
          <w:rFonts w:ascii="Arial" w:hAnsi="Arial" w:cs="Arial"/>
          <w:sz w:val="24"/>
          <w:szCs w:val="24"/>
        </w:rPr>
        <w:t>(</w:t>
      </w:r>
      <w:r w:rsidRPr="00BC1C64">
        <w:rPr>
          <w:rFonts w:ascii="Arial" w:hAnsi="Arial" w:cs="Arial"/>
          <w:i/>
          <w:iCs/>
          <w:sz w:val="24"/>
          <w:szCs w:val="24"/>
        </w:rPr>
        <w:t>Spirited Away</w:t>
      </w:r>
      <w:r>
        <w:rPr>
          <w:rFonts w:ascii="Arial" w:hAnsi="Arial" w:cs="Arial"/>
          <w:sz w:val="24"/>
          <w:szCs w:val="24"/>
        </w:rPr>
        <w:t>, 2003) Figure 2.</w:t>
      </w:r>
    </w:p>
    <w:p w14:paraId="16012E54" w14:textId="77777777" w:rsidR="00B64EAE" w:rsidRDefault="00B64EAE" w:rsidP="00B64EAE">
      <w:pPr>
        <w:spacing w:line="480" w:lineRule="auto"/>
        <w:rPr>
          <w:rFonts w:ascii="Arial" w:hAnsi="Arial" w:cs="Arial"/>
          <w:sz w:val="24"/>
          <w:szCs w:val="24"/>
        </w:rPr>
      </w:pPr>
    </w:p>
    <w:p w14:paraId="12435C79" w14:textId="6342D563" w:rsidR="00B64EAE" w:rsidRDefault="00B64EAE" w:rsidP="00B64EAE">
      <w:pPr>
        <w:spacing w:line="480" w:lineRule="auto"/>
        <w:rPr>
          <w:rFonts w:ascii="Arial" w:hAnsi="Arial" w:cs="Arial"/>
          <w:sz w:val="24"/>
          <w:szCs w:val="24"/>
        </w:rPr>
      </w:pPr>
      <w:r>
        <w:rPr>
          <w:rFonts w:ascii="Arial" w:hAnsi="Arial" w:cs="Arial"/>
          <w:sz w:val="24"/>
          <w:szCs w:val="24"/>
        </w:rPr>
        <w:t xml:space="preserve">Now that I’ve defined what escapism is, I next wanted to look at escapism in different media and its potential effects on the people that consume this media. First up is movies, I wanted to talk specifically the animation Studio known as Studio Ghibli and its popular movie, Spirited Away (Figure 2, pictured above). Spirited away is often said to be an excellent example of escapism in cinematic media as it offers “opportunities for audiences to return to a time of childhood innocence and a more idealized world” (Galbraith, 2014, p. 66). And that it’s a “temporary retreat from the rigours of the everyday and the mundanity of adult life” (Lamarre, 2013, p. 39). </w:t>
      </w:r>
      <w:r>
        <w:rPr>
          <w:rFonts w:ascii="Arial" w:hAnsi="Arial" w:cs="Arial"/>
          <w:sz w:val="24"/>
          <w:szCs w:val="24"/>
        </w:rPr>
        <w:lastRenderedPageBreak/>
        <w:t xml:space="preserve">Spirited Away offers viewers the chance to escape reality for a short time to experience a sense of adventure, fantasy, and mystery through and while this offers the chance for viewers to live through the protagonist in an ideal world, “there is always the possibility that the fantastic escapes and sensory stimulation of the film may encourage viewers to withdraw from reality altogether” (Foster, 2014). Overall escapism through movies can be seen as a temporary relief of stress and negative emotions but is obviously limited by the duration of the film. While rewatching may have a diminished level of escapism experienced, it is still worth being carful as continuously seeking escapism may lead to a detachment from reality and social isolation. </w:t>
      </w:r>
    </w:p>
    <w:p w14:paraId="3D3F4973" w14:textId="77777777" w:rsidR="00B64EAE" w:rsidRDefault="00B64EAE" w:rsidP="00B64EAE">
      <w:pPr>
        <w:spacing w:line="480" w:lineRule="auto"/>
        <w:rPr>
          <w:rFonts w:ascii="Arial" w:hAnsi="Arial" w:cs="Arial"/>
          <w:sz w:val="24"/>
          <w:szCs w:val="24"/>
        </w:rPr>
      </w:pPr>
      <w:r>
        <w:rPr>
          <w:rFonts w:ascii="Arial" w:hAnsi="Arial" w:cs="Arial"/>
          <w:sz w:val="24"/>
          <w:szCs w:val="24"/>
        </w:rPr>
        <w:t>Comparing these finding to music, music is a lower level but longer lasting form of escapism and provides similar but still different affects from the form of escapism. It’s been suggested that music can act as a mood regulator and “serve as a distraction from negative emotions or can facilitate the express of such emotions.” (Thoma, 2012). This can be seen through one study where adults that were prone to anger listened “to music for the purpose of anger management and/or emotional catharsis may be especially likely to use music as a means of escape” (Saarikallio, 2010, p. 216). There are many potential positives to be gained through escapism in the form of music, such as a sense of calmness and increased positive emotions. However there are risks associated with excessive music consumption such as “desensitization to violent lyrics and behaviour, as well as increased rates of substance abuse and mental health problems” (Sharman, Dingle, and Broughton, 2015, p. 128). This is obviously highly subjective to the individual and to several factors such as the music itself and the goals and reasons for listening to the music.</w:t>
      </w:r>
    </w:p>
    <w:p w14:paraId="3FF1A329" w14:textId="77777777" w:rsidR="00B64EAE" w:rsidRDefault="00B64EAE" w:rsidP="00B64EAE">
      <w:pPr>
        <w:spacing w:line="480" w:lineRule="auto"/>
        <w:rPr>
          <w:rFonts w:ascii="Arial" w:hAnsi="Arial" w:cs="Arial"/>
          <w:sz w:val="24"/>
          <w:szCs w:val="24"/>
        </w:rPr>
      </w:pPr>
      <w:r>
        <w:rPr>
          <w:rFonts w:ascii="Arial" w:hAnsi="Arial" w:cs="Arial"/>
          <w:sz w:val="24"/>
          <w:szCs w:val="24"/>
        </w:rPr>
        <w:lastRenderedPageBreak/>
        <w:t xml:space="preserve">Overall, TV acts a strong visual form of escapism and so has the ability to take the viewers to another world and make them feel the way that the story wants them to, whereas music is led by the listener and the song is often picked based on their true feelings which allows them to express emotions without them having to do it themselves. Both forms of escapism offering varying and overall positive results as long as it is not consumed excessively. </w:t>
      </w:r>
    </w:p>
    <w:p w14:paraId="340D2254" w14:textId="77777777" w:rsidR="00B64EAE" w:rsidRDefault="00B64EAE" w:rsidP="00B64EAE">
      <w:pPr>
        <w:spacing w:line="480" w:lineRule="auto"/>
        <w:rPr>
          <w:rFonts w:ascii="Arial" w:hAnsi="Arial" w:cs="Arial"/>
          <w:b/>
          <w:bCs/>
          <w:sz w:val="24"/>
          <w:szCs w:val="24"/>
          <w:u w:val="single"/>
        </w:rPr>
      </w:pPr>
      <w:r>
        <w:rPr>
          <w:rFonts w:ascii="Arial" w:hAnsi="Arial" w:cs="Arial"/>
          <w:b/>
          <w:bCs/>
          <w:sz w:val="24"/>
          <w:szCs w:val="24"/>
          <w:u w:val="single"/>
        </w:rPr>
        <w:t>Birds:</w:t>
      </w:r>
    </w:p>
    <w:p w14:paraId="76EAC076" w14:textId="77777777" w:rsidR="00B64EAE" w:rsidRDefault="00B64EAE" w:rsidP="00B64EAE">
      <w:pPr>
        <w:spacing w:line="480" w:lineRule="auto"/>
        <w:rPr>
          <w:rFonts w:ascii="Arial" w:hAnsi="Arial" w:cs="Arial"/>
          <w:sz w:val="24"/>
          <w:szCs w:val="24"/>
        </w:rPr>
      </w:pPr>
      <w:r>
        <w:rPr>
          <w:rFonts w:ascii="Arial" w:hAnsi="Arial" w:cs="Arial"/>
          <w:sz w:val="24"/>
          <w:szCs w:val="24"/>
        </w:rPr>
        <w:t xml:space="preserve">The final keyword that I will be exploring, Birds is not overly related to the previous two keywords. However I wanted to explore how birds have been used in art and design and how the symbolism behind them has changed through time and across </w:t>
      </w:r>
      <w:r w:rsidRPr="00C7686C">
        <w:rPr>
          <w:rFonts w:ascii="Arial" w:hAnsi="Arial" w:cs="Arial"/>
          <w:sz w:val="24"/>
          <w:szCs w:val="24"/>
        </w:rPr>
        <w:t xml:space="preserve">differing cultures. Firstly to define what symbolism mean, usually an image or symbol is used to convey deeper or more complex message behind the surface of what’s being conveyed. “Symbolism is the use of one object or image to represent or suggest something else, often an abstract idea or emotion, in a way that is meaningful or evocative” (Hawthorn, 1992, p. 378). </w:t>
      </w:r>
      <w:r>
        <w:rPr>
          <w:rFonts w:ascii="Arial" w:hAnsi="Arial" w:cs="Arial"/>
          <w:sz w:val="24"/>
          <w:szCs w:val="24"/>
        </w:rPr>
        <w:t xml:space="preserve">Symbolism has been used across all of human history and particular the use of birds representing many ideas and </w:t>
      </w:r>
      <w:r w:rsidRPr="00740D6A">
        <w:rPr>
          <w:rFonts w:ascii="Arial" w:hAnsi="Arial" w:cs="Arial"/>
          <w:sz w:val="24"/>
          <w:szCs w:val="24"/>
        </w:rPr>
        <w:t>philosophies</w:t>
      </w:r>
      <w:r>
        <w:rPr>
          <w:rFonts w:ascii="Arial" w:hAnsi="Arial" w:cs="Arial"/>
          <w:sz w:val="24"/>
          <w:szCs w:val="24"/>
        </w:rPr>
        <w:t xml:space="preserve"> ranging from the Roman Empire seeing crows as a symbol of Death and Destruction to modern day America using a bold Eagle as it’s symbol of freedom and independence. </w:t>
      </w:r>
    </w:p>
    <w:p w14:paraId="26E667CE" w14:textId="77777777" w:rsidR="00B64EAE" w:rsidRDefault="00B64EAE" w:rsidP="00B64EAE">
      <w:pPr>
        <w:spacing w:line="480" w:lineRule="auto"/>
        <w:ind w:left="720"/>
        <w:rPr>
          <w:rFonts w:ascii="Arial" w:hAnsi="Arial" w:cs="Arial"/>
          <w:sz w:val="24"/>
          <w:szCs w:val="24"/>
        </w:rPr>
      </w:pPr>
      <w:r w:rsidRPr="003909E1">
        <w:rPr>
          <w:rFonts w:ascii="Arial" w:hAnsi="Arial" w:cs="Arial"/>
          <w:i/>
          <w:iCs/>
          <w:sz w:val="24"/>
          <w:szCs w:val="24"/>
        </w:rPr>
        <w:t>The use of birds as symbols is a ubiquitous phenomenon in human culture, found in virtually every part of the world and in every era of history. From ancient mythology to contemporary literature, birds have served as potent symbols of the human experience, representing everything from beauty and grace to freedom and transcendence</w:t>
      </w:r>
      <w:r>
        <w:rPr>
          <w:rFonts w:ascii="Arial" w:hAnsi="Arial" w:cs="Arial"/>
          <w:i/>
          <w:iCs/>
          <w:sz w:val="24"/>
          <w:szCs w:val="24"/>
        </w:rPr>
        <w:t>.</w:t>
      </w:r>
      <w:r>
        <w:rPr>
          <w:rFonts w:ascii="Arial" w:hAnsi="Arial" w:cs="Arial"/>
          <w:sz w:val="24"/>
          <w:szCs w:val="24"/>
        </w:rPr>
        <w:t xml:space="preserve"> (Anderson, 2005, p. 219)</w:t>
      </w:r>
    </w:p>
    <w:p w14:paraId="702903E7" w14:textId="77777777" w:rsidR="00B64EAE" w:rsidRDefault="00B64EAE" w:rsidP="00B64EAE">
      <w:pPr>
        <w:spacing w:before="240" w:line="480" w:lineRule="auto"/>
        <w:rPr>
          <w:rFonts w:ascii="Arial" w:hAnsi="Arial" w:cs="Arial"/>
          <w:sz w:val="24"/>
          <w:szCs w:val="24"/>
        </w:rPr>
      </w:pPr>
      <w:r>
        <w:rPr>
          <w:rFonts w:ascii="Arial" w:hAnsi="Arial" w:cs="Arial"/>
          <w:sz w:val="24"/>
          <w:szCs w:val="24"/>
        </w:rPr>
        <w:lastRenderedPageBreak/>
        <w:t xml:space="preserve">Birds were often seen throughout history has more than themselves and almost always seen as some form of message, differing birds represented different messages, for example. In Christianity, the Falcon is “seen as a symbol of the resurrection and the soul’s journey </w:t>
      </w:r>
      <w:r w:rsidRPr="00A51FF5">
        <w:rPr>
          <w:rFonts w:ascii="Arial" w:hAnsi="Arial" w:cs="Arial"/>
          <w:sz w:val="24"/>
          <w:szCs w:val="24"/>
        </w:rPr>
        <w:t>to heaven” (Minear, 1997), whereas in ancient Egypt, the falcon was “associated with the Egyptian sun god Ra and the Mesopotamian god Marduk.” (Minear, 1997). There we have the same bird having differing symbolism to two different concepts or ideas, sometimes it would be the reverse like for example. In ancient China, it was believed that the Phoenix was the symbol of “Resurrection and immortality, while the Greeks associated the same bird with the sun, death and rebirth” (Eliade, 1958, p. 120). There are even some birds that have retained their symbolism across history, an example of this is the Dove, across many diverse cultures and religions a Dove has been a “Emblem of maternal love, of fecundity, of the return of life, and of resurrection” (Eliade, 1987, p. 178)</w:t>
      </w:r>
      <w:r>
        <w:rPr>
          <w:rFonts w:ascii="Arial" w:hAnsi="Arial" w:cs="Arial"/>
          <w:sz w:val="24"/>
          <w:szCs w:val="24"/>
        </w:rPr>
        <w:t xml:space="preserve">. </w:t>
      </w:r>
    </w:p>
    <w:p w14:paraId="7087AC5A" w14:textId="77777777" w:rsidR="00B64EAE" w:rsidRDefault="00B64EAE" w:rsidP="00B64EAE">
      <w:pPr>
        <w:spacing w:before="240" w:line="480" w:lineRule="auto"/>
        <w:rPr>
          <w:rFonts w:ascii="Arial" w:hAnsi="Arial" w:cs="Arial"/>
          <w:sz w:val="24"/>
          <w:szCs w:val="24"/>
        </w:rPr>
      </w:pPr>
      <w:r>
        <w:rPr>
          <w:rFonts w:ascii="Arial" w:hAnsi="Arial" w:cs="Arial"/>
          <w:noProof/>
          <w:sz w:val="24"/>
          <w:szCs w:val="24"/>
        </w:rPr>
        <w:drawing>
          <wp:inline distT="0" distB="0" distL="0" distR="0" wp14:anchorId="368DB9ED" wp14:editId="762278DC">
            <wp:extent cx="5731510" cy="2931160"/>
            <wp:effectExtent l="0" t="0" r="2540" b="2540"/>
            <wp:docPr id="2031276485" name="Picture 1" descr="A picture containing text,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276485" name="Picture 1" descr="A picture containing text, window&#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2931160"/>
                    </a:xfrm>
                    <a:prstGeom prst="rect">
                      <a:avLst/>
                    </a:prstGeom>
                  </pic:spPr>
                </pic:pic>
              </a:graphicData>
            </a:graphic>
          </wp:inline>
        </w:drawing>
      </w:r>
      <w:r>
        <w:rPr>
          <w:rFonts w:ascii="Arial" w:hAnsi="Arial" w:cs="Arial"/>
          <w:sz w:val="24"/>
          <w:szCs w:val="24"/>
        </w:rPr>
        <w:t xml:space="preserve">Gardens of Earthly Delights </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Pr>
          <w:rFonts w:ascii="Arial" w:hAnsi="Arial" w:cs="Arial"/>
          <w:sz w:val="24"/>
          <w:szCs w:val="24"/>
        </w:rPr>
        <w:tab/>
        <w:t xml:space="preserve"> (Bosch, 1490 - 1500) Figure 3</w:t>
      </w:r>
    </w:p>
    <w:p w14:paraId="1FEBE738" w14:textId="77777777" w:rsidR="00B64EAE" w:rsidRDefault="00B64EAE" w:rsidP="00B64EAE">
      <w:pPr>
        <w:spacing w:before="240" w:line="480" w:lineRule="auto"/>
        <w:rPr>
          <w:rFonts w:ascii="Arial" w:hAnsi="Arial" w:cs="Arial"/>
          <w:sz w:val="24"/>
          <w:szCs w:val="24"/>
        </w:rPr>
      </w:pPr>
      <w:r>
        <w:rPr>
          <w:rFonts w:ascii="Arial" w:hAnsi="Arial" w:cs="Arial"/>
          <w:sz w:val="24"/>
          <w:szCs w:val="24"/>
        </w:rPr>
        <w:t xml:space="preserve">Finally I’ll be looking at the triptych painting ‘Garden of Earthly Delights’ (Picture above, Figure 3) by </w:t>
      </w:r>
      <w:r w:rsidRPr="00555F8E">
        <w:rPr>
          <w:rFonts w:ascii="Arial" w:hAnsi="Arial" w:cs="Arial"/>
          <w:sz w:val="24"/>
          <w:szCs w:val="24"/>
        </w:rPr>
        <w:t>Hieronymus Bosch</w:t>
      </w:r>
      <w:r>
        <w:rPr>
          <w:rFonts w:ascii="Arial" w:hAnsi="Arial" w:cs="Arial"/>
          <w:sz w:val="24"/>
          <w:szCs w:val="24"/>
        </w:rPr>
        <w:t xml:space="preserve"> and looking at the use of birds and their </w:t>
      </w:r>
      <w:r>
        <w:rPr>
          <w:rFonts w:ascii="Arial" w:hAnsi="Arial" w:cs="Arial"/>
          <w:sz w:val="24"/>
          <w:szCs w:val="24"/>
        </w:rPr>
        <w:lastRenderedPageBreak/>
        <w:t>potential symbolism. The figure 3 is full of intricate and surreal imagery and its content has been subject to much debate over its symbolism. Despite birds commonly having a positive meaning, this painting was originally perceived as very much the opposite with “the owl, for example, was often associated with darkness and death, while the bird with a human face symbolized the devil” (Belting, 1997). Furthermore the parrot seen is thought to symbolize “Sin, ostentation, and verbal excess” (Coon, 2000) and the peacock to represent pride and vanity. However the meanings and interpretations have evolved based on the attitudes and values that reflect the current society. A more modern interpretation of the symbolism of the birds seen is that they “could signify the ascent of the soul or the desire for the divine” and that “in Bosch’s work, birds often represent hope and the possibility of redemption” (Linfert, 2004). It’s clear that the history and symbolism of birds is rich and diverse and the interpretation of them is constantly evolving to match the cultural and religious context their and depicted in.</w:t>
      </w:r>
    </w:p>
    <w:p w14:paraId="3811FFD3" w14:textId="2E23CD8A" w:rsidR="00B64EAE" w:rsidRDefault="00B64EAE" w:rsidP="00B64EAE">
      <w:pPr>
        <w:spacing w:before="240" w:line="480" w:lineRule="auto"/>
        <w:rPr>
          <w:rFonts w:ascii="Arial" w:hAnsi="Arial" w:cs="Arial"/>
          <w:b/>
          <w:bCs/>
          <w:sz w:val="24"/>
          <w:szCs w:val="24"/>
          <w:u w:val="single"/>
        </w:rPr>
      </w:pPr>
      <w:r>
        <w:rPr>
          <w:rFonts w:ascii="Arial" w:hAnsi="Arial" w:cs="Arial"/>
          <w:b/>
          <w:bCs/>
          <w:sz w:val="24"/>
          <w:szCs w:val="24"/>
          <w:u w:val="single"/>
        </w:rPr>
        <w:t>Conclusion</w:t>
      </w:r>
      <w:r>
        <w:rPr>
          <w:rFonts w:ascii="Arial" w:hAnsi="Arial" w:cs="Arial"/>
          <w:b/>
          <w:bCs/>
          <w:sz w:val="24"/>
          <w:szCs w:val="24"/>
          <w:u w:val="single"/>
        </w:rPr>
        <w:t>:</w:t>
      </w:r>
    </w:p>
    <w:p w14:paraId="25900923" w14:textId="77777777" w:rsidR="00B64EAE" w:rsidRDefault="00B64EAE" w:rsidP="00B64EAE">
      <w:pPr>
        <w:spacing w:before="240" w:line="480" w:lineRule="auto"/>
        <w:rPr>
          <w:rFonts w:ascii="Arial" w:hAnsi="Arial" w:cs="Arial"/>
          <w:sz w:val="24"/>
          <w:szCs w:val="24"/>
        </w:rPr>
      </w:pPr>
      <w:r>
        <w:rPr>
          <w:rFonts w:ascii="Arial" w:hAnsi="Arial" w:cs="Arial"/>
          <w:sz w:val="24"/>
          <w:szCs w:val="24"/>
        </w:rPr>
        <w:t>In conclusion, I really enjoyed exploring each of these keywords and I feel like I’ve gained a much deeper understanding and knowledge of each, however I did find that research about Fear and Escapism to be more intriguing and so I’m going to focus my final question on those two keywords. Here is a list of three suitable research question that I came up with as a result of my research in this essay.</w:t>
      </w:r>
    </w:p>
    <w:p w14:paraId="21BB4222" w14:textId="77777777" w:rsidR="00B64EAE" w:rsidRDefault="00B64EAE" w:rsidP="00B64EAE">
      <w:pPr>
        <w:pStyle w:val="ListParagraph"/>
        <w:numPr>
          <w:ilvl w:val="0"/>
          <w:numId w:val="1"/>
        </w:numPr>
        <w:spacing w:before="240" w:line="480" w:lineRule="auto"/>
        <w:rPr>
          <w:rFonts w:ascii="Arial" w:hAnsi="Arial" w:cs="Arial"/>
          <w:sz w:val="24"/>
          <w:szCs w:val="24"/>
        </w:rPr>
      </w:pPr>
      <w:r>
        <w:rPr>
          <w:rFonts w:ascii="Arial" w:hAnsi="Arial" w:cs="Arial"/>
          <w:sz w:val="24"/>
          <w:szCs w:val="24"/>
        </w:rPr>
        <w:t xml:space="preserve">Can you use Fear in graphic design as a form of escapism? </w:t>
      </w:r>
    </w:p>
    <w:p w14:paraId="27E4D198" w14:textId="77777777" w:rsidR="00B64EAE" w:rsidRDefault="00B64EAE" w:rsidP="00B64EAE">
      <w:pPr>
        <w:pStyle w:val="ListParagraph"/>
        <w:numPr>
          <w:ilvl w:val="0"/>
          <w:numId w:val="1"/>
        </w:numPr>
        <w:spacing w:before="240" w:line="480" w:lineRule="auto"/>
        <w:rPr>
          <w:rFonts w:ascii="Arial" w:hAnsi="Arial" w:cs="Arial"/>
          <w:sz w:val="24"/>
          <w:szCs w:val="24"/>
        </w:rPr>
      </w:pPr>
      <w:r>
        <w:rPr>
          <w:rFonts w:ascii="Arial" w:hAnsi="Arial" w:cs="Arial"/>
          <w:sz w:val="24"/>
          <w:szCs w:val="24"/>
        </w:rPr>
        <w:t>Can you use escapism through graphic design to confront your fears?</w:t>
      </w:r>
    </w:p>
    <w:p w14:paraId="10497363" w14:textId="77777777" w:rsidR="00B64EAE" w:rsidRPr="00171337" w:rsidRDefault="00B64EAE" w:rsidP="00B64EAE">
      <w:pPr>
        <w:pStyle w:val="ListParagraph"/>
        <w:numPr>
          <w:ilvl w:val="0"/>
          <w:numId w:val="1"/>
        </w:numPr>
        <w:spacing w:before="240" w:line="480" w:lineRule="auto"/>
        <w:rPr>
          <w:rFonts w:ascii="Arial" w:hAnsi="Arial" w:cs="Arial"/>
          <w:sz w:val="24"/>
          <w:szCs w:val="24"/>
        </w:rPr>
      </w:pPr>
      <w:r>
        <w:rPr>
          <w:rFonts w:ascii="Arial" w:hAnsi="Arial" w:cs="Arial"/>
          <w:sz w:val="24"/>
          <w:szCs w:val="24"/>
        </w:rPr>
        <w:t>Can I use graphic design to visualise the Human Condition?</w:t>
      </w:r>
    </w:p>
    <w:p w14:paraId="6CDC5529" w14:textId="77777777" w:rsidR="00B64EAE" w:rsidRDefault="00B64EAE" w:rsidP="00B64EAE">
      <w:pPr>
        <w:spacing w:before="240" w:line="480" w:lineRule="auto"/>
        <w:rPr>
          <w:rFonts w:ascii="Arial" w:hAnsi="Arial" w:cs="Arial"/>
          <w:sz w:val="24"/>
          <w:szCs w:val="24"/>
        </w:rPr>
      </w:pPr>
    </w:p>
    <w:p w14:paraId="69957B3D" w14:textId="77777777" w:rsidR="00BE1AA8" w:rsidRDefault="00BE1AA8" w:rsidP="00B64EAE">
      <w:pPr>
        <w:spacing w:before="240" w:line="480" w:lineRule="auto"/>
        <w:rPr>
          <w:rFonts w:ascii="Arial" w:hAnsi="Arial" w:cs="Arial"/>
          <w:sz w:val="24"/>
          <w:szCs w:val="24"/>
        </w:rPr>
      </w:pPr>
    </w:p>
    <w:p w14:paraId="4231ADE4" w14:textId="77777777" w:rsidR="00BE1AA8" w:rsidRDefault="00BE1AA8" w:rsidP="00B64EAE">
      <w:pPr>
        <w:spacing w:before="240" w:line="480" w:lineRule="auto"/>
        <w:rPr>
          <w:rFonts w:ascii="Arial" w:hAnsi="Arial" w:cs="Arial"/>
          <w:sz w:val="24"/>
          <w:szCs w:val="24"/>
        </w:rPr>
      </w:pPr>
    </w:p>
    <w:p w14:paraId="2BACDBE7" w14:textId="77777777" w:rsidR="00BE1AA8" w:rsidRDefault="00BE1AA8" w:rsidP="00B64EAE">
      <w:pPr>
        <w:spacing w:before="240" w:line="480" w:lineRule="auto"/>
        <w:rPr>
          <w:rFonts w:ascii="Arial" w:hAnsi="Arial" w:cs="Arial"/>
          <w:sz w:val="24"/>
          <w:szCs w:val="24"/>
        </w:rPr>
      </w:pPr>
    </w:p>
    <w:p w14:paraId="5187F408" w14:textId="77777777" w:rsidR="00BE1AA8" w:rsidRDefault="00BE1AA8" w:rsidP="00B64EAE">
      <w:pPr>
        <w:spacing w:before="240" w:line="480" w:lineRule="auto"/>
        <w:rPr>
          <w:rFonts w:ascii="Arial" w:hAnsi="Arial" w:cs="Arial"/>
          <w:sz w:val="24"/>
          <w:szCs w:val="24"/>
        </w:rPr>
      </w:pPr>
    </w:p>
    <w:p w14:paraId="74B1D843" w14:textId="77777777" w:rsidR="00BE1AA8" w:rsidRDefault="00BE1AA8" w:rsidP="00B64EAE">
      <w:pPr>
        <w:spacing w:before="240" w:line="480" w:lineRule="auto"/>
        <w:rPr>
          <w:rFonts w:ascii="Arial" w:hAnsi="Arial" w:cs="Arial"/>
          <w:sz w:val="24"/>
          <w:szCs w:val="24"/>
        </w:rPr>
      </w:pPr>
    </w:p>
    <w:p w14:paraId="70453531" w14:textId="77777777" w:rsidR="00BE1AA8" w:rsidRDefault="00BE1AA8" w:rsidP="00B64EAE">
      <w:pPr>
        <w:spacing w:before="240" w:line="480" w:lineRule="auto"/>
        <w:rPr>
          <w:rFonts w:ascii="Arial" w:hAnsi="Arial" w:cs="Arial"/>
          <w:sz w:val="24"/>
          <w:szCs w:val="24"/>
        </w:rPr>
      </w:pPr>
    </w:p>
    <w:p w14:paraId="3D83095C" w14:textId="77777777" w:rsidR="00BE1AA8" w:rsidRDefault="00BE1AA8" w:rsidP="00B64EAE">
      <w:pPr>
        <w:spacing w:before="240" w:line="480" w:lineRule="auto"/>
        <w:rPr>
          <w:rFonts w:ascii="Arial" w:hAnsi="Arial" w:cs="Arial"/>
          <w:sz w:val="24"/>
          <w:szCs w:val="24"/>
        </w:rPr>
      </w:pPr>
    </w:p>
    <w:p w14:paraId="25B16437" w14:textId="77777777" w:rsidR="00BE1AA8" w:rsidRPr="003366E0" w:rsidRDefault="00BE1AA8" w:rsidP="00B64EAE">
      <w:pPr>
        <w:spacing w:before="240" w:line="480" w:lineRule="auto"/>
        <w:rPr>
          <w:rFonts w:ascii="Arial" w:hAnsi="Arial" w:cs="Arial"/>
          <w:sz w:val="24"/>
          <w:szCs w:val="24"/>
        </w:rPr>
      </w:pPr>
    </w:p>
    <w:p w14:paraId="61D00651" w14:textId="05A36639" w:rsidR="00B64EAE" w:rsidRPr="00B64EAE" w:rsidRDefault="00B64EAE" w:rsidP="00B64EAE">
      <w:pPr>
        <w:spacing w:line="480" w:lineRule="auto"/>
        <w:rPr>
          <w:rFonts w:ascii="Arial" w:hAnsi="Arial" w:cs="Arial"/>
          <w:sz w:val="24"/>
          <w:szCs w:val="24"/>
          <w:u w:val="single"/>
        </w:rPr>
      </w:pPr>
      <w:r w:rsidRPr="003366E0">
        <w:rPr>
          <w:rFonts w:ascii="Arial" w:hAnsi="Arial" w:cs="Arial"/>
          <w:sz w:val="24"/>
          <w:szCs w:val="24"/>
          <w:u w:val="single"/>
        </w:rPr>
        <w:t>Bibliography:</w:t>
      </w:r>
    </w:p>
    <w:p w14:paraId="4441E59B" w14:textId="618B0077" w:rsidR="00B64EAE" w:rsidRDefault="00B64EAE" w:rsidP="00B64EAE">
      <w:pPr>
        <w:spacing w:line="480" w:lineRule="auto"/>
        <w:rPr>
          <w:rFonts w:ascii="Arial" w:hAnsi="Arial" w:cs="Arial"/>
          <w:sz w:val="24"/>
          <w:szCs w:val="24"/>
        </w:rPr>
      </w:pPr>
      <w:r>
        <w:rPr>
          <w:rFonts w:ascii="Arial" w:hAnsi="Arial" w:cs="Arial"/>
          <w:sz w:val="24"/>
          <w:szCs w:val="24"/>
        </w:rPr>
        <w:t xml:space="preserve">Anderson, D. L. (2005) </w:t>
      </w:r>
      <w:r>
        <w:rPr>
          <w:rFonts w:ascii="Arial" w:hAnsi="Arial" w:cs="Arial"/>
          <w:i/>
          <w:iCs/>
          <w:sz w:val="24"/>
          <w:szCs w:val="24"/>
        </w:rPr>
        <w:t>Avian Symbolism in Western Art</w:t>
      </w:r>
      <w:r>
        <w:rPr>
          <w:rFonts w:ascii="Arial" w:hAnsi="Arial" w:cs="Arial"/>
          <w:sz w:val="24"/>
          <w:szCs w:val="24"/>
        </w:rPr>
        <w:t xml:space="preserve">. </w:t>
      </w:r>
      <w:proofErr w:type="spellStart"/>
      <w:r>
        <w:rPr>
          <w:rFonts w:ascii="Arial" w:hAnsi="Arial" w:cs="Arial"/>
          <w:sz w:val="24"/>
          <w:szCs w:val="24"/>
        </w:rPr>
        <w:t>Artibus</w:t>
      </w:r>
      <w:proofErr w:type="spellEnd"/>
      <w:r>
        <w:rPr>
          <w:rFonts w:ascii="Arial" w:hAnsi="Arial" w:cs="Arial"/>
          <w:sz w:val="24"/>
          <w:szCs w:val="24"/>
        </w:rPr>
        <w:t xml:space="preserve"> et Historiae. 26(51), 209 – 227.</w:t>
      </w:r>
    </w:p>
    <w:p w14:paraId="6B77CE86" w14:textId="04DB063D" w:rsidR="00B64EAE" w:rsidRPr="003366E0" w:rsidRDefault="00B64EAE" w:rsidP="00B64EAE">
      <w:pPr>
        <w:spacing w:line="480" w:lineRule="auto"/>
        <w:rPr>
          <w:rFonts w:ascii="Arial" w:hAnsi="Arial" w:cs="Arial"/>
          <w:sz w:val="24"/>
          <w:szCs w:val="24"/>
        </w:rPr>
      </w:pPr>
      <w:r w:rsidRPr="003366E0">
        <w:rPr>
          <w:rFonts w:ascii="Arial" w:hAnsi="Arial" w:cs="Arial"/>
          <w:sz w:val="24"/>
          <w:szCs w:val="24"/>
        </w:rPr>
        <w:t xml:space="preserve">Aspinwall, L. G. and Taylor, S. E. (1992) </w:t>
      </w:r>
      <w:r w:rsidRPr="003366E0">
        <w:rPr>
          <w:rFonts w:ascii="Arial" w:hAnsi="Arial" w:cs="Arial"/>
          <w:i/>
          <w:iCs/>
          <w:sz w:val="24"/>
          <w:szCs w:val="24"/>
        </w:rPr>
        <w:t xml:space="preserve">Modelling cognitive adaptations: A longitudinal investigation of the impact of individual differences and coping on college adjustment and performance. </w:t>
      </w:r>
      <w:r w:rsidRPr="003366E0">
        <w:rPr>
          <w:rFonts w:ascii="Arial" w:hAnsi="Arial" w:cs="Arial"/>
          <w:sz w:val="24"/>
          <w:szCs w:val="24"/>
        </w:rPr>
        <w:t>Journal of personality and social psychology.</w:t>
      </w:r>
    </w:p>
    <w:p w14:paraId="6596AEBE" w14:textId="00F65301" w:rsidR="00B64EAE" w:rsidRDefault="00B64EAE" w:rsidP="00B64EAE">
      <w:pPr>
        <w:spacing w:line="480" w:lineRule="auto"/>
        <w:rPr>
          <w:rFonts w:ascii="Arial" w:hAnsi="Arial" w:cs="Arial"/>
          <w:sz w:val="24"/>
          <w:szCs w:val="24"/>
        </w:rPr>
      </w:pPr>
      <w:r>
        <w:rPr>
          <w:rFonts w:ascii="Arial" w:hAnsi="Arial" w:cs="Arial"/>
          <w:sz w:val="24"/>
          <w:szCs w:val="24"/>
        </w:rPr>
        <w:t xml:space="preserve">Belting, H. (1997) </w:t>
      </w:r>
      <w:r>
        <w:rPr>
          <w:rFonts w:ascii="Arial" w:hAnsi="Arial" w:cs="Arial"/>
          <w:i/>
          <w:iCs/>
          <w:sz w:val="24"/>
          <w:szCs w:val="24"/>
        </w:rPr>
        <w:t xml:space="preserve">Hieronymus Bosch: Garden of Earthly Delights. </w:t>
      </w:r>
      <w:r>
        <w:rPr>
          <w:rFonts w:ascii="Arial" w:hAnsi="Arial" w:cs="Arial"/>
          <w:sz w:val="24"/>
          <w:szCs w:val="24"/>
        </w:rPr>
        <w:t>The Burlington Magazine. 139(1134), 175 – 183.</w:t>
      </w:r>
    </w:p>
    <w:p w14:paraId="728B30A4" w14:textId="3567349A" w:rsidR="00B64EAE" w:rsidRPr="003366E0" w:rsidRDefault="00B64EAE" w:rsidP="00B64EAE">
      <w:pPr>
        <w:spacing w:line="480" w:lineRule="auto"/>
        <w:rPr>
          <w:rFonts w:ascii="Arial" w:hAnsi="Arial" w:cs="Arial"/>
          <w:sz w:val="24"/>
          <w:szCs w:val="24"/>
        </w:rPr>
      </w:pPr>
      <w:r w:rsidRPr="003366E0">
        <w:rPr>
          <w:rFonts w:ascii="Arial" w:hAnsi="Arial" w:cs="Arial"/>
          <w:sz w:val="24"/>
          <w:szCs w:val="24"/>
        </w:rPr>
        <w:t xml:space="preserve">Calvo Serraller, F. (1994) </w:t>
      </w:r>
      <w:r w:rsidRPr="003366E0">
        <w:rPr>
          <w:rFonts w:ascii="Arial" w:hAnsi="Arial" w:cs="Arial"/>
          <w:i/>
          <w:iCs/>
          <w:sz w:val="24"/>
          <w:szCs w:val="24"/>
        </w:rPr>
        <w:t xml:space="preserve">Goya: The image of Women. </w:t>
      </w:r>
      <w:r w:rsidRPr="003366E0">
        <w:rPr>
          <w:rFonts w:ascii="Arial" w:hAnsi="Arial" w:cs="Arial"/>
          <w:sz w:val="24"/>
          <w:szCs w:val="24"/>
        </w:rPr>
        <w:t>Thames and Hudson.</w:t>
      </w:r>
    </w:p>
    <w:p w14:paraId="0984CDA3" w14:textId="5637CAAD" w:rsidR="00B64EAE" w:rsidRDefault="00B64EAE" w:rsidP="00B64EAE">
      <w:pPr>
        <w:spacing w:line="480" w:lineRule="auto"/>
        <w:rPr>
          <w:rFonts w:ascii="Arial" w:hAnsi="Arial" w:cs="Arial"/>
          <w:sz w:val="24"/>
          <w:szCs w:val="24"/>
        </w:rPr>
      </w:pPr>
      <w:r>
        <w:rPr>
          <w:rFonts w:ascii="Arial" w:hAnsi="Arial" w:cs="Arial"/>
          <w:sz w:val="24"/>
          <w:szCs w:val="24"/>
        </w:rPr>
        <w:t xml:space="preserve">Coon, L. L. (2000) </w:t>
      </w:r>
      <w:r>
        <w:rPr>
          <w:rFonts w:ascii="Arial" w:hAnsi="Arial" w:cs="Arial"/>
          <w:i/>
          <w:iCs/>
          <w:sz w:val="24"/>
          <w:szCs w:val="24"/>
        </w:rPr>
        <w:t xml:space="preserve">Heterogeneous Space, Hybrid Bodies; The Garden of Earthly Delights. </w:t>
      </w:r>
      <w:r>
        <w:rPr>
          <w:rFonts w:ascii="Arial" w:hAnsi="Arial" w:cs="Arial"/>
          <w:sz w:val="24"/>
          <w:szCs w:val="24"/>
        </w:rPr>
        <w:t>Renaissance Quarterly. 53(1), 1 – 42.</w:t>
      </w:r>
    </w:p>
    <w:p w14:paraId="717AD30C" w14:textId="0FFF74FD" w:rsidR="00B64EAE" w:rsidRPr="003366E0" w:rsidRDefault="00B64EAE" w:rsidP="00B64EAE">
      <w:pPr>
        <w:spacing w:line="480" w:lineRule="auto"/>
        <w:rPr>
          <w:rFonts w:ascii="Arial" w:hAnsi="Arial" w:cs="Arial"/>
          <w:sz w:val="24"/>
          <w:szCs w:val="24"/>
        </w:rPr>
      </w:pPr>
      <w:r w:rsidRPr="003366E0">
        <w:rPr>
          <w:rFonts w:ascii="Arial" w:hAnsi="Arial" w:cs="Arial"/>
          <w:sz w:val="24"/>
          <w:szCs w:val="24"/>
        </w:rPr>
        <w:lastRenderedPageBreak/>
        <w:t xml:space="preserve">Creswell, J. D. (2018) </w:t>
      </w:r>
      <w:r w:rsidRPr="003366E0">
        <w:rPr>
          <w:rFonts w:ascii="Arial" w:hAnsi="Arial" w:cs="Arial"/>
          <w:i/>
          <w:iCs/>
          <w:sz w:val="24"/>
          <w:szCs w:val="24"/>
        </w:rPr>
        <w:t xml:space="preserve">Mindfulness interventions. </w:t>
      </w:r>
      <w:r w:rsidRPr="003366E0">
        <w:rPr>
          <w:rFonts w:ascii="Arial" w:hAnsi="Arial" w:cs="Arial"/>
          <w:sz w:val="24"/>
          <w:szCs w:val="24"/>
        </w:rPr>
        <w:t>Annual Review of Psychology, 69, 377 - 402.</w:t>
      </w:r>
    </w:p>
    <w:p w14:paraId="0FF40A4C" w14:textId="77777777" w:rsidR="00B64EAE" w:rsidRPr="00A51FF5" w:rsidRDefault="00B64EAE" w:rsidP="00B64EAE">
      <w:pPr>
        <w:spacing w:line="480" w:lineRule="auto"/>
        <w:rPr>
          <w:rFonts w:ascii="Arial" w:hAnsi="Arial" w:cs="Arial"/>
          <w:sz w:val="24"/>
          <w:szCs w:val="24"/>
        </w:rPr>
      </w:pPr>
      <w:r w:rsidRPr="00A51FF5">
        <w:rPr>
          <w:rFonts w:ascii="Arial" w:hAnsi="Arial" w:cs="Arial"/>
          <w:sz w:val="24"/>
          <w:szCs w:val="24"/>
        </w:rPr>
        <w:t xml:space="preserve">Eliade, M. (1958) </w:t>
      </w:r>
      <w:r w:rsidRPr="00A51FF5">
        <w:rPr>
          <w:rFonts w:ascii="Arial" w:hAnsi="Arial" w:cs="Arial"/>
          <w:i/>
          <w:iCs/>
          <w:sz w:val="24"/>
          <w:szCs w:val="24"/>
        </w:rPr>
        <w:t xml:space="preserve">Patterns in Comparative Religion. </w:t>
      </w:r>
      <w:r w:rsidRPr="00A51FF5">
        <w:rPr>
          <w:rFonts w:ascii="Arial" w:hAnsi="Arial" w:cs="Arial"/>
          <w:sz w:val="24"/>
          <w:szCs w:val="24"/>
        </w:rPr>
        <w:t>Sheen &amp; Ward.</w:t>
      </w:r>
    </w:p>
    <w:p w14:paraId="203BC96C" w14:textId="77777777" w:rsidR="00B64EAE" w:rsidRPr="00A51FF5" w:rsidRDefault="00B64EAE" w:rsidP="00B64EAE">
      <w:pPr>
        <w:spacing w:line="480" w:lineRule="auto"/>
        <w:rPr>
          <w:rFonts w:ascii="Arial" w:hAnsi="Arial" w:cs="Arial"/>
          <w:sz w:val="24"/>
          <w:szCs w:val="24"/>
        </w:rPr>
      </w:pPr>
      <w:r w:rsidRPr="00A51FF5">
        <w:rPr>
          <w:rFonts w:ascii="Arial" w:hAnsi="Arial" w:cs="Arial"/>
          <w:sz w:val="24"/>
          <w:szCs w:val="24"/>
        </w:rPr>
        <w:t xml:space="preserve">Eliade, M. (1978) </w:t>
      </w:r>
      <w:r w:rsidRPr="00A51FF5">
        <w:rPr>
          <w:rFonts w:ascii="Arial" w:hAnsi="Arial" w:cs="Arial"/>
          <w:i/>
          <w:iCs/>
          <w:sz w:val="24"/>
          <w:szCs w:val="24"/>
        </w:rPr>
        <w:t xml:space="preserve">A History of Religious Ideas, Volume 2; From Gautama Buddha to the Triumph of Christianity. </w:t>
      </w:r>
      <w:r w:rsidRPr="00A51FF5">
        <w:rPr>
          <w:rFonts w:ascii="Arial" w:hAnsi="Arial" w:cs="Arial"/>
          <w:sz w:val="24"/>
          <w:szCs w:val="24"/>
        </w:rPr>
        <w:t>University of Chicago Press.</w:t>
      </w:r>
    </w:p>
    <w:p w14:paraId="30AAF679" w14:textId="77777777" w:rsidR="00B64EAE" w:rsidRPr="00772D6A" w:rsidRDefault="00B64EAE" w:rsidP="00B64EAE">
      <w:pPr>
        <w:spacing w:line="480" w:lineRule="auto"/>
        <w:rPr>
          <w:rFonts w:ascii="Arial" w:hAnsi="Arial" w:cs="Arial"/>
          <w:sz w:val="24"/>
          <w:szCs w:val="24"/>
        </w:rPr>
      </w:pPr>
      <w:r>
        <w:rPr>
          <w:rFonts w:ascii="Arial" w:hAnsi="Arial" w:cs="Arial"/>
          <w:sz w:val="24"/>
          <w:szCs w:val="24"/>
        </w:rPr>
        <w:t xml:space="preserve">Foster, M. D. (2014) </w:t>
      </w:r>
      <w:r>
        <w:rPr>
          <w:rFonts w:ascii="Arial" w:hAnsi="Arial" w:cs="Arial"/>
          <w:i/>
          <w:iCs/>
          <w:sz w:val="24"/>
          <w:szCs w:val="24"/>
        </w:rPr>
        <w:t xml:space="preserve">The Book of Yokai: Mysterious Creatures of Japanese Folklore. </w:t>
      </w:r>
      <w:r>
        <w:rPr>
          <w:rFonts w:ascii="Arial" w:hAnsi="Arial" w:cs="Arial"/>
          <w:sz w:val="24"/>
          <w:szCs w:val="24"/>
        </w:rPr>
        <w:t>University of California Press.</w:t>
      </w:r>
    </w:p>
    <w:p w14:paraId="29BE4950" w14:textId="77777777" w:rsidR="00B64EAE" w:rsidRDefault="00B64EAE" w:rsidP="00B64EAE">
      <w:pPr>
        <w:spacing w:line="480" w:lineRule="auto"/>
        <w:rPr>
          <w:rFonts w:ascii="Arial" w:hAnsi="Arial" w:cs="Arial"/>
          <w:sz w:val="24"/>
          <w:szCs w:val="24"/>
        </w:rPr>
      </w:pPr>
      <w:r>
        <w:rPr>
          <w:rFonts w:ascii="Arial" w:hAnsi="Arial" w:cs="Arial"/>
          <w:sz w:val="24"/>
          <w:szCs w:val="24"/>
        </w:rPr>
        <w:t xml:space="preserve">Fromm, E. (1941) </w:t>
      </w:r>
      <w:r>
        <w:rPr>
          <w:rFonts w:ascii="Arial" w:hAnsi="Arial" w:cs="Arial"/>
          <w:i/>
          <w:iCs/>
          <w:sz w:val="24"/>
          <w:szCs w:val="24"/>
        </w:rPr>
        <w:t xml:space="preserve">Escape from Freedom. </w:t>
      </w:r>
      <w:r>
        <w:rPr>
          <w:rFonts w:ascii="Arial" w:hAnsi="Arial" w:cs="Arial"/>
          <w:sz w:val="24"/>
          <w:szCs w:val="24"/>
        </w:rPr>
        <w:t xml:space="preserve">New York: Holt, </w:t>
      </w:r>
      <w:proofErr w:type="gramStart"/>
      <w:r>
        <w:rPr>
          <w:rFonts w:ascii="Arial" w:hAnsi="Arial" w:cs="Arial"/>
          <w:sz w:val="24"/>
          <w:szCs w:val="24"/>
        </w:rPr>
        <w:t>Rinehart</w:t>
      </w:r>
      <w:proofErr w:type="gramEnd"/>
      <w:r>
        <w:rPr>
          <w:rFonts w:ascii="Arial" w:hAnsi="Arial" w:cs="Arial"/>
          <w:sz w:val="24"/>
          <w:szCs w:val="24"/>
        </w:rPr>
        <w:t xml:space="preserve"> and Winston.</w:t>
      </w:r>
    </w:p>
    <w:p w14:paraId="040F553D" w14:textId="77777777" w:rsidR="00B64EAE" w:rsidRDefault="00B64EAE" w:rsidP="00B64EAE">
      <w:pPr>
        <w:spacing w:line="480" w:lineRule="auto"/>
        <w:rPr>
          <w:rFonts w:ascii="Arial" w:hAnsi="Arial" w:cs="Arial"/>
          <w:sz w:val="24"/>
          <w:szCs w:val="24"/>
        </w:rPr>
      </w:pPr>
      <w:r>
        <w:rPr>
          <w:rFonts w:ascii="Arial" w:hAnsi="Arial" w:cs="Arial"/>
          <w:sz w:val="24"/>
          <w:szCs w:val="24"/>
        </w:rPr>
        <w:t xml:space="preserve">Galbraith, P. W. (2014) </w:t>
      </w:r>
      <w:r>
        <w:rPr>
          <w:rFonts w:ascii="Arial" w:hAnsi="Arial" w:cs="Arial"/>
          <w:i/>
          <w:iCs/>
          <w:sz w:val="24"/>
          <w:szCs w:val="24"/>
        </w:rPr>
        <w:t>Animation in Japan.</w:t>
      </w:r>
      <w:r>
        <w:rPr>
          <w:rFonts w:ascii="Arial" w:hAnsi="Arial" w:cs="Arial"/>
          <w:sz w:val="24"/>
          <w:szCs w:val="24"/>
        </w:rPr>
        <w:t xml:space="preserve"> Edinburgh University Press.</w:t>
      </w:r>
    </w:p>
    <w:p w14:paraId="5B45AA19" w14:textId="77777777" w:rsidR="00B64EAE" w:rsidRDefault="00B64EAE" w:rsidP="00B64EAE">
      <w:pPr>
        <w:spacing w:line="480" w:lineRule="auto"/>
        <w:rPr>
          <w:rFonts w:ascii="Arial" w:hAnsi="Arial" w:cs="Arial"/>
          <w:sz w:val="24"/>
          <w:szCs w:val="24"/>
        </w:rPr>
      </w:pPr>
      <w:r>
        <w:rPr>
          <w:rFonts w:ascii="Arial" w:hAnsi="Arial" w:cs="Arial"/>
          <w:sz w:val="24"/>
          <w:szCs w:val="24"/>
        </w:rPr>
        <w:t xml:space="preserve">Gregersen, M. and Olaison, L. (2014) </w:t>
      </w:r>
      <w:r>
        <w:rPr>
          <w:rFonts w:ascii="Arial" w:hAnsi="Arial" w:cs="Arial"/>
          <w:i/>
          <w:iCs/>
          <w:sz w:val="24"/>
          <w:szCs w:val="24"/>
        </w:rPr>
        <w:t xml:space="preserve">Escaping from reality? A critical analysis of escapism as an explanation of media use. </w:t>
      </w:r>
      <w:r>
        <w:rPr>
          <w:rFonts w:ascii="Arial" w:hAnsi="Arial" w:cs="Arial"/>
          <w:sz w:val="24"/>
          <w:szCs w:val="24"/>
        </w:rPr>
        <w:t>Convergence: The International Journal of Research into New Media Technologies, 20(1), 41 - 54.</w:t>
      </w:r>
    </w:p>
    <w:p w14:paraId="1A9B6FFA" w14:textId="77777777" w:rsidR="00B64EAE" w:rsidRPr="003909E1" w:rsidRDefault="00B64EAE" w:rsidP="00B64EAE">
      <w:pPr>
        <w:spacing w:line="480" w:lineRule="auto"/>
        <w:rPr>
          <w:rFonts w:ascii="Arial" w:hAnsi="Arial" w:cs="Arial"/>
          <w:sz w:val="24"/>
          <w:szCs w:val="24"/>
        </w:rPr>
      </w:pPr>
      <w:r>
        <w:rPr>
          <w:rFonts w:ascii="Arial" w:hAnsi="Arial" w:cs="Arial"/>
          <w:sz w:val="24"/>
          <w:szCs w:val="24"/>
        </w:rPr>
        <w:t xml:space="preserve">Hawthorn, J. E. (1992) </w:t>
      </w:r>
      <w:r>
        <w:rPr>
          <w:rFonts w:ascii="Arial" w:hAnsi="Arial" w:cs="Arial"/>
          <w:i/>
          <w:iCs/>
          <w:sz w:val="24"/>
          <w:szCs w:val="24"/>
        </w:rPr>
        <w:t xml:space="preserve">A Glossary of Contemporary Literary Theory. </w:t>
      </w:r>
      <w:r>
        <w:rPr>
          <w:rFonts w:ascii="Arial" w:hAnsi="Arial" w:cs="Arial"/>
          <w:sz w:val="24"/>
          <w:szCs w:val="24"/>
        </w:rPr>
        <w:t>Edward Arnold.</w:t>
      </w:r>
    </w:p>
    <w:p w14:paraId="58239D11" w14:textId="77777777" w:rsidR="00B64EAE" w:rsidRDefault="00B64EAE" w:rsidP="00B64EAE">
      <w:pPr>
        <w:spacing w:line="480" w:lineRule="auto"/>
        <w:rPr>
          <w:rFonts w:ascii="Arial" w:hAnsi="Arial" w:cs="Arial"/>
          <w:sz w:val="24"/>
          <w:szCs w:val="24"/>
        </w:rPr>
      </w:pPr>
      <w:r>
        <w:rPr>
          <w:rFonts w:ascii="Arial" w:hAnsi="Arial" w:cs="Arial"/>
          <w:sz w:val="24"/>
          <w:szCs w:val="24"/>
        </w:rPr>
        <w:t xml:space="preserve">Lamarre, T. (2013) </w:t>
      </w:r>
      <w:r w:rsidRPr="00B502A5">
        <w:rPr>
          <w:rFonts w:ascii="Arial" w:hAnsi="Arial" w:cs="Arial"/>
          <w:i/>
          <w:iCs/>
          <w:sz w:val="24"/>
          <w:szCs w:val="24"/>
        </w:rPr>
        <w:t>Merely players?</w:t>
      </w:r>
      <w:r>
        <w:rPr>
          <w:rFonts w:ascii="Arial" w:hAnsi="Arial" w:cs="Arial"/>
          <w:i/>
          <w:iCs/>
          <w:sz w:val="24"/>
          <w:szCs w:val="24"/>
        </w:rPr>
        <w:t xml:space="preserve"> Ethics, aesthetics, and Escapism in Japanese Animation. </w:t>
      </w:r>
      <w:r>
        <w:rPr>
          <w:rFonts w:ascii="Arial" w:hAnsi="Arial" w:cs="Arial"/>
          <w:sz w:val="24"/>
          <w:szCs w:val="24"/>
        </w:rPr>
        <w:t>Animation: An Interdisciplinary Journal 8(1), 39 - 54.</w:t>
      </w:r>
    </w:p>
    <w:p w14:paraId="694D6772" w14:textId="77777777" w:rsidR="00B64EAE" w:rsidRPr="003366E0" w:rsidRDefault="00B64EAE" w:rsidP="00B64EAE">
      <w:pPr>
        <w:spacing w:line="480" w:lineRule="auto"/>
        <w:rPr>
          <w:rFonts w:ascii="Arial" w:hAnsi="Arial" w:cs="Arial"/>
          <w:sz w:val="24"/>
          <w:szCs w:val="24"/>
        </w:rPr>
      </w:pPr>
      <w:r w:rsidRPr="003366E0">
        <w:rPr>
          <w:rFonts w:ascii="Arial" w:hAnsi="Arial" w:cs="Arial"/>
          <w:sz w:val="24"/>
          <w:szCs w:val="24"/>
        </w:rPr>
        <w:t xml:space="preserve">Lazarus, R. S. and Folkman, S. (1984) </w:t>
      </w:r>
      <w:r w:rsidRPr="003366E0">
        <w:rPr>
          <w:rFonts w:ascii="Arial" w:hAnsi="Arial" w:cs="Arial"/>
          <w:i/>
          <w:iCs/>
          <w:sz w:val="24"/>
          <w:szCs w:val="24"/>
        </w:rPr>
        <w:t xml:space="preserve">Stress, Appraisal, and Coping. </w:t>
      </w:r>
      <w:r w:rsidRPr="003366E0">
        <w:rPr>
          <w:rFonts w:ascii="Arial" w:hAnsi="Arial" w:cs="Arial"/>
          <w:sz w:val="24"/>
          <w:szCs w:val="24"/>
        </w:rPr>
        <w:t xml:space="preserve">New </w:t>
      </w:r>
      <w:proofErr w:type="spellStart"/>
      <w:r w:rsidRPr="003366E0">
        <w:rPr>
          <w:rFonts w:ascii="Arial" w:hAnsi="Arial" w:cs="Arial"/>
          <w:sz w:val="24"/>
          <w:szCs w:val="24"/>
        </w:rPr>
        <w:t>york</w:t>
      </w:r>
      <w:proofErr w:type="spellEnd"/>
      <w:r w:rsidRPr="003366E0">
        <w:rPr>
          <w:rFonts w:ascii="Arial" w:hAnsi="Arial" w:cs="Arial"/>
          <w:sz w:val="24"/>
          <w:szCs w:val="24"/>
        </w:rPr>
        <w:t>: Springer.</w:t>
      </w:r>
    </w:p>
    <w:p w14:paraId="59866B30" w14:textId="77777777" w:rsidR="00B64EAE" w:rsidRPr="003366E0" w:rsidRDefault="00B64EAE" w:rsidP="00B64EAE">
      <w:pPr>
        <w:spacing w:line="480" w:lineRule="auto"/>
        <w:rPr>
          <w:rFonts w:ascii="Arial" w:hAnsi="Arial" w:cs="Arial"/>
          <w:sz w:val="24"/>
          <w:szCs w:val="24"/>
        </w:rPr>
      </w:pPr>
      <w:r w:rsidRPr="003366E0">
        <w:rPr>
          <w:rFonts w:ascii="Arial" w:hAnsi="Arial" w:cs="Arial"/>
          <w:sz w:val="24"/>
          <w:szCs w:val="24"/>
        </w:rPr>
        <w:t xml:space="preserve">Ledoux, J. (2015) </w:t>
      </w:r>
      <w:r w:rsidRPr="003366E0">
        <w:rPr>
          <w:rFonts w:ascii="Arial" w:hAnsi="Arial" w:cs="Arial"/>
          <w:i/>
          <w:iCs/>
          <w:sz w:val="24"/>
          <w:szCs w:val="24"/>
        </w:rPr>
        <w:t>Anxious: using the brain to understand and treat fear and anxiety.</w:t>
      </w:r>
      <w:r w:rsidRPr="003366E0">
        <w:rPr>
          <w:rFonts w:ascii="Arial" w:hAnsi="Arial" w:cs="Arial"/>
          <w:sz w:val="24"/>
          <w:szCs w:val="24"/>
        </w:rPr>
        <w:t xml:space="preserve"> Penguin.</w:t>
      </w:r>
    </w:p>
    <w:p w14:paraId="14CAE40F" w14:textId="77777777" w:rsidR="00B64EAE" w:rsidRPr="003366E0" w:rsidRDefault="00B64EAE" w:rsidP="00B64EAE">
      <w:pPr>
        <w:spacing w:line="480" w:lineRule="auto"/>
        <w:rPr>
          <w:rFonts w:ascii="Arial" w:hAnsi="Arial" w:cs="Arial"/>
          <w:sz w:val="24"/>
          <w:szCs w:val="24"/>
        </w:rPr>
      </w:pPr>
      <w:r w:rsidRPr="003366E0">
        <w:rPr>
          <w:rFonts w:ascii="Arial" w:hAnsi="Arial" w:cs="Arial"/>
          <w:sz w:val="24"/>
          <w:szCs w:val="24"/>
        </w:rPr>
        <w:t xml:space="preserve">Licht, F. (1997) </w:t>
      </w:r>
      <w:r w:rsidRPr="003366E0">
        <w:rPr>
          <w:rFonts w:ascii="Arial" w:hAnsi="Arial" w:cs="Arial"/>
          <w:i/>
          <w:iCs/>
          <w:sz w:val="24"/>
          <w:szCs w:val="24"/>
        </w:rPr>
        <w:t xml:space="preserve">Goya: The Origins of the modern Temper in Art. </w:t>
      </w:r>
      <w:r w:rsidRPr="003366E0">
        <w:rPr>
          <w:rFonts w:ascii="Arial" w:hAnsi="Arial" w:cs="Arial"/>
          <w:sz w:val="24"/>
          <w:szCs w:val="24"/>
        </w:rPr>
        <w:t xml:space="preserve">Harry N. Abrams. </w:t>
      </w:r>
    </w:p>
    <w:p w14:paraId="469BE233" w14:textId="21DE81FA" w:rsidR="00B64EAE" w:rsidRPr="00F94616" w:rsidRDefault="00B64EAE" w:rsidP="00B64EAE">
      <w:pPr>
        <w:spacing w:line="480" w:lineRule="auto"/>
        <w:rPr>
          <w:rFonts w:ascii="Arial" w:hAnsi="Arial" w:cs="Arial"/>
          <w:sz w:val="24"/>
          <w:szCs w:val="24"/>
        </w:rPr>
      </w:pPr>
      <w:r>
        <w:rPr>
          <w:rFonts w:ascii="Arial" w:hAnsi="Arial" w:cs="Arial"/>
          <w:sz w:val="24"/>
          <w:szCs w:val="24"/>
        </w:rPr>
        <w:t>Linfert</w:t>
      </w:r>
      <w:r>
        <w:rPr>
          <w:rFonts w:ascii="Arial" w:hAnsi="Arial" w:cs="Arial"/>
          <w:sz w:val="24"/>
          <w:szCs w:val="24"/>
        </w:rPr>
        <w:t xml:space="preserve">, C. (2004) </w:t>
      </w:r>
      <w:r>
        <w:rPr>
          <w:rFonts w:ascii="Arial" w:hAnsi="Arial" w:cs="Arial"/>
          <w:i/>
          <w:iCs/>
          <w:sz w:val="24"/>
          <w:szCs w:val="24"/>
        </w:rPr>
        <w:t xml:space="preserve">Bosch. </w:t>
      </w:r>
      <w:r>
        <w:rPr>
          <w:rFonts w:ascii="Arial" w:hAnsi="Arial" w:cs="Arial"/>
          <w:sz w:val="24"/>
          <w:szCs w:val="24"/>
        </w:rPr>
        <w:t>Taschen.</w:t>
      </w:r>
    </w:p>
    <w:p w14:paraId="654194B1" w14:textId="77777777" w:rsidR="00B64EAE" w:rsidRPr="00A51FF5" w:rsidRDefault="00B64EAE" w:rsidP="00B64EAE">
      <w:pPr>
        <w:spacing w:line="480" w:lineRule="auto"/>
        <w:rPr>
          <w:rFonts w:ascii="Arial" w:hAnsi="Arial" w:cs="Arial"/>
          <w:sz w:val="24"/>
          <w:szCs w:val="24"/>
        </w:rPr>
      </w:pPr>
      <w:r w:rsidRPr="00A51FF5">
        <w:rPr>
          <w:rFonts w:ascii="Arial" w:hAnsi="Arial" w:cs="Arial"/>
          <w:sz w:val="24"/>
          <w:szCs w:val="24"/>
        </w:rPr>
        <w:lastRenderedPageBreak/>
        <w:t xml:space="preserve">Minear, R. H. (1997) </w:t>
      </w:r>
      <w:r w:rsidRPr="00A51FF5">
        <w:rPr>
          <w:rFonts w:ascii="Arial" w:hAnsi="Arial" w:cs="Arial"/>
          <w:i/>
          <w:iCs/>
          <w:sz w:val="24"/>
          <w:szCs w:val="24"/>
        </w:rPr>
        <w:t xml:space="preserve">Falconry and Literature: A Cultural History. </w:t>
      </w:r>
      <w:r w:rsidRPr="00A51FF5">
        <w:rPr>
          <w:rFonts w:ascii="Arial" w:hAnsi="Arial" w:cs="Arial"/>
          <w:sz w:val="24"/>
          <w:szCs w:val="24"/>
        </w:rPr>
        <w:t>Journal of American Culture. 20(2)</w:t>
      </w:r>
      <w:r>
        <w:rPr>
          <w:rFonts w:ascii="Arial" w:hAnsi="Arial" w:cs="Arial"/>
          <w:sz w:val="24"/>
          <w:szCs w:val="24"/>
        </w:rPr>
        <w:t>.</w:t>
      </w:r>
    </w:p>
    <w:p w14:paraId="1FF24629" w14:textId="77777777" w:rsidR="00B64EAE" w:rsidRDefault="00B64EAE" w:rsidP="00B64EAE">
      <w:pPr>
        <w:spacing w:line="480" w:lineRule="auto"/>
        <w:rPr>
          <w:rFonts w:ascii="Arial" w:hAnsi="Arial" w:cs="Arial"/>
          <w:sz w:val="24"/>
          <w:szCs w:val="24"/>
        </w:rPr>
      </w:pPr>
      <w:r>
        <w:rPr>
          <w:rFonts w:ascii="Arial" w:hAnsi="Arial" w:cs="Arial"/>
          <w:sz w:val="24"/>
          <w:szCs w:val="24"/>
        </w:rPr>
        <w:t xml:space="preserve">Reilly, W. J. (2012) </w:t>
      </w:r>
      <w:r>
        <w:rPr>
          <w:rFonts w:ascii="Arial" w:hAnsi="Arial" w:cs="Arial"/>
          <w:i/>
          <w:iCs/>
          <w:sz w:val="24"/>
          <w:szCs w:val="24"/>
        </w:rPr>
        <w:t xml:space="preserve">Escaping from the human condition: A critical appraisal of Erich Fromm’s concept of escapism. </w:t>
      </w:r>
      <w:r>
        <w:rPr>
          <w:rFonts w:ascii="Arial" w:hAnsi="Arial" w:cs="Arial"/>
          <w:sz w:val="24"/>
          <w:szCs w:val="24"/>
        </w:rPr>
        <w:t>Journal of Humanistic Psychology. 52(4), 424 – 443.</w:t>
      </w:r>
    </w:p>
    <w:p w14:paraId="2C7A500A" w14:textId="77777777" w:rsidR="00B64EAE" w:rsidRDefault="00B64EAE" w:rsidP="00B64EAE">
      <w:pPr>
        <w:spacing w:line="480" w:lineRule="auto"/>
        <w:rPr>
          <w:rFonts w:ascii="Arial" w:hAnsi="Arial" w:cs="Arial"/>
          <w:sz w:val="24"/>
          <w:szCs w:val="24"/>
        </w:rPr>
      </w:pPr>
      <w:r>
        <w:rPr>
          <w:rFonts w:ascii="Arial" w:hAnsi="Arial" w:cs="Arial"/>
          <w:sz w:val="24"/>
          <w:szCs w:val="24"/>
        </w:rPr>
        <w:t xml:space="preserve">Saarikallio, S. (2010) </w:t>
      </w:r>
      <w:r>
        <w:rPr>
          <w:rFonts w:ascii="Arial" w:hAnsi="Arial" w:cs="Arial"/>
          <w:i/>
          <w:iCs/>
          <w:sz w:val="24"/>
          <w:szCs w:val="24"/>
        </w:rPr>
        <w:t>Music as emotional self-regulation through adulthood.</w:t>
      </w:r>
      <w:r>
        <w:rPr>
          <w:rFonts w:ascii="Arial" w:hAnsi="Arial" w:cs="Arial"/>
          <w:sz w:val="24"/>
          <w:szCs w:val="24"/>
        </w:rPr>
        <w:t xml:space="preserve"> Psychology of Music, 38(2), 209 – 228. </w:t>
      </w:r>
    </w:p>
    <w:p w14:paraId="6B5D4B80" w14:textId="77777777" w:rsidR="00B64EAE" w:rsidRDefault="00B64EAE" w:rsidP="00B64EAE">
      <w:pPr>
        <w:spacing w:line="480" w:lineRule="auto"/>
        <w:rPr>
          <w:rFonts w:ascii="Arial" w:hAnsi="Arial" w:cs="Arial"/>
          <w:sz w:val="24"/>
          <w:szCs w:val="24"/>
        </w:rPr>
      </w:pPr>
      <w:r>
        <w:rPr>
          <w:rFonts w:ascii="Arial" w:hAnsi="Arial" w:cs="Arial"/>
          <w:sz w:val="24"/>
          <w:szCs w:val="24"/>
        </w:rPr>
        <w:t>Sharman, L. and Dingle, G. A. and Broughton, M. C. (2015)</w:t>
      </w:r>
      <w:r>
        <w:rPr>
          <w:rFonts w:ascii="Arial" w:hAnsi="Arial" w:cs="Arial"/>
          <w:i/>
          <w:iCs/>
          <w:sz w:val="24"/>
          <w:szCs w:val="24"/>
        </w:rPr>
        <w:t xml:space="preserve"> Extreme metal music and anger processing. </w:t>
      </w:r>
      <w:r>
        <w:rPr>
          <w:rFonts w:ascii="Arial" w:hAnsi="Arial" w:cs="Arial"/>
          <w:sz w:val="24"/>
          <w:szCs w:val="24"/>
        </w:rPr>
        <w:t>Frontiers in Human Neuroscience. 9, 272.</w:t>
      </w:r>
    </w:p>
    <w:p w14:paraId="75264C5B" w14:textId="77777777" w:rsidR="00B64EAE" w:rsidRPr="00491626" w:rsidRDefault="00B64EAE" w:rsidP="00B64EAE">
      <w:pPr>
        <w:spacing w:line="480" w:lineRule="auto"/>
        <w:rPr>
          <w:rFonts w:ascii="Arial" w:hAnsi="Arial" w:cs="Arial"/>
          <w:sz w:val="24"/>
          <w:szCs w:val="24"/>
        </w:rPr>
      </w:pPr>
      <w:r w:rsidRPr="00491626">
        <w:rPr>
          <w:rFonts w:ascii="Arial" w:hAnsi="Arial" w:cs="Arial"/>
          <w:sz w:val="24"/>
          <w:szCs w:val="24"/>
        </w:rPr>
        <w:t>Thoma, M. V.</w:t>
      </w:r>
      <w:r>
        <w:rPr>
          <w:rFonts w:ascii="Arial" w:hAnsi="Arial" w:cs="Arial"/>
          <w:sz w:val="24"/>
          <w:szCs w:val="24"/>
        </w:rPr>
        <w:t xml:space="preserve"> </w:t>
      </w:r>
      <w:r w:rsidRPr="00491626">
        <w:rPr>
          <w:rFonts w:ascii="Arial" w:hAnsi="Arial" w:cs="Arial"/>
          <w:sz w:val="24"/>
          <w:szCs w:val="24"/>
        </w:rPr>
        <w:t xml:space="preserve">(2012). </w:t>
      </w:r>
      <w:r w:rsidRPr="00491626">
        <w:rPr>
          <w:rFonts w:ascii="Arial" w:hAnsi="Arial" w:cs="Arial"/>
          <w:i/>
          <w:iCs/>
          <w:sz w:val="24"/>
          <w:szCs w:val="24"/>
        </w:rPr>
        <w:t>The effects of music and noise on cognitive task performance and self-reported mood</w:t>
      </w:r>
      <w:r>
        <w:rPr>
          <w:rFonts w:ascii="Arial" w:hAnsi="Arial" w:cs="Arial"/>
          <w:i/>
          <w:iCs/>
          <w:sz w:val="24"/>
          <w:szCs w:val="24"/>
        </w:rPr>
        <w:t>.</w:t>
      </w:r>
      <w:r w:rsidRPr="00491626">
        <w:rPr>
          <w:rFonts w:ascii="Arial" w:hAnsi="Arial" w:cs="Arial"/>
          <w:sz w:val="24"/>
          <w:szCs w:val="24"/>
        </w:rPr>
        <w:t xml:space="preserve"> Frontiers in Psychology 3</w:t>
      </w:r>
      <w:r>
        <w:rPr>
          <w:rFonts w:ascii="Arial" w:hAnsi="Arial" w:cs="Arial"/>
          <w:sz w:val="24"/>
          <w:szCs w:val="24"/>
        </w:rPr>
        <w:t>,</w:t>
      </w:r>
      <w:r w:rsidRPr="00491626">
        <w:rPr>
          <w:rFonts w:ascii="Arial" w:hAnsi="Arial" w:cs="Arial"/>
          <w:sz w:val="24"/>
          <w:szCs w:val="24"/>
        </w:rPr>
        <w:t xml:space="preserve"> 563.</w:t>
      </w:r>
    </w:p>
    <w:p w14:paraId="594C3DC3" w14:textId="77777777" w:rsidR="00B64EAE" w:rsidRPr="003366E0" w:rsidRDefault="00B64EAE" w:rsidP="00B64EAE">
      <w:pPr>
        <w:spacing w:line="480" w:lineRule="auto"/>
        <w:rPr>
          <w:rFonts w:ascii="Arial" w:hAnsi="Arial" w:cs="Arial"/>
          <w:sz w:val="24"/>
          <w:szCs w:val="24"/>
        </w:rPr>
      </w:pPr>
      <w:r w:rsidRPr="003366E0">
        <w:rPr>
          <w:rFonts w:ascii="Arial" w:hAnsi="Arial" w:cs="Arial"/>
          <w:sz w:val="24"/>
          <w:szCs w:val="24"/>
        </w:rPr>
        <w:t xml:space="preserve">Tiffany, T. J. (2005) </w:t>
      </w:r>
      <w:r w:rsidRPr="003366E0">
        <w:rPr>
          <w:rFonts w:ascii="Arial" w:hAnsi="Arial" w:cs="Arial"/>
          <w:i/>
          <w:iCs/>
          <w:sz w:val="24"/>
          <w:szCs w:val="24"/>
        </w:rPr>
        <w:t>Fear, Nightmares, and Illusions in Goya’s Disaster of War.</w:t>
      </w:r>
      <w:r w:rsidRPr="003366E0">
        <w:rPr>
          <w:rFonts w:ascii="Arial" w:hAnsi="Arial" w:cs="Arial"/>
          <w:sz w:val="24"/>
          <w:szCs w:val="24"/>
        </w:rPr>
        <w:t xml:space="preserve"> The Art Bulletin.</w:t>
      </w:r>
    </w:p>
    <w:p w14:paraId="34BD7EE9" w14:textId="77777777" w:rsidR="00B64EAE" w:rsidRPr="003366E0" w:rsidRDefault="00B64EAE" w:rsidP="00B64EAE">
      <w:pPr>
        <w:spacing w:line="480" w:lineRule="auto"/>
        <w:rPr>
          <w:rFonts w:ascii="Arial" w:hAnsi="Arial" w:cs="Arial"/>
          <w:sz w:val="24"/>
          <w:szCs w:val="24"/>
        </w:rPr>
      </w:pPr>
      <w:r w:rsidRPr="003366E0">
        <w:rPr>
          <w:rFonts w:ascii="Arial" w:hAnsi="Arial" w:cs="Arial"/>
          <w:b/>
          <w:bCs/>
          <w:sz w:val="24"/>
          <w:szCs w:val="24"/>
          <w:u w:val="single"/>
        </w:rPr>
        <w:t>Images:</w:t>
      </w:r>
    </w:p>
    <w:p w14:paraId="607FA9D3" w14:textId="497CC71B" w:rsidR="00B64EAE" w:rsidRPr="00B64EAE" w:rsidRDefault="00B64EAE" w:rsidP="00B64EAE">
      <w:pPr>
        <w:tabs>
          <w:tab w:val="left" w:pos="6101"/>
        </w:tabs>
        <w:spacing w:line="480" w:lineRule="auto"/>
        <w:rPr>
          <w:rFonts w:ascii="Arial" w:hAnsi="Arial" w:cs="Arial"/>
          <w:sz w:val="24"/>
          <w:szCs w:val="24"/>
        </w:rPr>
      </w:pPr>
      <w:r w:rsidRPr="003366E0">
        <w:rPr>
          <w:rFonts w:ascii="Arial" w:hAnsi="Arial" w:cs="Arial"/>
          <w:sz w:val="24"/>
          <w:szCs w:val="24"/>
        </w:rPr>
        <w:t xml:space="preserve">Francisco Goya. (1891-1833) </w:t>
      </w:r>
      <w:r w:rsidRPr="003366E0">
        <w:rPr>
          <w:rFonts w:ascii="Arial" w:hAnsi="Arial" w:cs="Arial"/>
          <w:i/>
          <w:iCs/>
          <w:sz w:val="24"/>
          <w:szCs w:val="24"/>
        </w:rPr>
        <w:t xml:space="preserve">Two Old Men. </w:t>
      </w:r>
      <w:r w:rsidRPr="003366E0">
        <w:rPr>
          <w:rFonts w:ascii="Arial" w:hAnsi="Arial" w:cs="Arial"/>
          <w:sz w:val="24"/>
          <w:szCs w:val="24"/>
        </w:rPr>
        <w:t xml:space="preserve">[Oil Mural Transferred to Canvas] Museo Del Prado, Madrid. Available at: </w:t>
      </w:r>
      <w:hyperlink r:id="rId8" w:history="1">
        <w:r w:rsidRPr="003366E0">
          <w:rPr>
            <w:rStyle w:val="Hyperlink"/>
            <w:rFonts w:ascii="Arial" w:hAnsi="Arial" w:cs="Arial"/>
            <w:sz w:val="24"/>
            <w:szCs w:val="24"/>
          </w:rPr>
          <w:t>https://www.museodelprado.es/en/the-collection/art-work/two-old-men/cde9bf01-7535-4a62-8f73-a22d6a68d9a5</w:t>
        </w:r>
      </w:hyperlink>
      <w:r w:rsidRPr="003366E0">
        <w:rPr>
          <w:rFonts w:ascii="Arial" w:hAnsi="Arial" w:cs="Arial"/>
          <w:sz w:val="24"/>
          <w:szCs w:val="24"/>
        </w:rPr>
        <w:t xml:space="preserve"> (Accessed on 14/03/2023) </w:t>
      </w:r>
    </w:p>
    <w:p w14:paraId="31E69C1D" w14:textId="52EF37C4" w:rsidR="00B64EAE" w:rsidRDefault="00B64EAE" w:rsidP="00B64EAE">
      <w:pPr>
        <w:tabs>
          <w:tab w:val="left" w:pos="6101"/>
        </w:tabs>
        <w:spacing w:line="480" w:lineRule="auto"/>
        <w:rPr>
          <w:rFonts w:ascii="Arial" w:hAnsi="Arial" w:cs="Arial"/>
          <w:sz w:val="24"/>
          <w:szCs w:val="24"/>
        </w:rPr>
      </w:pPr>
      <w:r w:rsidRPr="00BC1C64">
        <w:rPr>
          <w:rFonts w:ascii="Arial" w:hAnsi="Arial" w:cs="Arial"/>
          <w:i/>
          <w:iCs/>
          <w:sz w:val="24"/>
          <w:szCs w:val="24"/>
        </w:rPr>
        <w:t>Studio Ghibli</w:t>
      </w:r>
      <w:r>
        <w:rPr>
          <w:rFonts w:ascii="Arial" w:hAnsi="Arial" w:cs="Arial"/>
          <w:sz w:val="24"/>
          <w:szCs w:val="24"/>
        </w:rPr>
        <w:t xml:space="preserve"> (2003) Directed by Hayao Miyazaki [DVD]. Tokyo; Studio Ghibli.</w:t>
      </w:r>
    </w:p>
    <w:p w14:paraId="1263F58B" w14:textId="25093629" w:rsidR="003665D3" w:rsidRPr="00BE1AA8" w:rsidRDefault="00B64EAE" w:rsidP="00BE1AA8">
      <w:pPr>
        <w:tabs>
          <w:tab w:val="left" w:pos="6101"/>
        </w:tabs>
        <w:spacing w:before="240" w:line="480" w:lineRule="auto"/>
        <w:rPr>
          <w:rFonts w:ascii="Arial" w:hAnsi="Arial" w:cs="Arial"/>
          <w:sz w:val="24"/>
          <w:szCs w:val="24"/>
        </w:rPr>
      </w:pPr>
      <w:r w:rsidRPr="00555F8E">
        <w:rPr>
          <w:rFonts w:ascii="Arial" w:hAnsi="Arial" w:cs="Arial"/>
          <w:sz w:val="24"/>
          <w:szCs w:val="24"/>
        </w:rPr>
        <w:t>Hieronymus Bosch</w:t>
      </w:r>
      <w:r>
        <w:rPr>
          <w:rFonts w:ascii="Arial" w:hAnsi="Arial" w:cs="Arial"/>
          <w:sz w:val="24"/>
          <w:szCs w:val="24"/>
        </w:rPr>
        <w:t xml:space="preserve"> (1490 – 1500) </w:t>
      </w:r>
      <w:r>
        <w:rPr>
          <w:rFonts w:ascii="Arial" w:hAnsi="Arial" w:cs="Arial"/>
          <w:i/>
          <w:iCs/>
          <w:sz w:val="24"/>
          <w:szCs w:val="24"/>
        </w:rPr>
        <w:t>The Garden of Earthly Delights</w:t>
      </w:r>
      <w:r>
        <w:rPr>
          <w:rFonts w:ascii="Arial" w:hAnsi="Arial" w:cs="Arial"/>
          <w:sz w:val="24"/>
          <w:szCs w:val="24"/>
        </w:rPr>
        <w:t xml:space="preserve"> [Oil on Oak Panel] Museo Del Prado, Madrid. Available at: </w:t>
      </w:r>
      <w:hyperlink r:id="rId9" w:history="1">
        <w:r w:rsidRPr="002E4CE9">
          <w:rPr>
            <w:rStyle w:val="Hyperlink"/>
            <w:rFonts w:ascii="Arial" w:hAnsi="Arial" w:cs="Arial"/>
            <w:sz w:val="24"/>
            <w:szCs w:val="24"/>
          </w:rPr>
          <w:t>https://www.artsy.net/article/artsy-editorial-decoding-boschs-wild-whimsical-garden-earthly-delights</w:t>
        </w:r>
      </w:hyperlink>
      <w:r>
        <w:rPr>
          <w:rFonts w:ascii="Arial" w:hAnsi="Arial" w:cs="Arial"/>
          <w:sz w:val="24"/>
          <w:szCs w:val="24"/>
        </w:rPr>
        <w:t xml:space="preserve"> (Accessed on 19/03/2023)</w:t>
      </w:r>
    </w:p>
    <w:sectPr w:rsidR="003665D3" w:rsidRPr="00BE1AA8">
      <w:headerReference w:type="default" r:id="rId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37FDE" w14:textId="77777777" w:rsidR="00F95272" w:rsidRPr="00F95272" w:rsidRDefault="00000000">
    <w:pPr>
      <w:pStyle w:val="Header"/>
      <w:rPr>
        <w:rFonts w:ascii="Arial" w:hAnsi="Arial" w:cs="Arial"/>
        <w:sz w:val="28"/>
        <w:szCs w:val="28"/>
        <w:u w:val="single"/>
      </w:rPr>
    </w:pPr>
    <w:r w:rsidRPr="00F95272">
      <w:rPr>
        <w:rFonts w:ascii="Arial" w:hAnsi="Arial" w:cs="Arial"/>
        <w:sz w:val="28"/>
        <w:szCs w:val="28"/>
        <w:u w:val="single"/>
      </w:rPr>
      <w:t xml:space="preserve">Research In </w:t>
    </w:r>
    <w:r>
      <w:rPr>
        <w:rFonts w:ascii="Arial" w:hAnsi="Arial" w:cs="Arial"/>
        <w:sz w:val="28"/>
        <w:szCs w:val="28"/>
        <w:u w:val="single"/>
      </w:rPr>
      <w:t>Practice</w:t>
    </w:r>
    <w:r w:rsidRPr="00F95272">
      <w:rPr>
        <w:rFonts w:ascii="Arial" w:hAnsi="Arial" w:cs="Arial"/>
        <w:sz w:val="28"/>
        <w:szCs w:val="28"/>
        <w:u w:val="single"/>
      </w:rPr>
      <w:t xml:space="preserve"> – Key words that make me wanna off myself</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993948"/>
    <w:multiLevelType w:val="hybridMultilevel"/>
    <w:tmpl w:val="9F9468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29903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4EAE"/>
    <w:rsid w:val="00093D4D"/>
    <w:rsid w:val="003665D3"/>
    <w:rsid w:val="00B64EAE"/>
    <w:rsid w:val="00BE1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64E10"/>
  <w15:chartTrackingRefBased/>
  <w15:docId w15:val="{AA801B04-0B21-49E6-9982-DA9D53C0A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4EAE"/>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4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4EAE"/>
    <w:rPr>
      <w:kern w:val="0"/>
      <w14:ligatures w14:val="none"/>
    </w:rPr>
  </w:style>
  <w:style w:type="paragraph" w:styleId="ListParagraph">
    <w:name w:val="List Paragraph"/>
    <w:basedOn w:val="Normal"/>
    <w:uiPriority w:val="34"/>
    <w:qFormat/>
    <w:rsid w:val="00B64EAE"/>
    <w:pPr>
      <w:ind w:left="720"/>
      <w:contextualSpacing/>
    </w:pPr>
  </w:style>
  <w:style w:type="character" w:styleId="Hyperlink">
    <w:name w:val="Hyperlink"/>
    <w:basedOn w:val="DefaultParagraphFont"/>
    <w:uiPriority w:val="99"/>
    <w:unhideWhenUsed/>
    <w:rsid w:val="00B64E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useodelprado.es/en/the-collection/art-work/two-old-men/cde9bf01-7535-4a62-8f73-a22d6a68d9a5"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rtsy.net/article/artsy-editorial-decoding-boschs-wild-whimsical-garden-earthly-del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13</Pages>
  <Words>3038</Words>
  <Characters>15315</Characters>
  <Application>Microsoft Office Word</Application>
  <DocSecurity>0</DocSecurity>
  <Lines>300</Lines>
  <Paragraphs>76</Paragraphs>
  <ScaleCrop>false</ScaleCrop>
  <Company/>
  <LinksUpToDate>false</LinksUpToDate>
  <CharactersWithSpaces>18277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ferriday</dc:creator>
  <cp:keywords/>
  <dc:description/>
  <cp:lastModifiedBy>jacob ferriday</cp:lastModifiedBy>
  <cp:revision>4</cp:revision>
  <dcterms:created xsi:type="dcterms:W3CDTF">2023-04-20T13:57:00Z</dcterms:created>
  <dcterms:modified xsi:type="dcterms:W3CDTF">2023-04-20T14:13:00Z</dcterms:modified>
</cp:coreProperties>
</file>