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92BD9" w14:textId="77777777" w:rsidR="002C6A92" w:rsidRDefault="002C6A92">
      <w:pPr>
        <w:spacing w:line="360" w:lineRule="auto"/>
        <w:jc w:val="center"/>
        <w:rPr>
          <w:rFonts w:ascii="Arial" w:eastAsia="Arial" w:hAnsi="Arial" w:cs="Arial"/>
          <w:b/>
          <w:bCs/>
        </w:rPr>
      </w:pPr>
    </w:p>
    <w:p w14:paraId="43D41C64" w14:textId="77777777" w:rsidR="002C6A92" w:rsidRDefault="002C6A92">
      <w:pPr>
        <w:spacing w:line="360" w:lineRule="auto"/>
        <w:jc w:val="center"/>
        <w:rPr>
          <w:rFonts w:ascii="Arial" w:eastAsia="Arial" w:hAnsi="Arial" w:cs="Arial"/>
          <w:b/>
          <w:bCs/>
        </w:rPr>
      </w:pPr>
    </w:p>
    <w:p w14:paraId="3B520C35" w14:textId="77777777" w:rsidR="002C6A92" w:rsidRDefault="002C6A92">
      <w:pPr>
        <w:spacing w:line="360" w:lineRule="auto"/>
        <w:jc w:val="center"/>
        <w:rPr>
          <w:rFonts w:ascii="Arial" w:eastAsia="Arial" w:hAnsi="Arial" w:cs="Arial"/>
          <w:b/>
          <w:bCs/>
        </w:rPr>
      </w:pPr>
    </w:p>
    <w:p w14:paraId="55AB2BF6" w14:textId="77777777" w:rsidR="002C6A92" w:rsidRDefault="002C6A92">
      <w:pPr>
        <w:spacing w:line="360" w:lineRule="auto"/>
        <w:jc w:val="center"/>
        <w:rPr>
          <w:rFonts w:ascii="Arial" w:eastAsia="Arial" w:hAnsi="Arial" w:cs="Arial"/>
          <w:b/>
          <w:bCs/>
        </w:rPr>
      </w:pPr>
    </w:p>
    <w:p w14:paraId="22C26CFD" w14:textId="77777777" w:rsidR="002C6A92" w:rsidRDefault="00000000">
      <w:pPr>
        <w:spacing w:line="360" w:lineRule="auto"/>
        <w:jc w:val="center"/>
        <w:rPr>
          <w:rFonts w:ascii="Arial" w:eastAsia="Arial" w:hAnsi="Arial" w:cs="Arial"/>
          <w:b/>
          <w:bCs/>
        </w:rPr>
      </w:pPr>
      <w:r>
        <w:rPr>
          <w:rFonts w:ascii="Arial" w:eastAsia="Arial" w:hAnsi="Arial" w:cs="Arial"/>
          <w:b/>
          <w:bCs/>
          <w:noProof/>
        </w:rPr>
        <w:drawing>
          <wp:inline distT="0" distB="0" distL="0" distR="0" wp14:anchorId="29722970" wp14:editId="1BAC7D30">
            <wp:extent cx="1781175" cy="75247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781175" cy="752475"/>
                    </a:xfrm>
                    <a:prstGeom prst="rect">
                      <a:avLst/>
                    </a:prstGeom>
                    <a:ln w="25400">
                      <a:solidFill>
                        <a:srgbClr val="666666"/>
                      </a:solidFill>
                      <a:prstDash val="solid"/>
                    </a:ln>
                  </pic:spPr>
                </pic:pic>
              </a:graphicData>
            </a:graphic>
          </wp:inline>
        </w:drawing>
      </w:r>
    </w:p>
    <w:p w14:paraId="17DBD99D" w14:textId="77777777" w:rsidR="002C6A92"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Component 2 Analytical Report</w:t>
      </w:r>
    </w:p>
    <w:p w14:paraId="68381C3F" w14:textId="77777777" w:rsidR="002C6A92"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Module code: LCHS7000</w:t>
      </w:r>
    </w:p>
    <w:p w14:paraId="4BA09047" w14:textId="77777777" w:rsidR="002C6A92"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Module Name: Social Epidemiology and Public Health Development</w:t>
      </w:r>
    </w:p>
    <w:p w14:paraId="51DEC89E" w14:textId="77777777" w:rsidR="00AB74CA" w:rsidRDefault="00000000" w:rsidP="00AB74CA">
      <w:pPr>
        <w:spacing w:line="360" w:lineRule="auto"/>
        <w:jc w:val="center"/>
        <w:rPr>
          <w:rFonts w:ascii="Arial" w:eastAsia="Arial" w:hAnsi="Arial" w:cs="Arial"/>
          <w:b/>
          <w:bCs/>
          <w:sz w:val="28"/>
          <w:szCs w:val="28"/>
          <w:lang w:val="en-IN"/>
        </w:rPr>
      </w:pPr>
      <w:r>
        <w:rPr>
          <w:rFonts w:ascii="Arial" w:eastAsia="Arial" w:hAnsi="Arial" w:cs="Arial"/>
          <w:b/>
          <w:bCs/>
          <w:sz w:val="28"/>
          <w:szCs w:val="28"/>
        </w:rPr>
        <w:t xml:space="preserve">Assignment Title (Component 2 Analytical Report): </w:t>
      </w:r>
      <w:r w:rsidR="00AB74CA" w:rsidRPr="00AB74CA">
        <w:rPr>
          <w:rFonts w:ascii="Arial" w:eastAsia="Arial" w:hAnsi="Arial" w:cs="Arial"/>
          <w:b/>
          <w:bCs/>
          <w:sz w:val="28"/>
          <w:szCs w:val="28"/>
          <w:lang w:val="en-IN"/>
        </w:rPr>
        <w:t>Disability Inequalities and Adult Respiratory Diseases</w:t>
      </w:r>
    </w:p>
    <w:p w14:paraId="4239296C" w14:textId="77A3A4F1" w:rsidR="00176899" w:rsidRPr="00AB74CA" w:rsidRDefault="00176899" w:rsidP="00AB74CA">
      <w:pPr>
        <w:spacing w:line="360" w:lineRule="auto"/>
        <w:jc w:val="center"/>
        <w:rPr>
          <w:rFonts w:ascii="Arial" w:eastAsia="Arial" w:hAnsi="Arial" w:cs="Arial"/>
          <w:b/>
          <w:bCs/>
          <w:sz w:val="28"/>
          <w:szCs w:val="28"/>
          <w:lang w:val="en-IN"/>
        </w:rPr>
      </w:pPr>
      <w:r>
        <w:rPr>
          <w:rFonts w:ascii="Arial" w:eastAsia="Arial" w:hAnsi="Arial" w:cs="Arial"/>
          <w:b/>
          <w:bCs/>
          <w:sz w:val="28"/>
          <w:szCs w:val="28"/>
          <w:lang w:val="en-IN"/>
        </w:rPr>
        <w:t>Student Name</w:t>
      </w:r>
      <w:r w:rsidR="00165406">
        <w:rPr>
          <w:rFonts w:ascii="Arial" w:eastAsia="Arial" w:hAnsi="Arial" w:cs="Arial"/>
          <w:b/>
          <w:bCs/>
          <w:sz w:val="28"/>
          <w:szCs w:val="28"/>
          <w:lang w:val="en-IN"/>
        </w:rPr>
        <w:t>: Sonali Solanki</w:t>
      </w:r>
    </w:p>
    <w:p w14:paraId="51697EB7" w14:textId="2C4F0A94" w:rsidR="00176899" w:rsidRDefault="00000000" w:rsidP="00176899">
      <w:pPr>
        <w:spacing w:line="360" w:lineRule="auto"/>
        <w:jc w:val="center"/>
        <w:rPr>
          <w:rFonts w:ascii="Arial" w:eastAsia="Arial" w:hAnsi="Arial" w:cs="Arial"/>
          <w:b/>
          <w:bCs/>
          <w:sz w:val="28"/>
          <w:szCs w:val="28"/>
        </w:rPr>
      </w:pPr>
      <w:r>
        <w:rPr>
          <w:rFonts w:ascii="Arial" w:eastAsia="Arial" w:hAnsi="Arial" w:cs="Arial"/>
          <w:b/>
          <w:bCs/>
          <w:sz w:val="28"/>
          <w:szCs w:val="28"/>
        </w:rPr>
        <w:t>Student Number:</w:t>
      </w:r>
      <w:r w:rsidR="00176899">
        <w:rPr>
          <w:rFonts w:ascii="Arial" w:eastAsia="Arial" w:hAnsi="Arial" w:cs="Arial"/>
          <w:b/>
          <w:bCs/>
          <w:sz w:val="28"/>
          <w:szCs w:val="28"/>
        </w:rPr>
        <w:t>2523936</w:t>
      </w:r>
    </w:p>
    <w:p w14:paraId="1BAB07B9" w14:textId="5D2A5FF8" w:rsidR="00AB74CA" w:rsidRDefault="00AB74CA">
      <w:pPr>
        <w:spacing w:line="360" w:lineRule="auto"/>
        <w:jc w:val="center"/>
        <w:rPr>
          <w:rFonts w:ascii="Arial" w:eastAsia="Arial" w:hAnsi="Arial" w:cs="Arial"/>
          <w:b/>
          <w:bCs/>
          <w:sz w:val="28"/>
          <w:szCs w:val="28"/>
        </w:rPr>
      </w:pPr>
      <w:r>
        <w:rPr>
          <w:rFonts w:ascii="Arial" w:eastAsia="Arial" w:hAnsi="Arial" w:cs="Arial"/>
          <w:b/>
          <w:bCs/>
          <w:sz w:val="28"/>
          <w:szCs w:val="28"/>
        </w:rPr>
        <w:t>Words: 2620</w:t>
      </w:r>
    </w:p>
    <w:p w14:paraId="490A23A1" w14:textId="77777777" w:rsidR="002C6A92" w:rsidRDefault="00000000">
      <w:pPr>
        <w:spacing w:line="360" w:lineRule="auto"/>
        <w:rPr>
          <w:rFonts w:ascii="Arial" w:eastAsia="Arial" w:hAnsi="Arial" w:cs="Arial"/>
          <w:b/>
          <w:bCs/>
        </w:rPr>
      </w:pPr>
      <w:r>
        <w:br w:type="page"/>
      </w:r>
    </w:p>
    <w:p w14:paraId="2505B261" w14:textId="77777777" w:rsidR="002C6A92" w:rsidRDefault="00000000">
      <w:pPr>
        <w:keepNext/>
        <w:keepLines/>
        <w:pBdr>
          <w:top w:val="nil"/>
          <w:left w:val="nil"/>
          <w:bottom w:val="nil"/>
          <w:right w:val="nil"/>
          <w:between w:val="nil"/>
        </w:pBdr>
        <w:spacing w:before="480" w:after="0" w:line="360" w:lineRule="auto"/>
        <w:jc w:val="center"/>
        <w:rPr>
          <w:rFonts w:ascii="Arial" w:eastAsia="Arial" w:hAnsi="Arial" w:cs="Arial"/>
          <w:b/>
          <w:bCs/>
          <w:color w:val="366091"/>
          <w:sz w:val="28"/>
          <w:szCs w:val="28"/>
        </w:rPr>
      </w:pPr>
      <w:r>
        <w:rPr>
          <w:rFonts w:ascii="Arial" w:eastAsia="Arial" w:hAnsi="Arial" w:cs="Arial"/>
          <w:b/>
          <w:bCs/>
          <w:color w:val="000000"/>
          <w:sz w:val="28"/>
          <w:szCs w:val="28"/>
        </w:rPr>
        <w:lastRenderedPageBreak/>
        <w:t>Table of Contents</w:t>
      </w:r>
    </w:p>
    <w:sdt>
      <w:sdtPr>
        <w:id w:val="1285736990"/>
        <w:docPartObj>
          <w:docPartGallery w:val="Table of Contents"/>
          <w:docPartUnique/>
        </w:docPartObj>
      </w:sdtPr>
      <w:sdtContent>
        <w:p w14:paraId="6698F360" w14:textId="77777777" w:rsidR="002C6A92" w:rsidRDefault="00000000">
          <w:pPr>
            <w:pBdr>
              <w:top w:val="nil"/>
              <w:left w:val="nil"/>
              <w:bottom w:val="nil"/>
              <w:right w:val="nil"/>
              <w:between w:val="nil"/>
            </w:pBdr>
            <w:tabs>
              <w:tab w:val="right" w:leader="dot" w:pos="9350"/>
            </w:tabs>
            <w:spacing w:after="100" w:line="360" w:lineRule="auto"/>
            <w:jc w:val="both"/>
            <w:rPr>
              <w:rFonts w:ascii="Arial" w:eastAsia="Arial" w:hAnsi="Arial" w:cs="Arial"/>
              <w:color w:val="000000"/>
            </w:rPr>
          </w:pPr>
          <w:r>
            <w:fldChar w:fldCharType="begin"/>
          </w:r>
          <w:r>
            <w:instrText xml:space="preserve"> TOC \h \u \z \t "Heading 1,1,Heading 2,2,Heading 3,3,"</w:instrText>
          </w:r>
          <w:r>
            <w:fldChar w:fldCharType="separate"/>
          </w:r>
          <w:hyperlink w:anchor="_heading=h.i6cvuwk0kvgc">
            <w:r w:rsidR="002C6A92">
              <w:rPr>
                <w:rFonts w:ascii="Arial" w:eastAsia="Arial" w:hAnsi="Arial" w:cs="Arial"/>
                <w:color w:val="000000"/>
              </w:rPr>
              <w:t>Task 1: Social Epidemiological Analysis: Title:  Disability and health inequalities</w:t>
            </w:r>
            <w:r w:rsidR="002C6A92">
              <w:rPr>
                <w:rFonts w:ascii="Arial" w:eastAsia="Arial" w:hAnsi="Arial" w:cs="Arial"/>
                <w:color w:val="000000"/>
              </w:rPr>
              <w:tab/>
              <w:t>4</w:t>
            </w:r>
          </w:hyperlink>
        </w:p>
        <w:p w14:paraId="14BD964D" w14:textId="77777777" w:rsidR="002C6A92" w:rsidRDefault="002C6A92">
          <w:pPr>
            <w:pBdr>
              <w:top w:val="nil"/>
              <w:left w:val="nil"/>
              <w:bottom w:val="nil"/>
              <w:right w:val="nil"/>
              <w:between w:val="nil"/>
            </w:pBdr>
            <w:tabs>
              <w:tab w:val="right" w:leader="dot" w:pos="9350"/>
            </w:tabs>
            <w:spacing w:after="100" w:line="360" w:lineRule="auto"/>
            <w:jc w:val="both"/>
            <w:rPr>
              <w:rFonts w:ascii="Arial" w:eastAsia="Arial" w:hAnsi="Arial" w:cs="Arial"/>
              <w:color w:val="000000"/>
            </w:rPr>
          </w:pPr>
          <w:hyperlink w:anchor="_heading=h.el5hpcmx4kwh">
            <w:r>
              <w:rPr>
                <w:rFonts w:ascii="Arial" w:eastAsia="Arial" w:hAnsi="Arial" w:cs="Arial"/>
                <w:color w:val="000000"/>
              </w:rPr>
              <w:t>1. Introduction</w:t>
            </w:r>
            <w:r>
              <w:rPr>
                <w:rFonts w:ascii="Arial" w:eastAsia="Arial" w:hAnsi="Arial" w:cs="Arial"/>
                <w:color w:val="000000"/>
              </w:rPr>
              <w:tab/>
              <w:t>4</w:t>
            </w:r>
          </w:hyperlink>
        </w:p>
        <w:p w14:paraId="483BB514" w14:textId="77777777" w:rsidR="002C6A92" w:rsidRDefault="002C6A92">
          <w:pPr>
            <w:pBdr>
              <w:top w:val="nil"/>
              <w:left w:val="nil"/>
              <w:bottom w:val="nil"/>
              <w:right w:val="nil"/>
              <w:between w:val="nil"/>
            </w:pBdr>
            <w:tabs>
              <w:tab w:val="right" w:leader="dot" w:pos="9350"/>
            </w:tabs>
            <w:spacing w:after="100" w:line="360" w:lineRule="auto"/>
            <w:jc w:val="both"/>
            <w:rPr>
              <w:rFonts w:ascii="Arial" w:eastAsia="Arial" w:hAnsi="Arial" w:cs="Arial"/>
              <w:color w:val="000000"/>
            </w:rPr>
          </w:pPr>
          <w:hyperlink w:anchor="_heading=h.jrnp5mvbrw5g">
            <w:r>
              <w:rPr>
                <w:rFonts w:ascii="Arial" w:eastAsia="Arial" w:hAnsi="Arial" w:cs="Arial"/>
                <w:color w:val="000000"/>
              </w:rPr>
              <w:t>2. Contextual background and underlying factor:</w:t>
            </w:r>
            <w:r>
              <w:rPr>
                <w:rFonts w:ascii="Arial" w:eastAsia="Arial" w:hAnsi="Arial" w:cs="Arial"/>
                <w:color w:val="000000"/>
              </w:rPr>
              <w:tab/>
              <w:t>4</w:t>
            </w:r>
          </w:hyperlink>
        </w:p>
        <w:p w14:paraId="359EA771"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jhevlh17nphz">
            <w:r>
              <w:rPr>
                <w:rFonts w:ascii="Arial" w:eastAsia="Arial" w:hAnsi="Arial" w:cs="Arial"/>
                <w:color w:val="000000"/>
              </w:rPr>
              <w:t>2.1 Higher rates of mental illness</w:t>
            </w:r>
            <w:r>
              <w:rPr>
                <w:rFonts w:ascii="Arial" w:eastAsia="Arial" w:hAnsi="Arial" w:cs="Arial"/>
                <w:color w:val="000000"/>
              </w:rPr>
              <w:tab/>
              <w:t>4</w:t>
            </w:r>
          </w:hyperlink>
        </w:p>
        <w:p w14:paraId="228A7876"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gmxiad1bbzvb">
            <w:r>
              <w:rPr>
                <w:rFonts w:ascii="Arial" w:eastAsia="Arial" w:hAnsi="Arial" w:cs="Arial"/>
                <w:color w:val="000000"/>
              </w:rPr>
              <w:t>2.2 Low rates of access to healthcare</w:t>
            </w:r>
            <w:r>
              <w:rPr>
                <w:rFonts w:ascii="Arial" w:eastAsia="Arial" w:hAnsi="Arial" w:cs="Arial"/>
                <w:color w:val="000000"/>
              </w:rPr>
              <w:tab/>
              <w:t>4</w:t>
            </w:r>
          </w:hyperlink>
        </w:p>
        <w:p w14:paraId="353C1B9D"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s8pq9v2xt87v">
            <w:r>
              <w:rPr>
                <w:rFonts w:ascii="Arial" w:eastAsia="Arial" w:hAnsi="Arial" w:cs="Arial"/>
                <w:color w:val="000000"/>
              </w:rPr>
              <w:t>2.3 Mortality rates among the elderly group</w:t>
            </w:r>
            <w:r>
              <w:rPr>
                <w:rFonts w:ascii="Arial" w:eastAsia="Arial" w:hAnsi="Arial" w:cs="Arial"/>
                <w:color w:val="000000"/>
              </w:rPr>
              <w:tab/>
              <w:t>5</w:t>
            </w:r>
          </w:hyperlink>
        </w:p>
        <w:p w14:paraId="5DFC1A38"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o2cr98g8gd4h">
            <w:r>
              <w:rPr>
                <w:rFonts w:ascii="Arial" w:eastAsia="Arial" w:hAnsi="Arial" w:cs="Arial"/>
                <w:color w:val="000000"/>
              </w:rPr>
              <w:t>2.4 Social isolation and loneliness</w:t>
            </w:r>
            <w:r>
              <w:rPr>
                <w:rFonts w:ascii="Arial" w:eastAsia="Arial" w:hAnsi="Arial" w:cs="Arial"/>
                <w:color w:val="000000"/>
              </w:rPr>
              <w:tab/>
              <w:t>6</w:t>
            </w:r>
          </w:hyperlink>
        </w:p>
        <w:p w14:paraId="2B86BB6C"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kndpa7p3dr6k">
            <w:r>
              <w:rPr>
                <w:rFonts w:ascii="Arial" w:eastAsia="Arial" w:hAnsi="Arial" w:cs="Arial"/>
                <w:color w:val="000000"/>
              </w:rPr>
              <w:t>2.5 Poverty</w:t>
            </w:r>
            <w:r>
              <w:rPr>
                <w:rFonts w:ascii="Arial" w:eastAsia="Arial" w:hAnsi="Arial" w:cs="Arial"/>
                <w:color w:val="000000"/>
              </w:rPr>
              <w:tab/>
              <w:t>6</w:t>
            </w:r>
          </w:hyperlink>
        </w:p>
        <w:p w14:paraId="6AD0F958"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2idbhwgkhg8p">
            <w:r>
              <w:rPr>
                <w:rFonts w:ascii="Arial" w:eastAsia="Arial" w:hAnsi="Arial" w:cs="Arial"/>
                <w:color w:val="000000"/>
              </w:rPr>
              <w:t>2.6 Housing</w:t>
            </w:r>
            <w:r>
              <w:rPr>
                <w:rFonts w:ascii="Arial" w:eastAsia="Arial" w:hAnsi="Arial" w:cs="Arial"/>
                <w:color w:val="000000"/>
              </w:rPr>
              <w:tab/>
              <w:t>6</w:t>
            </w:r>
          </w:hyperlink>
        </w:p>
        <w:p w14:paraId="6DFAA060" w14:textId="77777777" w:rsidR="002C6A92" w:rsidRDefault="002C6A92">
          <w:pPr>
            <w:pBdr>
              <w:top w:val="nil"/>
              <w:left w:val="nil"/>
              <w:bottom w:val="nil"/>
              <w:right w:val="nil"/>
              <w:between w:val="nil"/>
            </w:pBdr>
            <w:tabs>
              <w:tab w:val="right" w:leader="dot" w:pos="9350"/>
            </w:tabs>
            <w:spacing w:after="100" w:line="360" w:lineRule="auto"/>
            <w:jc w:val="both"/>
            <w:rPr>
              <w:rFonts w:ascii="Arial" w:eastAsia="Arial" w:hAnsi="Arial" w:cs="Arial"/>
              <w:color w:val="000000"/>
            </w:rPr>
          </w:pPr>
          <w:hyperlink w:anchor="_heading=h.s9t84qaox4mb">
            <w:r>
              <w:rPr>
                <w:rFonts w:ascii="Arial" w:eastAsia="Arial" w:hAnsi="Arial" w:cs="Arial"/>
                <w:color w:val="000000"/>
              </w:rPr>
              <w:t>3. National Response to reduce health inequalities in your chosen group</w:t>
            </w:r>
            <w:r>
              <w:rPr>
                <w:rFonts w:ascii="Arial" w:eastAsia="Arial" w:hAnsi="Arial" w:cs="Arial"/>
                <w:color w:val="000000"/>
              </w:rPr>
              <w:tab/>
              <w:t>7</w:t>
            </w:r>
          </w:hyperlink>
        </w:p>
        <w:p w14:paraId="42E76302" w14:textId="77777777" w:rsidR="002C6A92" w:rsidRDefault="002C6A92">
          <w:pPr>
            <w:pBdr>
              <w:top w:val="nil"/>
              <w:left w:val="nil"/>
              <w:bottom w:val="nil"/>
              <w:right w:val="nil"/>
              <w:between w:val="nil"/>
            </w:pBdr>
            <w:tabs>
              <w:tab w:val="right" w:leader="dot" w:pos="9350"/>
            </w:tabs>
            <w:spacing w:after="100" w:line="360" w:lineRule="auto"/>
            <w:jc w:val="both"/>
            <w:rPr>
              <w:rFonts w:ascii="Arial" w:eastAsia="Arial" w:hAnsi="Arial" w:cs="Arial"/>
              <w:color w:val="000000"/>
            </w:rPr>
          </w:pPr>
          <w:hyperlink w:anchor="_heading=h.hsl7m0st4u28">
            <w:r>
              <w:rPr>
                <w:rFonts w:ascii="Arial" w:eastAsia="Arial" w:hAnsi="Arial" w:cs="Arial"/>
                <w:color w:val="000000"/>
              </w:rPr>
              <w:t>4. Organisations that support chosen group:</w:t>
            </w:r>
            <w:r>
              <w:rPr>
                <w:rFonts w:ascii="Arial" w:eastAsia="Arial" w:hAnsi="Arial" w:cs="Arial"/>
                <w:color w:val="000000"/>
              </w:rPr>
              <w:tab/>
              <w:t>7</w:t>
            </w:r>
          </w:hyperlink>
        </w:p>
        <w:p w14:paraId="41CE1F5D"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6teu3dl3fo27">
            <w:r>
              <w:rPr>
                <w:rFonts w:ascii="Arial" w:eastAsia="Arial" w:hAnsi="Arial" w:cs="Arial"/>
                <w:color w:val="000000"/>
              </w:rPr>
              <w:t>4.1 NHS’s wider role in raising awareness of health inequalities or social injustice.</w:t>
            </w:r>
            <w:r>
              <w:rPr>
                <w:rFonts w:ascii="Arial" w:eastAsia="Arial" w:hAnsi="Arial" w:cs="Arial"/>
                <w:color w:val="000000"/>
              </w:rPr>
              <w:tab/>
              <w:t>7</w:t>
            </w:r>
          </w:hyperlink>
        </w:p>
        <w:p w14:paraId="1B96123F"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ay8i7rlzlgcj">
            <w:r>
              <w:rPr>
                <w:rFonts w:ascii="Arial" w:eastAsia="Arial" w:hAnsi="Arial" w:cs="Arial"/>
                <w:color w:val="000000"/>
              </w:rPr>
              <w:t>4.2 A charity supports the health issue</w:t>
            </w:r>
            <w:r>
              <w:rPr>
                <w:rFonts w:ascii="Arial" w:eastAsia="Arial" w:hAnsi="Arial" w:cs="Arial"/>
                <w:color w:val="000000"/>
              </w:rPr>
              <w:tab/>
              <w:t>7</w:t>
            </w:r>
          </w:hyperlink>
        </w:p>
        <w:p w14:paraId="6746BE18"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cmwvwkyph8vg">
            <w:r>
              <w:rPr>
                <w:rFonts w:ascii="Arial" w:eastAsia="Arial" w:hAnsi="Arial" w:cs="Arial"/>
                <w:color w:val="000000"/>
              </w:rPr>
              <w:t>4.3 How the charity helps chosen group.</w:t>
            </w:r>
            <w:r>
              <w:rPr>
                <w:rFonts w:ascii="Arial" w:eastAsia="Arial" w:hAnsi="Arial" w:cs="Arial"/>
                <w:color w:val="000000"/>
              </w:rPr>
              <w:tab/>
              <w:t>7</w:t>
            </w:r>
          </w:hyperlink>
        </w:p>
        <w:p w14:paraId="1FF79C4D" w14:textId="77777777" w:rsidR="002C6A92" w:rsidRDefault="002C6A92">
          <w:pPr>
            <w:pBdr>
              <w:top w:val="nil"/>
              <w:left w:val="nil"/>
              <w:bottom w:val="nil"/>
              <w:right w:val="nil"/>
              <w:between w:val="nil"/>
            </w:pBdr>
            <w:tabs>
              <w:tab w:val="right" w:leader="dot" w:pos="9350"/>
            </w:tabs>
            <w:spacing w:after="100" w:line="360" w:lineRule="auto"/>
            <w:jc w:val="both"/>
            <w:rPr>
              <w:rFonts w:ascii="Arial" w:eastAsia="Arial" w:hAnsi="Arial" w:cs="Arial"/>
              <w:color w:val="000000"/>
            </w:rPr>
          </w:pPr>
          <w:hyperlink w:anchor="_heading=h.oggnnmiks9sw">
            <w:r>
              <w:rPr>
                <w:rFonts w:ascii="Arial" w:eastAsia="Arial" w:hAnsi="Arial" w:cs="Arial"/>
                <w:color w:val="000000"/>
              </w:rPr>
              <w:t>5. Conclusion:</w:t>
            </w:r>
            <w:r>
              <w:rPr>
                <w:rFonts w:ascii="Arial" w:eastAsia="Arial" w:hAnsi="Arial" w:cs="Arial"/>
                <w:color w:val="000000"/>
              </w:rPr>
              <w:tab/>
              <w:t>8</w:t>
            </w:r>
          </w:hyperlink>
        </w:p>
        <w:p w14:paraId="7933F9EE" w14:textId="77777777" w:rsidR="002C6A92" w:rsidRDefault="002C6A92">
          <w:pPr>
            <w:pBdr>
              <w:top w:val="nil"/>
              <w:left w:val="nil"/>
              <w:bottom w:val="nil"/>
              <w:right w:val="nil"/>
              <w:between w:val="nil"/>
            </w:pBdr>
            <w:tabs>
              <w:tab w:val="right" w:leader="dot" w:pos="9350"/>
            </w:tabs>
            <w:spacing w:after="100" w:line="360" w:lineRule="auto"/>
            <w:jc w:val="both"/>
            <w:rPr>
              <w:rFonts w:ascii="Arial" w:eastAsia="Arial" w:hAnsi="Arial" w:cs="Arial"/>
              <w:color w:val="000000"/>
            </w:rPr>
          </w:pPr>
          <w:hyperlink w:anchor="_heading=h.xfemfsnf77tb">
            <w:r>
              <w:rPr>
                <w:rFonts w:ascii="Arial" w:eastAsia="Arial" w:hAnsi="Arial" w:cs="Arial"/>
                <w:color w:val="000000"/>
              </w:rPr>
              <w:t>Task 2:  Epidemiological Analysis: Case of Respiratory &amp; Infectious Diseases among UK Working Age Adults (Ages 19–64)</w:t>
            </w:r>
            <w:r>
              <w:rPr>
                <w:rFonts w:ascii="Arial" w:eastAsia="Arial" w:hAnsi="Arial" w:cs="Arial"/>
                <w:color w:val="000000"/>
              </w:rPr>
              <w:tab/>
              <w:t>9</w:t>
            </w:r>
          </w:hyperlink>
        </w:p>
        <w:p w14:paraId="5A0815FF" w14:textId="77777777" w:rsidR="002C6A92" w:rsidRDefault="002C6A92">
          <w:pPr>
            <w:pBdr>
              <w:top w:val="nil"/>
              <w:left w:val="nil"/>
              <w:bottom w:val="nil"/>
              <w:right w:val="nil"/>
              <w:between w:val="nil"/>
            </w:pBdr>
            <w:tabs>
              <w:tab w:val="right" w:leader="dot" w:pos="9350"/>
            </w:tabs>
            <w:spacing w:after="100" w:line="360" w:lineRule="auto"/>
            <w:jc w:val="both"/>
            <w:rPr>
              <w:rFonts w:ascii="Arial" w:eastAsia="Arial" w:hAnsi="Arial" w:cs="Arial"/>
              <w:color w:val="000000"/>
            </w:rPr>
          </w:pPr>
          <w:hyperlink w:anchor="_heading=h.kcol8e2xpv8e">
            <w:r>
              <w:rPr>
                <w:rFonts w:ascii="Arial" w:eastAsia="Arial" w:hAnsi="Arial" w:cs="Arial"/>
                <w:color w:val="000000"/>
              </w:rPr>
              <w:t>A. Introduction</w:t>
            </w:r>
            <w:r>
              <w:rPr>
                <w:rFonts w:ascii="Arial" w:eastAsia="Arial" w:hAnsi="Arial" w:cs="Arial"/>
                <w:color w:val="000000"/>
              </w:rPr>
              <w:tab/>
              <w:t>9</w:t>
            </w:r>
          </w:hyperlink>
        </w:p>
        <w:p w14:paraId="0340BF44"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i31v7wbafaw5">
            <w:r>
              <w:rPr>
                <w:rFonts w:ascii="Arial" w:eastAsia="Arial" w:hAnsi="Arial" w:cs="Arial"/>
                <w:color w:val="000000"/>
              </w:rPr>
              <w:t>2.  Levels of the incidence/prevalence that demonstrate the severity of the health issue among the target population</w:t>
            </w:r>
            <w:r>
              <w:rPr>
                <w:rFonts w:ascii="Arial" w:eastAsia="Arial" w:hAnsi="Arial" w:cs="Arial"/>
                <w:color w:val="000000"/>
              </w:rPr>
              <w:tab/>
              <w:t>9</w:t>
            </w:r>
          </w:hyperlink>
        </w:p>
        <w:p w14:paraId="65F64F32" w14:textId="77777777" w:rsidR="002C6A92" w:rsidRDefault="002C6A92">
          <w:pPr>
            <w:pBdr>
              <w:top w:val="nil"/>
              <w:left w:val="nil"/>
              <w:bottom w:val="nil"/>
              <w:right w:val="nil"/>
              <w:between w:val="nil"/>
            </w:pBdr>
            <w:tabs>
              <w:tab w:val="right" w:leader="dot" w:pos="9350"/>
            </w:tabs>
            <w:spacing w:after="100" w:line="360" w:lineRule="auto"/>
            <w:jc w:val="both"/>
            <w:rPr>
              <w:rFonts w:ascii="Arial" w:eastAsia="Arial" w:hAnsi="Arial" w:cs="Arial"/>
              <w:color w:val="000000"/>
            </w:rPr>
          </w:pPr>
          <w:hyperlink w:anchor="_heading=h.e4rily7dg98b">
            <w:r>
              <w:rPr>
                <w:rFonts w:ascii="Arial" w:eastAsia="Arial" w:hAnsi="Arial" w:cs="Arial"/>
                <w:color w:val="000000"/>
              </w:rPr>
              <w:t>B. Main Body</w:t>
            </w:r>
            <w:r>
              <w:rPr>
                <w:rFonts w:ascii="Arial" w:eastAsia="Arial" w:hAnsi="Arial" w:cs="Arial"/>
                <w:color w:val="000000"/>
              </w:rPr>
              <w:tab/>
              <w:t>10</w:t>
            </w:r>
          </w:hyperlink>
        </w:p>
        <w:p w14:paraId="3549138C"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d8mf45l6blw5">
            <w:r>
              <w:rPr>
                <w:rFonts w:ascii="Arial" w:eastAsia="Arial" w:hAnsi="Arial" w:cs="Arial"/>
                <w:color w:val="000000"/>
              </w:rPr>
              <w:t>1. Public health measures drawing on the 3 P’s.</w:t>
            </w:r>
            <w:r>
              <w:rPr>
                <w:rFonts w:ascii="Arial" w:eastAsia="Arial" w:hAnsi="Arial" w:cs="Arial"/>
                <w:color w:val="000000"/>
              </w:rPr>
              <w:tab/>
              <w:t>10</w:t>
            </w:r>
          </w:hyperlink>
        </w:p>
        <w:p w14:paraId="4F7FBF4B"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rmrrlndgur0i">
            <w:r>
              <w:rPr>
                <w:rFonts w:ascii="Arial" w:eastAsia="Arial" w:hAnsi="Arial" w:cs="Arial"/>
                <w:color w:val="000000"/>
              </w:rPr>
              <w:t>2. The key determinants/risk factors of the chosen disease/health issue.</w:t>
            </w:r>
            <w:r>
              <w:rPr>
                <w:rFonts w:ascii="Arial" w:eastAsia="Arial" w:hAnsi="Arial" w:cs="Arial"/>
                <w:color w:val="000000"/>
              </w:rPr>
              <w:tab/>
              <w:t>11</w:t>
            </w:r>
          </w:hyperlink>
        </w:p>
        <w:p w14:paraId="72DA8D7D"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anl85y97srl4">
            <w:r>
              <w:rPr>
                <w:rFonts w:ascii="Arial" w:eastAsia="Arial" w:hAnsi="Arial" w:cs="Arial"/>
                <w:color w:val="000000"/>
              </w:rPr>
              <w:t>3. Using epidemiological studies and a health needs assessment; identify those affected or/are at risk in a specific defined population.</w:t>
            </w:r>
            <w:r>
              <w:rPr>
                <w:rFonts w:ascii="Arial" w:eastAsia="Arial" w:hAnsi="Arial" w:cs="Arial"/>
                <w:color w:val="000000"/>
              </w:rPr>
              <w:tab/>
              <w:t>12</w:t>
            </w:r>
          </w:hyperlink>
        </w:p>
        <w:p w14:paraId="4572EE2B"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mfghvw1cneqt">
            <w:r>
              <w:rPr>
                <w:rFonts w:ascii="Arial" w:eastAsia="Arial" w:hAnsi="Arial" w:cs="Arial"/>
                <w:color w:val="000000"/>
              </w:rPr>
              <w:t>4. Explain the main public health approaches and strategies used to monitor the incidence of chosen disease</w:t>
            </w:r>
            <w:r>
              <w:rPr>
                <w:rFonts w:ascii="Arial" w:eastAsia="Arial" w:hAnsi="Arial" w:cs="Arial"/>
                <w:color w:val="000000"/>
              </w:rPr>
              <w:tab/>
              <w:t>12</w:t>
            </w:r>
          </w:hyperlink>
        </w:p>
        <w:p w14:paraId="6527C7E7"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s7e4l91erd6t">
            <w:r>
              <w:rPr>
                <w:rFonts w:ascii="Arial" w:eastAsia="Arial" w:hAnsi="Arial" w:cs="Arial"/>
                <w:color w:val="000000"/>
              </w:rPr>
              <w:t>5. Plan and use epidemiology to determine the public health impact/short- and long-term consequences/effect of the disease on the specified population.</w:t>
            </w:r>
            <w:r>
              <w:rPr>
                <w:rFonts w:ascii="Arial" w:eastAsia="Arial" w:hAnsi="Arial" w:cs="Arial"/>
                <w:color w:val="000000"/>
              </w:rPr>
              <w:tab/>
              <w:t>13</w:t>
            </w:r>
          </w:hyperlink>
        </w:p>
        <w:p w14:paraId="422CD26B"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qiv8vf4b3yf7">
            <w:r>
              <w:rPr>
                <w:rFonts w:ascii="Arial" w:eastAsia="Arial" w:hAnsi="Arial" w:cs="Arial"/>
                <w:color w:val="000000"/>
              </w:rPr>
              <w:t>6. Health intervention programme and evaluate the impact(s) of any proposed intervention(s).</w:t>
            </w:r>
            <w:r>
              <w:rPr>
                <w:rFonts w:ascii="Arial" w:eastAsia="Arial" w:hAnsi="Arial" w:cs="Arial"/>
                <w:color w:val="000000"/>
              </w:rPr>
              <w:tab/>
              <w:t>13</w:t>
            </w:r>
          </w:hyperlink>
        </w:p>
        <w:p w14:paraId="4C91231E" w14:textId="77777777" w:rsidR="002C6A92" w:rsidRDefault="002C6A92">
          <w:pPr>
            <w:pBdr>
              <w:top w:val="nil"/>
              <w:left w:val="nil"/>
              <w:bottom w:val="nil"/>
              <w:right w:val="nil"/>
              <w:between w:val="nil"/>
            </w:pBdr>
            <w:tabs>
              <w:tab w:val="right" w:leader="dot" w:pos="9350"/>
            </w:tabs>
            <w:spacing w:after="100" w:line="360" w:lineRule="auto"/>
            <w:ind w:left="220"/>
            <w:jc w:val="both"/>
            <w:rPr>
              <w:rFonts w:ascii="Arial" w:eastAsia="Arial" w:hAnsi="Arial" w:cs="Arial"/>
              <w:color w:val="000000"/>
            </w:rPr>
          </w:pPr>
          <w:hyperlink w:anchor="_heading=h.xdx7x88nshw5">
            <w:r>
              <w:rPr>
                <w:rFonts w:ascii="Arial" w:eastAsia="Arial" w:hAnsi="Arial" w:cs="Arial"/>
                <w:color w:val="000000"/>
              </w:rPr>
              <w:t>7. Strengths and weaknesses of epidemiological approach</w:t>
            </w:r>
            <w:r>
              <w:rPr>
                <w:rFonts w:ascii="Arial" w:eastAsia="Arial" w:hAnsi="Arial" w:cs="Arial"/>
                <w:color w:val="000000"/>
              </w:rPr>
              <w:tab/>
              <w:t>14</w:t>
            </w:r>
          </w:hyperlink>
        </w:p>
        <w:p w14:paraId="76FD2457" w14:textId="77777777" w:rsidR="002C6A92" w:rsidRDefault="002C6A92">
          <w:pPr>
            <w:pBdr>
              <w:top w:val="nil"/>
              <w:left w:val="nil"/>
              <w:bottom w:val="nil"/>
              <w:right w:val="nil"/>
              <w:between w:val="nil"/>
            </w:pBdr>
            <w:tabs>
              <w:tab w:val="right" w:leader="dot" w:pos="9350"/>
            </w:tabs>
            <w:spacing w:after="100" w:line="360" w:lineRule="auto"/>
            <w:jc w:val="both"/>
            <w:rPr>
              <w:rFonts w:ascii="Arial" w:eastAsia="Arial" w:hAnsi="Arial" w:cs="Arial"/>
              <w:color w:val="000000"/>
            </w:rPr>
          </w:pPr>
          <w:hyperlink w:anchor="_heading=h.4nklua18nt4r">
            <w:r>
              <w:rPr>
                <w:rFonts w:ascii="Arial" w:eastAsia="Arial" w:hAnsi="Arial" w:cs="Arial"/>
                <w:color w:val="000000"/>
              </w:rPr>
              <w:t>Reference list</w:t>
            </w:r>
            <w:r>
              <w:rPr>
                <w:rFonts w:ascii="Arial" w:eastAsia="Arial" w:hAnsi="Arial" w:cs="Arial"/>
                <w:color w:val="000000"/>
              </w:rPr>
              <w:tab/>
              <w:t>15</w:t>
            </w:r>
          </w:hyperlink>
        </w:p>
        <w:p w14:paraId="686813C4" w14:textId="77777777" w:rsidR="002C6A92" w:rsidRDefault="00000000">
          <w:pPr>
            <w:spacing w:line="360" w:lineRule="auto"/>
            <w:jc w:val="both"/>
            <w:rPr>
              <w:rFonts w:ascii="Arial" w:eastAsia="Arial" w:hAnsi="Arial" w:cs="Arial"/>
            </w:rPr>
          </w:pPr>
          <w:r>
            <w:fldChar w:fldCharType="end"/>
          </w:r>
        </w:p>
      </w:sdtContent>
    </w:sdt>
    <w:p w14:paraId="7BCB3146" w14:textId="77777777" w:rsidR="002C6A92" w:rsidRDefault="00000000">
      <w:pPr>
        <w:spacing w:line="360" w:lineRule="auto"/>
        <w:rPr>
          <w:rFonts w:ascii="Arial" w:eastAsia="Arial" w:hAnsi="Arial" w:cs="Arial"/>
          <w:b/>
          <w:bCs/>
        </w:rPr>
      </w:pPr>
      <w:r>
        <w:br w:type="page"/>
      </w:r>
    </w:p>
    <w:p w14:paraId="3D2E39EC" w14:textId="77777777" w:rsidR="002C6A92" w:rsidRDefault="00000000">
      <w:pPr>
        <w:pStyle w:val="Heading1"/>
        <w:spacing w:line="360" w:lineRule="auto"/>
        <w:rPr>
          <w:rFonts w:ascii="Arial" w:eastAsia="Arial" w:hAnsi="Arial" w:cs="Arial"/>
          <w:sz w:val="22"/>
          <w:szCs w:val="22"/>
        </w:rPr>
      </w:pPr>
      <w:bookmarkStart w:id="0" w:name="_heading=h.i6cvuwk0kvgc" w:colFirst="0" w:colLast="0"/>
      <w:bookmarkEnd w:id="0"/>
      <w:r>
        <w:rPr>
          <w:rFonts w:ascii="Arial" w:eastAsia="Arial" w:hAnsi="Arial" w:cs="Arial"/>
          <w:sz w:val="22"/>
          <w:szCs w:val="22"/>
        </w:rPr>
        <w:lastRenderedPageBreak/>
        <w:t xml:space="preserve">Task 1: Social Epidemiological Analysis: Title: Disability and health inequalities </w:t>
      </w:r>
    </w:p>
    <w:p w14:paraId="3170F75D" w14:textId="77777777" w:rsidR="002C6A92" w:rsidRDefault="00000000">
      <w:pPr>
        <w:pStyle w:val="Heading1"/>
        <w:spacing w:line="360" w:lineRule="auto"/>
        <w:rPr>
          <w:rFonts w:ascii="Arial" w:eastAsia="Arial" w:hAnsi="Arial" w:cs="Arial"/>
          <w:sz w:val="22"/>
          <w:szCs w:val="22"/>
        </w:rPr>
      </w:pPr>
      <w:bookmarkStart w:id="1" w:name="_heading=h.el5hpcmx4kwh" w:colFirst="0" w:colLast="0"/>
      <w:bookmarkEnd w:id="1"/>
      <w:r>
        <w:rPr>
          <w:rFonts w:ascii="Arial" w:eastAsia="Arial" w:hAnsi="Arial" w:cs="Arial"/>
          <w:sz w:val="22"/>
          <w:szCs w:val="22"/>
        </w:rPr>
        <w:t>1. Introduction</w:t>
      </w:r>
    </w:p>
    <w:p w14:paraId="55CE8273" w14:textId="77777777" w:rsidR="002C6A92" w:rsidRDefault="00000000">
      <w:pPr>
        <w:spacing w:line="360" w:lineRule="auto"/>
        <w:jc w:val="both"/>
        <w:rPr>
          <w:rFonts w:ascii="Arial" w:eastAsia="Arial" w:hAnsi="Arial" w:cs="Arial"/>
        </w:rPr>
      </w:pPr>
      <w:r>
        <w:rPr>
          <w:rFonts w:ascii="Arial" w:eastAsia="Arial" w:hAnsi="Arial" w:cs="Arial"/>
        </w:rPr>
        <w:t xml:space="preserve">Disability is a physical, sensory, intellectual or mental impairment that has a substantial adverse effect on a person's ability to perform day-to-day tasks (WHO, 2026). People with disabilities are a significant minority group in the UK and are recognised as being at risk of health inequalities. Health inequalities are preventable and unfair inequalities in health, health care and health outcomes between different population groups (Heaslip et al., 2022). This essay outlines the main health inequality issues affecting people with disability, in terms of prevalence of disease and social issues, and national and organisational responses.  </w:t>
      </w:r>
    </w:p>
    <w:p w14:paraId="6E6F638B" w14:textId="77777777" w:rsidR="002C6A92" w:rsidRDefault="00000000">
      <w:pPr>
        <w:pStyle w:val="Heading1"/>
        <w:spacing w:line="360" w:lineRule="auto"/>
        <w:rPr>
          <w:rFonts w:ascii="Arial" w:eastAsia="Arial" w:hAnsi="Arial" w:cs="Arial"/>
          <w:sz w:val="22"/>
          <w:szCs w:val="22"/>
        </w:rPr>
      </w:pPr>
      <w:bookmarkStart w:id="2" w:name="_heading=h.jrnp5mvbrw5g" w:colFirst="0" w:colLast="0"/>
      <w:bookmarkEnd w:id="2"/>
      <w:r>
        <w:rPr>
          <w:rFonts w:ascii="Arial" w:eastAsia="Arial" w:hAnsi="Arial" w:cs="Arial"/>
          <w:sz w:val="22"/>
          <w:szCs w:val="22"/>
        </w:rPr>
        <w:t>2. Contextual background and underlying factor</w:t>
      </w:r>
    </w:p>
    <w:p w14:paraId="424ACFAB" w14:textId="77777777" w:rsidR="002C6A92" w:rsidRDefault="00000000">
      <w:pPr>
        <w:pStyle w:val="Heading2"/>
        <w:spacing w:line="360" w:lineRule="auto"/>
        <w:rPr>
          <w:rFonts w:ascii="Arial" w:eastAsia="Arial" w:hAnsi="Arial" w:cs="Arial"/>
          <w:sz w:val="22"/>
          <w:szCs w:val="22"/>
        </w:rPr>
      </w:pPr>
      <w:bookmarkStart w:id="3" w:name="_heading=h.jhevlh17nphz" w:colFirst="0" w:colLast="0"/>
      <w:bookmarkEnd w:id="3"/>
      <w:r>
        <w:rPr>
          <w:rFonts w:ascii="Arial" w:eastAsia="Arial" w:hAnsi="Arial" w:cs="Arial"/>
          <w:sz w:val="22"/>
          <w:szCs w:val="22"/>
        </w:rPr>
        <w:t xml:space="preserve">2.1 Higher rates of mental illness </w:t>
      </w:r>
    </w:p>
    <w:p w14:paraId="4B0DBCD8" w14:textId="77777777" w:rsidR="002C6A92" w:rsidRDefault="00000000">
      <w:pPr>
        <w:spacing w:line="360" w:lineRule="auto"/>
        <w:jc w:val="both"/>
        <w:rPr>
          <w:rFonts w:ascii="Arial" w:eastAsia="Arial" w:hAnsi="Arial" w:cs="Arial"/>
        </w:rPr>
      </w:pPr>
      <w:r>
        <w:rPr>
          <w:rFonts w:ascii="Arial" w:eastAsia="Arial" w:hAnsi="Arial" w:cs="Arial"/>
        </w:rPr>
        <w:t>People with disabilities have higher rates of mental illnesses like depression and anxiety (Gov.UK, 2026). According to NHS statistics, individuals with disabilities are more likely to experience mental health issues than the rest of the population. In the UK, about 24% of women and 15% of men faces mental health issues (mentalhealth.org.uk, 2026). This has a number of social underpinnings. Social isolation, discrimination and stigma are common among people with disabilities, and can impact mental health (parliament.uk, 2024). Barriers to employment and financial insecurity add to stress and anxiety.</w:t>
      </w:r>
    </w:p>
    <w:p w14:paraId="69128F9F" w14:textId="77777777" w:rsidR="002C6A92" w:rsidRDefault="00000000">
      <w:pPr>
        <w:pStyle w:val="Heading2"/>
        <w:spacing w:line="360" w:lineRule="auto"/>
        <w:rPr>
          <w:rFonts w:ascii="Arial" w:eastAsia="Arial" w:hAnsi="Arial" w:cs="Arial"/>
          <w:sz w:val="22"/>
          <w:szCs w:val="22"/>
        </w:rPr>
      </w:pPr>
      <w:bookmarkStart w:id="4" w:name="_heading=h.gmxiad1bbzvb" w:colFirst="0" w:colLast="0"/>
      <w:bookmarkEnd w:id="4"/>
      <w:r>
        <w:rPr>
          <w:rFonts w:ascii="Arial" w:eastAsia="Arial" w:hAnsi="Arial" w:cs="Arial"/>
          <w:sz w:val="22"/>
          <w:szCs w:val="22"/>
        </w:rPr>
        <w:t xml:space="preserve">2.2 Low rates of access to healthcare </w:t>
      </w:r>
    </w:p>
    <w:p w14:paraId="081CA8D9" w14:textId="77777777" w:rsidR="002C6A92" w:rsidRDefault="00000000">
      <w:pPr>
        <w:spacing w:line="360" w:lineRule="auto"/>
        <w:jc w:val="both"/>
        <w:rPr>
          <w:rFonts w:ascii="Arial" w:eastAsia="Arial" w:hAnsi="Arial" w:cs="Arial"/>
        </w:rPr>
      </w:pPr>
      <w:r>
        <w:rPr>
          <w:rFonts w:ascii="Arial" w:eastAsia="Arial" w:hAnsi="Arial" w:cs="Arial"/>
        </w:rPr>
        <w:t xml:space="preserve">Access to health care is often problematic for people with disabilities (Case and </w:t>
      </w:r>
      <w:proofErr w:type="spellStart"/>
      <w:r>
        <w:rPr>
          <w:rFonts w:ascii="Arial" w:eastAsia="Arial" w:hAnsi="Arial" w:cs="Arial"/>
        </w:rPr>
        <w:t>Kraftman</w:t>
      </w:r>
      <w:proofErr w:type="spellEnd"/>
      <w:r>
        <w:rPr>
          <w:rFonts w:ascii="Arial" w:eastAsia="Arial" w:hAnsi="Arial" w:cs="Arial"/>
        </w:rPr>
        <w:t xml:space="preserve">, 2022). The Office for National Statistics report shows a high number of people with disabilities experiencing difficulties accessing general practitioner (GP) and hospital services. The results of </w:t>
      </w:r>
      <w:proofErr w:type="spellStart"/>
      <w:r>
        <w:rPr>
          <w:rFonts w:ascii="Arial" w:eastAsia="Arial" w:hAnsi="Arial" w:cs="Arial"/>
        </w:rPr>
        <w:t>statista</w:t>
      </w:r>
      <w:proofErr w:type="spellEnd"/>
      <w:r>
        <w:rPr>
          <w:rFonts w:ascii="Arial" w:eastAsia="Arial" w:hAnsi="Arial" w:cs="Arial"/>
        </w:rPr>
        <w:t xml:space="preserve"> survey were published in 2024, and include responses from people living in Great Britain, among them 50% feel that difficulty accessing treatment, as well as long wait times, are two of the primary concerns affecting the National Health Care System (</w:t>
      </w:r>
      <w:proofErr w:type="spellStart"/>
      <w:r>
        <w:rPr>
          <w:rFonts w:ascii="Arial" w:eastAsia="Arial" w:hAnsi="Arial" w:cs="Arial"/>
        </w:rPr>
        <w:t>statista</w:t>
      </w:r>
      <w:proofErr w:type="spellEnd"/>
      <w:r>
        <w:rPr>
          <w:rFonts w:ascii="Arial" w:eastAsia="Arial" w:hAnsi="Arial" w:cs="Arial"/>
        </w:rPr>
        <w:t>, 2026)</w:t>
      </w:r>
    </w:p>
    <w:p w14:paraId="4E863764" w14:textId="77777777" w:rsidR="002C6A92" w:rsidRDefault="00000000">
      <w:pPr>
        <w:spacing w:line="360" w:lineRule="auto"/>
        <w:jc w:val="center"/>
        <w:rPr>
          <w:rFonts w:ascii="Arial" w:eastAsia="Arial" w:hAnsi="Arial" w:cs="Arial"/>
        </w:rPr>
      </w:pPr>
      <w:r>
        <w:rPr>
          <w:rFonts w:ascii="Arial" w:eastAsia="Arial" w:hAnsi="Arial" w:cs="Arial"/>
          <w:noProof/>
        </w:rPr>
        <w:lastRenderedPageBreak/>
        <w:drawing>
          <wp:inline distT="0" distB="0" distL="0" distR="0" wp14:anchorId="434B6990" wp14:editId="3F1D8BF5">
            <wp:extent cx="5895975" cy="4629150"/>
            <wp:effectExtent l="38100" t="38100" r="38100" b="381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895975" cy="4629150"/>
                    </a:xfrm>
                    <a:prstGeom prst="rect">
                      <a:avLst/>
                    </a:prstGeom>
                    <a:ln w="38100">
                      <a:solidFill>
                        <a:srgbClr val="000000"/>
                      </a:solidFill>
                      <a:prstDash val="solid"/>
                    </a:ln>
                  </pic:spPr>
                </pic:pic>
              </a:graphicData>
            </a:graphic>
          </wp:inline>
        </w:drawing>
      </w:r>
    </w:p>
    <w:p w14:paraId="0E07D7C4" w14:textId="77777777" w:rsidR="002C6A92" w:rsidRDefault="00000000">
      <w:pPr>
        <w:spacing w:line="360" w:lineRule="auto"/>
        <w:jc w:val="center"/>
        <w:rPr>
          <w:rFonts w:ascii="Arial" w:eastAsia="Arial" w:hAnsi="Arial" w:cs="Arial"/>
          <w:b/>
          <w:bCs/>
        </w:rPr>
      </w:pPr>
      <w:r>
        <w:rPr>
          <w:rFonts w:ascii="Arial" w:eastAsia="Arial" w:hAnsi="Arial" w:cs="Arial"/>
          <w:b/>
          <w:bCs/>
        </w:rPr>
        <w:t>Graph 1: Low rates of access to healthcare</w:t>
      </w:r>
    </w:p>
    <w:p w14:paraId="5DED24E9" w14:textId="77777777" w:rsidR="002C6A92" w:rsidRDefault="00000000">
      <w:pPr>
        <w:spacing w:line="360" w:lineRule="auto"/>
        <w:jc w:val="center"/>
        <w:rPr>
          <w:rFonts w:ascii="Arial" w:eastAsia="Arial" w:hAnsi="Arial" w:cs="Arial"/>
        </w:rPr>
      </w:pPr>
      <w:r>
        <w:rPr>
          <w:rFonts w:ascii="Arial" w:eastAsia="Arial" w:hAnsi="Arial" w:cs="Arial"/>
        </w:rPr>
        <w:t>(Source: Statista, 2026)</w:t>
      </w:r>
    </w:p>
    <w:p w14:paraId="6DADED03" w14:textId="77777777" w:rsidR="002C6A92" w:rsidRDefault="00000000">
      <w:pPr>
        <w:spacing w:line="360" w:lineRule="auto"/>
        <w:jc w:val="both"/>
        <w:rPr>
          <w:rFonts w:ascii="Arial" w:eastAsia="Arial" w:hAnsi="Arial" w:cs="Arial"/>
        </w:rPr>
      </w:pPr>
      <w:r>
        <w:rPr>
          <w:rFonts w:ascii="Arial" w:eastAsia="Arial" w:hAnsi="Arial" w:cs="Arial"/>
        </w:rPr>
        <w:t xml:space="preserve">This is due to physical inaccessibility, transportation issues and communication barriers for people with sensory disabilities (Case and </w:t>
      </w:r>
      <w:proofErr w:type="spellStart"/>
      <w:r>
        <w:rPr>
          <w:rFonts w:ascii="Arial" w:eastAsia="Arial" w:hAnsi="Arial" w:cs="Arial"/>
        </w:rPr>
        <w:t>Kraftman</w:t>
      </w:r>
      <w:proofErr w:type="spellEnd"/>
      <w:r>
        <w:rPr>
          <w:rFonts w:ascii="Arial" w:eastAsia="Arial" w:hAnsi="Arial" w:cs="Arial"/>
        </w:rPr>
        <w:t>, 2024). Further, health professionals may be untrained in disability issues and in providing appropriate care. Consequences include delayed medical diagnosis, undiagnosed conditions and poorer health outcomes. Health care providers need to provide accessible infrastructure, training for health care professionals, and reasonable adjustments including sign language interpreters and accessible medical equipment.</w:t>
      </w:r>
    </w:p>
    <w:p w14:paraId="446A7B49" w14:textId="77777777" w:rsidR="002C6A92" w:rsidRDefault="00000000">
      <w:pPr>
        <w:pStyle w:val="Heading2"/>
        <w:spacing w:line="360" w:lineRule="auto"/>
        <w:rPr>
          <w:rFonts w:ascii="Arial" w:eastAsia="Arial" w:hAnsi="Arial" w:cs="Arial"/>
          <w:sz w:val="22"/>
          <w:szCs w:val="22"/>
        </w:rPr>
      </w:pPr>
      <w:bookmarkStart w:id="5" w:name="_heading=h.s8pq9v2xt87v" w:colFirst="0" w:colLast="0"/>
      <w:bookmarkEnd w:id="5"/>
      <w:r>
        <w:rPr>
          <w:rFonts w:ascii="Arial" w:eastAsia="Arial" w:hAnsi="Arial" w:cs="Arial"/>
          <w:sz w:val="22"/>
          <w:szCs w:val="22"/>
        </w:rPr>
        <w:t xml:space="preserve">2.3 Mortality rates among the elderly group </w:t>
      </w:r>
    </w:p>
    <w:p w14:paraId="44086846" w14:textId="77777777" w:rsidR="002C6A92" w:rsidRDefault="00000000">
      <w:pPr>
        <w:spacing w:line="360" w:lineRule="auto"/>
        <w:jc w:val="both"/>
        <w:rPr>
          <w:rFonts w:ascii="Arial" w:eastAsia="Arial" w:hAnsi="Arial" w:cs="Arial"/>
        </w:rPr>
      </w:pPr>
      <w:r>
        <w:rPr>
          <w:rFonts w:ascii="Arial" w:eastAsia="Arial" w:hAnsi="Arial" w:cs="Arial"/>
        </w:rPr>
        <w:t xml:space="preserve">The mortality rate of older people with disabilities is greater than that of other older people. Data from the Office for National Statistics shows that the life expectancy of disabled people is lower. This occurs due to accumulated disadvantages across the life course, such as lack of access to </w:t>
      </w:r>
      <w:r>
        <w:rPr>
          <w:rFonts w:ascii="Arial" w:eastAsia="Arial" w:hAnsi="Arial" w:cs="Arial"/>
        </w:rPr>
        <w:lastRenderedPageBreak/>
        <w:t xml:space="preserve">preventive services, poor quality of life and exposure to health risks (Banks </w:t>
      </w:r>
      <w:r>
        <w:rPr>
          <w:rFonts w:ascii="Arial" w:eastAsia="Arial" w:hAnsi="Arial" w:cs="Arial"/>
          <w:i/>
          <w:iCs/>
        </w:rPr>
        <w:t>et al</w:t>
      </w:r>
      <w:r>
        <w:rPr>
          <w:rFonts w:ascii="Arial" w:eastAsia="Arial" w:hAnsi="Arial" w:cs="Arial"/>
        </w:rPr>
        <w:t>, 2024). This translates into early death and increased burden of multiple chronic conditions (Aitken et al., 2022). Addressing this need may involve targeted screening and enhancing long-term care services with a focus on the elderly disabled population to facilitate early detection and better management of conditions.</w:t>
      </w:r>
    </w:p>
    <w:p w14:paraId="11952D95" w14:textId="77777777" w:rsidR="002C6A92" w:rsidRDefault="00000000">
      <w:pPr>
        <w:pStyle w:val="Heading2"/>
        <w:spacing w:line="360" w:lineRule="auto"/>
        <w:rPr>
          <w:rFonts w:ascii="Arial" w:eastAsia="Arial" w:hAnsi="Arial" w:cs="Arial"/>
          <w:sz w:val="22"/>
          <w:szCs w:val="22"/>
        </w:rPr>
      </w:pPr>
      <w:bookmarkStart w:id="6" w:name="_heading=h.o2cr98g8gd4h" w:colFirst="0" w:colLast="0"/>
      <w:bookmarkEnd w:id="6"/>
      <w:r>
        <w:rPr>
          <w:rFonts w:ascii="Arial" w:eastAsia="Arial" w:hAnsi="Arial" w:cs="Arial"/>
          <w:sz w:val="22"/>
          <w:szCs w:val="22"/>
        </w:rPr>
        <w:t xml:space="preserve">2.4 Social isolation and loneliness </w:t>
      </w:r>
    </w:p>
    <w:p w14:paraId="2302730A" w14:textId="77777777" w:rsidR="002C6A92" w:rsidRDefault="00000000">
      <w:pPr>
        <w:spacing w:line="360" w:lineRule="auto"/>
        <w:jc w:val="both"/>
        <w:rPr>
          <w:rFonts w:ascii="Arial" w:eastAsia="Arial" w:hAnsi="Arial" w:cs="Arial"/>
        </w:rPr>
      </w:pPr>
      <w:r>
        <w:rPr>
          <w:rFonts w:ascii="Arial" w:eastAsia="Arial" w:hAnsi="Arial" w:cs="Arial"/>
        </w:rPr>
        <w:t xml:space="preserve">Loneliness among the disabled is a common problem. According to the Scope, people with disability are more likely to feel lonely than other people. This is because of mobility barriers, lack of accessible facilities, and stigma that leads to social exclusion from community life (Smythe </w:t>
      </w:r>
      <w:r>
        <w:rPr>
          <w:rFonts w:ascii="Arial" w:eastAsia="Arial" w:hAnsi="Arial" w:cs="Arial"/>
          <w:i/>
          <w:iCs/>
        </w:rPr>
        <w:t>et al</w:t>
      </w:r>
      <w:r>
        <w:rPr>
          <w:rFonts w:ascii="Arial" w:eastAsia="Arial" w:hAnsi="Arial" w:cs="Arial"/>
        </w:rPr>
        <w:t>, 2026).</w:t>
      </w:r>
    </w:p>
    <w:p w14:paraId="30040C2B" w14:textId="77777777" w:rsidR="002C6A92" w:rsidRDefault="00000000">
      <w:pPr>
        <w:pStyle w:val="Heading2"/>
        <w:spacing w:line="360" w:lineRule="auto"/>
        <w:rPr>
          <w:rFonts w:ascii="Arial" w:eastAsia="Arial" w:hAnsi="Arial" w:cs="Arial"/>
          <w:sz w:val="22"/>
          <w:szCs w:val="22"/>
        </w:rPr>
      </w:pPr>
      <w:bookmarkStart w:id="7" w:name="_heading=h.kndpa7p3dr6k" w:colFirst="0" w:colLast="0"/>
      <w:bookmarkEnd w:id="7"/>
      <w:r>
        <w:rPr>
          <w:rFonts w:ascii="Arial" w:eastAsia="Arial" w:hAnsi="Arial" w:cs="Arial"/>
          <w:sz w:val="22"/>
          <w:szCs w:val="22"/>
        </w:rPr>
        <w:t xml:space="preserve">2.5 Poverty </w:t>
      </w:r>
    </w:p>
    <w:p w14:paraId="265396AE" w14:textId="77777777" w:rsidR="002C6A92" w:rsidRDefault="00000000">
      <w:pPr>
        <w:spacing w:line="360" w:lineRule="auto"/>
        <w:jc w:val="both"/>
        <w:rPr>
          <w:rFonts w:ascii="Arial" w:eastAsia="Arial" w:hAnsi="Arial" w:cs="Arial"/>
        </w:rPr>
      </w:pPr>
      <w:r>
        <w:rPr>
          <w:rFonts w:ascii="Arial" w:eastAsia="Arial" w:hAnsi="Arial" w:cs="Arial"/>
        </w:rPr>
        <w:t xml:space="preserve">Poverty disproportionately affects disabled people. The Joseph Rowntree Foundation reports that people with disability are more likely to be found in poorer households. This is due to lack of access to employment, discrimination, and increased expenditure on living with a disability, such as medical care and equipment. This results in a lack of nutritious food, lack of access to health care and stress, which in turn leads to poor health (Banks </w:t>
      </w:r>
      <w:r>
        <w:rPr>
          <w:rFonts w:ascii="Arial" w:eastAsia="Arial" w:hAnsi="Arial" w:cs="Arial"/>
          <w:i/>
          <w:iCs/>
        </w:rPr>
        <w:t>et al</w:t>
      </w:r>
      <w:r>
        <w:rPr>
          <w:rFonts w:ascii="Arial" w:eastAsia="Arial" w:hAnsi="Arial" w:cs="Arial"/>
        </w:rPr>
        <w:t>, 2023). Key strategies to address inequality and poverty among people with disabilities include government financial assistance, inclusive employment policies and workplace adjustments.</w:t>
      </w:r>
    </w:p>
    <w:p w14:paraId="6FC84881" w14:textId="77777777" w:rsidR="002C6A92" w:rsidRDefault="00000000">
      <w:pPr>
        <w:pStyle w:val="Heading2"/>
        <w:spacing w:line="360" w:lineRule="auto"/>
        <w:rPr>
          <w:rFonts w:ascii="Arial" w:eastAsia="Arial" w:hAnsi="Arial" w:cs="Arial"/>
          <w:sz w:val="22"/>
          <w:szCs w:val="22"/>
        </w:rPr>
      </w:pPr>
      <w:bookmarkStart w:id="8" w:name="_heading=h.2idbhwgkhg8p" w:colFirst="0" w:colLast="0"/>
      <w:bookmarkEnd w:id="8"/>
      <w:r>
        <w:rPr>
          <w:rFonts w:ascii="Arial" w:eastAsia="Arial" w:hAnsi="Arial" w:cs="Arial"/>
          <w:sz w:val="22"/>
          <w:szCs w:val="22"/>
        </w:rPr>
        <w:t xml:space="preserve">2.6 Housing </w:t>
      </w:r>
    </w:p>
    <w:p w14:paraId="71927F03" w14:textId="77777777" w:rsidR="002C6A92" w:rsidRDefault="00000000">
      <w:pPr>
        <w:spacing w:line="360" w:lineRule="auto"/>
        <w:jc w:val="both"/>
        <w:rPr>
          <w:rFonts w:ascii="Arial" w:eastAsia="Arial" w:hAnsi="Arial" w:cs="Arial"/>
          <w:b/>
          <w:bCs/>
        </w:rPr>
      </w:pPr>
      <w:r>
        <w:rPr>
          <w:rFonts w:ascii="Arial" w:eastAsia="Arial" w:hAnsi="Arial" w:cs="Arial"/>
        </w:rPr>
        <w:t xml:space="preserve">Housing is also an important determinant of health inequality for people with disabilities. People with disability are often housed in inappropriate accommodation. Shelter's data show the disabled are more vulnerable to insecure housing. This is due to a lack of accessible housing, financial barriers and poor housing policies. Inadequate housing can cause injuries, create health problems, and cause stress. Improvements can be made through accessible housing, housing adaptations and better housing policies to provide safe and appropriate housing for disabled people (Banks </w:t>
      </w:r>
      <w:r>
        <w:rPr>
          <w:rFonts w:ascii="Arial" w:eastAsia="Arial" w:hAnsi="Arial" w:cs="Arial"/>
          <w:i/>
          <w:iCs/>
        </w:rPr>
        <w:t>et al</w:t>
      </w:r>
      <w:r>
        <w:rPr>
          <w:rFonts w:ascii="Arial" w:eastAsia="Arial" w:hAnsi="Arial" w:cs="Arial"/>
        </w:rPr>
        <w:t xml:space="preserve">, 2024). </w:t>
      </w:r>
    </w:p>
    <w:p w14:paraId="1C1F8390" w14:textId="77777777" w:rsidR="002C6A92" w:rsidRDefault="00000000">
      <w:pPr>
        <w:pStyle w:val="Heading1"/>
        <w:spacing w:line="360" w:lineRule="auto"/>
        <w:rPr>
          <w:rFonts w:ascii="Arial" w:eastAsia="Arial" w:hAnsi="Arial" w:cs="Arial"/>
          <w:sz w:val="22"/>
          <w:szCs w:val="22"/>
        </w:rPr>
      </w:pPr>
      <w:bookmarkStart w:id="9" w:name="_heading=h.s9t84qaox4mb" w:colFirst="0" w:colLast="0"/>
      <w:bookmarkEnd w:id="9"/>
      <w:r>
        <w:rPr>
          <w:rFonts w:ascii="Arial" w:eastAsia="Arial" w:hAnsi="Arial" w:cs="Arial"/>
          <w:sz w:val="22"/>
          <w:szCs w:val="22"/>
        </w:rPr>
        <w:t xml:space="preserve">3. National Response to reduce health inequalities in your chosen group </w:t>
      </w:r>
    </w:p>
    <w:p w14:paraId="0006ED54" w14:textId="77777777" w:rsidR="002C6A92" w:rsidRDefault="00000000">
      <w:pPr>
        <w:spacing w:line="360" w:lineRule="auto"/>
        <w:jc w:val="both"/>
        <w:rPr>
          <w:rFonts w:ascii="Arial" w:eastAsia="Arial" w:hAnsi="Arial" w:cs="Arial"/>
        </w:rPr>
      </w:pPr>
      <w:r>
        <w:rPr>
          <w:rFonts w:ascii="Arial" w:eastAsia="Arial" w:hAnsi="Arial" w:cs="Arial"/>
        </w:rPr>
        <w:t xml:space="preserve">There are a number of measures to reduce health inequalities among people with disabilities in the UK government and public sector. For instance, the National Health Service (NHS) offers free health care at the point of delivery. Annual health checks for people with learning disabilities help with early detection and treatment. A further initiative is the Equality Act 2010, which safeguards </w:t>
      </w:r>
      <w:r>
        <w:rPr>
          <w:rFonts w:ascii="Arial" w:eastAsia="Arial" w:hAnsi="Arial" w:cs="Arial"/>
        </w:rPr>
        <w:lastRenderedPageBreak/>
        <w:t xml:space="preserve">against discrimination of people with disabilities in health, employment and other services. This act encourages equality and inclusion (Banks </w:t>
      </w:r>
      <w:r>
        <w:rPr>
          <w:rFonts w:ascii="Arial" w:eastAsia="Arial" w:hAnsi="Arial" w:cs="Arial"/>
          <w:i/>
          <w:iCs/>
        </w:rPr>
        <w:t>et al</w:t>
      </w:r>
      <w:r>
        <w:rPr>
          <w:rFonts w:ascii="Arial" w:eastAsia="Arial" w:hAnsi="Arial" w:cs="Arial"/>
        </w:rPr>
        <w:t xml:space="preserve">, 2023). </w:t>
      </w:r>
    </w:p>
    <w:p w14:paraId="24CB63F8" w14:textId="77777777" w:rsidR="002C6A92" w:rsidRDefault="00000000">
      <w:pPr>
        <w:pStyle w:val="Heading1"/>
        <w:spacing w:line="360" w:lineRule="auto"/>
        <w:rPr>
          <w:rFonts w:ascii="Arial" w:eastAsia="Arial" w:hAnsi="Arial" w:cs="Arial"/>
          <w:sz w:val="22"/>
          <w:szCs w:val="22"/>
        </w:rPr>
      </w:pPr>
      <w:bookmarkStart w:id="10" w:name="_heading=h.hsl7m0st4u28" w:colFirst="0" w:colLast="0"/>
      <w:bookmarkEnd w:id="10"/>
      <w:r>
        <w:rPr>
          <w:rFonts w:ascii="Arial" w:eastAsia="Arial" w:hAnsi="Arial" w:cs="Arial"/>
          <w:sz w:val="22"/>
          <w:szCs w:val="22"/>
        </w:rPr>
        <w:t xml:space="preserve">4. Organisations that support chosen group:  </w:t>
      </w:r>
    </w:p>
    <w:p w14:paraId="29C6DA44" w14:textId="77777777" w:rsidR="002C6A92" w:rsidRDefault="00000000">
      <w:pPr>
        <w:pStyle w:val="Heading2"/>
        <w:spacing w:line="360" w:lineRule="auto"/>
        <w:rPr>
          <w:rFonts w:ascii="Arial" w:eastAsia="Arial" w:hAnsi="Arial" w:cs="Arial"/>
          <w:sz w:val="22"/>
          <w:szCs w:val="22"/>
        </w:rPr>
      </w:pPr>
      <w:bookmarkStart w:id="11" w:name="_heading=h.6teu3dl3fo27" w:colFirst="0" w:colLast="0"/>
      <w:bookmarkEnd w:id="11"/>
      <w:r>
        <w:rPr>
          <w:rFonts w:ascii="Arial" w:eastAsia="Arial" w:hAnsi="Arial" w:cs="Arial"/>
          <w:sz w:val="22"/>
          <w:szCs w:val="22"/>
        </w:rPr>
        <w:t xml:space="preserve">4.1 NHS’s wider role in raising awareness of health inequalities or social injustice.  </w:t>
      </w:r>
    </w:p>
    <w:p w14:paraId="4CB03A85" w14:textId="77777777" w:rsidR="002C6A92" w:rsidRDefault="00000000">
      <w:pPr>
        <w:spacing w:line="360" w:lineRule="auto"/>
        <w:jc w:val="both"/>
        <w:rPr>
          <w:rFonts w:ascii="Arial" w:eastAsia="Arial" w:hAnsi="Arial" w:cs="Arial"/>
        </w:rPr>
      </w:pPr>
      <w:r>
        <w:rPr>
          <w:rFonts w:ascii="Arial" w:eastAsia="Arial" w:hAnsi="Arial" w:cs="Arial"/>
        </w:rPr>
        <w:t xml:space="preserve">Organisations such as NHS are vital in tackling health inequalities through awareness raising and influencing policy. Scope raises awareness of the barriers faced by people with disabilities and advocates for equality in health care, employment and society (Banks </w:t>
      </w:r>
      <w:r>
        <w:rPr>
          <w:rFonts w:ascii="Arial" w:eastAsia="Arial" w:hAnsi="Arial" w:cs="Arial"/>
          <w:i/>
          <w:iCs/>
        </w:rPr>
        <w:t>et al</w:t>
      </w:r>
      <w:r>
        <w:rPr>
          <w:rFonts w:ascii="Arial" w:eastAsia="Arial" w:hAnsi="Arial" w:cs="Arial"/>
        </w:rPr>
        <w:t>, 2023)</w:t>
      </w:r>
    </w:p>
    <w:p w14:paraId="1FC1D5A9" w14:textId="77777777" w:rsidR="002C6A92" w:rsidRDefault="00000000">
      <w:pPr>
        <w:pStyle w:val="Heading2"/>
        <w:spacing w:line="360" w:lineRule="auto"/>
        <w:rPr>
          <w:rFonts w:ascii="Arial" w:eastAsia="Arial" w:hAnsi="Arial" w:cs="Arial"/>
          <w:sz w:val="22"/>
          <w:szCs w:val="22"/>
        </w:rPr>
      </w:pPr>
      <w:bookmarkStart w:id="12" w:name="_heading=h.ay8i7rlzlgcj" w:colFirst="0" w:colLast="0"/>
      <w:bookmarkEnd w:id="12"/>
      <w:r>
        <w:rPr>
          <w:rFonts w:ascii="Arial" w:eastAsia="Arial" w:hAnsi="Arial" w:cs="Arial"/>
          <w:sz w:val="22"/>
          <w:szCs w:val="22"/>
        </w:rPr>
        <w:t xml:space="preserve">4.2 A charity supports the health issue </w:t>
      </w:r>
    </w:p>
    <w:p w14:paraId="6A2E89F6" w14:textId="77777777" w:rsidR="002C6A92" w:rsidRDefault="00000000">
      <w:pPr>
        <w:spacing w:line="360" w:lineRule="auto"/>
        <w:jc w:val="both"/>
        <w:rPr>
          <w:rFonts w:ascii="Arial" w:eastAsia="Arial" w:hAnsi="Arial" w:cs="Arial"/>
        </w:rPr>
      </w:pPr>
      <w:r>
        <w:rPr>
          <w:rFonts w:ascii="Arial" w:eastAsia="Arial" w:hAnsi="Arial" w:cs="Arial"/>
        </w:rPr>
        <w:t>Scope is the UK's largest charity for disability equality. It seeks to achieve a more just society by changing attitudes and increasing inclusion.</w:t>
      </w:r>
    </w:p>
    <w:p w14:paraId="166F8CD8" w14:textId="77777777" w:rsidR="002C6A92" w:rsidRDefault="00000000">
      <w:pPr>
        <w:pStyle w:val="Heading2"/>
        <w:spacing w:line="360" w:lineRule="auto"/>
        <w:rPr>
          <w:rFonts w:ascii="Arial" w:eastAsia="Arial" w:hAnsi="Arial" w:cs="Arial"/>
          <w:sz w:val="22"/>
          <w:szCs w:val="22"/>
        </w:rPr>
      </w:pPr>
      <w:bookmarkStart w:id="13" w:name="_heading=h.cmwvwkyph8vg" w:colFirst="0" w:colLast="0"/>
      <w:bookmarkEnd w:id="13"/>
      <w:r>
        <w:rPr>
          <w:rFonts w:ascii="Arial" w:eastAsia="Arial" w:hAnsi="Arial" w:cs="Arial"/>
          <w:sz w:val="22"/>
          <w:szCs w:val="22"/>
        </w:rPr>
        <w:t>4.3 How the charity helps chosen group.</w:t>
      </w:r>
    </w:p>
    <w:p w14:paraId="507AF237" w14:textId="77777777" w:rsidR="002C6A92" w:rsidRDefault="00000000">
      <w:pPr>
        <w:spacing w:line="360" w:lineRule="auto"/>
        <w:jc w:val="both"/>
        <w:rPr>
          <w:rFonts w:ascii="Arial" w:eastAsia="Arial" w:hAnsi="Arial" w:cs="Arial"/>
        </w:rPr>
      </w:pPr>
      <w:r>
        <w:rPr>
          <w:rFonts w:ascii="Arial" w:eastAsia="Arial" w:hAnsi="Arial" w:cs="Arial"/>
        </w:rPr>
        <w:t xml:space="preserve">Scope offers services like employment support, community activities and counselling for people with disabilities and their families. It also conducts public campaigns to effect change in government policies and accessibility. Scope has successfully raised awareness and contributed to policy debates. But its effectiveness is constrained by its lack of resources and access to all those in need. These key factors limiting Scope's effectiveness do not diminish its importance in decreasing social injustice and aiding the disabled (Banks </w:t>
      </w:r>
      <w:r>
        <w:rPr>
          <w:rFonts w:ascii="Arial" w:eastAsia="Arial" w:hAnsi="Arial" w:cs="Arial"/>
          <w:i/>
          <w:iCs/>
        </w:rPr>
        <w:t>et al</w:t>
      </w:r>
      <w:r>
        <w:rPr>
          <w:rFonts w:ascii="Arial" w:eastAsia="Arial" w:hAnsi="Arial" w:cs="Arial"/>
        </w:rPr>
        <w:t xml:space="preserve">, 2024). </w:t>
      </w:r>
    </w:p>
    <w:p w14:paraId="17AB0738" w14:textId="77777777" w:rsidR="002C6A92" w:rsidRDefault="00000000">
      <w:pPr>
        <w:pStyle w:val="Heading1"/>
        <w:spacing w:line="360" w:lineRule="auto"/>
        <w:rPr>
          <w:rFonts w:ascii="Arial" w:eastAsia="Arial" w:hAnsi="Arial" w:cs="Arial"/>
          <w:sz w:val="22"/>
          <w:szCs w:val="22"/>
        </w:rPr>
      </w:pPr>
      <w:bookmarkStart w:id="14" w:name="_heading=h.oggnnmiks9sw" w:colFirst="0" w:colLast="0"/>
      <w:bookmarkEnd w:id="14"/>
      <w:r>
        <w:rPr>
          <w:rFonts w:ascii="Arial" w:eastAsia="Arial" w:hAnsi="Arial" w:cs="Arial"/>
          <w:sz w:val="22"/>
          <w:szCs w:val="22"/>
        </w:rPr>
        <w:t xml:space="preserve">5. Conclusion  </w:t>
      </w:r>
    </w:p>
    <w:p w14:paraId="17409DA7" w14:textId="77777777" w:rsidR="002C6A92" w:rsidRDefault="00000000">
      <w:pPr>
        <w:spacing w:line="360" w:lineRule="auto"/>
        <w:jc w:val="both"/>
        <w:rPr>
          <w:rFonts w:ascii="Arial" w:eastAsia="Arial" w:hAnsi="Arial" w:cs="Arial"/>
        </w:rPr>
      </w:pPr>
      <w:r>
        <w:rPr>
          <w:rFonts w:ascii="Arial" w:eastAsia="Arial" w:hAnsi="Arial" w:cs="Arial"/>
        </w:rPr>
        <w:t>To summarise, people with disabilities experience health inequalities because the social, economic and environmental factors are complex. Problems including mental health, lack of access to health care, increased death rates, poverty, social isolation and substandard housing demonstrate these health inequalities. Although national policies and organisations have attempted to tackle these issues, implementation and access remain problematic.</w:t>
      </w:r>
    </w:p>
    <w:p w14:paraId="24ECCCE3" w14:textId="77777777" w:rsidR="002C6A92" w:rsidRDefault="00000000">
      <w:pPr>
        <w:spacing w:line="360" w:lineRule="auto"/>
        <w:rPr>
          <w:rFonts w:ascii="Arial" w:eastAsia="Arial" w:hAnsi="Arial" w:cs="Arial"/>
        </w:rPr>
      </w:pPr>
      <w:r>
        <w:br w:type="page"/>
      </w:r>
    </w:p>
    <w:p w14:paraId="2B7CE34D" w14:textId="77777777" w:rsidR="002C6A92" w:rsidRDefault="00000000">
      <w:pPr>
        <w:pStyle w:val="Heading1"/>
        <w:spacing w:line="360" w:lineRule="auto"/>
        <w:rPr>
          <w:rFonts w:ascii="Arial" w:eastAsia="Arial" w:hAnsi="Arial" w:cs="Arial"/>
          <w:sz w:val="22"/>
          <w:szCs w:val="22"/>
        </w:rPr>
      </w:pPr>
      <w:bookmarkStart w:id="15" w:name="_heading=h.xfemfsnf77tb" w:colFirst="0" w:colLast="0"/>
      <w:bookmarkEnd w:id="15"/>
      <w:r>
        <w:rPr>
          <w:rFonts w:ascii="Arial" w:eastAsia="Arial" w:hAnsi="Arial" w:cs="Arial"/>
          <w:sz w:val="22"/>
          <w:szCs w:val="22"/>
        </w:rPr>
        <w:lastRenderedPageBreak/>
        <w:t>Task 2:  Epidemiological Analysis: Case of Respiratory &amp; Infectious Diseases among UK Working Age Adults (Ages 19–64)</w:t>
      </w:r>
    </w:p>
    <w:p w14:paraId="7128DBB5" w14:textId="77777777" w:rsidR="002C6A92" w:rsidRDefault="00000000">
      <w:pPr>
        <w:pStyle w:val="Heading1"/>
        <w:spacing w:line="360" w:lineRule="auto"/>
        <w:rPr>
          <w:rFonts w:ascii="Arial" w:eastAsia="Arial" w:hAnsi="Arial" w:cs="Arial"/>
          <w:sz w:val="22"/>
          <w:szCs w:val="22"/>
        </w:rPr>
      </w:pPr>
      <w:bookmarkStart w:id="16" w:name="_heading=h.kcol8e2xpv8e" w:colFirst="0" w:colLast="0"/>
      <w:bookmarkEnd w:id="16"/>
      <w:r>
        <w:rPr>
          <w:rFonts w:ascii="Arial" w:eastAsia="Arial" w:hAnsi="Arial" w:cs="Arial"/>
          <w:sz w:val="22"/>
          <w:szCs w:val="22"/>
        </w:rPr>
        <w:t xml:space="preserve">A. Introduction  </w:t>
      </w:r>
    </w:p>
    <w:p w14:paraId="4781ADAF" w14:textId="77777777" w:rsidR="002C6A92" w:rsidRDefault="00000000">
      <w:pPr>
        <w:spacing w:line="360" w:lineRule="auto"/>
        <w:jc w:val="both"/>
        <w:rPr>
          <w:rFonts w:ascii="Arial" w:eastAsia="Arial" w:hAnsi="Arial" w:cs="Arial"/>
          <w:b/>
          <w:bCs/>
        </w:rPr>
      </w:pPr>
      <w:r>
        <w:rPr>
          <w:rFonts w:ascii="Arial" w:eastAsia="Arial" w:hAnsi="Arial" w:cs="Arial"/>
          <w:b/>
          <w:bCs/>
        </w:rPr>
        <w:t>1. Health problem and its reported social, cultural and health consequence</w:t>
      </w:r>
    </w:p>
    <w:p w14:paraId="54F0E106" w14:textId="77777777" w:rsidR="002C6A92" w:rsidRDefault="00000000">
      <w:pPr>
        <w:spacing w:line="360" w:lineRule="auto"/>
        <w:jc w:val="both"/>
        <w:rPr>
          <w:rFonts w:ascii="Arial" w:eastAsia="Arial" w:hAnsi="Arial" w:cs="Arial"/>
        </w:rPr>
      </w:pPr>
      <w:r>
        <w:rPr>
          <w:rFonts w:ascii="Arial" w:eastAsia="Arial" w:hAnsi="Arial" w:cs="Arial"/>
        </w:rPr>
        <w:t>Infectious and respiratory illnesses are defined as illnesses of the lungs and/or the airways or an illness caused by a microorganism such as a virus or bacteria. Examples of infectious and respiratory illnesses include; Chronic Pulmonary Disease (COPD), influenza, and COVID-19. There are substantial consequences related to respiratory and infectious diseases among adults in the United Kingdom between the ages of 19-64; social, cultural, and health-related consequences. Socially, respiratory and infectious diseases impact absenteeism from work, decreased productivity, and financial burdens. Culturally, certain behaviours such as smoking and attitudes towards vaccine uptake demonstrate how social and cultural factors can influence the transmission and prevention of diseases or viruses. From a health behaviour perspective, respiratory and infectious diseases may result in an acute infection, and long-term complications that include chronic disease, and increases the risk of premature death.</w:t>
      </w:r>
    </w:p>
    <w:p w14:paraId="37F583D7" w14:textId="77777777" w:rsidR="002C6A92" w:rsidRDefault="00000000">
      <w:pPr>
        <w:pStyle w:val="Heading2"/>
        <w:spacing w:line="360" w:lineRule="auto"/>
        <w:rPr>
          <w:rFonts w:ascii="Arial" w:eastAsia="Arial" w:hAnsi="Arial" w:cs="Arial"/>
          <w:sz w:val="22"/>
          <w:szCs w:val="22"/>
        </w:rPr>
      </w:pPr>
      <w:bookmarkStart w:id="17" w:name="_heading=h.i31v7wbafaw5" w:colFirst="0" w:colLast="0"/>
      <w:bookmarkEnd w:id="17"/>
      <w:r>
        <w:rPr>
          <w:rFonts w:ascii="Arial" w:eastAsia="Arial" w:hAnsi="Arial" w:cs="Arial"/>
          <w:sz w:val="22"/>
          <w:szCs w:val="22"/>
        </w:rPr>
        <w:t xml:space="preserve">2.  Levels of the incidence/prevalence that demonstrate the severity of the health issue among the target population </w:t>
      </w:r>
    </w:p>
    <w:p w14:paraId="60CF8EB8" w14:textId="77777777" w:rsidR="002C6A92" w:rsidRDefault="00000000">
      <w:pPr>
        <w:spacing w:line="360" w:lineRule="auto"/>
        <w:jc w:val="both"/>
        <w:rPr>
          <w:rFonts w:ascii="Arial" w:eastAsia="Arial" w:hAnsi="Arial" w:cs="Arial"/>
          <w:b/>
          <w:bCs/>
        </w:rPr>
      </w:pPr>
      <w:r>
        <w:rPr>
          <w:rFonts w:ascii="Arial" w:eastAsia="Arial" w:hAnsi="Arial" w:cs="Arial"/>
        </w:rPr>
        <w:t>Respiratory and infectious diseases are a major public health issue and continue to result in millions of cases and deaths annually throughout the world. In an annual report conducted by the World Health Organization, lower respiratory infection is one of the leading causes of death from all diseases globally. According to the Office of National Statistics, respiratory diseases make up a large percentage of hospital admissions and deaths in the UK; there are a higher incidence (Ages 19–64) of both among working age adults who have either worked or live in environments at risk (e.g., agricultural chemical exposure). The data illustrates the severity and continued impact of respiratory and infectious diseases.</w:t>
      </w:r>
    </w:p>
    <w:p w14:paraId="15A30ADA" w14:textId="77777777" w:rsidR="002C6A92" w:rsidRDefault="00000000">
      <w:pPr>
        <w:pStyle w:val="Heading1"/>
        <w:spacing w:line="360" w:lineRule="auto"/>
        <w:rPr>
          <w:rFonts w:ascii="Arial" w:eastAsia="Arial" w:hAnsi="Arial" w:cs="Arial"/>
          <w:sz w:val="22"/>
          <w:szCs w:val="22"/>
        </w:rPr>
      </w:pPr>
      <w:bookmarkStart w:id="18" w:name="_heading=h.e4rily7dg98b" w:colFirst="0" w:colLast="0"/>
      <w:bookmarkEnd w:id="18"/>
      <w:r>
        <w:rPr>
          <w:rFonts w:ascii="Arial" w:eastAsia="Arial" w:hAnsi="Arial" w:cs="Arial"/>
          <w:sz w:val="22"/>
          <w:szCs w:val="22"/>
        </w:rPr>
        <w:t xml:space="preserve">B. Main Body  </w:t>
      </w:r>
    </w:p>
    <w:p w14:paraId="2AE41727" w14:textId="77777777" w:rsidR="002C6A92" w:rsidRDefault="00000000">
      <w:pPr>
        <w:pStyle w:val="Heading2"/>
        <w:spacing w:line="360" w:lineRule="auto"/>
        <w:rPr>
          <w:rFonts w:ascii="Arial" w:eastAsia="Arial" w:hAnsi="Arial" w:cs="Arial"/>
          <w:sz w:val="22"/>
          <w:szCs w:val="22"/>
        </w:rPr>
      </w:pPr>
      <w:bookmarkStart w:id="19" w:name="_heading=h.d8mf45l6blw5" w:colFirst="0" w:colLast="0"/>
      <w:bookmarkEnd w:id="19"/>
      <w:r>
        <w:rPr>
          <w:rFonts w:ascii="Arial" w:eastAsia="Arial" w:hAnsi="Arial" w:cs="Arial"/>
          <w:sz w:val="22"/>
          <w:szCs w:val="22"/>
        </w:rPr>
        <w:t>1. Public health measures drawing on the 3 P’s</w:t>
      </w:r>
    </w:p>
    <w:p w14:paraId="0B58F15D" w14:textId="77777777" w:rsidR="002C6A92" w:rsidRDefault="00000000">
      <w:pPr>
        <w:spacing w:line="360" w:lineRule="auto"/>
        <w:jc w:val="both"/>
        <w:rPr>
          <w:rFonts w:ascii="Arial" w:eastAsia="Arial" w:hAnsi="Arial" w:cs="Arial"/>
        </w:rPr>
      </w:pPr>
      <w:r>
        <w:rPr>
          <w:rFonts w:ascii="Arial" w:eastAsia="Arial" w:hAnsi="Arial" w:cs="Arial"/>
        </w:rPr>
        <w:t xml:space="preserve">The UK's public health measures seek to control, manage and reduce the spread of respiratory and infectious diseases among the working-age population through prevention, protection and promotion measures. </w:t>
      </w:r>
    </w:p>
    <w:p w14:paraId="6E30271E" w14:textId="77777777" w:rsidR="002C6A92" w:rsidRDefault="00000000">
      <w:pPr>
        <w:spacing w:line="360" w:lineRule="auto"/>
        <w:jc w:val="both"/>
        <w:rPr>
          <w:rFonts w:ascii="Arial" w:eastAsia="Arial" w:hAnsi="Arial" w:cs="Arial"/>
          <w:b/>
          <w:bCs/>
        </w:rPr>
      </w:pPr>
      <w:r>
        <w:rPr>
          <w:rFonts w:ascii="Arial" w:eastAsia="Arial" w:hAnsi="Arial" w:cs="Arial"/>
          <w:b/>
          <w:bCs/>
        </w:rPr>
        <w:lastRenderedPageBreak/>
        <w:t>3PS</w:t>
      </w:r>
    </w:p>
    <w:p w14:paraId="48599BCA" w14:textId="77777777" w:rsidR="002C6A92" w:rsidRDefault="00000000">
      <w:pPr>
        <w:spacing w:line="360" w:lineRule="auto"/>
        <w:jc w:val="both"/>
        <w:rPr>
          <w:rFonts w:ascii="Arial" w:eastAsia="Arial" w:hAnsi="Arial" w:cs="Arial"/>
        </w:rPr>
      </w:pPr>
      <w:r>
        <w:rPr>
          <w:rFonts w:ascii="Arial" w:eastAsia="Arial" w:hAnsi="Arial" w:cs="Arial"/>
        </w:rPr>
        <w:t>Prevention strategies aim to limit the incidence of disease, mainly through vaccines such as seasonal influenza and COVID-19 vaccines provided by the National Health Service (NHS). These initiatives have led to a substantial reduction in severe disease and hospitalisations; however, coverage for working-age adults remains uneven due to factors such as the lack of flexibility in accessing vaccines during working hours, and vaccine hesitancy (caringforcare.co.uk, 2026).</w:t>
      </w:r>
    </w:p>
    <w:p w14:paraId="30BA71D2" w14:textId="77777777" w:rsidR="002C6A92" w:rsidRDefault="00000000">
      <w:pPr>
        <w:spacing w:line="360" w:lineRule="auto"/>
        <w:jc w:val="center"/>
        <w:rPr>
          <w:rFonts w:ascii="Arial" w:eastAsia="Arial" w:hAnsi="Arial" w:cs="Arial"/>
        </w:rPr>
      </w:pPr>
      <w:r>
        <w:rPr>
          <w:rFonts w:ascii="Arial" w:eastAsia="Arial" w:hAnsi="Arial" w:cs="Arial"/>
          <w:noProof/>
        </w:rPr>
        <w:drawing>
          <wp:inline distT="0" distB="0" distL="0" distR="0" wp14:anchorId="6B8F1D41" wp14:editId="6C622BFD">
            <wp:extent cx="4371975" cy="3486150"/>
            <wp:effectExtent l="38100" t="38100" r="38100" b="381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371975" cy="3486150"/>
                    </a:xfrm>
                    <a:prstGeom prst="rect">
                      <a:avLst/>
                    </a:prstGeom>
                    <a:ln w="38100">
                      <a:solidFill>
                        <a:srgbClr val="000000"/>
                      </a:solidFill>
                      <a:prstDash val="solid"/>
                    </a:ln>
                  </pic:spPr>
                </pic:pic>
              </a:graphicData>
            </a:graphic>
          </wp:inline>
        </w:drawing>
      </w:r>
    </w:p>
    <w:p w14:paraId="7BAD4C2B" w14:textId="77777777" w:rsidR="002C6A92" w:rsidRDefault="00000000">
      <w:pPr>
        <w:spacing w:line="360" w:lineRule="auto"/>
        <w:jc w:val="center"/>
        <w:rPr>
          <w:rFonts w:ascii="Arial" w:eastAsia="Arial" w:hAnsi="Arial" w:cs="Arial"/>
          <w:b/>
          <w:bCs/>
        </w:rPr>
      </w:pPr>
      <w:r>
        <w:rPr>
          <w:rFonts w:ascii="Arial" w:eastAsia="Arial" w:hAnsi="Arial" w:cs="Arial"/>
          <w:b/>
          <w:bCs/>
        </w:rPr>
        <w:t>Figure 1: 3PS</w:t>
      </w:r>
    </w:p>
    <w:p w14:paraId="42500761" w14:textId="77777777" w:rsidR="002C6A92" w:rsidRDefault="00000000">
      <w:pPr>
        <w:spacing w:before="240" w:line="360" w:lineRule="auto"/>
        <w:jc w:val="center"/>
        <w:rPr>
          <w:rFonts w:ascii="Arial" w:eastAsia="Arial" w:hAnsi="Arial" w:cs="Arial"/>
        </w:rPr>
      </w:pPr>
      <w:r>
        <w:rPr>
          <w:rFonts w:ascii="Arial" w:eastAsia="Arial" w:hAnsi="Arial" w:cs="Arial"/>
        </w:rPr>
        <w:t>(Source: caringforcare.co.uk, 2026)</w:t>
      </w:r>
    </w:p>
    <w:p w14:paraId="1337F486" w14:textId="77777777" w:rsidR="002C6A92" w:rsidRDefault="00000000">
      <w:pPr>
        <w:spacing w:line="360" w:lineRule="auto"/>
        <w:jc w:val="both"/>
        <w:rPr>
          <w:rFonts w:ascii="Arial" w:eastAsia="Arial" w:hAnsi="Arial" w:cs="Arial"/>
        </w:rPr>
      </w:pPr>
      <w:r>
        <w:rPr>
          <w:rFonts w:ascii="Arial" w:eastAsia="Arial" w:hAnsi="Arial" w:cs="Arial"/>
        </w:rPr>
        <w:t xml:space="preserve">Protection measures focus on minimising exposure to risks, especially in the workplace. The Health and Safety Executive's regulations mandate the creation of safe workplaces through exposure control of pollutants, dust and chemicals. Theoretically, these regulations work well, but their effectiveness can be compromised by inconsistent implementation across different sectors, and inadequate enforcement. Promotion strategies refer to promoting positive behaviours through health promotion campaigns. Examples include quit smoking and hygiene campaigns. While these campaigns have raised awareness, they have had limited impact among those from lower </w:t>
      </w:r>
      <w:r>
        <w:rPr>
          <w:rFonts w:ascii="Arial" w:eastAsia="Arial" w:hAnsi="Arial" w:cs="Arial"/>
        </w:rPr>
        <w:lastRenderedPageBreak/>
        <w:t>socioeconomic backgrounds, suggesting that structural inequalities need to be tackled as well (caringforcare.co.uk, 2026).</w:t>
      </w:r>
    </w:p>
    <w:p w14:paraId="64AC7BD0" w14:textId="77777777" w:rsidR="002C6A92" w:rsidRDefault="00000000">
      <w:pPr>
        <w:pStyle w:val="Heading2"/>
        <w:spacing w:line="360" w:lineRule="auto"/>
        <w:rPr>
          <w:rFonts w:ascii="Arial" w:eastAsia="Arial" w:hAnsi="Arial" w:cs="Arial"/>
          <w:sz w:val="22"/>
          <w:szCs w:val="22"/>
        </w:rPr>
      </w:pPr>
      <w:bookmarkStart w:id="20" w:name="_heading=h.rmrrlndgur0i" w:colFirst="0" w:colLast="0"/>
      <w:bookmarkEnd w:id="20"/>
      <w:r>
        <w:rPr>
          <w:rFonts w:ascii="Arial" w:eastAsia="Arial" w:hAnsi="Arial" w:cs="Arial"/>
          <w:sz w:val="22"/>
          <w:szCs w:val="22"/>
        </w:rPr>
        <w:t xml:space="preserve">2. The key determinants/risk factors of the chosen disease/health issue.  </w:t>
      </w:r>
    </w:p>
    <w:p w14:paraId="4816D12C" w14:textId="77777777" w:rsidR="002C6A92" w:rsidRDefault="00000000">
      <w:pPr>
        <w:spacing w:line="360" w:lineRule="auto"/>
        <w:jc w:val="both"/>
        <w:rPr>
          <w:rFonts w:ascii="Arial" w:eastAsia="Arial" w:hAnsi="Arial" w:cs="Arial"/>
        </w:rPr>
      </w:pPr>
      <w:r>
        <w:rPr>
          <w:rFonts w:ascii="Arial" w:eastAsia="Arial" w:hAnsi="Arial" w:cs="Arial"/>
        </w:rPr>
        <w:t xml:space="preserve">Social, behavioural and environmental factors play a significant role in the development and spread of respiratory and infectious diseases(Kim and Choi, 2024). Sociodemographic factors - including income, education and employment status - are important. People with lower incomes are more likely to live in crowded housing and have less access to health care services, increasing their risk of exposure to infections and their capacity to access health care (Allinson </w:t>
      </w:r>
      <w:r>
        <w:rPr>
          <w:rFonts w:ascii="Arial" w:eastAsia="Arial" w:hAnsi="Arial" w:cs="Arial"/>
          <w:i/>
          <w:iCs/>
        </w:rPr>
        <w:t>et al</w:t>
      </w:r>
      <w:r>
        <w:rPr>
          <w:rFonts w:ascii="Arial" w:eastAsia="Arial" w:hAnsi="Arial" w:cs="Arial"/>
        </w:rPr>
        <w:t>, 2023). Health-related behaviours are also important. Cigarette smoking is a major cause of chronic lung diseases, and unhealthy diets and lack of exercise have a negative impact on the immune system, making people more vulnerable to infectious illnesses. Further, some populations can be reluctant to receive vaccinations, resulting in reduced vaccination rates and increased disease spread.</w:t>
      </w:r>
    </w:p>
    <w:p w14:paraId="2E63736E" w14:textId="77777777" w:rsidR="002C6A92" w:rsidRDefault="00000000">
      <w:pPr>
        <w:spacing w:line="360" w:lineRule="auto"/>
        <w:jc w:val="both"/>
        <w:rPr>
          <w:rFonts w:ascii="Arial" w:eastAsia="Arial" w:hAnsi="Arial" w:cs="Arial"/>
        </w:rPr>
      </w:pPr>
      <w:r>
        <w:rPr>
          <w:rFonts w:ascii="Arial" w:eastAsia="Arial" w:hAnsi="Arial" w:cs="Arial"/>
        </w:rPr>
        <w:t xml:space="preserve">The environment plays a significant role, too (Kenmoe and Nair, 2024). Urban air pollution plays a role in the development and worsening of respiratory illness, while exposure to pollutants at work is important for adults of working age from industries such as construction and manufacturing. These factors collectively align with the social determinants of health approach, which underscores the influence of social and environmental factors on health (Hyams </w:t>
      </w:r>
      <w:r>
        <w:rPr>
          <w:rFonts w:ascii="Arial" w:eastAsia="Arial" w:hAnsi="Arial" w:cs="Arial"/>
          <w:i/>
          <w:iCs/>
        </w:rPr>
        <w:t>et al</w:t>
      </w:r>
      <w:r>
        <w:rPr>
          <w:rFonts w:ascii="Arial" w:eastAsia="Arial" w:hAnsi="Arial" w:cs="Arial"/>
        </w:rPr>
        <w:t xml:space="preserve">, 2022). </w:t>
      </w:r>
    </w:p>
    <w:p w14:paraId="385012C3" w14:textId="77777777" w:rsidR="002C6A92" w:rsidRDefault="00000000">
      <w:pPr>
        <w:pStyle w:val="Heading2"/>
        <w:spacing w:line="360" w:lineRule="auto"/>
        <w:rPr>
          <w:rFonts w:ascii="Arial" w:eastAsia="Arial" w:hAnsi="Arial" w:cs="Arial"/>
          <w:sz w:val="22"/>
          <w:szCs w:val="22"/>
        </w:rPr>
      </w:pPr>
      <w:bookmarkStart w:id="21" w:name="_heading=h.anl85y97srl4" w:colFirst="0" w:colLast="0"/>
      <w:bookmarkEnd w:id="21"/>
      <w:r>
        <w:rPr>
          <w:rFonts w:ascii="Arial" w:eastAsia="Arial" w:hAnsi="Arial" w:cs="Arial"/>
          <w:sz w:val="22"/>
          <w:szCs w:val="22"/>
        </w:rPr>
        <w:t xml:space="preserve">3. Using epidemiological studies and a health needs assessment; identify those affected or/are at risk in a specific defined population.  </w:t>
      </w:r>
    </w:p>
    <w:p w14:paraId="72EC8779" w14:textId="77777777" w:rsidR="002C6A92" w:rsidRDefault="00000000">
      <w:pPr>
        <w:spacing w:line="360" w:lineRule="auto"/>
        <w:jc w:val="both"/>
        <w:rPr>
          <w:rFonts w:ascii="Arial" w:eastAsia="Arial" w:hAnsi="Arial" w:cs="Arial"/>
        </w:rPr>
      </w:pPr>
      <w:r>
        <w:rPr>
          <w:rFonts w:ascii="Arial" w:eastAsia="Arial" w:hAnsi="Arial" w:cs="Arial"/>
        </w:rPr>
        <w:t>Epidemiological research is crucial in understanding the burden of disease and identifying vulnerable groups (</w:t>
      </w:r>
      <w:proofErr w:type="spellStart"/>
      <w:r>
        <w:rPr>
          <w:rFonts w:ascii="Arial" w:eastAsia="Arial" w:hAnsi="Arial" w:cs="Arial"/>
        </w:rPr>
        <w:t>Panatto</w:t>
      </w:r>
      <w:proofErr w:type="spellEnd"/>
      <w:r>
        <w:rPr>
          <w:rFonts w:ascii="Arial" w:eastAsia="Arial" w:hAnsi="Arial" w:cs="Arial"/>
        </w:rPr>
        <w:t xml:space="preserve"> et al., 2023). Longitudinal studies in the UK have shown a strong link between smoking and chronic respiratory conditions in working-age adults, emphasising the long-term effects of behaviour risk factors (McGeoch et al., 2023). By contrast, cross-sectional studies of COVID-19 have shown increased infections among people in public-facing jobs, highlighting the importance of exposure at work (Johannesen et al., 2022). Even though cohort studies can be used to determine causality, cross-sectional studies can only demonstrate associations at one point in time. These limitations notwithstanding, both types of studies are valuable in understanding the distribution of diseases (Savic </w:t>
      </w:r>
      <w:r>
        <w:rPr>
          <w:rFonts w:ascii="Arial" w:eastAsia="Arial" w:hAnsi="Arial" w:cs="Arial"/>
          <w:i/>
          <w:iCs/>
        </w:rPr>
        <w:t>et al</w:t>
      </w:r>
      <w:r>
        <w:rPr>
          <w:rFonts w:ascii="Arial" w:eastAsia="Arial" w:hAnsi="Arial" w:cs="Arial"/>
        </w:rPr>
        <w:t xml:space="preserve">, 2023). </w:t>
      </w:r>
    </w:p>
    <w:p w14:paraId="7716157B" w14:textId="77777777" w:rsidR="002C6A92" w:rsidRDefault="00000000">
      <w:pPr>
        <w:spacing w:line="360" w:lineRule="auto"/>
        <w:jc w:val="both"/>
        <w:rPr>
          <w:rFonts w:ascii="Arial" w:eastAsia="Arial" w:hAnsi="Arial" w:cs="Arial"/>
        </w:rPr>
      </w:pPr>
      <w:r>
        <w:rPr>
          <w:rFonts w:ascii="Arial" w:eastAsia="Arial" w:hAnsi="Arial" w:cs="Arial"/>
        </w:rPr>
        <w:t xml:space="preserve">A health needs assessment also identifies the most affected and at-risk groups among the working age population (Rozenbaum et al., 2023). Vulnerable groups include low-income households, smokers, and persons in high-risk jobs because of exposure to several risk factors. </w:t>
      </w:r>
      <w:r>
        <w:rPr>
          <w:rFonts w:ascii="Arial" w:eastAsia="Arial" w:hAnsi="Arial" w:cs="Arial"/>
        </w:rPr>
        <w:lastRenderedPageBreak/>
        <w:t xml:space="preserve">And ethnic minorities may also be more vulnerable due to social determinants. This analysis shows that tailored interventions are required to address the specific needs of these vulnerable groups and not blanket approaches (Savic et al., 2023). </w:t>
      </w:r>
    </w:p>
    <w:p w14:paraId="2542F883" w14:textId="77777777" w:rsidR="002C6A92" w:rsidRDefault="00000000">
      <w:pPr>
        <w:pStyle w:val="Heading2"/>
        <w:spacing w:line="360" w:lineRule="auto"/>
        <w:rPr>
          <w:rFonts w:ascii="Arial" w:eastAsia="Arial" w:hAnsi="Arial" w:cs="Arial"/>
          <w:sz w:val="22"/>
          <w:szCs w:val="22"/>
        </w:rPr>
      </w:pPr>
      <w:bookmarkStart w:id="22" w:name="_heading=h.mfghvw1cneqt" w:colFirst="0" w:colLast="0"/>
      <w:bookmarkEnd w:id="22"/>
      <w:r>
        <w:rPr>
          <w:rFonts w:ascii="Arial" w:eastAsia="Arial" w:hAnsi="Arial" w:cs="Arial"/>
          <w:sz w:val="22"/>
          <w:szCs w:val="22"/>
        </w:rPr>
        <w:t>4. Explain the main public health approaches and strategies used to monitor the incidence of chosen disease</w:t>
      </w:r>
    </w:p>
    <w:p w14:paraId="15447190" w14:textId="77777777" w:rsidR="002C6A92" w:rsidRDefault="00000000">
      <w:pPr>
        <w:spacing w:line="360" w:lineRule="auto"/>
        <w:jc w:val="both"/>
        <w:rPr>
          <w:rFonts w:ascii="Arial" w:eastAsia="Arial" w:hAnsi="Arial" w:cs="Arial"/>
        </w:rPr>
      </w:pPr>
      <w:r>
        <w:rPr>
          <w:rFonts w:ascii="Arial" w:eastAsia="Arial" w:hAnsi="Arial" w:cs="Arial"/>
        </w:rPr>
        <w:t xml:space="preserve">Monitoring and surveillance is essential for tracking respiratory and infectious diseases (Osei-Yeboah et al., 2024). In the UK, health data is collected and analysed by bodies like the NHS and the Office for National Statistics, using a range of mechanisms such as disease registries, national surveys, screening programs and infectious diseases reporting (Sharp </w:t>
      </w:r>
      <w:r>
        <w:rPr>
          <w:rFonts w:ascii="Arial" w:eastAsia="Arial" w:hAnsi="Arial" w:cs="Arial"/>
          <w:i/>
          <w:iCs/>
        </w:rPr>
        <w:t>et al</w:t>
      </w:r>
      <w:r>
        <w:rPr>
          <w:rFonts w:ascii="Arial" w:eastAsia="Arial" w:hAnsi="Arial" w:cs="Arial"/>
        </w:rPr>
        <w:t xml:space="preserve">, 2022). These monitoring systems give us a picture of disease trends and help us detect outbreaks early, allowing the public health response to be triggered. They also help to guide policy and resource allocation. However, surveillance systems are not without challenges (Osei-Yeboah et al., 2023). Timeliness in data collection and reporting can undermine response efforts to emerging health risks. Underreporting is also a concern, as marginalised groups and informal workers may not access health care. Additionally, data from surveillance may not adequately reflect the effect of social determinants on health, making it harder to tackle the root causes of health disparities (Shi </w:t>
      </w:r>
      <w:r>
        <w:rPr>
          <w:rFonts w:ascii="Arial" w:eastAsia="Arial" w:hAnsi="Arial" w:cs="Arial"/>
          <w:i/>
          <w:iCs/>
        </w:rPr>
        <w:t>et al</w:t>
      </w:r>
      <w:r>
        <w:rPr>
          <w:rFonts w:ascii="Arial" w:eastAsia="Arial" w:hAnsi="Arial" w:cs="Arial"/>
        </w:rPr>
        <w:t xml:space="preserve">, 2022). </w:t>
      </w:r>
    </w:p>
    <w:p w14:paraId="7DC56F16" w14:textId="77777777" w:rsidR="002C6A92" w:rsidRDefault="00000000">
      <w:pPr>
        <w:pStyle w:val="Heading2"/>
        <w:spacing w:line="360" w:lineRule="auto"/>
        <w:rPr>
          <w:rFonts w:ascii="Arial" w:eastAsia="Arial" w:hAnsi="Arial" w:cs="Arial"/>
          <w:sz w:val="22"/>
          <w:szCs w:val="22"/>
        </w:rPr>
      </w:pPr>
      <w:bookmarkStart w:id="23" w:name="_heading=h.s7e4l91erd6t" w:colFirst="0" w:colLast="0"/>
      <w:bookmarkEnd w:id="23"/>
      <w:r>
        <w:rPr>
          <w:rFonts w:ascii="Arial" w:eastAsia="Arial" w:hAnsi="Arial" w:cs="Arial"/>
          <w:sz w:val="22"/>
          <w:szCs w:val="22"/>
        </w:rPr>
        <w:t xml:space="preserve">5. Plan and use epidemiology to determine the public health impact/short- and long-term consequences/effect of the disease on the specified population.  </w:t>
      </w:r>
    </w:p>
    <w:p w14:paraId="1A438DAA" w14:textId="77777777" w:rsidR="002C6A92" w:rsidRDefault="00000000">
      <w:pPr>
        <w:spacing w:line="360" w:lineRule="auto"/>
        <w:jc w:val="both"/>
        <w:rPr>
          <w:rFonts w:ascii="Arial" w:eastAsia="Arial" w:hAnsi="Arial" w:cs="Arial"/>
        </w:rPr>
      </w:pPr>
      <w:r>
        <w:rPr>
          <w:rFonts w:ascii="Arial" w:eastAsia="Arial" w:hAnsi="Arial" w:cs="Arial"/>
        </w:rPr>
        <w:t xml:space="preserve">Respiratory and infectious diseases have both short- and long-term consequences for working-age adults. Acute illness, sick leave and decreased productivity are examples of short-term impacts. Contagious diseases like influenza and COVID-19 can spread quickly, impacting large portions of the population and straining the healthcare system (Hyams </w:t>
      </w:r>
      <w:r>
        <w:rPr>
          <w:rFonts w:ascii="Arial" w:eastAsia="Arial" w:hAnsi="Arial" w:cs="Arial"/>
          <w:i/>
          <w:iCs/>
        </w:rPr>
        <w:t>et al</w:t>
      </w:r>
      <w:r>
        <w:rPr>
          <w:rFonts w:ascii="Arial" w:eastAsia="Arial" w:hAnsi="Arial" w:cs="Arial"/>
        </w:rPr>
        <w:t xml:space="preserve">, 2022). Long term, chronic respiratory diseases like asthma and chronic obstructive pulmonary disease (COPD) lead to irreversible lung damage, decreased quality of life and premature death. They also have a sustained impact on health-care systems through the need for ongoing care. Economic consequences are significant, with workforce productivity and health care costs impacting individuals and the broader community. Epidemiological data show that marginalised populations suffer greater impacts, exacerbating health disparities and the need for targeted strategies (Sharp </w:t>
      </w:r>
      <w:r>
        <w:rPr>
          <w:rFonts w:ascii="Arial" w:eastAsia="Arial" w:hAnsi="Arial" w:cs="Arial"/>
          <w:i/>
          <w:iCs/>
        </w:rPr>
        <w:t>et al</w:t>
      </w:r>
      <w:r>
        <w:rPr>
          <w:rFonts w:ascii="Arial" w:eastAsia="Arial" w:hAnsi="Arial" w:cs="Arial"/>
        </w:rPr>
        <w:t>, 2022)</w:t>
      </w:r>
    </w:p>
    <w:p w14:paraId="2C9E712D" w14:textId="77777777" w:rsidR="002C6A92" w:rsidRDefault="00000000">
      <w:pPr>
        <w:pStyle w:val="Heading2"/>
        <w:spacing w:line="360" w:lineRule="auto"/>
        <w:rPr>
          <w:rFonts w:ascii="Arial" w:eastAsia="Arial" w:hAnsi="Arial" w:cs="Arial"/>
          <w:sz w:val="22"/>
          <w:szCs w:val="22"/>
        </w:rPr>
      </w:pPr>
      <w:bookmarkStart w:id="24" w:name="_heading=h.qiv8vf4b3yf7" w:colFirst="0" w:colLast="0"/>
      <w:bookmarkEnd w:id="24"/>
      <w:r>
        <w:rPr>
          <w:rFonts w:ascii="Arial" w:eastAsia="Arial" w:hAnsi="Arial" w:cs="Arial"/>
          <w:sz w:val="22"/>
          <w:szCs w:val="22"/>
        </w:rPr>
        <w:lastRenderedPageBreak/>
        <w:t xml:space="preserve">6. Health intervention programme and evaluate the impact(s) of any proposed intervention(s).  </w:t>
      </w:r>
    </w:p>
    <w:p w14:paraId="55688A96" w14:textId="77777777" w:rsidR="002C6A92" w:rsidRDefault="00000000">
      <w:pPr>
        <w:spacing w:line="360" w:lineRule="auto"/>
        <w:jc w:val="both"/>
        <w:rPr>
          <w:rFonts w:ascii="Arial" w:eastAsia="Arial" w:hAnsi="Arial" w:cs="Arial"/>
        </w:rPr>
      </w:pPr>
      <w:r>
        <w:rPr>
          <w:rFonts w:ascii="Arial" w:eastAsia="Arial" w:hAnsi="Arial" w:cs="Arial"/>
        </w:rPr>
        <w:t>An intervention programme should target high-risk groups in the working-age population (</w:t>
      </w:r>
      <w:proofErr w:type="spellStart"/>
      <w:r>
        <w:rPr>
          <w:rFonts w:ascii="Arial" w:eastAsia="Arial" w:hAnsi="Arial" w:cs="Arial"/>
        </w:rPr>
        <w:t>Wildenbeest</w:t>
      </w:r>
      <w:proofErr w:type="spellEnd"/>
      <w:r>
        <w:rPr>
          <w:rFonts w:ascii="Arial" w:eastAsia="Arial" w:hAnsi="Arial" w:cs="Arial"/>
        </w:rPr>
        <w:t xml:space="preserve"> et al., 2024). A program specifically targeted at people in low-income, high-risk jobs could provide workplace health screening, convenient vaccination, quit assistance and more readily available protective equipment (Shi </w:t>
      </w:r>
      <w:r>
        <w:rPr>
          <w:rFonts w:ascii="Arial" w:eastAsia="Arial" w:hAnsi="Arial" w:cs="Arial"/>
          <w:i/>
          <w:iCs/>
        </w:rPr>
        <w:t>et al</w:t>
      </w:r>
      <w:r>
        <w:rPr>
          <w:rFonts w:ascii="Arial" w:eastAsia="Arial" w:hAnsi="Arial" w:cs="Arial"/>
        </w:rPr>
        <w:t xml:space="preserve">, 2022). The anticipated results of such a programme are a decreased risk of disease, earlier detection of disease and a higher level of knowledge and awareness to adopt protective measures. The targeted approach can have a greater impact than population-based programs (Savic </w:t>
      </w:r>
      <w:r>
        <w:rPr>
          <w:rFonts w:ascii="Arial" w:eastAsia="Arial" w:hAnsi="Arial" w:cs="Arial"/>
          <w:i/>
          <w:iCs/>
        </w:rPr>
        <w:t>et al</w:t>
      </w:r>
      <w:r>
        <w:rPr>
          <w:rFonts w:ascii="Arial" w:eastAsia="Arial" w:hAnsi="Arial" w:cs="Arial"/>
        </w:rPr>
        <w:t>, 2023) Programme evaluation is crucial to determine its impact. This can be done by comparing rates of disease before and after the programme, surveying programme participants to determine behavioural change, and reviewing workplace health records. Although targeted measures are more cost-effective, their effectiveness relies on ongoing funding, participation and employer and policymaker support.</w:t>
      </w:r>
    </w:p>
    <w:p w14:paraId="26998206" w14:textId="77777777" w:rsidR="002C6A92" w:rsidRDefault="00000000">
      <w:pPr>
        <w:pStyle w:val="Heading2"/>
        <w:spacing w:line="360" w:lineRule="auto"/>
        <w:rPr>
          <w:rFonts w:ascii="Arial" w:eastAsia="Arial" w:hAnsi="Arial" w:cs="Arial"/>
          <w:sz w:val="22"/>
          <w:szCs w:val="22"/>
        </w:rPr>
      </w:pPr>
      <w:bookmarkStart w:id="25" w:name="_heading=h.xdx7x88nshw5" w:colFirst="0" w:colLast="0"/>
      <w:bookmarkEnd w:id="25"/>
      <w:r>
        <w:rPr>
          <w:rFonts w:ascii="Arial" w:eastAsia="Arial" w:hAnsi="Arial" w:cs="Arial"/>
          <w:sz w:val="22"/>
          <w:szCs w:val="22"/>
        </w:rPr>
        <w:t>7. Strengths and weaknesses of epidemiological approach</w:t>
      </w:r>
    </w:p>
    <w:p w14:paraId="6A1DD860" w14:textId="77777777" w:rsidR="002C6A92" w:rsidRDefault="00000000">
      <w:pPr>
        <w:spacing w:line="360" w:lineRule="auto"/>
        <w:jc w:val="both"/>
        <w:rPr>
          <w:rFonts w:ascii="Arial" w:eastAsia="Arial" w:hAnsi="Arial" w:cs="Arial"/>
        </w:rPr>
      </w:pPr>
      <w:r>
        <w:rPr>
          <w:rFonts w:ascii="Arial" w:eastAsia="Arial" w:hAnsi="Arial" w:cs="Arial"/>
        </w:rPr>
        <w:t>The epidemiological approach is a structured approach to public health. A major strength of this approach is that it can discern patterns of disease occurrence and risk factors, which can inform decision making and interventions (Merrill, 2024). It can also be used to assess public health interventions and policies, however, there are limitations (Manlove et al., 2022). Epidemiological studies may rely on incomplete data or data subject to bias, especially when based on self-reported data. Causality can be difficult to establish, particularly in observational studies where there are many interacting variables. Moreover, results may not be applicable to all populations. Epidemiological methods also typically only consider quantitative data, rather than qualitative aspects such as individual perspectives and social determinants. This may result in limited understanding of health inequalities. Despite these limitations, epidemiology is a vital approach to tackling respiratory and infectious diseases and guiding public health policy.</w:t>
      </w:r>
    </w:p>
    <w:p w14:paraId="1602BD8F" w14:textId="77777777" w:rsidR="002C6A92" w:rsidRDefault="00000000">
      <w:pPr>
        <w:spacing w:line="360" w:lineRule="auto"/>
        <w:rPr>
          <w:rFonts w:ascii="Arial" w:eastAsia="Arial" w:hAnsi="Arial" w:cs="Arial"/>
        </w:rPr>
      </w:pPr>
      <w:r>
        <w:br w:type="page"/>
      </w:r>
    </w:p>
    <w:p w14:paraId="0178E38E" w14:textId="383E3997" w:rsidR="006A7FED" w:rsidRPr="006A7FED" w:rsidRDefault="00000000" w:rsidP="006A7FED">
      <w:pPr>
        <w:pStyle w:val="Heading1"/>
        <w:spacing w:line="360" w:lineRule="auto"/>
        <w:rPr>
          <w:rFonts w:ascii="Arial" w:eastAsia="Arial" w:hAnsi="Arial" w:cs="Arial"/>
          <w:sz w:val="22"/>
          <w:szCs w:val="22"/>
        </w:rPr>
      </w:pPr>
      <w:bookmarkStart w:id="26" w:name="_heading=h.4nklua18nt4r" w:colFirst="0" w:colLast="0"/>
      <w:bookmarkEnd w:id="26"/>
      <w:r>
        <w:rPr>
          <w:rFonts w:ascii="Arial" w:eastAsia="Arial" w:hAnsi="Arial" w:cs="Arial"/>
          <w:sz w:val="22"/>
          <w:szCs w:val="22"/>
        </w:rPr>
        <w:lastRenderedPageBreak/>
        <w:t>Reference list</w:t>
      </w:r>
    </w:p>
    <w:p w14:paraId="15BE5E5C" w14:textId="77777777" w:rsidR="006A7FED" w:rsidRPr="005E7F0B" w:rsidRDefault="006A7FED" w:rsidP="005E7F0B">
      <w:pPr>
        <w:spacing w:line="360" w:lineRule="auto"/>
        <w:jc w:val="both"/>
        <w:rPr>
          <w:rFonts w:ascii="Arial" w:eastAsia="Arial" w:hAnsi="Arial" w:cs="Arial"/>
        </w:rPr>
      </w:pPr>
      <w:r w:rsidRPr="005E7F0B">
        <w:rPr>
          <w:rFonts w:ascii="Arial" w:eastAsia="Arial" w:hAnsi="Arial" w:cs="Arial"/>
          <w:color w:val="222222"/>
        </w:rPr>
        <w:t xml:space="preserve">Aitken, Z., Bishop, G.M., Disney, G., Emerson, E. and Kavanagh, A.M., 2022. Disability-related inequalities in health and well-being are mediated by barriers to participation faced by people with disability. A causal mediation analysis. </w:t>
      </w:r>
      <w:r w:rsidRPr="005E7F0B">
        <w:rPr>
          <w:rFonts w:ascii="Arial" w:eastAsia="Arial" w:hAnsi="Arial" w:cs="Arial"/>
          <w:i/>
          <w:iCs/>
          <w:color w:val="222222"/>
        </w:rPr>
        <w:t>Social Science &amp; Medicine</w:t>
      </w:r>
      <w:r w:rsidRPr="005E7F0B">
        <w:rPr>
          <w:rFonts w:ascii="Arial" w:eastAsia="Arial" w:hAnsi="Arial" w:cs="Arial"/>
          <w:color w:val="222222"/>
        </w:rPr>
        <w:t xml:space="preserve">, </w:t>
      </w:r>
      <w:r w:rsidRPr="005E7F0B">
        <w:rPr>
          <w:rFonts w:ascii="Arial" w:eastAsia="Arial" w:hAnsi="Arial" w:cs="Arial"/>
          <w:i/>
          <w:iCs/>
          <w:color w:val="222222"/>
        </w:rPr>
        <w:t>315</w:t>
      </w:r>
      <w:r w:rsidRPr="005E7F0B">
        <w:rPr>
          <w:rFonts w:ascii="Arial" w:eastAsia="Arial" w:hAnsi="Arial" w:cs="Arial"/>
          <w:color w:val="222222"/>
        </w:rPr>
        <w:t>, p.115500.</w:t>
      </w:r>
      <w:r w:rsidRPr="005E7F0B">
        <w:rPr>
          <w:rFonts w:ascii="Arial" w:eastAsia="Arial" w:hAnsi="Arial" w:cs="Arial"/>
        </w:rPr>
        <w:t xml:space="preserve"> Available at:  </w:t>
      </w:r>
      <w:hyperlink r:id="rId11">
        <w:r w:rsidRPr="005E7F0B">
          <w:rPr>
            <w:rFonts w:ascii="Arial" w:eastAsia="Arial" w:hAnsi="Arial" w:cs="Arial"/>
            <w:color w:val="1155CC"/>
            <w:u w:val="single"/>
          </w:rPr>
          <w:t>https://www.sciencedirect.com/science/article/pii/S0277953622008061</w:t>
        </w:r>
      </w:hyperlink>
      <w:r w:rsidRPr="005E7F0B">
        <w:rPr>
          <w:rFonts w:ascii="Arial" w:eastAsia="Arial" w:hAnsi="Arial" w:cs="Arial"/>
        </w:rPr>
        <w:t xml:space="preserve"> </w:t>
      </w:r>
    </w:p>
    <w:p w14:paraId="4336A380"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 xml:space="preserve">Allinson, J.P., Chaturvedi, N., Wong, A., Shah, I., Donaldson, G.C., </w:t>
      </w:r>
      <w:proofErr w:type="spellStart"/>
      <w:r w:rsidRPr="005E7F0B">
        <w:rPr>
          <w:rFonts w:ascii="Arial" w:eastAsia="Arial" w:hAnsi="Arial" w:cs="Arial"/>
          <w:color w:val="222222"/>
        </w:rPr>
        <w:t>Wedzicha</w:t>
      </w:r>
      <w:proofErr w:type="spellEnd"/>
      <w:r w:rsidRPr="005E7F0B">
        <w:rPr>
          <w:rFonts w:ascii="Arial" w:eastAsia="Arial" w:hAnsi="Arial" w:cs="Arial"/>
          <w:color w:val="222222"/>
        </w:rPr>
        <w:t>, J.A. and Hardy, R., 2023. Early childhood lower respiratory tract infection and premature adult death from respiratory disease in Great Britain: a national birth cohort study. </w:t>
      </w:r>
      <w:r w:rsidRPr="005E7F0B">
        <w:rPr>
          <w:rFonts w:ascii="Arial" w:eastAsia="Arial" w:hAnsi="Arial" w:cs="Arial"/>
          <w:i/>
          <w:iCs/>
          <w:color w:val="222222"/>
        </w:rPr>
        <w:t>The Lancet</w:t>
      </w:r>
      <w:r w:rsidRPr="005E7F0B">
        <w:rPr>
          <w:rFonts w:ascii="Arial" w:eastAsia="Arial" w:hAnsi="Arial" w:cs="Arial"/>
          <w:color w:val="222222"/>
        </w:rPr>
        <w:t>, </w:t>
      </w:r>
      <w:r w:rsidRPr="005E7F0B">
        <w:rPr>
          <w:rFonts w:ascii="Arial" w:eastAsia="Arial" w:hAnsi="Arial" w:cs="Arial"/>
          <w:i/>
          <w:iCs/>
          <w:color w:val="222222"/>
        </w:rPr>
        <w:t>401</w:t>
      </w:r>
      <w:r w:rsidRPr="005E7F0B">
        <w:rPr>
          <w:rFonts w:ascii="Arial" w:eastAsia="Arial" w:hAnsi="Arial" w:cs="Arial"/>
          <w:color w:val="222222"/>
        </w:rPr>
        <w:t>(10383), pp.1183-1193.</w:t>
      </w:r>
      <w:r w:rsidRPr="005E7F0B">
        <w:rPr>
          <w:rFonts w:ascii="Arial" w:eastAsia="Arial" w:hAnsi="Arial" w:cs="Arial"/>
        </w:rPr>
        <w:t xml:space="preserve"> Available at: </w:t>
      </w:r>
      <w:hyperlink r:id="rId12">
        <w:r w:rsidRPr="005E7F0B">
          <w:rPr>
            <w:rFonts w:ascii="Arial" w:eastAsia="Arial" w:hAnsi="Arial" w:cs="Arial"/>
            <w:color w:val="0000FF"/>
            <w:u w:val="single"/>
          </w:rPr>
          <w:t>https://www.thelancet.com/pdfs/journals/lancet/PIIS0140-6736(23)00131-9.pdf</w:t>
        </w:r>
      </w:hyperlink>
    </w:p>
    <w:p w14:paraId="222B2DB2"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Banks, J., Karjalainen, H. and Waters, T., 2023. Inequalities in disability. </w:t>
      </w:r>
      <w:r w:rsidRPr="005E7F0B">
        <w:rPr>
          <w:rFonts w:ascii="Arial" w:eastAsia="Arial" w:hAnsi="Arial" w:cs="Arial"/>
          <w:i/>
          <w:iCs/>
          <w:color w:val="222222"/>
        </w:rPr>
        <w:t>London: Institute for Fiscal Studies</w:t>
      </w:r>
      <w:r w:rsidRPr="005E7F0B">
        <w:rPr>
          <w:rFonts w:ascii="Arial" w:eastAsia="Arial" w:hAnsi="Arial" w:cs="Arial"/>
          <w:color w:val="222222"/>
        </w:rPr>
        <w:t>.</w:t>
      </w:r>
      <w:r w:rsidRPr="005E7F0B">
        <w:rPr>
          <w:rFonts w:ascii="Arial" w:eastAsia="Arial" w:hAnsi="Arial" w:cs="Arial"/>
        </w:rPr>
        <w:t xml:space="preserve"> Available at: </w:t>
      </w:r>
      <w:hyperlink r:id="rId13">
        <w:r w:rsidRPr="005E7F0B">
          <w:rPr>
            <w:rFonts w:ascii="Arial" w:eastAsia="Arial" w:hAnsi="Arial" w:cs="Arial"/>
            <w:color w:val="0000FF"/>
            <w:u w:val="single"/>
          </w:rPr>
          <w:t>https://ifs.org.uk/sites/default/files/2026-03/Inequalities-in-disability-The-IFS-Deaton-Review-1-1.pdf</w:t>
        </w:r>
      </w:hyperlink>
    </w:p>
    <w:p w14:paraId="6D84CCB2"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Banks, J., Karjalainen, H. and Waters, T., 2024. Inequalities in disability. </w:t>
      </w:r>
      <w:r w:rsidRPr="005E7F0B">
        <w:rPr>
          <w:rFonts w:ascii="Arial" w:eastAsia="Arial" w:hAnsi="Arial" w:cs="Arial"/>
          <w:i/>
          <w:iCs/>
          <w:color w:val="222222"/>
        </w:rPr>
        <w:t>Oxford Open Economics</w:t>
      </w:r>
      <w:r w:rsidRPr="005E7F0B">
        <w:rPr>
          <w:rFonts w:ascii="Arial" w:eastAsia="Arial" w:hAnsi="Arial" w:cs="Arial"/>
          <w:color w:val="222222"/>
        </w:rPr>
        <w:t>, </w:t>
      </w:r>
      <w:r w:rsidRPr="005E7F0B">
        <w:rPr>
          <w:rFonts w:ascii="Arial" w:eastAsia="Arial" w:hAnsi="Arial" w:cs="Arial"/>
          <w:i/>
          <w:iCs/>
          <w:color w:val="222222"/>
        </w:rPr>
        <w:t>3</w:t>
      </w:r>
      <w:r w:rsidRPr="005E7F0B">
        <w:rPr>
          <w:rFonts w:ascii="Arial" w:eastAsia="Arial" w:hAnsi="Arial" w:cs="Arial"/>
          <w:color w:val="222222"/>
        </w:rPr>
        <w:t>(Supplement_1), pp.i529-i548.</w:t>
      </w:r>
      <w:r w:rsidRPr="005E7F0B">
        <w:rPr>
          <w:rFonts w:ascii="Arial" w:eastAsia="Arial" w:hAnsi="Arial" w:cs="Arial"/>
        </w:rPr>
        <w:t xml:space="preserve"> Available at: </w:t>
      </w:r>
      <w:hyperlink r:id="rId14">
        <w:r w:rsidRPr="005E7F0B">
          <w:rPr>
            <w:rFonts w:ascii="Arial" w:eastAsia="Arial" w:hAnsi="Arial" w:cs="Arial"/>
            <w:color w:val="0000FF"/>
            <w:u w:val="single"/>
          </w:rPr>
          <w:t>https://academic.oup.com/ooec/article-pdf/3/Supplement_1/i529/58618868/odad091.pdf</w:t>
        </w:r>
      </w:hyperlink>
    </w:p>
    <w:p w14:paraId="1AADAA00" w14:textId="77777777" w:rsidR="006A7FED" w:rsidRPr="005E7F0B" w:rsidRDefault="006A7FED" w:rsidP="005E7F0B">
      <w:pPr>
        <w:spacing w:line="360" w:lineRule="auto"/>
        <w:jc w:val="both"/>
        <w:rPr>
          <w:rFonts w:ascii="Arial" w:eastAsia="Arial" w:hAnsi="Arial" w:cs="Arial"/>
        </w:rPr>
      </w:pPr>
      <w:r w:rsidRPr="005E7F0B">
        <w:rPr>
          <w:rFonts w:ascii="Arial" w:eastAsia="Arial" w:hAnsi="Arial" w:cs="Arial"/>
        </w:rPr>
        <w:t xml:space="preserve">caringforcare.co.uk (2026). Understanding the 3 Ps: The Core Aims of First Aid Available at: </w:t>
      </w:r>
      <w:hyperlink r:id="rId15">
        <w:r w:rsidRPr="005E7F0B">
          <w:rPr>
            <w:rFonts w:ascii="Arial" w:eastAsia="Arial" w:hAnsi="Arial" w:cs="Arial"/>
            <w:color w:val="1155CC"/>
            <w:u w:val="single"/>
          </w:rPr>
          <w:t>https://caringforcare.co.uk/what-are-the-3ps-of-first-aid/</w:t>
        </w:r>
      </w:hyperlink>
      <w:r w:rsidRPr="005E7F0B">
        <w:rPr>
          <w:rFonts w:ascii="Arial" w:eastAsia="Arial" w:hAnsi="Arial" w:cs="Arial"/>
          <w:color w:val="0000FF"/>
          <w:u w:val="single"/>
        </w:rPr>
        <w:t xml:space="preserve">  </w:t>
      </w:r>
      <w:r w:rsidRPr="005E7F0B">
        <w:rPr>
          <w:rFonts w:ascii="Arial" w:eastAsia="Arial" w:hAnsi="Arial" w:cs="Arial"/>
        </w:rPr>
        <w:t xml:space="preserve">[Accessed on 1st May 2026]. </w:t>
      </w:r>
    </w:p>
    <w:p w14:paraId="135F73AE" w14:textId="77777777" w:rsidR="006A7FED" w:rsidRPr="005E7F0B" w:rsidRDefault="006A7FED" w:rsidP="005E7F0B">
      <w:pPr>
        <w:spacing w:line="360" w:lineRule="auto"/>
        <w:jc w:val="both"/>
        <w:rPr>
          <w:rFonts w:ascii="Arial" w:eastAsia="Arial" w:hAnsi="Arial" w:cs="Arial"/>
        </w:rPr>
      </w:pPr>
      <w:r w:rsidRPr="005E7F0B">
        <w:rPr>
          <w:rFonts w:ascii="Arial" w:eastAsia="Arial" w:hAnsi="Arial" w:cs="Arial"/>
          <w:color w:val="222222"/>
        </w:rPr>
        <w:t xml:space="preserve">Case, A. and </w:t>
      </w:r>
      <w:proofErr w:type="spellStart"/>
      <w:r w:rsidRPr="005E7F0B">
        <w:rPr>
          <w:rFonts w:ascii="Arial" w:eastAsia="Arial" w:hAnsi="Arial" w:cs="Arial"/>
          <w:color w:val="222222"/>
        </w:rPr>
        <w:t>Kraftman</w:t>
      </w:r>
      <w:proofErr w:type="spellEnd"/>
      <w:r w:rsidRPr="005E7F0B">
        <w:rPr>
          <w:rFonts w:ascii="Arial" w:eastAsia="Arial" w:hAnsi="Arial" w:cs="Arial"/>
          <w:color w:val="222222"/>
        </w:rPr>
        <w:t xml:space="preserve">, L., 2022. </w:t>
      </w:r>
      <w:r w:rsidRPr="005E7F0B">
        <w:rPr>
          <w:rFonts w:ascii="Arial" w:eastAsia="Arial" w:hAnsi="Arial" w:cs="Arial"/>
          <w:i/>
          <w:iCs/>
          <w:color w:val="222222"/>
        </w:rPr>
        <w:t>Health inequalities</w:t>
      </w:r>
      <w:r w:rsidRPr="005E7F0B">
        <w:rPr>
          <w:rFonts w:ascii="Arial" w:eastAsia="Arial" w:hAnsi="Arial" w:cs="Arial"/>
          <w:color w:val="222222"/>
        </w:rPr>
        <w:t xml:space="preserve"> (No. R227). IFS Report.</w:t>
      </w:r>
      <w:r w:rsidRPr="005E7F0B">
        <w:rPr>
          <w:rFonts w:ascii="Arial" w:eastAsia="Arial" w:hAnsi="Arial" w:cs="Arial"/>
        </w:rPr>
        <w:t xml:space="preserve"> Available at: </w:t>
      </w:r>
      <w:hyperlink r:id="rId16">
        <w:r w:rsidRPr="005E7F0B">
          <w:rPr>
            <w:rFonts w:ascii="Arial" w:eastAsia="Arial" w:hAnsi="Arial" w:cs="Arial"/>
            <w:color w:val="1155CC"/>
            <w:u w:val="single"/>
          </w:rPr>
          <w:t>https://www.econstor.eu/handle/10419/282916</w:t>
        </w:r>
      </w:hyperlink>
      <w:r w:rsidRPr="005E7F0B">
        <w:rPr>
          <w:rFonts w:ascii="Arial" w:eastAsia="Arial" w:hAnsi="Arial" w:cs="Arial"/>
        </w:rPr>
        <w:t xml:space="preserve"> </w:t>
      </w:r>
    </w:p>
    <w:p w14:paraId="4FE59E18" w14:textId="77777777" w:rsidR="006A7FED" w:rsidRPr="005E7F0B" w:rsidRDefault="006A7FED" w:rsidP="005E7F0B">
      <w:pPr>
        <w:spacing w:line="360" w:lineRule="auto"/>
        <w:jc w:val="both"/>
        <w:rPr>
          <w:rFonts w:ascii="Arial" w:eastAsia="Arial" w:hAnsi="Arial" w:cs="Arial"/>
        </w:rPr>
      </w:pPr>
      <w:r w:rsidRPr="005E7F0B">
        <w:rPr>
          <w:rFonts w:ascii="Arial" w:eastAsia="Arial" w:hAnsi="Arial" w:cs="Arial"/>
          <w:color w:val="222222"/>
        </w:rPr>
        <w:t xml:space="preserve">Case, A. and </w:t>
      </w:r>
      <w:proofErr w:type="spellStart"/>
      <w:r w:rsidRPr="005E7F0B">
        <w:rPr>
          <w:rFonts w:ascii="Arial" w:eastAsia="Arial" w:hAnsi="Arial" w:cs="Arial"/>
          <w:color w:val="222222"/>
        </w:rPr>
        <w:t>Kraftman</w:t>
      </w:r>
      <w:proofErr w:type="spellEnd"/>
      <w:r w:rsidRPr="005E7F0B">
        <w:rPr>
          <w:rFonts w:ascii="Arial" w:eastAsia="Arial" w:hAnsi="Arial" w:cs="Arial"/>
          <w:color w:val="222222"/>
        </w:rPr>
        <w:t xml:space="preserve">, L., 2024. Health inequalities. </w:t>
      </w:r>
      <w:r w:rsidRPr="005E7F0B">
        <w:rPr>
          <w:rFonts w:ascii="Arial" w:eastAsia="Arial" w:hAnsi="Arial" w:cs="Arial"/>
          <w:i/>
          <w:iCs/>
          <w:color w:val="222222"/>
        </w:rPr>
        <w:t>Oxford Open Economics</w:t>
      </w:r>
      <w:r w:rsidRPr="005E7F0B">
        <w:rPr>
          <w:rFonts w:ascii="Arial" w:eastAsia="Arial" w:hAnsi="Arial" w:cs="Arial"/>
          <w:color w:val="222222"/>
        </w:rPr>
        <w:t xml:space="preserve">, </w:t>
      </w:r>
      <w:r w:rsidRPr="005E7F0B">
        <w:rPr>
          <w:rFonts w:ascii="Arial" w:eastAsia="Arial" w:hAnsi="Arial" w:cs="Arial"/>
          <w:i/>
          <w:iCs/>
          <w:color w:val="222222"/>
        </w:rPr>
        <w:t>3</w:t>
      </w:r>
      <w:r w:rsidRPr="005E7F0B">
        <w:rPr>
          <w:rFonts w:ascii="Arial" w:eastAsia="Arial" w:hAnsi="Arial" w:cs="Arial"/>
          <w:color w:val="222222"/>
        </w:rPr>
        <w:t>(Supplement_1), pp.i499-i528.</w:t>
      </w:r>
      <w:r w:rsidRPr="005E7F0B">
        <w:rPr>
          <w:rFonts w:ascii="Arial" w:eastAsia="Arial" w:hAnsi="Arial" w:cs="Arial"/>
        </w:rPr>
        <w:t xml:space="preserve"> Available at: </w:t>
      </w:r>
      <w:hyperlink r:id="rId17">
        <w:r w:rsidRPr="005E7F0B">
          <w:rPr>
            <w:rFonts w:ascii="Arial" w:eastAsia="Arial" w:hAnsi="Arial" w:cs="Arial"/>
            <w:color w:val="1155CC"/>
            <w:u w:val="single"/>
          </w:rPr>
          <w:t>https://academic.oup.com/ooec/article-abstract/3/Supplement_1/i499/7708083</w:t>
        </w:r>
      </w:hyperlink>
      <w:r w:rsidRPr="005E7F0B">
        <w:rPr>
          <w:rFonts w:ascii="Arial" w:eastAsia="Arial" w:hAnsi="Arial" w:cs="Arial"/>
        </w:rPr>
        <w:t xml:space="preserve"> </w:t>
      </w:r>
    </w:p>
    <w:p w14:paraId="36EEEE4A"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rPr>
        <w:t>Gov.UK</w:t>
      </w:r>
      <w:r w:rsidRPr="005E7F0B">
        <w:rPr>
          <w:rFonts w:ascii="Arial" w:eastAsia="Arial" w:hAnsi="Arial" w:cs="Arial"/>
          <w:color w:val="222222"/>
        </w:rPr>
        <w:t xml:space="preserve">, 2026. </w:t>
      </w:r>
      <w:r w:rsidRPr="005E7F0B">
        <w:rPr>
          <w:rFonts w:ascii="Arial" w:eastAsia="Arial" w:hAnsi="Arial" w:cs="Arial"/>
          <w:i/>
          <w:iCs/>
          <w:color w:val="222222"/>
        </w:rPr>
        <w:t>Health-inequalities-in-health-protection-report-2025</w:t>
      </w:r>
      <w:r w:rsidRPr="005E7F0B">
        <w:rPr>
          <w:rFonts w:ascii="Arial" w:eastAsia="Arial" w:hAnsi="Arial" w:cs="Arial"/>
          <w:color w:val="222222"/>
        </w:rPr>
        <w:t xml:space="preserve">. </w:t>
      </w:r>
      <w:r w:rsidRPr="005E7F0B">
        <w:rPr>
          <w:rFonts w:ascii="Arial" w:eastAsia="Arial" w:hAnsi="Arial" w:cs="Arial"/>
        </w:rPr>
        <w:t xml:space="preserve">Available at: </w:t>
      </w:r>
      <w:hyperlink r:id="rId18">
        <w:r w:rsidRPr="005E7F0B">
          <w:rPr>
            <w:rFonts w:ascii="Arial" w:eastAsia="Arial" w:hAnsi="Arial" w:cs="Arial"/>
            <w:color w:val="1155CC"/>
            <w:u w:val="single"/>
          </w:rPr>
          <w:t>https://www.gov.uk/government/publications/health-inequalities-in-health-protection-report/health-inequalities-in-health-protection-report-2025</w:t>
        </w:r>
      </w:hyperlink>
      <w:r w:rsidRPr="005E7F0B">
        <w:rPr>
          <w:rFonts w:ascii="Arial" w:eastAsia="Arial" w:hAnsi="Arial" w:cs="Arial"/>
          <w:color w:val="222222"/>
        </w:rPr>
        <w:t xml:space="preserve"> </w:t>
      </w:r>
      <w:r w:rsidRPr="005E7F0B">
        <w:rPr>
          <w:rFonts w:ascii="Arial" w:eastAsia="Arial" w:hAnsi="Arial" w:cs="Arial"/>
        </w:rPr>
        <w:t>[Accessed on 29th April 2026].</w:t>
      </w:r>
    </w:p>
    <w:p w14:paraId="0738521F" w14:textId="77777777" w:rsidR="006A7FED" w:rsidRPr="005E7F0B" w:rsidRDefault="006A7FED" w:rsidP="005E7F0B">
      <w:pPr>
        <w:spacing w:line="360" w:lineRule="auto"/>
        <w:jc w:val="both"/>
        <w:rPr>
          <w:rFonts w:ascii="Arial" w:eastAsia="Arial" w:hAnsi="Arial" w:cs="Arial"/>
        </w:rPr>
      </w:pPr>
      <w:r w:rsidRPr="005E7F0B">
        <w:rPr>
          <w:rFonts w:ascii="Arial" w:eastAsia="Arial" w:hAnsi="Arial" w:cs="Arial"/>
          <w:color w:val="222222"/>
        </w:rPr>
        <w:t xml:space="preserve">Heaslip, V., Thompson, R., </w:t>
      </w:r>
      <w:proofErr w:type="spellStart"/>
      <w:r w:rsidRPr="005E7F0B">
        <w:rPr>
          <w:rFonts w:ascii="Arial" w:eastAsia="Arial" w:hAnsi="Arial" w:cs="Arial"/>
          <w:color w:val="222222"/>
        </w:rPr>
        <w:t>Tauringana</w:t>
      </w:r>
      <w:proofErr w:type="spellEnd"/>
      <w:r w:rsidRPr="005E7F0B">
        <w:rPr>
          <w:rFonts w:ascii="Arial" w:eastAsia="Arial" w:hAnsi="Arial" w:cs="Arial"/>
          <w:color w:val="222222"/>
        </w:rPr>
        <w:t xml:space="preserve">, M., Holland, S. and Glendening, N., 2022. Health inequity in the UK: exploring health inequality and inequity. </w:t>
      </w:r>
      <w:r w:rsidRPr="005E7F0B">
        <w:rPr>
          <w:rFonts w:ascii="Arial" w:eastAsia="Arial" w:hAnsi="Arial" w:cs="Arial"/>
          <w:i/>
          <w:iCs/>
          <w:color w:val="222222"/>
        </w:rPr>
        <w:t>Practice Nursing</w:t>
      </w:r>
      <w:r w:rsidRPr="005E7F0B">
        <w:rPr>
          <w:rFonts w:ascii="Arial" w:eastAsia="Arial" w:hAnsi="Arial" w:cs="Arial"/>
          <w:color w:val="222222"/>
        </w:rPr>
        <w:t xml:space="preserve">, </w:t>
      </w:r>
      <w:r w:rsidRPr="005E7F0B">
        <w:rPr>
          <w:rFonts w:ascii="Arial" w:eastAsia="Arial" w:hAnsi="Arial" w:cs="Arial"/>
          <w:i/>
          <w:iCs/>
          <w:color w:val="222222"/>
        </w:rPr>
        <w:t>33</w:t>
      </w:r>
      <w:r w:rsidRPr="005E7F0B">
        <w:rPr>
          <w:rFonts w:ascii="Arial" w:eastAsia="Arial" w:hAnsi="Arial" w:cs="Arial"/>
          <w:color w:val="222222"/>
        </w:rPr>
        <w:t>(2), pp.72-76.</w:t>
      </w:r>
      <w:r w:rsidRPr="005E7F0B">
        <w:rPr>
          <w:rFonts w:ascii="Arial" w:eastAsia="Arial" w:hAnsi="Arial" w:cs="Arial"/>
        </w:rPr>
        <w:t xml:space="preserve"> Available at: </w:t>
      </w:r>
      <w:hyperlink r:id="rId19">
        <w:r w:rsidRPr="005E7F0B">
          <w:rPr>
            <w:rFonts w:ascii="Arial" w:eastAsia="Arial" w:hAnsi="Arial" w:cs="Arial"/>
            <w:color w:val="1155CC"/>
            <w:u w:val="single"/>
          </w:rPr>
          <w:t>https://www.magonlinelibrary.com/doi/abs/10.12968/pnur.2022.33.2.72</w:t>
        </w:r>
      </w:hyperlink>
      <w:r w:rsidRPr="005E7F0B">
        <w:rPr>
          <w:rFonts w:ascii="Arial" w:eastAsia="Arial" w:hAnsi="Arial" w:cs="Arial"/>
        </w:rPr>
        <w:t xml:space="preserve"> </w:t>
      </w:r>
    </w:p>
    <w:p w14:paraId="16B31C72"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lastRenderedPageBreak/>
        <w:t xml:space="preserve">Hyams, C., </w:t>
      </w:r>
      <w:proofErr w:type="spellStart"/>
      <w:r w:rsidRPr="005E7F0B">
        <w:rPr>
          <w:rFonts w:ascii="Arial" w:eastAsia="Arial" w:hAnsi="Arial" w:cs="Arial"/>
          <w:color w:val="222222"/>
        </w:rPr>
        <w:t>Begier</w:t>
      </w:r>
      <w:proofErr w:type="spellEnd"/>
      <w:r w:rsidRPr="005E7F0B">
        <w:rPr>
          <w:rFonts w:ascii="Arial" w:eastAsia="Arial" w:hAnsi="Arial" w:cs="Arial"/>
          <w:color w:val="222222"/>
        </w:rPr>
        <w:t>, E., Garcia Gonzalez, M., Southern, J., Campling, J., Gray, S., Oliver, J., Gessner, B.D. and Finn, A., 2022. Incidence of acute lower respiratory tract disease hospitalisations, including pneumonia, among adults in Bristol, UK, 2019, estimated using both a prospective and retrospective methodology. </w:t>
      </w:r>
      <w:r w:rsidRPr="005E7F0B">
        <w:rPr>
          <w:rFonts w:ascii="Arial" w:eastAsia="Arial" w:hAnsi="Arial" w:cs="Arial"/>
          <w:i/>
          <w:iCs/>
          <w:color w:val="222222"/>
        </w:rPr>
        <w:t>BMJ open</w:t>
      </w:r>
      <w:r w:rsidRPr="005E7F0B">
        <w:rPr>
          <w:rFonts w:ascii="Arial" w:eastAsia="Arial" w:hAnsi="Arial" w:cs="Arial"/>
          <w:color w:val="222222"/>
        </w:rPr>
        <w:t>, </w:t>
      </w:r>
      <w:r w:rsidRPr="005E7F0B">
        <w:rPr>
          <w:rFonts w:ascii="Arial" w:eastAsia="Arial" w:hAnsi="Arial" w:cs="Arial"/>
          <w:i/>
          <w:iCs/>
          <w:color w:val="222222"/>
        </w:rPr>
        <w:t>12</w:t>
      </w:r>
      <w:r w:rsidRPr="005E7F0B">
        <w:rPr>
          <w:rFonts w:ascii="Arial" w:eastAsia="Arial" w:hAnsi="Arial" w:cs="Arial"/>
          <w:color w:val="222222"/>
        </w:rPr>
        <w:t>(6), p.e057464.</w:t>
      </w:r>
      <w:r w:rsidRPr="005E7F0B">
        <w:rPr>
          <w:rFonts w:ascii="Arial" w:eastAsia="Arial" w:hAnsi="Arial" w:cs="Arial"/>
        </w:rPr>
        <w:t xml:space="preserve"> Available at: </w:t>
      </w:r>
      <w:hyperlink r:id="rId20">
        <w:r w:rsidRPr="005E7F0B">
          <w:rPr>
            <w:rFonts w:ascii="Arial" w:eastAsia="Arial" w:hAnsi="Arial" w:cs="Arial"/>
            <w:color w:val="0000FF"/>
            <w:u w:val="single"/>
          </w:rPr>
          <w:t>https://www.thelancet.com/pdfs/journals/laninf/PIIS1473-3099(25)00546-8.pdf</w:t>
        </w:r>
      </w:hyperlink>
    </w:p>
    <w:p w14:paraId="70570931"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 xml:space="preserve">Johannesen, C.K., Van Wijhe, M., Tong, S., Fernández, L.V., Heikkinen, T., Van Boven, M., Wang, X., </w:t>
      </w:r>
      <w:proofErr w:type="spellStart"/>
      <w:r w:rsidRPr="005E7F0B">
        <w:rPr>
          <w:rFonts w:ascii="Arial" w:eastAsia="Arial" w:hAnsi="Arial" w:cs="Arial"/>
          <w:color w:val="222222"/>
        </w:rPr>
        <w:t>Bøås</w:t>
      </w:r>
      <w:proofErr w:type="spellEnd"/>
      <w:r w:rsidRPr="005E7F0B">
        <w:rPr>
          <w:rFonts w:ascii="Arial" w:eastAsia="Arial" w:hAnsi="Arial" w:cs="Arial"/>
          <w:color w:val="222222"/>
        </w:rPr>
        <w:t xml:space="preserve">, H., Li, Y., Campbell, H. and Paget, J., 2022. Age-specific estimates of respiratory syncytial virus-associated hospitalizations in 6 European countries: a time series analysis. </w:t>
      </w:r>
      <w:r w:rsidRPr="005E7F0B">
        <w:rPr>
          <w:rFonts w:ascii="Arial" w:eastAsia="Arial" w:hAnsi="Arial" w:cs="Arial"/>
          <w:i/>
          <w:iCs/>
          <w:color w:val="222222"/>
        </w:rPr>
        <w:t>The Journal of infectious diseases</w:t>
      </w:r>
      <w:r w:rsidRPr="005E7F0B">
        <w:rPr>
          <w:rFonts w:ascii="Arial" w:eastAsia="Arial" w:hAnsi="Arial" w:cs="Arial"/>
          <w:color w:val="222222"/>
        </w:rPr>
        <w:t xml:space="preserve">, </w:t>
      </w:r>
      <w:r w:rsidRPr="005E7F0B">
        <w:rPr>
          <w:rFonts w:ascii="Arial" w:eastAsia="Arial" w:hAnsi="Arial" w:cs="Arial"/>
          <w:i/>
          <w:iCs/>
          <w:color w:val="222222"/>
        </w:rPr>
        <w:t>226</w:t>
      </w:r>
      <w:r w:rsidRPr="005E7F0B">
        <w:rPr>
          <w:rFonts w:ascii="Arial" w:eastAsia="Arial" w:hAnsi="Arial" w:cs="Arial"/>
          <w:color w:val="222222"/>
        </w:rPr>
        <w:t xml:space="preserve">(Supplement_1), pp.S29-S37. </w:t>
      </w:r>
      <w:r w:rsidRPr="005E7F0B">
        <w:rPr>
          <w:rFonts w:ascii="Arial" w:eastAsia="Arial" w:hAnsi="Arial" w:cs="Arial"/>
        </w:rPr>
        <w:t xml:space="preserve">Available at: </w:t>
      </w:r>
      <w:r w:rsidRPr="005E7F0B">
        <w:rPr>
          <w:rFonts w:ascii="Arial" w:eastAsia="Arial" w:hAnsi="Arial" w:cs="Arial"/>
          <w:color w:val="222222"/>
        </w:rPr>
        <w:t xml:space="preserve"> </w:t>
      </w:r>
      <w:hyperlink r:id="rId21">
        <w:r w:rsidRPr="005E7F0B">
          <w:rPr>
            <w:rFonts w:ascii="Arial" w:eastAsia="Arial" w:hAnsi="Arial" w:cs="Arial"/>
            <w:color w:val="1155CC"/>
            <w:u w:val="single"/>
          </w:rPr>
          <w:t>https://academic.oup.com/jid/article-abstract/226/Supplement_1/S29/6617433</w:t>
        </w:r>
      </w:hyperlink>
      <w:r w:rsidRPr="005E7F0B">
        <w:rPr>
          <w:rFonts w:ascii="Arial" w:eastAsia="Arial" w:hAnsi="Arial" w:cs="Arial"/>
          <w:color w:val="222222"/>
        </w:rPr>
        <w:t xml:space="preserve"> </w:t>
      </w:r>
    </w:p>
    <w:p w14:paraId="56089D74"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 xml:space="preserve">Kenmoe, S. and Nair, H., 2024. The disease burden of respiratory syncytial virus in older adults. </w:t>
      </w:r>
      <w:r w:rsidRPr="005E7F0B">
        <w:rPr>
          <w:rFonts w:ascii="Arial" w:eastAsia="Arial" w:hAnsi="Arial" w:cs="Arial"/>
          <w:i/>
          <w:iCs/>
          <w:color w:val="222222"/>
        </w:rPr>
        <w:t>Current Opinion in Infectious Diseases</w:t>
      </w:r>
      <w:r w:rsidRPr="005E7F0B">
        <w:rPr>
          <w:rFonts w:ascii="Arial" w:eastAsia="Arial" w:hAnsi="Arial" w:cs="Arial"/>
          <w:color w:val="222222"/>
        </w:rPr>
        <w:t xml:space="preserve">, </w:t>
      </w:r>
      <w:r w:rsidRPr="005E7F0B">
        <w:rPr>
          <w:rFonts w:ascii="Arial" w:eastAsia="Arial" w:hAnsi="Arial" w:cs="Arial"/>
          <w:i/>
          <w:iCs/>
          <w:color w:val="222222"/>
        </w:rPr>
        <w:t>37</w:t>
      </w:r>
      <w:r w:rsidRPr="005E7F0B">
        <w:rPr>
          <w:rFonts w:ascii="Arial" w:eastAsia="Arial" w:hAnsi="Arial" w:cs="Arial"/>
          <w:color w:val="222222"/>
        </w:rPr>
        <w:t xml:space="preserve">(2), pp.129-136. </w:t>
      </w:r>
      <w:r w:rsidRPr="005E7F0B">
        <w:rPr>
          <w:rFonts w:ascii="Arial" w:eastAsia="Arial" w:hAnsi="Arial" w:cs="Arial"/>
        </w:rPr>
        <w:t xml:space="preserve">Available at: </w:t>
      </w:r>
      <w:hyperlink r:id="rId22">
        <w:r w:rsidRPr="005E7F0B">
          <w:rPr>
            <w:rFonts w:ascii="Arial" w:eastAsia="Arial" w:hAnsi="Arial" w:cs="Arial"/>
            <w:color w:val="1155CC"/>
            <w:u w:val="single"/>
          </w:rPr>
          <w:t>https://journals.lww.com/co-infectiousdiseases/fulltext/2024/04000/the_disease_burden_of_respiratory_syncytial_virus.9.aspx</w:t>
        </w:r>
      </w:hyperlink>
      <w:r w:rsidRPr="005E7F0B">
        <w:rPr>
          <w:rFonts w:ascii="Arial" w:eastAsia="Arial" w:hAnsi="Arial" w:cs="Arial"/>
          <w:color w:val="222222"/>
        </w:rPr>
        <w:t xml:space="preserve"> </w:t>
      </w:r>
    </w:p>
    <w:p w14:paraId="238D4056"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 xml:space="preserve">Kim, T. and Choi, S.H., 2024. Epidemiology and disease burden of respiratory syncytial virus infection in adults. </w:t>
      </w:r>
      <w:r w:rsidRPr="005E7F0B">
        <w:rPr>
          <w:rFonts w:ascii="Arial" w:eastAsia="Arial" w:hAnsi="Arial" w:cs="Arial"/>
          <w:i/>
          <w:iCs/>
          <w:color w:val="222222"/>
        </w:rPr>
        <w:t>Infection &amp; Chemotherapy</w:t>
      </w:r>
      <w:r w:rsidRPr="005E7F0B">
        <w:rPr>
          <w:rFonts w:ascii="Arial" w:eastAsia="Arial" w:hAnsi="Arial" w:cs="Arial"/>
          <w:color w:val="222222"/>
        </w:rPr>
        <w:t xml:space="preserve">, </w:t>
      </w:r>
      <w:r w:rsidRPr="005E7F0B">
        <w:rPr>
          <w:rFonts w:ascii="Arial" w:eastAsia="Arial" w:hAnsi="Arial" w:cs="Arial"/>
          <w:i/>
          <w:iCs/>
          <w:color w:val="222222"/>
        </w:rPr>
        <w:t>56</w:t>
      </w:r>
      <w:r w:rsidRPr="005E7F0B">
        <w:rPr>
          <w:rFonts w:ascii="Arial" w:eastAsia="Arial" w:hAnsi="Arial" w:cs="Arial"/>
          <w:color w:val="222222"/>
        </w:rPr>
        <w:t xml:space="preserve">(1), p.1. </w:t>
      </w:r>
      <w:r w:rsidRPr="005E7F0B">
        <w:rPr>
          <w:rFonts w:ascii="Arial" w:eastAsia="Arial" w:hAnsi="Arial" w:cs="Arial"/>
        </w:rPr>
        <w:t xml:space="preserve">Available at: </w:t>
      </w:r>
      <w:hyperlink r:id="rId23">
        <w:r w:rsidRPr="005E7F0B">
          <w:rPr>
            <w:rFonts w:ascii="Arial" w:eastAsia="Arial" w:hAnsi="Arial" w:cs="Arial"/>
            <w:color w:val="1155CC"/>
            <w:u w:val="single"/>
          </w:rPr>
          <w:t>https://pmc.ncbi.nlm.nih.gov/articles/PMC10990889/</w:t>
        </w:r>
      </w:hyperlink>
      <w:r w:rsidRPr="005E7F0B">
        <w:rPr>
          <w:rFonts w:ascii="Arial" w:eastAsia="Arial" w:hAnsi="Arial" w:cs="Arial"/>
          <w:color w:val="222222"/>
        </w:rPr>
        <w:t xml:space="preserve"> </w:t>
      </w:r>
    </w:p>
    <w:p w14:paraId="7CE9EADF"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Manlove, K., Wilber, M., White, L., Bastille</w:t>
      </w:r>
      <w:r w:rsidRPr="005E7F0B">
        <w:rPr>
          <w:rFonts w:ascii="Cambria Math" w:eastAsia="Arial" w:hAnsi="Cambria Math" w:cs="Cambria Math"/>
          <w:color w:val="222222"/>
        </w:rPr>
        <w:t>‐</w:t>
      </w:r>
      <w:r w:rsidRPr="005E7F0B">
        <w:rPr>
          <w:rFonts w:ascii="Arial" w:eastAsia="Arial" w:hAnsi="Arial" w:cs="Arial"/>
          <w:color w:val="222222"/>
        </w:rPr>
        <w:t>Rousseau, G., Yang, A., Gilbertson, M.L., Craft, M.E., Cross, P.C., Wittemyer, G. and Pepin, K.M., 2022. Defining an epidemiological landscape that connects movement ecology to pathogen transmission and pace</w:t>
      </w:r>
      <w:r w:rsidRPr="005E7F0B">
        <w:rPr>
          <w:rFonts w:ascii="Cambria Math" w:eastAsia="Arial" w:hAnsi="Cambria Math" w:cs="Cambria Math"/>
          <w:color w:val="222222"/>
        </w:rPr>
        <w:t>‐</w:t>
      </w:r>
      <w:r w:rsidRPr="005E7F0B">
        <w:rPr>
          <w:rFonts w:ascii="Arial" w:eastAsia="Arial" w:hAnsi="Arial" w:cs="Arial"/>
          <w:color w:val="222222"/>
        </w:rPr>
        <w:t>of</w:t>
      </w:r>
      <w:r w:rsidRPr="005E7F0B">
        <w:rPr>
          <w:rFonts w:ascii="Cambria Math" w:eastAsia="Arial" w:hAnsi="Cambria Math" w:cs="Cambria Math"/>
          <w:color w:val="222222"/>
        </w:rPr>
        <w:t>‐</w:t>
      </w:r>
      <w:r w:rsidRPr="005E7F0B">
        <w:rPr>
          <w:rFonts w:ascii="Arial" w:eastAsia="Arial" w:hAnsi="Arial" w:cs="Arial"/>
          <w:color w:val="222222"/>
        </w:rPr>
        <w:t xml:space="preserve">life. </w:t>
      </w:r>
      <w:r w:rsidRPr="005E7F0B">
        <w:rPr>
          <w:rFonts w:ascii="Arial" w:eastAsia="Arial" w:hAnsi="Arial" w:cs="Arial"/>
          <w:i/>
          <w:iCs/>
          <w:color w:val="222222"/>
        </w:rPr>
        <w:t>Ecology letters</w:t>
      </w:r>
      <w:r w:rsidRPr="005E7F0B">
        <w:rPr>
          <w:rFonts w:ascii="Arial" w:eastAsia="Arial" w:hAnsi="Arial" w:cs="Arial"/>
          <w:color w:val="222222"/>
        </w:rPr>
        <w:t xml:space="preserve">, </w:t>
      </w:r>
      <w:r w:rsidRPr="005E7F0B">
        <w:rPr>
          <w:rFonts w:ascii="Arial" w:eastAsia="Arial" w:hAnsi="Arial" w:cs="Arial"/>
          <w:i/>
          <w:iCs/>
          <w:color w:val="222222"/>
        </w:rPr>
        <w:t>25</w:t>
      </w:r>
      <w:r w:rsidRPr="005E7F0B">
        <w:rPr>
          <w:rFonts w:ascii="Arial" w:eastAsia="Arial" w:hAnsi="Arial" w:cs="Arial"/>
          <w:color w:val="222222"/>
        </w:rPr>
        <w:t xml:space="preserve">(8), pp.1760-1782. </w:t>
      </w:r>
      <w:r w:rsidRPr="005E7F0B">
        <w:rPr>
          <w:rFonts w:ascii="Arial" w:eastAsia="Arial" w:hAnsi="Arial" w:cs="Arial"/>
        </w:rPr>
        <w:t xml:space="preserve">Available at: </w:t>
      </w:r>
      <w:hyperlink r:id="rId24">
        <w:r w:rsidRPr="005E7F0B">
          <w:rPr>
            <w:rFonts w:ascii="Arial" w:eastAsia="Arial" w:hAnsi="Arial" w:cs="Arial"/>
            <w:color w:val="1155CC"/>
            <w:u w:val="single"/>
          </w:rPr>
          <w:t>https://onlinelibrary.wiley.com/doi/abs/10.1111/ele.14032</w:t>
        </w:r>
      </w:hyperlink>
      <w:r w:rsidRPr="005E7F0B">
        <w:rPr>
          <w:rFonts w:ascii="Arial" w:eastAsia="Arial" w:hAnsi="Arial" w:cs="Arial"/>
          <w:color w:val="222222"/>
        </w:rPr>
        <w:t xml:space="preserve"> </w:t>
      </w:r>
    </w:p>
    <w:p w14:paraId="34E45FBA"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McGeoch, L.J., Ross, S., Massa, M.S., Lewington, S. and Clarke, R., 2023. Cigarette smoking and risk of severe infectious respiratory diseases in UK adults: 12-year follow-up of UK biobank. </w:t>
      </w:r>
      <w:r w:rsidRPr="005E7F0B">
        <w:rPr>
          <w:rFonts w:ascii="Arial" w:eastAsia="Arial" w:hAnsi="Arial" w:cs="Arial"/>
          <w:i/>
          <w:iCs/>
          <w:color w:val="222222"/>
        </w:rPr>
        <w:t>Journal of Public Health</w:t>
      </w:r>
      <w:r w:rsidRPr="005E7F0B">
        <w:rPr>
          <w:rFonts w:ascii="Arial" w:eastAsia="Arial" w:hAnsi="Arial" w:cs="Arial"/>
          <w:color w:val="222222"/>
        </w:rPr>
        <w:t>, </w:t>
      </w:r>
      <w:r w:rsidRPr="005E7F0B">
        <w:rPr>
          <w:rFonts w:ascii="Arial" w:eastAsia="Arial" w:hAnsi="Arial" w:cs="Arial"/>
          <w:i/>
          <w:iCs/>
          <w:color w:val="222222"/>
        </w:rPr>
        <w:t>45</w:t>
      </w:r>
      <w:r w:rsidRPr="005E7F0B">
        <w:rPr>
          <w:rFonts w:ascii="Arial" w:eastAsia="Arial" w:hAnsi="Arial" w:cs="Arial"/>
          <w:color w:val="222222"/>
        </w:rPr>
        <w:t>(4), pp.e621-e629.</w:t>
      </w:r>
      <w:r w:rsidRPr="005E7F0B">
        <w:rPr>
          <w:rFonts w:ascii="Arial" w:eastAsia="Arial" w:hAnsi="Arial" w:cs="Arial"/>
        </w:rPr>
        <w:t xml:space="preserve"> Available at: </w:t>
      </w:r>
      <w:hyperlink r:id="rId25">
        <w:r w:rsidRPr="005E7F0B">
          <w:rPr>
            <w:rFonts w:ascii="Arial" w:eastAsia="Arial" w:hAnsi="Arial" w:cs="Arial"/>
            <w:color w:val="0000FF"/>
            <w:u w:val="single"/>
          </w:rPr>
          <w:t>https://academic.oup.com/jpubhealth/article-pdf/45/4/e621/53929309/fdad090.pdf</w:t>
        </w:r>
      </w:hyperlink>
    </w:p>
    <w:p w14:paraId="38394002" w14:textId="77777777" w:rsidR="006A7FED" w:rsidRPr="005E7F0B" w:rsidRDefault="006A7FED" w:rsidP="005E7F0B">
      <w:pPr>
        <w:spacing w:line="360" w:lineRule="auto"/>
        <w:jc w:val="both"/>
        <w:rPr>
          <w:rFonts w:ascii="Arial" w:eastAsia="Arial" w:hAnsi="Arial" w:cs="Arial"/>
        </w:rPr>
      </w:pPr>
      <w:r w:rsidRPr="005E7F0B">
        <w:rPr>
          <w:rFonts w:ascii="Arial" w:eastAsia="Arial" w:hAnsi="Arial" w:cs="Arial"/>
        </w:rPr>
        <w:t xml:space="preserve">mentalhealth.org.uk (2026). </w:t>
      </w:r>
      <w:r w:rsidRPr="005E7F0B">
        <w:rPr>
          <w:rFonts w:ascii="Arial" w:eastAsia="Arial" w:hAnsi="Arial" w:cs="Arial"/>
          <w:i/>
          <w:iCs/>
        </w:rPr>
        <w:t>Mental health problems affect both men and women</w:t>
      </w:r>
      <w:r w:rsidRPr="005E7F0B">
        <w:rPr>
          <w:rFonts w:ascii="Arial" w:eastAsia="Arial" w:hAnsi="Arial" w:cs="Arial"/>
        </w:rPr>
        <w:t xml:space="preserve">. Available at: </w:t>
      </w:r>
      <w:hyperlink r:id="rId26" w:anchor=":~:text=This%20content%20mentions%20sexual%20assault,case%20since%20the%20mid%2D1990s&amp;text=Three%20times%20as%20many%20men%20as%20women%20die%20by%20suicide.&amp;text=Men%20aged%2040%20to%2049,suicide%20rates%20in%20the%20UK">
        <w:r w:rsidRPr="005E7F0B">
          <w:rPr>
            <w:rFonts w:ascii="Arial" w:eastAsia="Arial" w:hAnsi="Arial" w:cs="Arial"/>
            <w:color w:val="0000FF"/>
            <w:u w:val="single"/>
          </w:rPr>
          <w:t>https://www.mentalhealth.org.uk/explore-mental-health/statistics/men-women-statistics#:~:text=This%20content%20mentions%20sexual%20assault,case%20since%20the%20mid%2D1990s&amp;text=Three%20times%20as%20many%20men%20as%20women%20die%2</w:t>
        </w:r>
        <w:r w:rsidRPr="005E7F0B">
          <w:rPr>
            <w:rFonts w:ascii="Arial" w:eastAsia="Arial" w:hAnsi="Arial" w:cs="Arial"/>
            <w:color w:val="0000FF"/>
            <w:u w:val="single"/>
          </w:rPr>
          <w:lastRenderedPageBreak/>
          <w:t>0by%20suicide.&amp;text=Men%20aged%2040%20to%2049,suicide%20rates%20in%20the%20UK</w:t>
        </w:r>
      </w:hyperlink>
      <w:r w:rsidRPr="005E7F0B">
        <w:rPr>
          <w:rFonts w:ascii="Arial" w:eastAsia="Arial" w:hAnsi="Arial" w:cs="Arial"/>
        </w:rPr>
        <w:t>. [Accessed on 29th April 2026].</w:t>
      </w:r>
    </w:p>
    <w:p w14:paraId="0759539D" w14:textId="77777777" w:rsidR="006A7FED" w:rsidRPr="005E7F0B" w:rsidRDefault="006A7FED" w:rsidP="005E7F0B">
      <w:pPr>
        <w:spacing w:line="360" w:lineRule="auto"/>
        <w:jc w:val="both"/>
        <w:rPr>
          <w:rFonts w:ascii="Arial" w:eastAsia="Arial" w:hAnsi="Arial" w:cs="Arial"/>
        </w:rPr>
      </w:pPr>
      <w:r w:rsidRPr="005E7F0B">
        <w:rPr>
          <w:rFonts w:ascii="Arial" w:eastAsia="Arial" w:hAnsi="Arial" w:cs="Arial"/>
          <w:color w:val="222222"/>
        </w:rPr>
        <w:t xml:space="preserve">Merrill, R.M., 2024. </w:t>
      </w:r>
      <w:r w:rsidRPr="005E7F0B">
        <w:rPr>
          <w:rFonts w:ascii="Arial" w:eastAsia="Arial" w:hAnsi="Arial" w:cs="Arial"/>
          <w:i/>
          <w:iCs/>
          <w:color w:val="222222"/>
        </w:rPr>
        <w:t>Introduction to epidemiology</w:t>
      </w:r>
      <w:r w:rsidRPr="005E7F0B">
        <w:rPr>
          <w:rFonts w:ascii="Arial" w:eastAsia="Arial" w:hAnsi="Arial" w:cs="Arial"/>
          <w:color w:val="222222"/>
        </w:rPr>
        <w:t>. Jones &amp; Bartlett Learning.</w:t>
      </w:r>
      <w:r w:rsidRPr="005E7F0B">
        <w:rPr>
          <w:rFonts w:ascii="Arial" w:eastAsia="Arial" w:hAnsi="Arial" w:cs="Arial"/>
        </w:rPr>
        <w:t xml:space="preserve"> Available at: </w:t>
      </w:r>
      <w:hyperlink r:id="rId27">
        <w:r w:rsidRPr="005E7F0B">
          <w:rPr>
            <w:rFonts w:ascii="Arial" w:eastAsia="Arial" w:hAnsi="Arial" w:cs="Arial"/>
            <w:color w:val="1155CC"/>
            <w:u w:val="single"/>
          </w:rPr>
          <w:t>https://books.google.com/books?hl=en&amp;lr=&amp;id=xWb7EAAAQBAJ&amp;oi=fnd&amp;pg=PP1&amp;dq=Strengths+and+weaknesses+of+epidemiological+approach&amp;ots=tzzn9eZJxB&amp;sig=TZD3o5wF-S1qWnFDKooyCTef6UA</w:t>
        </w:r>
      </w:hyperlink>
      <w:r w:rsidRPr="005E7F0B">
        <w:rPr>
          <w:rFonts w:ascii="Arial" w:eastAsia="Arial" w:hAnsi="Arial" w:cs="Arial"/>
        </w:rPr>
        <w:t xml:space="preserve"> </w:t>
      </w:r>
    </w:p>
    <w:p w14:paraId="08E95B12"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 xml:space="preserve">Osei-Yeboah, R., Johannesen, C.K., Egeskov-Cavling, A.M., Chen, J., Lehtonen, T., Fornes, A.U., Paget, J., Fischer, T.K., Wang, X., Nair, H. and Campbell, H., 2024. Respiratory syncytial virus–associated hospitalization in adults with comorbidities in 2 European countries: a </w:t>
      </w:r>
      <w:proofErr w:type="spellStart"/>
      <w:r w:rsidRPr="005E7F0B">
        <w:rPr>
          <w:rFonts w:ascii="Arial" w:eastAsia="Arial" w:hAnsi="Arial" w:cs="Arial"/>
          <w:color w:val="222222"/>
        </w:rPr>
        <w:t>modeling</w:t>
      </w:r>
      <w:proofErr w:type="spellEnd"/>
      <w:r w:rsidRPr="005E7F0B">
        <w:rPr>
          <w:rFonts w:ascii="Arial" w:eastAsia="Arial" w:hAnsi="Arial" w:cs="Arial"/>
          <w:color w:val="222222"/>
        </w:rPr>
        <w:t xml:space="preserve"> study. </w:t>
      </w:r>
      <w:r w:rsidRPr="005E7F0B">
        <w:rPr>
          <w:rFonts w:ascii="Arial" w:eastAsia="Arial" w:hAnsi="Arial" w:cs="Arial"/>
          <w:i/>
          <w:iCs/>
          <w:color w:val="222222"/>
        </w:rPr>
        <w:t>The Journal of infectious diseases</w:t>
      </w:r>
      <w:r w:rsidRPr="005E7F0B">
        <w:rPr>
          <w:rFonts w:ascii="Arial" w:eastAsia="Arial" w:hAnsi="Arial" w:cs="Arial"/>
          <w:color w:val="222222"/>
        </w:rPr>
        <w:t xml:space="preserve">, </w:t>
      </w:r>
      <w:r w:rsidRPr="005E7F0B">
        <w:rPr>
          <w:rFonts w:ascii="Arial" w:eastAsia="Arial" w:hAnsi="Arial" w:cs="Arial"/>
          <w:i/>
          <w:iCs/>
          <w:color w:val="222222"/>
        </w:rPr>
        <w:t>229</w:t>
      </w:r>
      <w:r w:rsidRPr="005E7F0B">
        <w:rPr>
          <w:rFonts w:ascii="Arial" w:eastAsia="Arial" w:hAnsi="Arial" w:cs="Arial"/>
          <w:color w:val="222222"/>
        </w:rPr>
        <w:t xml:space="preserve">(Supplement_1), pp.S70-S77. </w:t>
      </w:r>
      <w:r w:rsidRPr="005E7F0B">
        <w:rPr>
          <w:rFonts w:ascii="Arial" w:eastAsia="Arial" w:hAnsi="Arial" w:cs="Arial"/>
        </w:rPr>
        <w:t xml:space="preserve">Available at:  </w:t>
      </w:r>
      <w:hyperlink r:id="rId28">
        <w:r w:rsidRPr="005E7F0B">
          <w:rPr>
            <w:rFonts w:ascii="Arial" w:eastAsia="Arial" w:hAnsi="Arial" w:cs="Arial"/>
            <w:color w:val="1155CC"/>
            <w:u w:val="single"/>
          </w:rPr>
          <w:t>https://academic.oup.com/jid/article-abstract/229/Supplement_1/S70/7424350</w:t>
        </w:r>
      </w:hyperlink>
    </w:p>
    <w:p w14:paraId="7B577B61"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 xml:space="preserve">Osei-Yeboah, R., </w:t>
      </w:r>
      <w:proofErr w:type="spellStart"/>
      <w:r w:rsidRPr="005E7F0B">
        <w:rPr>
          <w:rFonts w:ascii="Arial" w:eastAsia="Arial" w:hAnsi="Arial" w:cs="Arial"/>
          <w:color w:val="222222"/>
        </w:rPr>
        <w:t>Spreeuwenberg</w:t>
      </w:r>
      <w:proofErr w:type="spellEnd"/>
      <w:r w:rsidRPr="005E7F0B">
        <w:rPr>
          <w:rFonts w:ascii="Arial" w:eastAsia="Arial" w:hAnsi="Arial" w:cs="Arial"/>
          <w:color w:val="222222"/>
        </w:rPr>
        <w:t xml:space="preserve">, P., Del Riccio, M., Fischer, T.K., Egeskov-Cavling, A.M., </w:t>
      </w:r>
      <w:proofErr w:type="spellStart"/>
      <w:r w:rsidRPr="005E7F0B">
        <w:rPr>
          <w:rFonts w:ascii="Arial" w:eastAsia="Arial" w:hAnsi="Arial" w:cs="Arial"/>
          <w:color w:val="222222"/>
        </w:rPr>
        <w:t>Bøås</w:t>
      </w:r>
      <w:proofErr w:type="spellEnd"/>
      <w:r w:rsidRPr="005E7F0B">
        <w:rPr>
          <w:rFonts w:ascii="Arial" w:eastAsia="Arial" w:hAnsi="Arial" w:cs="Arial"/>
          <w:color w:val="222222"/>
        </w:rPr>
        <w:t xml:space="preserve">, H., Van Boven, M., Wang, X., Lehtonen, T., Bangert, M. and Campbell, H., 2023. Estimation of the number of respiratory syncytial virus–associated hospitalizations in adults in the European Union. </w:t>
      </w:r>
      <w:r w:rsidRPr="005E7F0B">
        <w:rPr>
          <w:rFonts w:ascii="Arial" w:eastAsia="Arial" w:hAnsi="Arial" w:cs="Arial"/>
          <w:i/>
          <w:iCs/>
          <w:color w:val="222222"/>
        </w:rPr>
        <w:t>The Journal of infectious diseases</w:t>
      </w:r>
      <w:r w:rsidRPr="005E7F0B">
        <w:rPr>
          <w:rFonts w:ascii="Arial" w:eastAsia="Arial" w:hAnsi="Arial" w:cs="Arial"/>
          <w:color w:val="222222"/>
        </w:rPr>
        <w:t xml:space="preserve">, </w:t>
      </w:r>
      <w:r w:rsidRPr="005E7F0B">
        <w:rPr>
          <w:rFonts w:ascii="Arial" w:eastAsia="Arial" w:hAnsi="Arial" w:cs="Arial"/>
          <w:i/>
          <w:iCs/>
          <w:color w:val="222222"/>
        </w:rPr>
        <w:t>228</w:t>
      </w:r>
      <w:r w:rsidRPr="005E7F0B">
        <w:rPr>
          <w:rFonts w:ascii="Arial" w:eastAsia="Arial" w:hAnsi="Arial" w:cs="Arial"/>
          <w:color w:val="222222"/>
        </w:rPr>
        <w:t xml:space="preserve">(11), pp.1539-1548. </w:t>
      </w:r>
      <w:r w:rsidRPr="005E7F0B">
        <w:rPr>
          <w:rFonts w:ascii="Arial" w:eastAsia="Arial" w:hAnsi="Arial" w:cs="Arial"/>
        </w:rPr>
        <w:t xml:space="preserve">Available at: </w:t>
      </w:r>
      <w:hyperlink r:id="rId29">
        <w:r w:rsidRPr="005E7F0B">
          <w:rPr>
            <w:rFonts w:ascii="Arial" w:eastAsia="Arial" w:hAnsi="Arial" w:cs="Arial"/>
            <w:color w:val="1155CC"/>
            <w:u w:val="single"/>
          </w:rPr>
          <w:t>https://academic.oup.com/jid/article-abstract/228/11/1539/7184171</w:t>
        </w:r>
      </w:hyperlink>
      <w:r w:rsidRPr="005E7F0B">
        <w:rPr>
          <w:rFonts w:ascii="Arial" w:eastAsia="Arial" w:hAnsi="Arial" w:cs="Arial"/>
          <w:color w:val="222222"/>
        </w:rPr>
        <w:t xml:space="preserve"> </w:t>
      </w:r>
    </w:p>
    <w:p w14:paraId="66254121" w14:textId="77777777" w:rsidR="006A7FED" w:rsidRPr="005E7F0B" w:rsidRDefault="006A7FED" w:rsidP="005E7F0B">
      <w:pPr>
        <w:spacing w:line="360" w:lineRule="auto"/>
        <w:jc w:val="both"/>
        <w:rPr>
          <w:rFonts w:ascii="Arial" w:eastAsia="Arial" w:hAnsi="Arial" w:cs="Arial"/>
          <w:color w:val="222222"/>
        </w:rPr>
      </w:pPr>
      <w:proofErr w:type="spellStart"/>
      <w:r w:rsidRPr="005E7F0B">
        <w:rPr>
          <w:rFonts w:ascii="Arial" w:eastAsia="Arial" w:hAnsi="Arial" w:cs="Arial"/>
          <w:color w:val="222222"/>
        </w:rPr>
        <w:t>Panatto</w:t>
      </w:r>
      <w:proofErr w:type="spellEnd"/>
      <w:r w:rsidRPr="005E7F0B">
        <w:rPr>
          <w:rFonts w:ascii="Arial" w:eastAsia="Arial" w:hAnsi="Arial" w:cs="Arial"/>
          <w:color w:val="222222"/>
        </w:rPr>
        <w:t xml:space="preserve">, D., </w:t>
      </w:r>
      <w:proofErr w:type="spellStart"/>
      <w:r w:rsidRPr="005E7F0B">
        <w:rPr>
          <w:rFonts w:ascii="Arial" w:eastAsia="Arial" w:hAnsi="Arial" w:cs="Arial"/>
          <w:color w:val="222222"/>
        </w:rPr>
        <w:t>Domnich</w:t>
      </w:r>
      <w:proofErr w:type="spellEnd"/>
      <w:r w:rsidRPr="005E7F0B">
        <w:rPr>
          <w:rFonts w:ascii="Arial" w:eastAsia="Arial" w:hAnsi="Arial" w:cs="Arial"/>
          <w:color w:val="222222"/>
        </w:rPr>
        <w:t xml:space="preserve">, A., Lai, P.L., </w:t>
      </w:r>
      <w:proofErr w:type="spellStart"/>
      <w:r w:rsidRPr="005E7F0B">
        <w:rPr>
          <w:rFonts w:ascii="Arial" w:eastAsia="Arial" w:hAnsi="Arial" w:cs="Arial"/>
          <w:color w:val="222222"/>
        </w:rPr>
        <w:t>Ogliastro</w:t>
      </w:r>
      <w:proofErr w:type="spellEnd"/>
      <w:r w:rsidRPr="005E7F0B">
        <w:rPr>
          <w:rFonts w:ascii="Arial" w:eastAsia="Arial" w:hAnsi="Arial" w:cs="Arial"/>
          <w:color w:val="222222"/>
        </w:rPr>
        <w:t xml:space="preserve">, M., Bruzzone, B., Galli, C., Stefanelli, F., Pariani, E., Orsi, A. and Icardi, G., 2023. Epidemiology and molecular characteristics of respiratory syncytial virus (RSV) among </w:t>
      </w:r>
      <w:proofErr w:type="spellStart"/>
      <w:r w:rsidRPr="005E7F0B">
        <w:rPr>
          <w:rFonts w:ascii="Arial" w:eastAsia="Arial" w:hAnsi="Arial" w:cs="Arial"/>
          <w:color w:val="222222"/>
        </w:rPr>
        <w:t>italian</w:t>
      </w:r>
      <w:proofErr w:type="spellEnd"/>
      <w:r w:rsidRPr="005E7F0B">
        <w:rPr>
          <w:rFonts w:ascii="Arial" w:eastAsia="Arial" w:hAnsi="Arial" w:cs="Arial"/>
          <w:color w:val="222222"/>
        </w:rPr>
        <w:t xml:space="preserve"> community-dwelling adults, 2021/22 season. </w:t>
      </w:r>
      <w:r w:rsidRPr="005E7F0B">
        <w:rPr>
          <w:rFonts w:ascii="Arial" w:eastAsia="Arial" w:hAnsi="Arial" w:cs="Arial"/>
          <w:i/>
          <w:iCs/>
          <w:color w:val="222222"/>
        </w:rPr>
        <w:t>BMC Infectious Diseases</w:t>
      </w:r>
      <w:r w:rsidRPr="005E7F0B">
        <w:rPr>
          <w:rFonts w:ascii="Arial" w:eastAsia="Arial" w:hAnsi="Arial" w:cs="Arial"/>
          <w:color w:val="222222"/>
        </w:rPr>
        <w:t xml:space="preserve">, </w:t>
      </w:r>
      <w:r w:rsidRPr="005E7F0B">
        <w:rPr>
          <w:rFonts w:ascii="Arial" w:eastAsia="Arial" w:hAnsi="Arial" w:cs="Arial"/>
          <w:i/>
          <w:iCs/>
          <w:color w:val="222222"/>
        </w:rPr>
        <w:t>23</w:t>
      </w:r>
      <w:r w:rsidRPr="005E7F0B">
        <w:rPr>
          <w:rFonts w:ascii="Arial" w:eastAsia="Arial" w:hAnsi="Arial" w:cs="Arial"/>
          <w:color w:val="222222"/>
        </w:rPr>
        <w:t xml:space="preserve">(1), p.134. </w:t>
      </w:r>
      <w:r w:rsidRPr="005E7F0B">
        <w:rPr>
          <w:rFonts w:ascii="Arial" w:eastAsia="Arial" w:hAnsi="Arial" w:cs="Arial"/>
        </w:rPr>
        <w:t xml:space="preserve">Available at: </w:t>
      </w:r>
      <w:hyperlink r:id="rId30">
        <w:r w:rsidRPr="005E7F0B">
          <w:rPr>
            <w:rFonts w:ascii="Arial" w:eastAsia="Arial" w:hAnsi="Arial" w:cs="Arial"/>
            <w:color w:val="1155CC"/>
            <w:u w:val="single"/>
          </w:rPr>
          <w:t>https://link.springer.com/article/10.1186/s12879-023-08100-7</w:t>
        </w:r>
      </w:hyperlink>
      <w:r w:rsidRPr="005E7F0B">
        <w:rPr>
          <w:rFonts w:ascii="Arial" w:eastAsia="Arial" w:hAnsi="Arial" w:cs="Arial"/>
          <w:color w:val="222222"/>
        </w:rPr>
        <w:t xml:space="preserve"> </w:t>
      </w:r>
    </w:p>
    <w:p w14:paraId="3E4089CC" w14:textId="77777777" w:rsidR="006A7FED" w:rsidRPr="005E7F0B" w:rsidRDefault="006A7FED" w:rsidP="005E7F0B">
      <w:pPr>
        <w:spacing w:line="360" w:lineRule="auto"/>
        <w:jc w:val="both"/>
        <w:rPr>
          <w:rFonts w:ascii="Arial" w:eastAsia="Arial" w:hAnsi="Arial" w:cs="Arial"/>
        </w:rPr>
      </w:pPr>
      <w:r w:rsidRPr="005E7F0B">
        <w:rPr>
          <w:rFonts w:ascii="Arial" w:eastAsia="Arial" w:hAnsi="Arial" w:cs="Arial"/>
        </w:rPr>
        <w:t xml:space="preserve">parliament.uk, 2024. </w:t>
      </w:r>
      <w:r w:rsidRPr="005E7F0B">
        <w:rPr>
          <w:rFonts w:ascii="Arial" w:eastAsia="Arial" w:hAnsi="Arial" w:cs="Arial"/>
          <w:i/>
          <w:iCs/>
        </w:rPr>
        <w:t>Inequalities in healthcare and employment for people.</w:t>
      </w:r>
      <w:r w:rsidRPr="005E7F0B">
        <w:rPr>
          <w:rFonts w:ascii="Arial" w:eastAsia="Arial" w:hAnsi="Arial" w:cs="Arial"/>
        </w:rPr>
        <w:t xml:space="preserve"> Available at: </w:t>
      </w:r>
      <w:hyperlink r:id="rId31">
        <w:r w:rsidRPr="005E7F0B">
          <w:rPr>
            <w:rFonts w:ascii="Arial" w:eastAsia="Arial" w:hAnsi="Arial" w:cs="Arial"/>
            <w:color w:val="1155CC"/>
            <w:u w:val="single"/>
          </w:rPr>
          <w:t>https://publications.parliament.uk/pa/cm5804/cmselect/cmwomeq/134/report.html</w:t>
        </w:r>
      </w:hyperlink>
      <w:r w:rsidRPr="005E7F0B">
        <w:rPr>
          <w:rFonts w:ascii="Arial" w:eastAsia="Arial" w:hAnsi="Arial" w:cs="Arial"/>
        </w:rPr>
        <w:t xml:space="preserve"> [Accessed on 1st May 2026].</w:t>
      </w:r>
    </w:p>
    <w:p w14:paraId="4CF325C9"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 xml:space="preserve">Rozenbaum, M.H., </w:t>
      </w:r>
      <w:proofErr w:type="spellStart"/>
      <w:r w:rsidRPr="005E7F0B">
        <w:rPr>
          <w:rFonts w:ascii="Arial" w:eastAsia="Arial" w:hAnsi="Arial" w:cs="Arial"/>
          <w:color w:val="222222"/>
        </w:rPr>
        <w:t>Begier</w:t>
      </w:r>
      <w:proofErr w:type="spellEnd"/>
      <w:r w:rsidRPr="005E7F0B">
        <w:rPr>
          <w:rFonts w:ascii="Arial" w:eastAsia="Arial" w:hAnsi="Arial" w:cs="Arial"/>
          <w:color w:val="222222"/>
        </w:rPr>
        <w:t xml:space="preserve">, E., Kurosky, S.K., Whelan, J., Bem, D., </w:t>
      </w:r>
      <w:proofErr w:type="spellStart"/>
      <w:r w:rsidRPr="005E7F0B">
        <w:rPr>
          <w:rFonts w:ascii="Arial" w:eastAsia="Arial" w:hAnsi="Arial" w:cs="Arial"/>
          <w:color w:val="222222"/>
        </w:rPr>
        <w:t>Pouwels</w:t>
      </w:r>
      <w:proofErr w:type="spellEnd"/>
      <w:r w:rsidRPr="005E7F0B">
        <w:rPr>
          <w:rFonts w:ascii="Arial" w:eastAsia="Arial" w:hAnsi="Arial" w:cs="Arial"/>
          <w:color w:val="222222"/>
        </w:rPr>
        <w:t xml:space="preserve">, K.B., Postma, M. and Bont, L., 2023. Incidence of respiratory syncytial virus infection in older adults: limitations of current data. </w:t>
      </w:r>
      <w:r w:rsidRPr="005E7F0B">
        <w:rPr>
          <w:rFonts w:ascii="Arial" w:eastAsia="Arial" w:hAnsi="Arial" w:cs="Arial"/>
          <w:i/>
          <w:iCs/>
          <w:color w:val="222222"/>
        </w:rPr>
        <w:t>Infectious diseases and therapy</w:t>
      </w:r>
      <w:r w:rsidRPr="005E7F0B">
        <w:rPr>
          <w:rFonts w:ascii="Arial" w:eastAsia="Arial" w:hAnsi="Arial" w:cs="Arial"/>
          <w:color w:val="222222"/>
        </w:rPr>
        <w:t xml:space="preserve">, </w:t>
      </w:r>
      <w:r w:rsidRPr="005E7F0B">
        <w:rPr>
          <w:rFonts w:ascii="Arial" w:eastAsia="Arial" w:hAnsi="Arial" w:cs="Arial"/>
          <w:i/>
          <w:iCs/>
          <w:color w:val="222222"/>
        </w:rPr>
        <w:t>12</w:t>
      </w:r>
      <w:r w:rsidRPr="005E7F0B">
        <w:rPr>
          <w:rFonts w:ascii="Arial" w:eastAsia="Arial" w:hAnsi="Arial" w:cs="Arial"/>
          <w:color w:val="222222"/>
        </w:rPr>
        <w:t xml:space="preserve">(6), pp.1487-1504. </w:t>
      </w:r>
      <w:r w:rsidRPr="005E7F0B">
        <w:rPr>
          <w:rFonts w:ascii="Arial" w:eastAsia="Arial" w:hAnsi="Arial" w:cs="Arial"/>
        </w:rPr>
        <w:t xml:space="preserve">Available at: </w:t>
      </w:r>
      <w:hyperlink r:id="rId32">
        <w:r w:rsidRPr="005E7F0B">
          <w:rPr>
            <w:rFonts w:ascii="Arial" w:eastAsia="Arial" w:hAnsi="Arial" w:cs="Arial"/>
            <w:color w:val="1155CC"/>
            <w:u w:val="single"/>
          </w:rPr>
          <w:t>https://link.springer.com/article/10.1007/s40121-023-00802-4</w:t>
        </w:r>
      </w:hyperlink>
      <w:r w:rsidRPr="005E7F0B">
        <w:rPr>
          <w:rFonts w:ascii="Arial" w:eastAsia="Arial" w:hAnsi="Arial" w:cs="Arial"/>
          <w:color w:val="222222"/>
        </w:rPr>
        <w:t xml:space="preserve"> </w:t>
      </w:r>
    </w:p>
    <w:p w14:paraId="26FD5F38"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 xml:space="preserve">Savic, M., Penders, Y., Shi, T., Branche, A. and </w:t>
      </w:r>
      <w:proofErr w:type="spellStart"/>
      <w:r w:rsidRPr="005E7F0B">
        <w:rPr>
          <w:rFonts w:ascii="Arial" w:eastAsia="Arial" w:hAnsi="Arial" w:cs="Arial"/>
          <w:color w:val="222222"/>
        </w:rPr>
        <w:t>Pirçon</w:t>
      </w:r>
      <w:proofErr w:type="spellEnd"/>
      <w:r w:rsidRPr="005E7F0B">
        <w:rPr>
          <w:rFonts w:ascii="Arial" w:eastAsia="Arial" w:hAnsi="Arial" w:cs="Arial"/>
          <w:color w:val="222222"/>
        </w:rPr>
        <w:t>, J.Y., 2023. Respiratory syncytial virus disease burden in adults aged 60 years and older in high</w:t>
      </w:r>
      <w:r w:rsidRPr="005E7F0B">
        <w:rPr>
          <w:rFonts w:ascii="Cambria Math" w:eastAsia="Arial" w:hAnsi="Cambria Math" w:cs="Cambria Math"/>
          <w:color w:val="222222"/>
        </w:rPr>
        <w:t>‐</w:t>
      </w:r>
      <w:r w:rsidRPr="005E7F0B">
        <w:rPr>
          <w:rFonts w:ascii="Arial" w:eastAsia="Arial" w:hAnsi="Arial" w:cs="Arial"/>
          <w:color w:val="222222"/>
        </w:rPr>
        <w:t xml:space="preserve">income countries: a systematic literature </w:t>
      </w:r>
      <w:r w:rsidRPr="005E7F0B">
        <w:rPr>
          <w:rFonts w:ascii="Arial" w:eastAsia="Arial" w:hAnsi="Arial" w:cs="Arial"/>
          <w:color w:val="222222"/>
        </w:rPr>
        <w:lastRenderedPageBreak/>
        <w:t>review and meta</w:t>
      </w:r>
      <w:r w:rsidRPr="005E7F0B">
        <w:rPr>
          <w:rFonts w:ascii="Cambria Math" w:eastAsia="Arial" w:hAnsi="Cambria Math" w:cs="Cambria Math"/>
          <w:color w:val="222222"/>
        </w:rPr>
        <w:t>‐</w:t>
      </w:r>
      <w:r w:rsidRPr="005E7F0B">
        <w:rPr>
          <w:rFonts w:ascii="Arial" w:eastAsia="Arial" w:hAnsi="Arial" w:cs="Arial"/>
          <w:color w:val="222222"/>
        </w:rPr>
        <w:t>analysis. </w:t>
      </w:r>
      <w:r w:rsidRPr="005E7F0B">
        <w:rPr>
          <w:rFonts w:ascii="Arial" w:eastAsia="Arial" w:hAnsi="Arial" w:cs="Arial"/>
          <w:i/>
          <w:iCs/>
          <w:color w:val="222222"/>
        </w:rPr>
        <w:t>Influenza and other respiratory viruses</w:t>
      </w:r>
      <w:r w:rsidRPr="005E7F0B">
        <w:rPr>
          <w:rFonts w:ascii="Arial" w:eastAsia="Arial" w:hAnsi="Arial" w:cs="Arial"/>
          <w:color w:val="222222"/>
        </w:rPr>
        <w:t>, </w:t>
      </w:r>
      <w:r w:rsidRPr="005E7F0B">
        <w:rPr>
          <w:rFonts w:ascii="Arial" w:eastAsia="Arial" w:hAnsi="Arial" w:cs="Arial"/>
          <w:i/>
          <w:iCs/>
          <w:color w:val="222222"/>
        </w:rPr>
        <w:t>17</w:t>
      </w:r>
      <w:r w:rsidRPr="005E7F0B">
        <w:rPr>
          <w:rFonts w:ascii="Arial" w:eastAsia="Arial" w:hAnsi="Arial" w:cs="Arial"/>
          <w:color w:val="222222"/>
        </w:rPr>
        <w:t>(1), p.e13031.</w:t>
      </w:r>
      <w:r w:rsidRPr="005E7F0B">
        <w:rPr>
          <w:rFonts w:ascii="Arial" w:eastAsia="Arial" w:hAnsi="Arial" w:cs="Arial"/>
        </w:rPr>
        <w:t xml:space="preserve"> Available at: </w:t>
      </w:r>
      <w:hyperlink r:id="rId33">
        <w:r w:rsidRPr="005E7F0B">
          <w:rPr>
            <w:rFonts w:ascii="Arial" w:eastAsia="Arial" w:hAnsi="Arial" w:cs="Arial"/>
            <w:color w:val="0000FF"/>
            <w:u w:val="single"/>
          </w:rPr>
          <w:t>https://onlinelibrary.wiley.com/doi/pdfdirect/10.1111/irv.13031?utm_source=consensus</w:t>
        </w:r>
      </w:hyperlink>
    </w:p>
    <w:p w14:paraId="613AC0F5"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 xml:space="preserve">Savic, M., Penders, Y., Shi, T., Branche, A. and </w:t>
      </w:r>
      <w:proofErr w:type="spellStart"/>
      <w:r w:rsidRPr="005E7F0B">
        <w:rPr>
          <w:rFonts w:ascii="Arial" w:eastAsia="Arial" w:hAnsi="Arial" w:cs="Arial"/>
          <w:color w:val="222222"/>
        </w:rPr>
        <w:t>Pirçon</w:t>
      </w:r>
      <w:proofErr w:type="spellEnd"/>
      <w:r w:rsidRPr="005E7F0B">
        <w:rPr>
          <w:rFonts w:ascii="Arial" w:eastAsia="Arial" w:hAnsi="Arial" w:cs="Arial"/>
          <w:color w:val="222222"/>
        </w:rPr>
        <w:t>, J.Y., 2023. Respiratory syncytial virus disease burden in adults aged 60 years and older in high</w:t>
      </w:r>
      <w:r w:rsidRPr="005E7F0B">
        <w:rPr>
          <w:rFonts w:ascii="Cambria Math" w:eastAsia="Arial" w:hAnsi="Cambria Math" w:cs="Cambria Math"/>
          <w:color w:val="222222"/>
        </w:rPr>
        <w:t>‐</w:t>
      </w:r>
      <w:r w:rsidRPr="005E7F0B">
        <w:rPr>
          <w:rFonts w:ascii="Arial" w:eastAsia="Arial" w:hAnsi="Arial" w:cs="Arial"/>
          <w:color w:val="222222"/>
        </w:rPr>
        <w:t>income countries: a systematic literature review and meta</w:t>
      </w:r>
      <w:r w:rsidRPr="005E7F0B">
        <w:rPr>
          <w:rFonts w:ascii="Cambria Math" w:eastAsia="Arial" w:hAnsi="Cambria Math" w:cs="Cambria Math"/>
          <w:color w:val="222222"/>
        </w:rPr>
        <w:t>‐</w:t>
      </w:r>
      <w:r w:rsidRPr="005E7F0B">
        <w:rPr>
          <w:rFonts w:ascii="Arial" w:eastAsia="Arial" w:hAnsi="Arial" w:cs="Arial"/>
          <w:color w:val="222222"/>
        </w:rPr>
        <w:t xml:space="preserve">analysis. </w:t>
      </w:r>
      <w:r w:rsidRPr="005E7F0B">
        <w:rPr>
          <w:rFonts w:ascii="Arial" w:eastAsia="Arial" w:hAnsi="Arial" w:cs="Arial"/>
          <w:i/>
          <w:iCs/>
          <w:color w:val="222222"/>
        </w:rPr>
        <w:t>Influenza and other respiratory viruses</w:t>
      </w:r>
      <w:r w:rsidRPr="005E7F0B">
        <w:rPr>
          <w:rFonts w:ascii="Arial" w:eastAsia="Arial" w:hAnsi="Arial" w:cs="Arial"/>
          <w:color w:val="222222"/>
        </w:rPr>
        <w:t xml:space="preserve">, </w:t>
      </w:r>
      <w:r w:rsidRPr="005E7F0B">
        <w:rPr>
          <w:rFonts w:ascii="Arial" w:eastAsia="Arial" w:hAnsi="Arial" w:cs="Arial"/>
          <w:i/>
          <w:iCs/>
          <w:color w:val="222222"/>
        </w:rPr>
        <w:t>17</w:t>
      </w:r>
      <w:r w:rsidRPr="005E7F0B">
        <w:rPr>
          <w:rFonts w:ascii="Arial" w:eastAsia="Arial" w:hAnsi="Arial" w:cs="Arial"/>
          <w:color w:val="222222"/>
        </w:rPr>
        <w:t xml:space="preserve">(1), p.e13031. </w:t>
      </w:r>
      <w:r w:rsidRPr="005E7F0B">
        <w:rPr>
          <w:rFonts w:ascii="Arial" w:eastAsia="Arial" w:hAnsi="Arial" w:cs="Arial"/>
        </w:rPr>
        <w:t xml:space="preserve">Available at: </w:t>
      </w:r>
      <w:hyperlink r:id="rId34">
        <w:r w:rsidRPr="005E7F0B">
          <w:rPr>
            <w:rFonts w:ascii="Arial" w:eastAsia="Arial" w:hAnsi="Arial" w:cs="Arial"/>
            <w:color w:val="1155CC"/>
            <w:u w:val="single"/>
          </w:rPr>
          <w:t>https://onlinelibrary.wiley.com/doi/abs/10.1111/irv.13031</w:t>
        </w:r>
      </w:hyperlink>
      <w:r w:rsidRPr="005E7F0B">
        <w:rPr>
          <w:rFonts w:ascii="Arial" w:eastAsia="Arial" w:hAnsi="Arial" w:cs="Arial"/>
          <w:color w:val="222222"/>
        </w:rPr>
        <w:t xml:space="preserve"> </w:t>
      </w:r>
    </w:p>
    <w:p w14:paraId="26095A23"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 xml:space="preserve">Sharp, A., </w:t>
      </w:r>
      <w:proofErr w:type="spellStart"/>
      <w:r w:rsidRPr="005E7F0B">
        <w:rPr>
          <w:rFonts w:ascii="Arial" w:eastAsia="Arial" w:hAnsi="Arial" w:cs="Arial"/>
          <w:color w:val="222222"/>
        </w:rPr>
        <w:t>Minaji</w:t>
      </w:r>
      <w:proofErr w:type="spellEnd"/>
      <w:r w:rsidRPr="005E7F0B">
        <w:rPr>
          <w:rFonts w:ascii="Arial" w:eastAsia="Arial" w:hAnsi="Arial" w:cs="Arial"/>
          <w:color w:val="222222"/>
        </w:rPr>
        <w:t>, M., Panagiotopoulos, N., Reeves, R., Charlett, A. and Pebody, R., 2022. Estimating the burden of adult hospital admissions due to RSV and other respiratory pathogens in England. </w:t>
      </w:r>
      <w:r w:rsidRPr="005E7F0B">
        <w:rPr>
          <w:rFonts w:ascii="Arial" w:eastAsia="Arial" w:hAnsi="Arial" w:cs="Arial"/>
          <w:i/>
          <w:iCs/>
          <w:color w:val="222222"/>
        </w:rPr>
        <w:t>Influenza and other respiratory viruses</w:t>
      </w:r>
      <w:r w:rsidRPr="005E7F0B">
        <w:rPr>
          <w:rFonts w:ascii="Arial" w:eastAsia="Arial" w:hAnsi="Arial" w:cs="Arial"/>
          <w:color w:val="222222"/>
        </w:rPr>
        <w:t>, </w:t>
      </w:r>
      <w:r w:rsidRPr="005E7F0B">
        <w:rPr>
          <w:rFonts w:ascii="Arial" w:eastAsia="Arial" w:hAnsi="Arial" w:cs="Arial"/>
          <w:i/>
          <w:iCs/>
          <w:color w:val="222222"/>
        </w:rPr>
        <w:t>16</w:t>
      </w:r>
      <w:r w:rsidRPr="005E7F0B">
        <w:rPr>
          <w:rFonts w:ascii="Arial" w:eastAsia="Arial" w:hAnsi="Arial" w:cs="Arial"/>
          <w:color w:val="222222"/>
        </w:rPr>
        <w:t>(1), pp.125-131.</w:t>
      </w:r>
      <w:r w:rsidRPr="005E7F0B">
        <w:rPr>
          <w:rFonts w:ascii="Arial" w:eastAsia="Arial" w:hAnsi="Arial" w:cs="Arial"/>
        </w:rPr>
        <w:t xml:space="preserve"> Available at: </w:t>
      </w:r>
      <w:hyperlink r:id="rId35">
        <w:r w:rsidRPr="005E7F0B">
          <w:rPr>
            <w:rFonts w:ascii="Arial" w:eastAsia="Arial" w:hAnsi="Arial" w:cs="Arial"/>
            <w:color w:val="0000FF"/>
            <w:u w:val="single"/>
          </w:rPr>
          <w:t>https://onlinelibrary.wiley.com/doi/pdfdirect/10.1111/irv.12910</w:t>
        </w:r>
      </w:hyperlink>
    </w:p>
    <w:p w14:paraId="4FD3B01B"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Shi, T., Vennard, S., Jasiewicz, F., Brogden, R. and Nair, H., 2022. Disease burden estimates of respiratory syncytial virus related acute respiratory infections in adults with comorbidity: a systematic review and meta-analysis. </w:t>
      </w:r>
      <w:r w:rsidRPr="005E7F0B">
        <w:rPr>
          <w:rFonts w:ascii="Arial" w:eastAsia="Arial" w:hAnsi="Arial" w:cs="Arial"/>
          <w:i/>
          <w:iCs/>
          <w:color w:val="222222"/>
        </w:rPr>
        <w:t>The Journal of infectious diseases</w:t>
      </w:r>
      <w:r w:rsidRPr="005E7F0B">
        <w:rPr>
          <w:rFonts w:ascii="Arial" w:eastAsia="Arial" w:hAnsi="Arial" w:cs="Arial"/>
          <w:color w:val="222222"/>
        </w:rPr>
        <w:t>, </w:t>
      </w:r>
      <w:r w:rsidRPr="005E7F0B">
        <w:rPr>
          <w:rFonts w:ascii="Arial" w:eastAsia="Arial" w:hAnsi="Arial" w:cs="Arial"/>
          <w:i/>
          <w:iCs/>
          <w:color w:val="222222"/>
        </w:rPr>
        <w:t>226</w:t>
      </w:r>
      <w:r w:rsidRPr="005E7F0B">
        <w:rPr>
          <w:rFonts w:ascii="Arial" w:eastAsia="Arial" w:hAnsi="Arial" w:cs="Arial"/>
          <w:color w:val="222222"/>
        </w:rPr>
        <w:t xml:space="preserve">(Supplement_1), pp.S17-S21.  </w:t>
      </w:r>
      <w:r w:rsidRPr="005E7F0B">
        <w:rPr>
          <w:rFonts w:ascii="Arial" w:eastAsia="Arial" w:hAnsi="Arial" w:cs="Arial"/>
        </w:rPr>
        <w:t xml:space="preserve">Available at: </w:t>
      </w:r>
      <w:hyperlink r:id="rId36">
        <w:r w:rsidRPr="005E7F0B">
          <w:rPr>
            <w:rFonts w:ascii="Arial" w:eastAsia="Arial" w:hAnsi="Arial" w:cs="Arial"/>
            <w:color w:val="1155CC"/>
            <w:u w:val="single"/>
          </w:rPr>
          <w:t>https://academic.oup.com/jid/article-abstract/226/Supplement_1/S17/6370471</w:t>
        </w:r>
      </w:hyperlink>
      <w:r w:rsidRPr="005E7F0B">
        <w:rPr>
          <w:rFonts w:ascii="Arial" w:eastAsia="Arial" w:hAnsi="Arial" w:cs="Arial"/>
          <w:color w:val="222222"/>
        </w:rPr>
        <w:t xml:space="preserve"> </w:t>
      </w:r>
    </w:p>
    <w:p w14:paraId="0717C8EA"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Smythe, T., Rotenberg, S., Moyo-Chilufya, M., Wilbur, J. and Kuper, H., 2026. Health inequalities among people with disabilities: an umbrella review and evidence synthesis. </w:t>
      </w:r>
      <w:proofErr w:type="spellStart"/>
      <w:r w:rsidRPr="005E7F0B">
        <w:rPr>
          <w:rFonts w:ascii="Arial" w:eastAsia="Arial" w:hAnsi="Arial" w:cs="Arial"/>
          <w:i/>
          <w:iCs/>
          <w:color w:val="222222"/>
        </w:rPr>
        <w:t>EClinicalMedicine</w:t>
      </w:r>
      <w:proofErr w:type="spellEnd"/>
      <w:r w:rsidRPr="005E7F0B">
        <w:rPr>
          <w:rFonts w:ascii="Arial" w:eastAsia="Arial" w:hAnsi="Arial" w:cs="Arial"/>
          <w:color w:val="222222"/>
        </w:rPr>
        <w:t>, </w:t>
      </w:r>
      <w:r w:rsidRPr="005E7F0B">
        <w:rPr>
          <w:rFonts w:ascii="Arial" w:eastAsia="Arial" w:hAnsi="Arial" w:cs="Arial"/>
          <w:i/>
          <w:iCs/>
          <w:color w:val="222222"/>
        </w:rPr>
        <w:t>91</w:t>
      </w:r>
      <w:r w:rsidRPr="005E7F0B">
        <w:rPr>
          <w:rFonts w:ascii="Arial" w:eastAsia="Arial" w:hAnsi="Arial" w:cs="Arial"/>
          <w:color w:val="222222"/>
        </w:rPr>
        <w:t>.</w:t>
      </w:r>
      <w:r w:rsidRPr="005E7F0B">
        <w:rPr>
          <w:rFonts w:ascii="Arial" w:eastAsia="Arial" w:hAnsi="Arial" w:cs="Arial"/>
        </w:rPr>
        <w:t xml:space="preserve"> Available at: </w:t>
      </w:r>
      <w:hyperlink r:id="rId37">
        <w:r w:rsidRPr="005E7F0B">
          <w:rPr>
            <w:rFonts w:ascii="Arial" w:eastAsia="Arial" w:hAnsi="Arial" w:cs="Arial"/>
            <w:color w:val="0000FF"/>
            <w:u w:val="single"/>
          </w:rPr>
          <w:t>https://www.thelancet.com/pdfs/journals/eclinm/PIIS2589-5370(25)00609-1.pdf</w:t>
        </w:r>
      </w:hyperlink>
    </w:p>
    <w:p w14:paraId="368368F6" w14:textId="77777777" w:rsidR="006A7FED" w:rsidRPr="005E7F0B" w:rsidRDefault="006A7FED" w:rsidP="005E7F0B">
      <w:pPr>
        <w:spacing w:line="360" w:lineRule="auto"/>
        <w:jc w:val="both"/>
        <w:rPr>
          <w:rFonts w:ascii="Arial" w:eastAsia="Arial" w:hAnsi="Arial" w:cs="Arial"/>
        </w:rPr>
      </w:pPr>
      <w:proofErr w:type="spellStart"/>
      <w:r w:rsidRPr="005E7F0B">
        <w:rPr>
          <w:rFonts w:ascii="Arial" w:eastAsia="Arial" w:hAnsi="Arial" w:cs="Arial"/>
        </w:rPr>
        <w:t>statista</w:t>
      </w:r>
      <w:proofErr w:type="spellEnd"/>
      <w:r w:rsidRPr="005E7F0B">
        <w:rPr>
          <w:rFonts w:ascii="Arial" w:eastAsia="Arial" w:hAnsi="Arial" w:cs="Arial"/>
        </w:rPr>
        <w:t xml:space="preserve"> (2026). Share of individuals who said select problems were the biggest issue facing the health care system in Great Britain in 2024. Available at: </w:t>
      </w:r>
      <w:hyperlink r:id="rId38" w:anchor="google_vignette">
        <w:r w:rsidRPr="005E7F0B">
          <w:rPr>
            <w:rFonts w:ascii="Arial" w:eastAsia="Arial" w:hAnsi="Arial" w:cs="Arial"/>
            <w:color w:val="0000FF"/>
            <w:u w:val="single"/>
          </w:rPr>
          <w:t>https://www.statista.com/statistics/1274307/problems-with-national-health-care-system-in-great-britain/?srsltid=AfmBOor-1xKnNUgxoRx0hw2pY8OK3RJ059-vsRG7rgK_tP1rL0ZtjKIL#google_vignette</w:t>
        </w:r>
      </w:hyperlink>
      <w:r w:rsidRPr="005E7F0B">
        <w:rPr>
          <w:rFonts w:ascii="Arial" w:eastAsia="Arial" w:hAnsi="Arial" w:cs="Arial"/>
        </w:rPr>
        <w:t xml:space="preserve"> [Accessed on 29th April 2026].</w:t>
      </w:r>
    </w:p>
    <w:p w14:paraId="6A5E88CB" w14:textId="77777777" w:rsidR="006A7FED" w:rsidRPr="005E7F0B" w:rsidRDefault="006A7FED" w:rsidP="005E7F0B">
      <w:pPr>
        <w:spacing w:line="360" w:lineRule="auto"/>
        <w:jc w:val="both"/>
        <w:rPr>
          <w:rFonts w:ascii="Arial" w:eastAsia="Arial" w:hAnsi="Arial" w:cs="Arial"/>
          <w:color w:val="222222"/>
        </w:rPr>
      </w:pPr>
      <w:r w:rsidRPr="005E7F0B">
        <w:rPr>
          <w:rFonts w:ascii="Arial" w:eastAsia="Arial" w:hAnsi="Arial" w:cs="Arial"/>
          <w:color w:val="222222"/>
        </w:rPr>
        <w:t xml:space="preserve">WHO, 2026. </w:t>
      </w:r>
      <w:r w:rsidRPr="005E7F0B">
        <w:rPr>
          <w:rFonts w:ascii="Arial" w:eastAsia="Arial" w:hAnsi="Arial" w:cs="Arial"/>
          <w:i/>
          <w:iCs/>
          <w:color w:val="222222"/>
        </w:rPr>
        <w:t xml:space="preserve">sensory-functions-disability-and-rehabilitation/global-report-on-health-equity-for-persons-with-disabilities. </w:t>
      </w:r>
      <w:r w:rsidRPr="005E7F0B">
        <w:rPr>
          <w:rFonts w:ascii="Arial" w:eastAsia="Arial" w:hAnsi="Arial" w:cs="Arial"/>
        </w:rPr>
        <w:t xml:space="preserve">Available at: </w:t>
      </w:r>
      <w:hyperlink r:id="rId39">
        <w:r w:rsidRPr="005E7F0B">
          <w:rPr>
            <w:rFonts w:ascii="Arial" w:eastAsia="Arial" w:hAnsi="Arial" w:cs="Arial"/>
            <w:color w:val="1155CC"/>
            <w:u w:val="single"/>
          </w:rPr>
          <w:t>https://www.who.int/teams/noncommunicable-diseases/sensory-functions-disability-and-rehabilitation/global-report-on-health-equity-for-persons-with-disabilities</w:t>
        </w:r>
      </w:hyperlink>
      <w:r w:rsidRPr="005E7F0B">
        <w:rPr>
          <w:rFonts w:ascii="Arial" w:eastAsia="Arial" w:hAnsi="Arial" w:cs="Arial"/>
          <w:color w:val="222222"/>
        </w:rPr>
        <w:t xml:space="preserve"> </w:t>
      </w:r>
      <w:r w:rsidRPr="005E7F0B">
        <w:rPr>
          <w:rFonts w:ascii="Arial" w:eastAsia="Arial" w:hAnsi="Arial" w:cs="Arial"/>
        </w:rPr>
        <w:t xml:space="preserve">[Accessed on 1st May 2026]. </w:t>
      </w:r>
    </w:p>
    <w:p w14:paraId="47B2D55F" w14:textId="77777777" w:rsidR="006A7FED" w:rsidRPr="005E7F0B" w:rsidRDefault="006A7FED" w:rsidP="005E7F0B">
      <w:pPr>
        <w:spacing w:line="360" w:lineRule="auto"/>
        <w:jc w:val="both"/>
        <w:rPr>
          <w:rFonts w:ascii="Arial" w:eastAsia="Arial" w:hAnsi="Arial" w:cs="Arial"/>
          <w:color w:val="222222"/>
        </w:rPr>
      </w:pPr>
      <w:proofErr w:type="spellStart"/>
      <w:r w:rsidRPr="005E7F0B">
        <w:rPr>
          <w:rFonts w:ascii="Arial" w:eastAsia="Arial" w:hAnsi="Arial" w:cs="Arial"/>
          <w:color w:val="222222"/>
        </w:rPr>
        <w:lastRenderedPageBreak/>
        <w:t>Wildenbeest</w:t>
      </w:r>
      <w:proofErr w:type="spellEnd"/>
      <w:r w:rsidRPr="005E7F0B">
        <w:rPr>
          <w:rFonts w:ascii="Arial" w:eastAsia="Arial" w:hAnsi="Arial" w:cs="Arial"/>
          <w:color w:val="222222"/>
        </w:rPr>
        <w:t xml:space="preserve">, J.G., Lowe, D.M., Standing, J.F. and Butler, C.C., 2024. Respiratory syncytial virus infections in adults: a narrative review. </w:t>
      </w:r>
      <w:r w:rsidRPr="005E7F0B">
        <w:rPr>
          <w:rFonts w:ascii="Arial" w:eastAsia="Arial" w:hAnsi="Arial" w:cs="Arial"/>
          <w:i/>
          <w:iCs/>
          <w:color w:val="222222"/>
        </w:rPr>
        <w:t>The Lancet Respiratory Medicine</w:t>
      </w:r>
      <w:r w:rsidRPr="005E7F0B">
        <w:rPr>
          <w:rFonts w:ascii="Arial" w:eastAsia="Arial" w:hAnsi="Arial" w:cs="Arial"/>
          <w:color w:val="222222"/>
        </w:rPr>
        <w:t xml:space="preserve">, </w:t>
      </w:r>
      <w:r w:rsidRPr="005E7F0B">
        <w:rPr>
          <w:rFonts w:ascii="Arial" w:eastAsia="Arial" w:hAnsi="Arial" w:cs="Arial"/>
          <w:i/>
          <w:iCs/>
          <w:color w:val="222222"/>
        </w:rPr>
        <w:t>12</w:t>
      </w:r>
      <w:r w:rsidRPr="005E7F0B">
        <w:rPr>
          <w:rFonts w:ascii="Arial" w:eastAsia="Arial" w:hAnsi="Arial" w:cs="Arial"/>
          <w:color w:val="222222"/>
        </w:rPr>
        <w:t xml:space="preserve">(10), pp.822-836. </w:t>
      </w:r>
      <w:r w:rsidRPr="005E7F0B">
        <w:rPr>
          <w:rFonts w:ascii="Arial" w:eastAsia="Arial" w:hAnsi="Arial" w:cs="Arial"/>
        </w:rPr>
        <w:t xml:space="preserve">Available at: </w:t>
      </w:r>
      <w:hyperlink r:id="rId40">
        <w:r w:rsidRPr="005E7F0B">
          <w:rPr>
            <w:rFonts w:ascii="Arial" w:eastAsia="Arial" w:hAnsi="Arial" w:cs="Arial"/>
            <w:color w:val="1155CC"/>
            <w:u w:val="single"/>
          </w:rPr>
          <w:t>https://www.thelancet.com/article/S2213-2600(24)00255-8/abstract</w:t>
        </w:r>
      </w:hyperlink>
      <w:r w:rsidRPr="005E7F0B">
        <w:rPr>
          <w:rFonts w:ascii="Arial" w:eastAsia="Arial" w:hAnsi="Arial" w:cs="Arial"/>
          <w:color w:val="222222"/>
        </w:rPr>
        <w:t xml:space="preserve"> </w:t>
      </w:r>
    </w:p>
    <w:sectPr w:rsidR="006A7FED" w:rsidRPr="005E7F0B" w:rsidSect="005E7F0B">
      <w:footerReference w:type="default" r:id="rId4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76DBC" w14:textId="77777777" w:rsidR="007651E4" w:rsidRDefault="007651E4">
      <w:pPr>
        <w:spacing w:after="0" w:line="240" w:lineRule="auto"/>
      </w:pPr>
      <w:r>
        <w:separator/>
      </w:r>
    </w:p>
  </w:endnote>
  <w:endnote w:type="continuationSeparator" w:id="0">
    <w:p w14:paraId="5D6DCE36" w14:textId="77777777" w:rsidR="007651E4" w:rsidRDefault="00765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F37B07ED-BD3D-4216-B81A-49EB9DBA0D84}"/>
    <w:embedBold r:id="rId2" w:fontKey="{7AF2DE54-CBC8-4761-855D-9D9059BB9DEA}"/>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267966F3-733B-4BE4-A971-C0C92B409A76}"/>
    <w:embedBold r:id="rId4" w:fontKey="{C17D8CAC-2BC0-423A-9009-E6F90B39D697}"/>
  </w:font>
  <w:font w:name="Georgia">
    <w:panose1 w:val="02040502050405020303"/>
    <w:charset w:val="00"/>
    <w:family w:val="roman"/>
    <w:pitch w:val="variable"/>
    <w:sig w:usb0="00000287" w:usb1="00000000" w:usb2="00000000" w:usb3="00000000" w:csb0="0000009F" w:csb1="00000000"/>
    <w:embedItalic r:id="rId5" w:fontKey="{6FA9CE15-5899-43B0-AA34-4395330DF8DB}"/>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6" w:fontKey="{7B8C3776-D52F-4413-9E8E-5D26F4099B56}"/>
  </w:font>
  <w:font w:name="Shruti">
    <w:panose1 w:val="02000500000000000000"/>
    <w:charset w:val="00"/>
    <w:family w:val="swiss"/>
    <w:pitch w:val="variable"/>
    <w:sig w:usb0="00040003" w:usb1="00000000" w:usb2="00000000" w:usb3="00000000" w:csb0="00000001" w:csb1="00000000"/>
    <w:embedRegular r:id="rId7" w:fontKey="{73252084-C1D6-4681-B706-E6F180E011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CF3A1" w14:textId="77777777" w:rsidR="002C6A9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E7F0B">
      <w:rPr>
        <w:noProof/>
        <w:color w:val="000000"/>
      </w:rPr>
      <w:t>1</w:t>
    </w:r>
    <w:r>
      <w:rPr>
        <w:color w:val="000000"/>
      </w:rPr>
      <w:fldChar w:fldCharType="end"/>
    </w:r>
  </w:p>
  <w:p w14:paraId="410B7075" w14:textId="77777777" w:rsidR="002C6A92" w:rsidRDefault="002C6A9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7BEE6" w14:textId="77777777" w:rsidR="007651E4" w:rsidRDefault="007651E4">
      <w:pPr>
        <w:spacing w:after="0" w:line="240" w:lineRule="auto"/>
      </w:pPr>
      <w:r>
        <w:separator/>
      </w:r>
    </w:p>
  </w:footnote>
  <w:footnote w:type="continuationSeparator" w:id="0">
    <w:p w14:paraId="3753D90C" w14:textId="77777777" w:rsidR="007651E4" w:rsidRDefault="00765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05DAA"/>
    <w:multiLevelType w:val="hybridMultilevel"/>
    <w:tmpl w:val="3A789E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D6926BF"/>
    <w:multiLevelType w:val="hybridMultilevel"/>
    <w:tmpl w:val="6B24C1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35181875">
    <w:abstractNumId w:val="1"/>
  </w:num>
  <w:num w:numId="2" w16cid:durableId="342249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A92"/>
    <w:rsid w:val="00165406"/>
    <w:rsid w:val="00176899"/>
    <w:rsid w:val="002C6A92"/>
    <w:rsid w:val="003152FC"/>
    <w:rsid w:val="004E5ACF"/>
    <w:rsid w:val="005E7F0B"/>
    <w:rsid w:val="006A7FED"/>
    <w:rsid w:val="006F6F97"/>
    <w:rsid w:val="007651E4"/>
    <w:rsid w:val="009B183D"/>
    <w:rsid w:val="00AB74CA"/>
    <w:rsid w:val="00D024B9"/>
    <w:rsid w:val="00F13701"/>
    <w:rsid w:val="00F40CB3"/>
    <w:rsid w:val="00FB0A4C"/>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45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200" w:after="0"/>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mbria" w:eastAsia="Cambria" w:hAnsi="Cambria" w:cs="Cambria"/>
      <w:b/>
      <w:bCs/>
      <w:color w:val="4F81BD"/>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5E7F0B"/>
    <w:pPr>
      <w:ind w:left="720"/>
      <w:contextualSpacing/>
    </w:pPr>
  </w:style>
  <w:style w:type="paragraph" w:styleId="NormalWeb">
    <w:name w:val="Normal (Web)"/>
    <w:basedOn w:val="Normal"/>
    <w:uiPriority w:val="99"/>
    <w:semiHidden/>
    <w:unhideWhenUsed/>
    <w:rsid w:val="00AB74CA"/>
    <w:rPr>
      <w:rFonts w:ascii="Times New Roman" w:hAnsi="Times New Roman" w:cs="Times New Roman"/>
      <w:sz w:val="24"/>
      <w:szCs w:val="24"/>
    </w:rPr>
  </w:style>
  <w:style w:type="paragraph" w:styleId="Header">
    <w:name w:val="header"/>
    <w:basedOn w:val="Normal"/>
    <w:link w:val="HeaderChar"/>
    <w:uiPriority w:val="99"/>
    <w:unhideWhenUsed/>
    <w:rsid w:val="00F40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CB3"/>
  </w:style>
  <w:style w:type="paragraph" w:styleId="Footer">
    <w:name w:val="footer"/>
    <w:basedOn w:val="Normal"/>
    <w:link w:val="FooterChar"/>
    <w:uiPriority w:val="99"/>
    <w:unhideWhenUsed/>
    <w:rsid w:val="00F40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fs.org.uk/sites/default/files/2026-03/Inequalities-in-disability-The-IFS-Deaton-Review-1-1.pdf" TargetMode="External"/><Relationship Id="rId18" Type="http://schemas.openxmlformats.org/officeDocument/2006/relationships/hyperlink" Target="https://www.gov.uk/government/publications/health-inequalities-in-health-protection-report/health-inequalities-in-health-protection-report-2025" TargetMode="External"/><Relationship Id="rId26" Type="http://schemas.openxmlformats.org/officeDocument/2006/relationships/hyperlink" Target="https://www.mentalhealth.org.uk/explore-mental-health/statistics/men-women-statistics" TargetMode="External"/><Relationship Id="rId39" Type="http://schemas.openxmlformats.org/officeDocument/2006/relationships/hyperlink" Target="https://www.who.int/teams/noncommunicable-diseases/sensory-functions-disability-and-rehabilitation/global-report-on-health-equity-for-persons-with-disabilities" TargetMode="External"/><Relationship Id="rId21" Type="http://schemas.openxmlformats.org/officeDocument/2006/relationships/hyperlink" Target="https://academic.oup.com/jid/article-abstract/226/Supplement_1/S29/6617433" TargetMode="External"/><Relationship Id="rId34" Type="http://schemas.openxmlformats.org/officeDocument/2006/relationships/hyperlink" Target="https://onlinelibrary.wiley.com/doi/abs/10.1111/irv.13031"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constor.eu/handle/10419/282916" TargetMode="External"/><Relationship Id="rId20" Type="http://schemas.openxmlformats.org/officeDocument/2006/relationships/hyperlink" Target="https://www.thelancet.com/pdfs/journals/laninf/PIIS1473-3099(25)00546-8.pdf" TargetMode="External"/><Relationship Id="rId29" Type="http://schemas.openxmlformats.org/officeDocument/2006/relationships/hyperlink" Target="https://academic.oup.com/jid/article-abstract/228/11/1539/7184171"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277953622008061" TargetMode="External"/><Relationship Id="rId24" Type="http://schemas.openxmlformats.org/officeDocument/2006/relationships/hyperlink" Target="https://onlinelibrary.wiley.com/doi/abs/10.1111/ele.14032" TargetMode="External"/><Relationship Id="rId32" Type="http://schemas.openxmlformats.org/officeDocument/2006/relationships/hyperlink" Target="https://link.springer.com/article/10.1007/s40121-023-00802-4" TargetMode="External"/><Relationship Id="rId37" Type="http://schemas.openxmlformats.org/officeDocument/2006/relationships/hyperlink" Target="https://www.thelancet.com/pdfs/journals/eclinm/PIIS2589-5370(25)00609-1.pdf" TargetMode="External"/><Relationship Id="rId40" Type="http://schemas.openxmlformats.org/officeDocument/2006/relationships/hyperlink" Target="https://www.thelancet.com/article/S2213-2600(24)00255-8/abstract" TargetMode="External"/><Relationship Id="rId5" Type="http://schemas.openxmlformats.org/officeDocument/2006/relationships/webSettings" Target="webSettings.xml"/><Relationship Id="rId15" Type="http://schemas.openxmlformats.org/officeDocument/2006/relationships/hyperlink" Target="https://caringforcare.co.uk/what-are-the-3ps-of-first-aid/" TargetMode="External"/><Relationship Id="rId23" Type="http://schemas.openxmlformats.org/officeDocument/2006/relationships/hyperlink" Target="https://pmc.ncbi.nlm.nih.gov/articles/PMC10990889/" TargetMode="External"/><Relationship Id="rId28" Type="http://schemas.openxmlformats.org/officeDocument/2006/relationships/hyperlink" Target="https://academic.oup.com/jid/article-abstract/229/Supplement_1/S70/7424350" TargetMode="External"/><Relationship Id="rId36" Type="http://schemas.openxmlformats.org/officeDocument/2006/relationships/hyperlink" Target="https://academic.oup.com/jid/article-abstract/226/Supplement_1/S17/6370471" TargetMode="External"/><Relationship Id="rId10" Type="http://schemas.openxmlformats.org/officeDocument/2006/relationships/image" Target="media/image3.png"/><Relationship Id="rId19" Type="http://schemas.openxmlformats.org/officeDocument/2006/relationships/hyperlink" Target="https://www.magonlinelibrary.com/doi/abs/10.12968/pnur.2022.33.2.72" TargetMode="External"/><Relationship Id="rId31" Type="http://schemas.openxmlformats.org/officeDocument/2006/relationships/hyperlink" Target="https://publications.parliament.uk/pa/cm5804/cmselect/cmwomeq/134/report.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cademic.oup.com/ooec/article-pdf/3/Supplement_1/i529/58618868/odad091.pdf" TargetMode="External"/><Relationship Id="rId22" Type="http://schemas.openxmlformats.org/officeDocument/2006/relationships/hyperlink" Target="https://journals.lww.com/co-infectiousdiseases/fulltext/2024/04000/the_disease_burden_of_respiratory_syncytial_virus.9.aspx" TargetMode="External"/><Relationship Id="rId27" Type="http://schemas.openxmlformats.org/officeDocument/2006/relationships/hyperlink" Target="https://books.google.com/books?hl=en&amp;lr=&amp;id=xWb7EAAAQBAJ&amp;oi=fnd&amp;pg=PP1&amp;dq=Strengths+and+weaknesses+of+epidemiological+approach&amp;ots=tzzn9eZJxB&amp;sig=TZD3o5wF-S1qWnFDKooyCTef6UA" TargetMode="External"/><Relationship Id="rId30" Type="http://schemas.openxmlformats.org/officeDocument/2006/relationships/hyperlink" Target="https://link.springer.com/article/10.1186/s12879-023-08100-7" TargetMode="External"/><Relationship Id="rId35" Type="http://schemas.openxmlformats.org/officeDocument/2006/relationships/hyperlink" Target="https://onlinelibrary.wiley.com/doi/pdfdirect/10.1111/irv.12910"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thelancet.com/pdfs/journals/lancet/PIIS0140-6736(23)00131-9.pdf" TargetMode="External"/><Relationship Id="rId17" Type="http://schemas.openxmlformats.org/officeDocument/2006/relationships/hyperlink" Target="https://academic.oup.com/ooec/article-abstract/3/Supplement_1/i499/7708083" TargetMode="External"/><Relationship Id="rId25" Type="http://schemas.openxmlformats.org/officeDocument/2006/relationships/hyperlink" Target="https://academic.oup.com/jpubhealth/article-pdf/45/4/e621/53929309/fdad090.pdf" TargetMode="External"/><Relationship Id="rId33" Type="http://schemas.openxmlformats.org/officeDocument/2006/relationships/hyperlink" Target="https://onlinelibrary.wiley.com/doi/pdfdirect/10.1111/irv.13031?utm_source=consensus" TargetMode="External"/><Relationship Id="rId38" Type="http://schemas.openxmlformats.org/officeDocument/2006/relationships/hyperlink" Target="https://www.statista.com/statistics/1274307/problems-with-national-health-care-system-in-great-britain/?srsltid=AfmBOor-1xKnNUgxoRx0hw2pY8OK3RJ059-vsRG7rgK_tP1rL0ZtjKI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Ct3aFZji7a7QXTi2ADS1Q9jhvQ==">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5134</Words>
  <Characters>29270</Characters>
  <Application>Microsoft Office Word</Application>
  <DocSecurity>0</DocSecurity>
  <Lines>243</Lines>
  <Paragraphs>68</Paragraphs>
  <ScaleCrop>false</ScaleCrop>
  <LinksUpToDate>false</LinksUpToDate>
  <CharactersWithSpaces>34336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2026-05-01T11:42:00Z</dcterms:created>
  <dcterms:modified xsi:type="dcterms:W3CDTF">2026-05-01T11:43:00Z</dcterms:modified>
</cp:coreProperties>
</file>