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063175195"/>
        <w:docPartObj>
          <w:docPartGallery w:val="Cover Pages"/>
          <w:docPartUnique/>
        </w:docPartObj>
      </w:sdtPr>
      <w:sdtEndPr/>
      <w:sdtContent>
        <w:p w14:paraId="04975EE1" w14:textId="211FE997" w:rsidR="00BA4A07" w:rsidRDefault="00BA4A07">
          <w:r>
            <w:rPr>
              <w:noProof/>
            </w:rPr>
            <mc:AlternateContent>
              <mc:Choice Requires="wpg">
                <w:drawing>
                  <wp:anchor distT="0" distB="0" distL="114300" distR="114300" simplePos="0" relativeHeight="251662336" behindDoc="0" locked="0" layoutInCell="1" allowOverlap="1" wp14:anchorId="3E1F958F" wp14:editId="5CB9752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DE3DE93"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1D029B7" wp14:editId="39DD356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36BFE07" w14:textId="40F96B9E" w:rsidR="00BA4A07" w:rsidRDefault="00BA4A07">
                                    <w:pPr>
                                      <w:pStyle w:val="NoSpacing"/>
                                      <w:jc w:val="right"/>
                                      <w:rPr>
                                        <w:color w:val="595959" w:themeColor="text1" w:themeTint="A6"/>
                                        <w:sz w:val="28"/>
                                        <w:szCs w:val="28"/>
                                      </w:rPr>
                                    </w:pPr>
                                    <w:r>
                                      <w:rPr>
                                        <w:color w:val="595959" w:themeColor="text1" w:themeTint="A6"/>
                                        <w:sz w:val="28"/>
                                        <w:szCs w:val="28"/>
                                      </w:rPr>
                                      <w:t>Student Name: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1D029B7"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36BFE07" w14:textId="40F96B9E" w:rsidR="00BA4A07" w:rsidRDefault="00BA4A07">
                              <w:pPr>
                                <w:pStyle w:val="NoSpacing"/>
                                <w:jc w:val="right"/>
                                <w:rPr>
                                  <w:color w:val="595959" w:themeColor="text1" w:themeTint="A6"/>
                                  <w:sz w:val="28"/>
                                  <w:szCs w:val="28"/>
                                </w:rPr>
                              </w:pPr>
                              <w:r>
                                <w:rPr>
                                  <w:color w:val="595959" w:themeColor="text1" w:themeTint="A6"/>
                                  <w:sz w:val="28"/>
                                  <w:szCs w:val="28"/>
                                </w:rPr>
                                <w:t>Student Name:</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657C900" wp14:editId="20C6F180">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7EC119" w14:textId="044AEBDA" w:rsidR="00BA4A07" w:rsidRDefault="00BA4A07">
                                <w:pPr>
                                  <w:pStyle w:val="NoSpacing"/>
                                  <w:jc w:val="right"/>
                                  <w:rPr>
                                    <w:color w:val="4472C4" w:themeColor="accent1"/>
                                    <w:sz w:val="28"/>
                                    <w:szCs w:val="28"/>
                                  </w:rPr>
                                </w:pPr>
                                <w:r>
                                  <w:rPr>
                                    <w:color w:val="4472C4" w:themeColor="accent1"/>
                                    <w:sz w:val="28"/>
                                    <w:szCs w:val="28"/>
                                  </w:rPr>
                                  <w:t>Student ID:</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657C900"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367EC119" w14:textId="044AEBDA" w:rsidR="00BA4A07" w:rsidRDefault="00BA4A07">
                          <w:pPr>
                            <w:pStyle w:val="NoSpacing"/>
                            <w:jc w:val="right"/>
                            <w:rPr>
                              <w:color w:val="4472C4" w:themeColor="accent1"/>
                              <w:sz w:val="28"/>
                              <w:szCs w:val="28"/>
                            </w:rPr>
                          </w:pPr>
                          <w:r>
                            <w:rPr>
                              <w:color w:val="4472C4" w:themeColor="accent1"/>
                              <w:sz w:val="28"/>
                              <w:szCs w:val="28"/>
                            </w:rPr>
                            <w:t>Student ID:</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B2B6F94" wp14:editId="1C643D7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99709D" w14:textId="1BCF6DDA" w:rsidR="00BA4A07" w:rsidRDefault="00A0319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BA4A07" w:rsidRPr="00BA4A07">
                                      <w:rPr>
                                        <w:caps/>
                                        <w:color w:val="4472C4" w:themeColor="accent1"/>
                                        <w:sz w:val="64"/>
                                        <w:szCs w:val="64"/>
                                      </w:rPr>
                                      <w:t xml:space="preserve">Marketing Fundamentals Analysis and Evaluation - Assessment </w:t>
                                    </w:r>
                                    <w:r w:rsidR="00B44CD7">
                                      <w:rPr>
                                        <w:caps/>
                                        <w:color w:val="4472C4" w:themeColor="accent1"/>
                                        <w:sz w:val="64"/>
                                        <w:szCs w:val="64"/>
                                      </w:rPr>
                                      <w:t>2</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281F560" w14:textId="097AA1D7" w:rsidR="00BA4A07" w:rsidRDefault="00BA4A07">
                                    <w:pPr>
                                      <w:jc w:val="right"/>
                                      <w:rPr>
                                        <w:smallCaps/>
                                        <w:color w:val="404040" w:themeColor="text1" w:themeTint="BF"/>
                                        <w:sz w:val="36"/>
                                        <w:szCs w:val="36"/>
                                      </w:rPr>
                                    </w:pPr>
                                    <w:r w:rsidRPr="00BA4A07">
                                      <w:rPr>
                                        <w:color w:val="404040" w:themeColor="text1" w:themeTint="BF"/>
                                        <w:sz w:val="36"/>
                                        <w:szCs w:val="36"/>
                                      </w:rPr>
                                      <w:t xml:space="preserve">Lecturer: </w:t>
                                    </w:r>
                                    <w:proofErr w:type="spellStart"/>
                                    <w:r w:rsidRPr="00BA4A07">
                                      <w:rPr>
                                        <w:color w:val="404040" w:themeColor="text1" w:themeTint="BF"/>
                                        <w:sz w:val="36"/>
                                        <w:szCs w:val="36"/>
                                      </w:rPr>
                                      <w:t>Tushara</w:t>
                                    </w:r>
                                    <w:proofErr w:type="spellEnd"/>
                                    <w:r w:rsidRPr="00BA4A07">
                                      <w:rPr>
                                        <w:color w:val="404040" w:themeColor="text1" w:themeTint="BF"/>
                                        <w:sz w:val="36"/>
                                        <w:szCs w:val="36"/>
                                      </w:rPr>
                                      <w:t xml:space="preserve"> </w:t>
                                    </w:r>
                                    <w:proofErr w:type="spellStart"/>
                                    <w:r w:rsidRPr="00BA4A07">
                                      <w:rPr>
                                        <w:color w:val="404040" w:themeColor="text1" w:themeTint="BF"/>
                                        <w:sz w:val="36"/>
                                        <w:szCs w:val="36"/>
                                      </w:rPr>
                                      <w:t>Balendran</w:t>
                                    </w:r>
                                    <w:proofErr w:type="spellEnd"/>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B2B6F94"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0D99709D" w14:textId="1BCF6DDA" w:rsidR="00BA4A07" w:rsidRDefault="00A0319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BA4A07" w:rsidRPr="00BA4A07">
                                <w:rPr>
                                  <w:caps/>
                                  <w:color w:val="4472C4" w:themeColor="accent1"/>
                                  <w:sz w:val="64"/>
                                  <w:szCs w:val="64"/>
                                </w:rPr>
                                <w:t xml:space="preserve">Marketing Fundamentals Analysis and Evaluation - Assessment </w:t>
                              </w:r>
                              <w:r w:rsidR="00B44CD7">
                                <w:rPr>
                                  <w:caps/>
                                  <w:color w:val="4472C4" w:themeColor="accent1"/>
                                  <w:sz w:val="64"/>
                                  <w:szCs w:val="64"/>
                                </w:rPr>
                                <w:t>2</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281F560" w14:textId="097AA1D7" w:rsidR="00BA4A07" w:rsidRDefault="00BA4A07">
                              <w:pPr>
                                <w:jc w:val="right"/>
                                <w:rPr>
                                  <w:smallCaps/>
                                  <w:color w:val="404040" w:themeColor="text1" w:themeTint="BF"/>
                                  <w:sz w:val="36"/>
                                  <w:szCs w:val="36"/>
                                </w:rPr>
                              </w:pPr>
                              <w:r w:rsidRPr="00BA4A07">
                                <w:rPr>
                                  <w:color w:val="404040" w:themeColor="text1" w:themeTint="BF"/>
                                  <w:sz w:val="36"/>
                                  <w:szCs w:val="36"/>
                                </w:rPr>
                                <w:t xml:space="preserve">Lecturer: </w:t>
                              </w:r>
                              <w:proofErr w:type="spellStart"/>
                              <w:r w:rsidRPr="00BA4A07">
                                <w:rPr>
                                  <w:color w:val="404040" w:themeColor="text1" w:themeTint="BF"/>
                                  <w:sz w:val="36"/>
                                  <w:szCs w:val="36"/>
                                </w:rPr>
                                <w:t>Tushara</w:t>
                              </w:r>
                              <w:proofErr w:type="spellEnd"/>
                              <w:r w:rsidRPr="00BA4A07">
                                <w:rPr>
                                  <w:color w:val="404040" w:themeColor="text1" w:themeTint="BF"/>
                                  <w:sz w:val="36"/>
                                  <w:szCs w:val="36"/>
                                </w:rPr>
                                <w:t xml:space="preserve"> </w:t>
                              </w:r>
                              <w:proofErr w:type="spellStart"/>
                              <w:r w:rsidRPr="00BA4A07">
                                <w:rPr>
                                  <w:color w:val="404040" w:themeColor="text1" w:themeTint="BF"/>
                                  <w:sz w:val="36"/>
                                  <w:szCs w:val="36"/>
                                </w:rPr>
                                <w:t>Balendran</w:t>
                              </w:r>
                              <w:proofErr w:type="spellEnd"/>
                            </w:p>
                          </w:sdtContent>
                        </w:sdt>
                      </w:txbxContent>
                    </v:textbox>
                    <w10:wrap type="square" anchorx="page" anchory="page"/>
                  </v:shape>
                </w:pict>
              </mc:Fallback>
            </mc:AlternateContent>
          </w:r>
        </w:p>
        <w:p w14:paraId="44E645DF" w14:textId="472A381B" w:rsidR="00BA4A07" w:rsidRDefault="00BA4A07">
          <w:pPr>
            <w:spacing w:after="160" w:line="259" w:lineRule="auto"/>
          </w:pPr>
          <w:r>
            <w:br w:type="page"/>
          </w:r>
        </w:p>
      </w:sdtContent>
    </w:sdt>
    <w:sdt>
      <w:sdtPr>
        <w:rPr>
          <w:rFonts w:ascii="Arial" w:eastAsiaTheme="minorHAnsi" w:hAnsi="Arial" w:cstheme="minorBidi"/>
          <w:color w:val="auto"/>
          <w:sz w:val="22"/>
          <w:szCs w:val="22"/>
          <w:lang w:val="en-GB"/>
        </w:rPr>
        <w:id w:val="-138118386"/>
        <w:docPartObj>
          <w:docPartGallery w:val="Table of Contents"/>
          <w:docPartUnique/>
        </w:docPartObj>
      </w:sdtPr>
      <w:sdtEndPr>
        <w:rPr>
          <w:b/>
          <w:bCs/>
          <w:noProof/>
        </w:rPr>
      </w:sdtEndPr>
      <w:sdtContent>
        <w:p w14:paraId="0951C9FE" w14:textId="71049CAA" w:rsidR="00106E99" w:rsidRDefault="00106E99">
          <w:pPr>
            <w:pStyle w:val="TOCHeading"/>
          </w:pPr>
          <w:r>
            <w:t>Table of Contents</w:t>
          </w:r>
        </w:p>
        <w:p w14:paraId="74F47EFE" w14:textId="0377C6CA" w:rsidR="00196422" w:rsidRDefault="00106E99">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49788842" w:history="1">
            <w:r w:rsidR="00196422" w:rsidRPr="00E6294A">
              <w:rPr>
                <w:rStyle w:val="Hyperlink"/>
                <w:noProof/>
              </w:rPr>
              <w:t>Introduction</w:t>
            </w:r>
            <w:r w:rsidR="00196422">
              <w:rPr>
                <w:noProof/>
                <w:webHidden/>
              </w:rPr>
              <w:tab/>
            </w:r>
            <w:r w:rsidR="00196422">
              <w:rPr>
                <w:noProof/>
                <w:webHidden/>
              </w:rPr>
              <w:fldChar w:fldCharType="begin"/>
            </w:r>
            <w:r w:rsidR="00196422">
              <w:rPr>
                <w:noProof/>
                <w:webHidden/>
              </w:rPr>
              <w:instrText xml:space="preserve"> PAGEREF _Toc49788842 \h </w:instrText>
            </w:r>
            <w:r w:rsidR="00196422">
              <w:rPr>
                <w:noProof/>
                <w:webHidden/>
              </w:rPr>
            </w:r>
            <w:r w:rsidR="00196422">
              <w:rPr>
                <w:noProof/>
                <w:webHidden/>
              </w:rPr>
              <w:fldChar w:fldCharType="separate"/>
            </w:r>
            <w:r w:rsidR="00196422">
              <w:rPr>
                <w:noProof/>
                <w:webHidden/>
              </w:rPr>
              <w:t>2</w:t>
            </w:r>
            <w:r w:rsidR="00196422">
              <w:rPr>
                <w:noProof/>
                <w:webHidden/>
              </w:rPr>
              <w:fldChar w:fldCharType="end"/>
            </w:r>
          </w:hyperlink>
        </w:p>
        <w:p w14:paraId="62B8CB89" w14:textId="21261EF3" w:rsidR="00196422" w:rsidRDefault="00196422">
          <w:pPr>
            <w:pStyle w:val="TOC1"/>
            <w:tabs>
              <w:tab w:val="right" w:leader="dot" w:pos="9016"/>
            </w:tabs>
            <w:rPr>
              <w:rFonts w:asciiTheme="minorHAnsi" w:eastAsiaTheme="minorEastAsia" w:hAnsiTheme="minorHAnsi"/>
              <w:noProof/>
              <w:lang w:eastAsia="en-GB"/>
            </w:rPr>
          </w:pPr>
          <w:hyperlink w:anchor="_Toc49788843" w:history="1">
            <w:r w:rsidRPr="00E6294A">
              <w:rPr>
                <w:rStyle w:val="Hyperlink"/>
                <w:noProof/>
              </w:rPr>
              <w:t>Marketing Proposition for Customers and Stakeholder Engagement</w:t>
            </w:r>
            <w:r>
              <w:rPr>
                <w:noProof/>
                <w:webHidden/>
              </w:rPr>
              <w:tab/>
            </w:r>
            <w:r>
              <w:rPr>
                <w:noProof/>
                <w:webHidden/>
              </w:rPr>
              <w:fldChar w:fldCharType="begin"/>
            </w:r>
            <w:r>
              <w:rPr>
                <w:noProof/>
                <w:webHidden/>
              </w:rPr>
              <w:instrText xml:space="preserve"> PAGEREF _Toc49788843 \h </w:instrText>
            </w:r>
            <w:r>
              <w:rPr>
                <w:noProof/>
                <w:webHidden/>
              </w:rPr>
            </w:r>
            <w:r>
              <w:rPr>
                <w:noProof/>
                <w:webHidden/>
              </w:rPr>
              <w:fldChar w:fldCharType="separate"/>
            </w:r>
            <w:r>
              <w:rPr>
                <w:noProof/>
                <w:webHidden/>
              </w:rPr>
              <w:t>2</w:t>
            </w:r>
            <w:r>
              <w:rPr>
                <w:noProof/>
                <w:webHidden/>
              </w:rPr>
              <w:fldChar w:fldCharType="end"/>
            </w:r>
          </w:hyperlink>
        </w:p>
        <w:p w14:paraId="66652AF2" w14:textId="568A607E" w:rsidR="00196422" w:rsidRDefault="00196422">
          <w:pPr>
            <w:pStyle w:val="TOC1"/>
            <w:tabs>
              <w:tab w:val="right" w:leader="dot" w:pos="9016"/>
            </w:tabs>
            <w:rPr>
              <w:rFonts w:asciiTheme="minorHAnsi" w:eastAsiaTheme="minorEastAsia" w:hAnsiTheme="minorHAnsi"/>
              <w:noProof/>
              <w:lang w:eastAsia="en-GB"/>
            </w:rPr>
          </w:pPr>
          <w:hyperlink w:anchor="_Toc49788844" w:history="1">
            <w:r w:rsidRPr="00E6294A">
              <w:rPr>
                <w:rStyle w:val="Hyperlink"/>
                <w:noProof/>
              </w:rPr>
              <w:t>Nestle Marketing and Stakeholder Engagement</w:t>
            </w:r>
            <w:r>
              <w:rPr>
                <w:noProof/>
                <w:webHidden/>
              </w:rPr>
              <w:tab/>
            </w:r>
            <w:r>
              <w:rPr>
                <w:noProof/>
                <w:webHidden/>
              </w:rPr>
              <w:fldChar w:fldCharType="begin"/>
            </w:r>
            <w:r>
              <w:rPr>
                <w:noProof/>
                <w:webHidden/>
              </w:rPr>
              <w:instrText xml:space="preserve"> PAGEREF _Toc49788844 \h </w:instrText>
            </w:r>
            <w:r>
              <w:rPr>
                <w:noProof/>
                <w:webHidden/>
              </w:rPr>
            </w:r>
            <w:r>
              <w:rPr>
                <w:noProof/>
                <w:webHidden/>
              </w:rPr>
              <w:fldChar w:fldCharType="separate"/>
            </w:r>
            <w:r>
              <w:rPr>
                <w:noProof/>
                <w:webHidden/>
              </w:rPr>
              <w:t>5</w:t>
            </w:r>
            <w:r>
              <w:rPr>
                <w:noProof/>
                <w:webHidden/>
              </w:rPr>
              <w:fldChar w:fldCharType="end"/>
            </w:r>
          </w:hyperlink>
        </w:p>
        <w:p w14:paraId="522D807F" w14:textId="78F116B3" w:rsidR="00196422" w:rsidRDefault="00196422">
          <w:pPr>
            <w:pStyle w:val="TOC1"/>
            <w:tabs>
              <w:tab w:val="right" w:leader="dot" w:pos="9016"/>
            </w:tabs>
            <w:rPr>
              <w:rFonts w:asciiTheme="minorHAnsi" w:eastAsiaTheme="minorEastAsia" w:hAnsiTheme="minorHAnsi"/>
              <w:noProof/>
              <w:lang w:eastAsia="en-GB"/>
            </w:rPr>
          </w:pPr>
          <w:hyperlink w:anchor="_Toc49788845" w:history="1">
            <w:r w:rsidRPr="00E6294A">
              <w:rPr>
                <w:rStyle w:val="Hyperlink"/>
                <w:noProof/>
              </w:rPr>
              <w:t>Conclusion</w:t>
            </w:r>
            <w:r>
              <w:rPr>
                <w:noProof/>
                <w:webHidden/>
              </w:rPr>
              <w:tab/>
            </w:r>
            <w:r>
              <w:rPr>
                <w:noProof/>
                <w:webHidden/>
              </w:rPr>
              <w:fldChar w:fldCharType="begin"/>
            </w:r>
            <w:r>
              <w:rPr>
                <w:noProof/>
                <w:webHidden/>
              </w:rPr>
              <w:instrText xml:space="preserve"> PAGEREF _Toc49788845 \h </w:instrText>
            </w:r>
            <w:r>
              <w:rPr>
                <w:noProof/>
                <w:webHidden/>
              </w:rPr>
            </w:r>
            <w:r>
              <w:rPr>
                <w:noProof/>
                <w:webHidden/>
              </w:rPr>
              <w:fldChar w:fldCharType="separate"/>
            </w:r>
            <w:r>
              <w:rPr>
                <w:noProof/>
                <w:webHidden/>
              </w:rPr>
              <w:t>6</w:t>
            </w:r>
            <w:r>
              <w:rPr>
                <w:noProof/>
                <w:webHidden/>
              </w:rPr>
              <w:fldChar w:fldCharType="end"/>
            </w:r>
          </w:hyperlink>
        </w:p>
        <w:p w14:paraId="36A76845" w14:textId="037C13BC" w:rsidR="00196422" w:rsidRDefault="00196422">
          <w:pPr>
            <w:pStyle w:val="TOC1"/>
            <w:tabs>
              <w:tab w:val="right" w:leader="dot" w:pos="9016"/>
            </w:tabs>
            <w:rPr>
              <w:rFonts w:asciiTheme="minorHAnsi" w:eastAsiaTheme="minorEastAsia" w:hAnsiTheme="minorHAnsi"/>
              <w:noProof/>
              <w:lang w:eastAsia="en-GB"/>
            </w:rPr>
          </w:pPr>
          <w:hyperlink w:anchor="_Toc49788846" w:history="1">
            <w:r w:rsidRPr="00E6294A">
              <w:rPr>
                <w:rStyle w:val="Hyperlink"/>
                <w:noProof/>
              </w:rPr>
              <w:t>Reference List</w:t>
            </w:r>
            <w:r>
              <w:rPr>
                <w:noProof/>
                <w:webHidden/>
              </w:rPr>
              <w:tab/>
            </w:r>
            <w:r>
              <w:rPr>
                <w:noProof/>
                <w:webHidden/>
              </w:rPr>
              <w:fldChar w:fldCharType="begin"/>
            </w:r>
            <w:r>
              <w:rPr>
                <w:noProof/>
                <w:webHidden/>
              </w:rPr>
              <w:instrText xml:space="preserve"> PAGEREF _Toc49788846 \h </w:instrText>
            </w:r>
            <w:r>
              <w:rPr>
                <w:noProof/>
                <w:webHidden/>
              </w:rPr>
            </w:r>
            <w:r>
              <w:rPr>
                <w:noProof/>
                <w:webHidden/>
              </w:rPr>
              <w:fldChar w:fldCharType="separate"/>
            </w:r>
            <w:r>
              <w:rPr>
                <w:noProof/>
                <w:webHidden/>
              </w:rPr>
              <w:t>7</w:t>
            </w:r>
            <w:r>
              <w:rPr>
                <w:noProof/>
                <w:webHidden/>
              </w:rPr>
              <w:fldChar w:fldCharType="end"/>
            </w:r>
          </w:hyperlink>
        </w:p>
        <w:p w14:paraId="1DBEEC69" w14:textId="4F57FAA1" w:rsidR="00844443" w:rsidRDefault="00106E99">
          <w:r>
            <w:rPr>
              <w:b/>
              <w:bCs/>
              <w:noProof/>
            </w:rPr>
            <w:fldChar w:fldCharType="end"/>
          </w:r>
        </w:p>
      </w:sdtContent>
    </w:sdt>
    <w:p w14:paraId="5DB3D447" w14:textId="56E38D8B" w:rsidR="00BA4A07" w:rsidRDefault="00BA4A07"/>
    <w:p w14:paraId="72BA00F5" w14:textId="64C3B3AF" w:rsidR="00BA4A07" w:rsidRDefault="00BA4A07"/>
    <w:p w14:paraId="42D12401" w14:textId="6C5F15A0" w:rsidR="00BA4A07" w:rsidRDefault="00BA4A07"/>
    <w:p w14:paraId="16CD7E1C" w14:textId="646BA9B3" w:rsidR="00BA4A07" w:rsidRDefault="00BA4A07"/>
    <w:p w14:paraId="115A1458" w14:textId="47CB1F0D" w:rsidR="00BA4A07" w:rsidRDefault="00BA4A07"/>
    <w:p w14:paraId="56732092" w14:textId="19B55BA1" w:rsidR="00BA4A07" w:rsidRDefault="00BA4A07"/>
    <w:p w14:paraId="5D88FA1E" w14:textId="6AF02770" w:rsidR="00BA4A07" w:rsidRDefault="00BA4A07"/>
    <w:p w14:paraId="1A25EC06" w14:textId="3BDC713B" w:rsidR="00BA4A07" w:rsidRDefault="00BA4A07"/>
    <w:p w14:paraId="12F0B01D" w14:textId="36A10D8C" w:rsidR="00BA4A07" w:rsidRDefault="00BA4A07"/>
    <w:p w14:paraId="5B917280" w14:textId="75E26CA4" w:rsidR="00BA4A07" w:rsidRDefault="00BA4A07"/>
    <w:p w14:paraId="0A6ECF1C" w14:textId="580C1EA4" w:rsidR="00BA4A07" w:rsidRDefault="00BA4A07"/>
    <w:p w14:paraId="64005FA1" w14:textId="7D618C76" w:rsidR="00BA4A07" w:rsidRDefault="00BA4A07"/>
    <w:p w14:paraId="22567711" w14:textId="6A2285BD" w:rsidR="00BA4A07" w:rsidRDefault="00BA4A07"/>
    <w:p w14:paraId="49719733" w14:textId="25C25CD1" w:rsidR="00BA4A07" w:rsidRDefault="00BA4A07"/>
    <w:p w14:paraId="2C6F76DF" w14:textId="4B3024A6" w:rsidR="00BA4A07" w:rsidRDefault="00BA4A07"/>
    <w:p w14:paraId="10FAD3C4" w14:textId="019AC96B" w:rsidR="00BA4A07" w:rsidRDefault="00BA4A07"/>
    <w:p w14:paraId="2A2DBEBA" w14:textId="37FAA988" w:rsidR="00BA4A07" w:rsidRDefault="00BA4A07"/>
    <w:p w14:paraId="2646A215" w14:textId="7EC4CF59" w:rsidR="00BA4A07" w:rsidRDefault="00BA4A07"/>
    <w:p w14:paraId="5F5393B9" w14:textId="24570CEE" w:rsidR="00BA4A07" w:rsidRDefault="00BA4A07"/>
    <w:p w14:paraId="3A97CF71" w14:textId="6CFDF8BE" w:rsidR="00BA4A07" w:rsidRDefault="00BA4A07"/>
    <w:p w14:paraId="56E04352" w14:textId="74838869" w:rsidR="00BA4A07" w:rsidRDefault="00BA4A07"/>
    <w:p w14:paraId="75152C5C" w14:textId="4853CE51" w:rsidR="00BA4A07" w:rsidRDefault="00BA4A07"/>
    <w:p w14:paraId="521ECDDF" w14:textId="02CCB2B1" w:rsidR="00BA4A07" w:rsidRDefault="00BA4A07"/>
    <w:p w14:paraId="01EFD924" w14:textId="1E116BA4" w:rsidR="00BA4A07" w:rsidRDefault="00BA4A07" w:rsidP="00BA4A07">
      <w:pPr>
        <w:pStyle w:val="Heading1"/>
      </w:pPr>
      <w:bookmarkStart w:id="0" w:name="_Toc49788842"/>
      <w:r>
        <w:lastRenderedPageBreak/>
        <w:t>Introduction</w:t>
      </w:r>
      <w:bookmarkEnd w:id="0"/>
    </w:p>
    <w:p w14:paraId="7969DC38" w14:textId="77777777" w:rsidR="00196422" w:rsidRDefault="00196422" w:rsidP="00196422">
      <w:r>
        <w:t xml:space="preserve">This report presents Nestle as far as the advancement of assessment and establishment assessment. Exhibiting fundamental exploration is significant for understanding client valuation, the approach for selling things and organizations, similarly as building solid connections between an organization and its clients. Toward the start, the segment looks at the significance of the showcase and the method it includes. In the </w:t>
      </w:r>
      <w:proofErr w:type="spellStart"/>
      <w:r>
        <w:t>center</w:t>
      </w:r>
      <w:proofErr w:type="spellEnd"/>
      <w:r>
        <w:t xml:space="preserve"> piece of the work the guidelines for publicizing and assessment of the essentials are considered. The last part comprehends the significance of exploration and assessment of the consequences of the most significant for an organization. </w:t>
      </w:r>
    </w:p>
    <w:p w14:paraId="1D5B4500" w14:textId="6D32459B" w:rsidR="00BA4A07" w:rsidRDefault="00196422" w:rsidP="00196422">
      <w:r>
        <w:t>Situating alludes to how to situate an item in the brains of buyers and advise what qualities recognize it from the results of contenders (Pride et al., 2018). The organization frequently does this by ordering a perceptual guide that recognizes comparable items made in a similar industry relying upon how buyers see their cost and quality. From the dispatch of an item on the card, an organization will adjust its showcasing interchanges to adapt to the view of the item among shoppers and its situation among rivals.</w:t>
      </w:r>
    </w:p>
    <w:p w14:paraId="2CC5E010" w14:textId="77777777" w:rsidR="00106E99" w:rsidRDefault="00106E99" w:rsidP="00106E99">
      <w:pPr>
        <w:pStyle w:val="Heading1"/>
      </w:pPr>
      <w:bookmarkStart w:id="1" w:name="_Toc48604091"/>
      <w:bookmarkStart w:id="2" w:name="_Toc49788843"/>
      <w:r>
        <w:t>Marketing Proposition for Customers and Stakeholder Engagement</w:t>
      </w:r>
      <w:bookmarkEnd w:id="1"/>
      <w:bookmarkEnd w:id="2"/>
      <w:r>
        <w:t xml:space="preserve"> </w:t>
      </w:r>
    </w:p>
    <w:p w14:paraId="6750ED60" w14:textId="77777777" w:rsidR="00196422" w:rsidRDefault="00196422" w:rsidP="00196422">
      <w:r>
        <w:t xml:space="preserve">Picking an offer includes settling on choices about how the organization will be separated and situated (Payne, </w:t>
      </w:r>
      <w:proofErr w:type="spellStart"/>
      <w:r>
        <w:t>Frow</w:t>
      </w:r>
      <w:proofErr w:type="spellEnd"/>
      <w:r>
        <w:t xml:space="preserve"> and Eggert 2017, p. 13). The incentive alludes to the advantages that the organization vows to give to its clients in the wake of fulfilling their requirements and separating, along these lines giving a favourable position to the objective business sectors (</w:t>
      </w:r>
      <w:proofErr w:type="spellStart"/>
      <w:r>
        <w:t>Kanagal</w:t>
      </w:r>
      <w:proofErr w:type="spellEnd"/>
      <w:r>
        <w:t xml:space="preserve"> 2017, p. 54). Organizations can make and execute their advertising techniques by seeing a portion of these ideas. The first is the idea of creation. Most buyers favour items that are effectively open and available to them. Along these lines, the organization needs to improve its creation cycle and afterwards give the items by circulating them productively. </w:t>
      </w:r>
    </w:p>
    <w:p w14:paraId="26AF64DA" w14:textId="77777777" w:rsidR="00196422" w:rsidRDefault="00196422" w:rsidP="00196422">
      <w:r>
        <w:t xml:space="preserve">The second is an item idea. All together for an organization to have an appropriately evolved advertising plan, it must realize that in the current market drifts the vast majority of the shoppers favour top-notch items. To accomplish great items, an organization must concentrate on delivering items that are improved. This will prompt the organization selling more and accordingly making colossal benefits. The third is the offer of the idea. Except if an organization puts forth an attempt to sell and advance its items, clients are probably not going to purchase. For instance, protection, which means to make voluminous deals other than quality client connections, the partaking organizations must be energetic about the idea of deals. Else, they are probably not going to sell a lot. </w:t>
      </w:r>
    </w:p>
    <w:p w14:paraId="31BCC508" w14:textId="77777777" w:rsidR="00196422" w:rsidRDefault="00196422" w:rsidP="00196422">
      <w:r>
        <w:t xml:space="preserve">The fourth is promoting idea. From an outside perspective, all together for an organization to accomplish its objectives in distinguishing the necessities and wants of its clients, it must meet them in the most ideal manner, superior to its rivals, which offer similar items and administrations or most as of late in a similar industry. Organizations need to utilize purchaser arranged promoting ideas to recognize what clients need, on the grounds that by and large they (clients) are not even mindful of the conceivable outcomes of what they need. The fifth idea in building up a promoting technique is the idea of open showcasing. To enhance clients, an organization must consider an advertising system that improves its prosperity. Social advertising includes supportability. Maintainability must be considered when building up a successful advertising technique to empower people in the future to meet </w:t>
      </w:r>
      <w:r>
        <w:lastRenderedPageBreak/>
        <w:t xml:space="preserve">similar needs as the current one (Pham and Thomas 2011, p.113). For instance, the procedures created must be ecological and social. </w:t>
      </w:r>
    </w:p>
    <w:p w14:paraId="31DF8279" w14:textId="77777777" w:rsidR="00196422" w:rsidRDefault="00196422" w:rsidP="00196422">
      <w:r>
        <w:t>The third significant advance in advertising is building an incorporated promoting project to offer some benefit to clients (Kotler and Armstrong, (2010) .The coordinated showcasing program is one that gives subtleties on how worth will reach or rather be conveyed) An incorporated promoting program includes the utilization of market blend instruments to transform planned methodologies into something genuine or rather activity. Blend apparatuses incorporate items, costs, area and advancement (</w:t>
      </w:r>
      <w:proofErr w:type="spellStart"/>
      <w:r>
        <w:t>Goi</w:t>
      </w:r>
      <w:proofErr w:type="spellEnd"/>
      <w:r>
        <w:t xml:space="preserve"> 2009, p. 2). The coordinated advertising program demonstrates the costs of the items, the spots where they are accessible, and energizes the clients who are probably going to purchase them. The advancement can prompt the arrangement of a bonus for clients who purchase items for a specific organization For instance, if an individual purchases products worth ten dollars can be earned with an extra voucher at an organization like Walmart, a comparative advancement system could prompt more clients shopping from Nestle. </w:t>
      </w:r>
    </w:p>
    <w:p w14:paraId="669D2922" w14:textId="77777777" w:rsidR="00196422" w:rsidRDefault="00196422" w:rsidP="00196422">
      <w:r>
        <w:t xml:space="preserve">Building a significant client relationship to construct client reliability is an extra norm or somewhat primarily in promoting (Christopher and Peck 2012, p.45). All together for an organization to be helpful in the advancement system, they should make, keep up and create a relationship with clients. This will perceive the most outrageous advantages for the association, as clients will return for an identical or further created help or thing. Regions for building a positive relationship with customers merit and satisfy. </w:t>
      </w:r>
    </w:p>
    <w:p w14:paraId="363FDAA3" w14:textId="77777777" w:rsidR="00196422" w:rsidRDefault="00196422" w:rsidP="00196422">
      <w:r>
        <w:t xml:space="preserve">Exactly when an organization manages the issues and wants of the customer, the customer is satisfied. Clients who are more fulfilled will, for the most part, be faithful to the associations from which they buy their things and organizations. Organizations that are keen enough to convey more than they assurance to guarantee the client is fulfilled. A client who is fulfilled will presumably pull out the message about the things and organizations of this organization. This will prompt a superior presentation of the association. Nonetheless, the organization's objective ought not to be to build client faithfulness, however, to make more regard for the client. </w:t>
      </w:r>
    </w:p>
    <w:p w14:paraId="4AB37E86" w14:textId="77777777" w:rsidR="00196422" w:rsidRDefault="00196422" w:rsidP="00196422">
      <w:r>
        <w:t xml:space="preserve">The client regards the evaluation of expenses and advantages, the appraisal of which is made genuinely and energizes the individual acquisition of this specific association (Mills, Carter and Belanger 2010, p. 346). The second an association accomplishes more regard for clients, they increment the advantages as the client keeps on looking for additional organizations. </w:t>
      </w:r>
    </w:p>
    <w:p w14:paraId="6309B651" w14:textId="77777777" w:rsidR="00196422" w:rsidRDefault="00196422" w:rsidP="00196422">
      <w:r>
        <w:t>Together, all together for an organization to shape the gainful relationship with its clients, they can utilize a few gadgets. For instance, they may utilize notices, sites, and Internet-based life stages (</w:t>
      </w:r>
      <w:proofErr w:type="spellStart"/>
      <w:r>
        <w:t>Lursch</w:t>
      </w:r>
      <w:proofErr w:type="spellEnd"/>
      <w:r>
        <w:t xml:space="preserve">, Vargo and </w:t>
      </w:r>
      <w:proofErr w:type="spellStart"/>
      <w:r>
        <w:t>Tanniru</w:t>
      </w:r>
      <w:proofErr w:type="spellEnd"/>
      <w:r>
        <w:t xml:space="preserve"> 2010, p.21). The advancement will become valuable when such gadgets are utilized oftentimes. Promoting can be a significant piece of the time through an electronic system of media scenes and can draw in clients with whom the organization can end, making gainful affiliations important to the association. Organizations likewise need to recognize noteworthy clients for ruining and killing those that appear to be troublesome. Organizations likewise need to interface all the more profoundly and cleverly. Such profound connections can empower clients made for advancement, in which they impact others through their own gatherings, utilizing weblogs, sharing, and assessing records. </w:t>
      </w:r>
    </w:p>
    <w:p w14:paraId="06A420E3" w14:textId="77777777" w:rsidR="00196422" w:rsidRDefault="00196422" w:rsidP="00196422">
      <w:r>
        <w:lastRenderedPageBreak/>
        <w:t xml:space="preserve">At the interior level, organizations must guarantee that the whole number of its representatives or people have an objective for the client place. The planned endeavours of accomplices inside and outside the organization ensure more regard for the customer. The cosy connection between them in the association is a more recognizable technique for ensuring accomplishments while making more articulated regard for clients. </w:t>
      </w:r>
    </w:p>
    <w:p w14:paraId="618E67AC" w14:textId="77777777" w:rsidR="00196422" w:rsidRDefault="00196422" w:rsidP="00196422">
      <w:r>
        <w:t xml:space="preserve">The most recent significant progression in publicizing is to give clients a motivating force to exploit (Teece 2010. P.184) Convincing client connections that urge chiefs to fulfil clients. An organization can catch the client's valuation by overhauling the client's worth, gathering the client's amount, and giving client support. Client assistance makes them faithful to the organization and, as needs are, more prominent regard for clients. Not all clients are faithful to the association. They can be confined, depending on the advantages they have added to the association and how obvious they are. For instance, an organization ought not to ruin an untouchable and disregard a dependable client who has been purchasing merchandise and adventures for such a long time. </w:t>
      </w:r>
    </w:p>
    <w:p w14:paraId="2F2C2F11" w14:textId="77777777" w:rsidR="00196422" w:rsidRDefault="00196422" w:rsidP="00196422">
      <w:r>
        <w:t xml:space="preserve">Pulling in with accomplices is imperative to accomplishing any affiliation. For it to succeed, the affiliation must have an indisputable vision gotten from a vivacious cycle of masterminding keys, and a convincing indispensable system or motivation plan can basically originate from an association responsibility. </w:t>
      </w:r>
    </w:p>
    <w:p w14:paraId="4D166323" w14:textId="77777777" w:rsidR="00196422" w:rsidRDefault="00196422" w:rsidP="00196422">
      <w:r>
        <w:t xml:space="preserve">Distinctive showcasing meetings help out a relationship with various gatherings of accomplices. The key suppositions of the accomplices and the lifestyle of the information are inconceivably significant in the underlying periods of the structures for the course of action and improvement. The incredible gathering incorporates comprehension of the work circumstance, the mall, the models, the necessities of the customer/customer and the advancement openings, much the same as a fantasy for the fate of the affiliation. </w:t>
      </w:r>
    </w:p>
    <w:p w14:paraId="5B8841D2" w14:textId="097CBCF2" w:rsidR="00196422" w:rsidRDefault="00196422" w:rsidP="00106E99">
      <w:r>
        <w:t>The solid duty transforms the translation of the accomplices' needs into legitimate objectives and makes a precondition for a powerful improvement of the philosophy. Finding the motivation behind an understanding or shared motivation unites accomplices to show their decisions and guarantees enthusiasm for a significant result. Undoubtedly, without an inside plan, you cannot construct a persuading method or roll out an improvement.</w:t>
      </w:r>
    </w:p>
    <w:p w14:paraId="54325CEC" w14:textId="77777777" w:rsidR="00196422" w:rsidRDefault="00196422" w:rsidP="00196422">
      <w:r>
        <w:t xml:space="preserve">Accomplices can differentiate contingent upon the business or affiliation. These may incorporate delegates, clients, providers, speculators, managerial or government offices, arrangements of supervisors and business people. Everybody has a novel point of view on what will remove the accomplishment of the affiliation. For instance, the inward accomplices, similar to the delegates, know the qualities and shortcomings of the affiliation, beginning from the soonest arrange and have direct data about the things they have to pass on. Outside accomplices will have another option however similarly significant viewpoint on how the affiliation and its exercises administer them. </w:t>
      </w:r>
    </w:p>
    <w:p w14:paraId="2B23BE2D" w14:textId="77777777" w:rsidR="00196422" w:rsidRDefault="00196422" w:rsidP="00196422">
      <w:r>
        <w:t xml:space="preserve">A typical comprehension is basic to building a solid vision of what lies ahead. We give an impetus to the crucial and expressive requesting measure by applying working exhortation and responsibilities and giving open social occasion to discussion and conversation. We help set up, reasonably and </w:t>
      </w:r>
      <w:proofErr w:type="spellStart"/>
      <w:r>
        <w:t>evenhandedly</w:t>
      </w:r>
      <w:proofErr w:type="spellEnd"/>
      <w:r>
        <w:t xml:space="preserve">, a relationship around a common vision and cause recommendations on how future yearnings to can best be accomplished. </w:t>
      </w:r>
    </w:p>
    <w:p w14:paraId="1543822B" w14:textId="77777777" w:rsidR="00196422" w:rsidRDefault="00196422" w:rsidP="00196422">
      <w:r>
        <w:lastRenderedPageBreak/>
        <w:t xml:space="preserve">As referenced over, the top administration of an organization portrays in detail the general business technique for an organization. In any case, this total business gear will be decoded and executed in different settings all through the organization. </w:t>
      </w:r>
    </w:p>
    <w:p w14:paraId="59E5597A" w14:textId="77777777" w:rsidR="00196422" w:rsidRDefault="00196422" w:rsidP="00196422">
      <w:r>
        <w:t xml:space="preserve">At the corporate level, publicizing objections are normally broadly situated in nature and are identified with the general vision of the organization in the short, medium, or long haul. For instance, in the event that somebody is probably going to gather an assortment of associations (or totals), senior administration may express that assortment exchanges should increment by a given rate throughout the following barely any years. </w:t>
      </w:r>
    </w:p>
    <w:p w14:paraId="4EA67D74" w14:textId="77777777" w:rsidR="00196422" w:rsidRDefault="00196422" w:rsidP="00196422">
      <w:r>
        <w:t xml:space="preserve">A key authority office (SBU) is a subordinate organization in the organization that is keen on a given market/industry. SBU would comprehend the corporate philosophy and adjust it to its particular industry. For instance, SBU can be remembered for the gaming business. Along these lines, you will see how you would accomplish extra arrangements with sports items so you can finish the overall business methodology. </w:t>
      </w:r>
    </w:p>
    <w:p w14:paraId="03E1E644" w14:textId="6427A6B3" w:rsidR="00106E99" w:rsidRDefault="00196422" w:rsidP="00196422">
      <w:r>
        <w:t>The utilitarian level is related to workplaces inside the SBU, for example, representation, account, HR, creation, and so on. To reuse the gaming business case, the publicizing office will create showing plans, frameworks, and just as that trades to permit SBU to accomplish its special focuses.</w:t>
      </w:r>
    </w:p>
    <w:p w14:paraId="1A680619" w14:textId="4D3D3809" w:rsidR="00106E99" w:rsidRDefault="00106E99" w:rsidP="00106E99">
      <w:pPr>
        <w:pStyle w:val="Heading1"/>
      </w:pPr>
      <w:bookmarkStart w:id="3" w:name="_Toc49788844"/>
      <w:r>
        <w:t>Nestle Marketing and Stakeholder Engagement</w:t>
      </w:r>
      <w:bookmarkEnd w:id="3"/>
      <w:r>
        <w:t xml:space="preserve"> </w:t>
      </w:r>
    </w:p>
    <w:p w14:paraId="12375E50" w14:textId="77777777" w:rsidR="00196422" w:rsidRDefault="00196422" w:rsidP="00196422">
      <w:r>
        <w:t>Of the apparent multitude of definitions over, the undeniable accomplice of directors is one of the most tricky tests that huge numbers of the biggest organizations need to look so as to keep up their notoriety perfect and essentially more so as to be powerful. , The connection between the Corporation and its accomplices might be conflicting in light of the fact that everybody must battle for their own quality (</w:t>
      </w:r>
      <w:proofErr w:type="spellStart"/>
      <w:r>
        <w:t>Bonnafous</w:t>
      </w:r>
      <w:proofErr w:type="spellEnd"/>
      <w:r>
        <w:t xml:space="preserve">-Boucher and </w:t>
      </w:r>
      <w:proofErr w:type="spellStart"/>
      <w:r>
        <w:t>Porcher</w:t>
      </w:r>
      <w:proofErr w:type="spellEnd"/>
      <w:r>
        <w:t xml:space="preserve">, 2010). Associations have commitments to their labourers, society, government, purchasers, proprietor and land. This implies they should keep on contemplating every one of them in their money related methodology and advancement. The connection between the organization and the get-togethers of its accomplices infers commitments and this is the primary subject of this archive on corporate social obligation (still corporate, little voice). The CSR technique is a limit as an innate, programmed framework through which organizations secure and guarantee their dynamic consistency with the genuine reason for the law, moral standards, and worldwide norms. This implies the association must have the option to discover the need and favourable position of working with accomplices and this can be a difficult gathering for associations. Hence, associations must include all accomplices in any gigantic decision. </w:t>
      </w:r>
    </w:p>
    <w:p w14:paraId="7129CDB2" w14:textId="77777777" w:rsidR="00196422" w:rsidRDefault="00196422" w:rsidP="00196422">
      <w:r>
        <w:t xml:space="preserve">Nestlé Corporation is the biggest food association on earth with a capital of 120.442 billion Swiss francs and is associated with a wide scope of affront related to kid nourishment, maltreatment of makers in African nations, the trial of animals and that are just the beginning. This association is one of the most dubious associations on earth and consequently; it must keep up ability with a wide scope of inner and outer accomplices (Nestle, 2007). </w:t>
      </w:r>
    </w:p>
    <w:p w14:paraId="6BC50D10" w14:textId="77777777" w:rsidR="00196422" w:rsidRDefault="00196422" w:rsidP="00196422">
      <w:r>
        <w:t xml:space="preserve">The association speculation is dynamic and safeguarded in the composition of the organization relying upon its illustrative precision, instrumental quality and administrative </w:t>
      </w:r>
      <w:r>
        <w:lastRenderedPageBreak/>
        <w:t>authenticity (Dodd. Jr 1932). These three perspectives are the most significant concentrations in the theory of the accomplices of the cutting edge organization. Notwithstanding the way that they are interrelated and unmistakable: They include various sorts of proof and debates and have various impacts (</w:t>
      </w:r>
      <w:proofErr w:type="spellStart"/>
      <w:r>
        <w:t>Bonnafous</w:t>
      </w:r>
      <w:proofErr w:type="spellEnd"/>
      <w:r>
        <w:t xml:space="preserve">-Boucher and </w:t>
      </w:r>
      <w:proofErr w:type="spellStart"/>
      <w:r>
        <w:t>Porcher</w:t>
      </w:r>
      <w:proofErr w:type="spellEnd"/>
      <w:r>
        <w:t xml:space="preserve">, 2010). Also, E. Merrick Dodd Jr., Thomas Donaldson examined the three pieces of the theory in his article in The Academic of Management Review 1995, Vol. 20. № 1. 63-91. They broke down them, yet further sentenced and composed huge responsibilities to what exactly was composed. These three pieces of what is composed distinguish one another and the reason that these three pieces of the accomplice's speculation are generally steady and make the precondition for managing the theory - which incorporates the all-inclusive property rights theory - and are vital. </w:t>
      </w:r>
    </w:p>
    <w:p w14:paraId="01931222" w14:textId="77777777" w:rsidR="00196422" w:rsidRDefault="00196422" w:rsidP="00196422">
      <w:r>
        <w:t>As a guide in the introduction, the open door for corporate social commitment and, in this circumstance, the colleagues picked up significance recorded as a hard copy and essentially more in the field of specialists (practice). Regardless, board accomplice is the principal subject of a basic cutting-edge text for business and society (</w:t>
      </w:r>
      <w:proofErr w:type="spellStart"/>
      <w:r>
        <w:t>Bonnafous</w:t>
      </w:r>
      <w:proofErr w:type="spellEnd"/>
      <w:r>
        <w:t xml:space="preserve">-Boucher and </w:t>
      </w:r>
      <w:proofErr w:type="spellStart"/>
      <w:r>
        <w:t>Porcher</w:t>
      </w:r>
      <w:proofErr w:type="spellEnd"/>
      <w:r>
        <w:t xml:space="preserve">, 2010). </w:t>
      </w:r>
    </w:p>
    <w:p w14:paraId="409B978C" w14:textId="022B4473" w:rsidR="00106E99" w:rsidRPr="00106E99" w:rsidRDefault="00196422" w:rsidP="00196422">
      <w:r>
        <w:t>There is a recommendation for the accomplice's emphasis on the board and the accomplice's speculation: the accomplice's theory is without a doubt educational. It presents a model portraying what the organization resembles. She presents the organization as a gathering of stars of helpful and genuine interests with normal worth. Portions of this model can be tried for illuminating exactness: is this model more precise than contending models? Additionally, do watchers and individuals really observe the organization that way? The model can likewise be finished as a structure for testing every test case, including instrumental desires identified with the accomplice's thought (</w:t>
      </w:r>
      <w:proofErr w:type="spellStart"/>
      <w:r>
        <w:t>Bonnafous</w:t>
      </w:r>
      <w:proofErr w:type="spellEnd"/>
      <w:r>
        <w:t xml:space="preserve">-Boucher and </w:t>
      </w:r>
      <w:proofErr w:type="spellStart"/>
      <w:r>
        <w:t>Porcher</w:t>
      </w:r>
      <w:proofErr w:type="spellEnd"/>
      <w:r>
        <w:t>, 2010).</w:t>
      </w:r>
    </w:p>
    <w:p w14:paraId="0C4B6692" w14:textId="77777777" w:rsidR="00106E99" w:rsidRDefault="00106E99" w:rsidP="00106E99">
      <w:pPr>
        <w:pStyle w:val="Heading1"/>
      </w:pPr>
      <w:bookmarkStart w:id="4" w:name="_Toc48604092"/>
      <w:bookmarkStart w:id="5" w:name="_Toc49788845"/>
      <w:r>
        <w:t>Conclusion</w:t>
      </w:r>
      <w:bookmarkEnd w:id="4"/>
      <w:bookmarkEnd w:id="5"/>
    </w:p>
    <w:p w14:paraId="1A4C34D1" w14:textId="3275199A" w:rsidR="00106E99" w:rsidRPr="00BA4A07" w:rsidRDefault="00196422" w:rsidP="00BA4A07">
      <w:r w:rsidRPr="00196422">
        <w:t>All in all, for Nestle, advancing a clue on the most proficient method to make a motivation for purchasers and make a steady and stable relationship with clients to pull in client regard. The show has five critical accomplishments. The underlying presentation step includes understanding the shopping centre precisely as clients need. Ensuring key advances in publicizing are the organizing of an advancement method and a showing plan included. The third key development in the advancement is to fabricate a planned showing program to offer some profit to clients. The most recent focal advancement in execution is to urge clients to profit. As examined, each key is separated in the article. All together for an organization to be viable in publicizing its articles, it must adhere to the above principles, or rather the essentials of show.</w:t>
      </w:r>
    </w:p>
    <w:p w14:paraId="552373F5" w14:textId="77777777" w:rsidR="00106E99" w:rsidRDefault="00106E99"/>
    <w:p w14:paraId="485E6C39" w14:textId="2D0A065F" w:rsidR="00BA4A07" w:rsidRDefault="00BA4A07"/>
    <w:p w14:paraId="74A33E47" w14:textId="77777777" w:rsidR="00106E99" w:rsidRDefault="00106E99"/>
    <w:p w14:paraId="3BFF7CA0" w14:textId="535CD759" w:rsidR="00BA4A07" w:rsidRDefault="00BA4A07"/>
    <w:p w14:paraId="4A93FA90" w14:textId="77777777" w:rsidR="00106E99" w:rsidRDefault="00106E99" w:rsidP="00106E99">
      <w:pPr>
        <w:pStyle w:val="Heading1"/>
      </w:pPr>
      <w:bookmarkStart w:id="6" w:name="_Toc48604093"/>
      <w:bookmarkStart w:id="7" w:name="_Toc49788846"/>
      <w:r>
        <w:lastRenderedPageBreak/>
        <w:t>Reference List</w:t>
      </w:r>
      <w:bookmarkEnd w:id="6"/>
      <w:bookmarkEnd w:id="7"/>
    </w:p>
    <w:p w14:paraId="5F051F5A" w14:textId="77777777" w:rsidR="00106E99" w:rsidRPr="00106E99" w:rsidRDefault="00106E99" w:rsidP="00106E99">
      <w:proofErr w:type="spellStart"/>
      <w:r w:rsidRPr="00106E99">
        <w:t>Bonnafous</w:t>
      </w:r>
      <w:proofErr w:type="spellEnd"/>
      <w:r w:rsidRPr="00106E99">
        <w:t xml:space="preserve">-Boucher, M. and </w:t>
      </w:r>
      <w:proofErr w:type="spellStart"/>
      <w:r w:rsidRPr="00106E99">
        <w:t>Porcher</w:t>
      </w:r>
      <w:proofErr w:type="spellEnd"/>
      <w:r w:rsidRPr="00106E99">
        <w:t xml:space="preserve">, S. (2010). Towards a stakeholder society: Stakeholder theory vs theory of civil society. </w:t>
      </w:r>
      <w:r w:rsidRPr="00106E99">
        <w:rPr>
          <w:i/>
          <w:iCs/>
        </w:rPr>
        <w:t>European Management Review</w:t>
      </w:r>
      <w:r w:rsidRPr="00106E99">
        <w:t>, 7(</w:t>
      </w:r>
      <w:r w:rsidRPr="00106E99">
        <w:rPr>
          <w:b/>
          <w:bCs/>
        </w:rPr>
        <w:t>4</w:t>
      </w:r>
      <w:r w:rsidRPr="00106E99">
        <w:t>), pp.205–216.</w:t>
      </w:r>
    </w:p>
    <w:p w14:paraId="2A00306B" w14:textId="77777777" w:rsidR="00106E99" w:rsidRPr="00801957" w:rsidRDefault="00106E99" w:rsidP="00106E99">
      <w:pPr>
        <w:rPr>
          <w:lang w:val="en-US"/>
        </w:rPr>
      </w:pPr>
      <w:r w:rsidRPr="00801957">
        <w:rPr>
          <w:lang w:val="en-US"/>
        </w:rPr>
        <w:t>Christopher, M. and Peck, H. (2012). </w:t>
      </w:r>
      <w:r w:rsidRPr="00801957">
        <w:rPr>
          <w:i/>
          <w:iCs/>
          <w:lang w:val="en-US"/>
        </w:rPr>
        <w:t>Marketing logistics</w:t>
      </w:r>
      <w:r w:rsidRPr="00801957">
        <w:rPr>
          <w:lang w:val="en-US"/>
        </w:rPr>
        <w:t>. Routledge.</w:t>
      </w:r>
    </w:p>
    <w:p w14:paraId="644E5076" w14:textId="77777777" w:rsidR="00106E99" w:rsidRPr="00801957" w:rsidRDefault="00106E99" w:rsidP="00106E99">
      <w:pPr>
        <w:rPr>
          <w:lang w:val="en-US"/>
        </w:rPr>
      </w:pPr>
      <w:proofErr w:type="spellStart"/>
      <w:r w:rsidRPr="00801957">
        <w:rPr>
          <w:lang w:val="en-US"/>
        </w:rPr>
        <w:t>Goi</w:t>
      </w:r>
      <w:proofErr w:type="spellEnd"/>
      <w:r w:rsidRPr="00801957">
        <w:rPr>
          <w:lang w:val="en-US"/>
        </w:rPr>
        <w:t>, C.L. (2009). A review of marketing mix: 4Ps or more? </w:t>
      </w:r>
      <w:r w:rsidRPr="00801957">
        <w:rPr>
          <w:i/>
          <w:iCs/>
          <w:lang w:val="en-US"/>
        </w:rPr>
        <w:t>International journal of marketing studies</w:t>
      </w:r>
      <w:r w:rsidRPr="00801957">
        <w:rPr>
          <w:lang w:val="en-US"/>
        </w:rPr>
        <w:t>, 1(</w:t>
      </w:r>
      <w:r w:rsidRPr="00801957">
        <w:rPr>
          <w:b/>
          <w:bCs/>
          <w:lang w:val="en-US"/>
        </w:rPr>
        <w:t>1</w:t>
      </w:r>
      <w:r w:rsidRPr="00801957">
        <w:rPr>
          <w:lang w:val="en-US"/>
        </w:rPr>
        <w:t>), p.2.</w:t>
      </w:r>
    </w:p>
    <w:p w14:paraId="2B71A5AC" w14:textId="77777777" w:rsidR="00106E99" w:rsidRPr="00801957" w:rsidRDefault="00106E99" w:rsidP="00106E99">
      <w:pPr>
        <w:rPr>
          <w:lang w:val="en-US"/>
        </w:rPr>
      </w:pPr>
      <w:r w:rsidRPr="00801957">
        <w:rPr>
          <w:lang w:val="en-US"/>
        </w:rPr>
        <w:t>Kotler, P. and Armstrong, G. (2010). </w:t>
      </w:r>
      <w:r w:rsidRPr="00801957">
        <w:rPr>
          <w:i/>
          <w:iCs/>
          <w:lang w:val="en-US"/>
        </w:rPr>
        <w:t>Principles of marketing</w:t>
      </w:r>
      <w:r w:rsidRPr="00801957">
        <w:rPr>
          <w:lang w:val="en-US"/>
        </w:rPr>
        <w:t>. Pearson education.</w:t>
      </w:r>
    </w:p>
    <w:p w14:paraId="41ED730D" w14:textId="77777777" w:rsidR="00106E99" w:rsidRPr="00801957" w:rsidRDefault="00106E99" w:rsidP="00106E99">
      <w:pPr>
        <w:rPr>
          <w:lang w:val="en-US"/>
        </w:rPr>
      </w:pPr>
      <w:proofErr w:type="spellStart"/>
      <w:r w:rsidRPr="00801957">
        <w:rPr>
          <w:lang w:val="en-US"/>
        </w:rPr>
        <w:t>Lusch</w:t>
      </w:r>
      <w:proofErr w:type="spellEnd"/>
      <w:r w:rsidRPr="00801957">
        <w:rPr>
          <w:lang w:val="en-US"/>
        </w:rPr>
        <w:t xml:space="preserve">, R.F., Vargo, S.L. and </w:t>
      </w:r>
      <w:proofErr w:type="spellStart"/>
      <w:r w:rsidRPr="00801957">
        <w:rPr>
          <w:lang w:val="en-US"/>
        </w:rPr>
        <w:t>Tanniru</w:t>
      </w:r>
      <w:proofErr w:type="spellEnd"/>
      <w:r w:rsidRPr="00801957">
        <w:rPr>
          <w:lang w:val="en-US"/>
        </w:rPr>
        <w:t>, M. (2010). Service, value networks and learning. </w:t>
      </w:r>
      <w:r w:rsidRPr="00801957">
        <w:rPr>
          <w:i/>
          <w:iCs/>
          <w:lang w:val="en-US"/>
        </w:rPr>
        <w:t>Journal of the academy of marketing science</w:t>
      </w:r>
      <w:r w:rsidRPr="00801957">
        <w:rPr>
          <w:lang w:val="en-US"/>
        </w:rPr>
        <w:t>, 38(</w:t>
      </w:r>
      <w:r w:rsidRPr="00801957">
        <w:rPr>
          <w:b/>
          <w:bCs/>
          <w:lang w:val="en-US"/>
        </w:rPr>
        <w:t>1</w:t>
      </w:r>
      <w:r w:rsidRPr="00801957">
        <w:rPr>
          <w:lang w:val="en-US"/>
        </w:rPr>
        <w:t>), pp.19-31.</w:t>
      </w:r>
    </w:p>
    <w:p w14:paraId="4D63A312" w14:textId="77777777" w:rsidR="00106E99" w:rsidRPr="00801957" w:rsidRDefault="00106E99" w:rsidP="00106E99">
      <w:r w:rsidRPr="00801957">
        <w:t xml:space="preserve">Pride, W.M., Ferrell, O.C., Lukas, B.A., Schembri, S., </w:t>
      </w:r>
      <w:proofErr w:type="spellStart"/>
      <w:r w:rsidRPr="00801957">
        <w:t>Outi</w:t>
      </w:r>
      <w:proofErr w:type="spellEnd"/>
      <w:r w:rsidRPr="00801957">
        <w:t xml:space="preserve"> </w:t>
      </w:r>
      <w:proofErr w:type="spellStart"/>
      <w:r w:rsidRPr="00801957">
        <w:t>Niininen</w:t>
      </w:r>
      <w:proofErr w:type="spellEnd"/>
      <w:r w:rsidRPr="00801957">
        <w:t xml:space="preserve"> and Riza </w:t>
      </w:r>
      <w:proofErr w:type="spellStart"/>
      <w:r w:rsidRPr="00801957">
        <w:t>Casidy</w:t>
      </w:r>
      <w:proofErr w:type="spellEnd"/>
      <w:r w:rsidRPr="00801957">
        <w:t xml:space="preserve"> (2018). </w:t>
      </w:r>
      <w:r w:rsidRPr="00801957">
        <w:rPr>
          <w:i/>
          <w:iCs/>
        </w:rPr>
        <w:t>Marketing principles</w:t>
      </w:r>
      <w:r w:rsidRPr="00801957">
        <w:t>. South Melbourne, Vic. Cengage.</w:t>
      </w:r>
    </w:p>
    <w:p w14:paraId="0273D238" w14:textId="77777777" w:rsidR="00106E99" w:rsidRPr="00801957" w:rsidRDefault="00106E99" w:rsidP="00106E99">
      <w:pPr>
        <w:rPr>
          <w:lang w:val="en-US"/>
        </w:rPr>
      </w:pPr>
      <w:r w:rsidRPr="00801957">
        <w:rPr>
          <w:lang w:val="en-US"/>
        </w:rPr>
        <w:t xml:space="preserve">Mills, A., Carter, L. and Belanger, F. (2010). </w:t>
      </w:r>
      <w:r w:rsidRPr="00801957">
        <w:rPr>
          <w:i/>
          <w:iCs/>
          <w:lang w:val="en-US"/>
        </w:rPr>
        <w:t>Conceptualizing Public Service Value in E-government</w:t>
      </w:r>
      <w:r w:rsidRPr="00801957">
        <w:rPr>
          <w:lang w:val="en-US"/>
        </w:rPr>
        <w:t>.</w:t>
      </w:r>
    </w:p>
    <w:p w14:paraId="795EBB8E" w14:textId="77777777" w:rsidR="00106E99" w:rsidRPr="00106E99" w:rsidRDefault="00106E99" w:rsidP="00106E99">
      <w:r w:rsidRPr="00106E99">
        <w:t xml:space="preserve">Nestle, M. (2007). </w:t>
      </w:r>
      <w:r w:rsidRPr="00106E99">
        <w:rPr>
          <w:i/>
          <w:iCs/>
        </w:rPr>
        <w:t>What to eat</w:t>
      </w:r>
      <w:r w:rsidRPr="00106E99">
        <w:t>. New York: North Point Press/Farrar, Straus And Giroux.</w:t>
      </w:r>
    </w:p>
    <w:p w14:paraId="3054584E" w14:textId="77777777" w:rsidR="00106E99" w:rsidRPr="00801957" w:rsidRDefault="00106E99" w:rsidP="00106E99">
      <w:pPr>
        <w:rPr>
          <w:lang w:val="en-US"/>
        </w:rPr>
      </w:pPr>
      <w:proofErr w:type="spellStart"/>
      <w:r w:rsidRPr="00801957">
        <w:rPr>
          <w:lang w:val="en-US"/>
        </w:rPr>
        <w:t>Nordin</w:t>
      </w:r>
      <w:proofErr w:type="spellEnd"/>
      <w:r w:rsidRPr="00801957">
        <w:rPr>
          <w:lang w:val="en-US"/>
        </w:rPr>
        <w:t xml:space="preserve">, F., </w:t>
      </w:r>
      <w:proofErr w:type="spellStart"/>
      <w:r w:rsidRPr="00801957">
        <w:rPr>
          <w:lang w:val="en-US"/>
        </w:rPr>
        <w:t>Kindström</w:t>
      </w:r>
      <w:proofErr w:type="spellEnd"/>
      <w:r w:rsidRPr="00801957">
        <w:rPr>
          <w:lang w:val="en-US"/>
        </w:rPr>
        <w:t xml:space="preserve">, D., </w:t>
      </w:r>
      <w:proofErr w:type="spellStart"/>
      <w:r w:rsidRPr="00801957">
        <w:rPr>
          <w:lang w:val="en-US"/>
        </w:rPr>
        <w:t>Kowalkowski</w:t>
      </w:r>
      <w:proofErr w:type="spellEnd"/>
      <w:r w:rsidRPr="00801957">
        <w:rPr>
          <w:lang w:val="en-US"/>
        </w:rPr>
        <w:t xml:space="preserve">, C. and </w:t>
      </w:r>
      <w:proofErr w:type="spellStart"/>
      <w:r w:rsidRPr="00801957">
        <w:rPr>
          <w:lang w:val="en-US"/>
        </w:rPr>
        <w:t>Rehme</w:t>
      </w:r>
      <w:proofErr w:type="spellEnd"/>
      <w:r w:rsidRPr="00801957">
        <w:rPr>
          <w:lang w:val="en-US"/>
        </w:rPr>
        <w:t xml:space="preserve">, J. (2011). The risks of providing services: Differential risk effects of the service-development strategies of </w:t>
      </w:r>
      <w:proofErr w:type="spellStart"/>
      <w:r w:rsidRPr="00801957">
        <w:rPr>
          <w:lang w:val="en-US"/>
        </w:rPr>
        <w:t>customisation</w:t>
      </w:r>
      <w:proofErr w:type="spellEnd"/>
      <w:r w:rsidRPr="00801957">
        <w:rPr>
          <w:lang w:val="en-US"/>
        </w:rPr>
        <w:t>, bundling, and range. </w:t>
      </w:r>
      <w:r w:rsidRPr="00801957">
        <w:rPr>
          <w:i/>
          <w:iCs/>
          <w:lang w:val="en-US"/>
        </w:rPr>
        <w:t>Journal of Service Management</w:t>
      </w:r>
      <w:r w:rsidRPr="00801957">
        <w:rPr>
          <w:lang w:val="en-US"/>
        </w:rPr>
        <w:t>, 22(</w:t>
      </w:r>
      <w:r w:rsidRPr="00801957">
        <w:rPr>
          <w:b/>
          <w:bCs/>
          <w:lang w:val="en-US"/>
        </w:rPr>
        <w:t>3</w:t>
      </w:r>
      <w:r w:rsidRPr="00801957">
        <w:rPr>
          <w:lang w:val="en-US"/>
        </w:rPr>
        <w:t>), pp.390-408. Services. In </w:t>
      </w:r>
      <w:r w:rsidRPr="00801957">
        <w:rPr>
          <w:i/>
          <w:iCs/>
          <w:lang w:val="en-US"/>
        </w:rPr>
        <w:t>AMCIS</w:t>
      </w:r>
      <w:r w:rsidRPr="00801957">
        <w:rPr>
          <w:lang w:val="en-US"/>
        </w:rPr>
        <w:t> (p. 346).</w:t>
      </w:r>
    </w:p>
    <w:p w14:paraId="2ECC7764" w14:textId="77777777" w:rsidR="00106E99" w:rsidRPr="00801957" w:rsidRDefault="00106E99" w:rsidP="00106E99">
      <w:pPr>
        <w:rPr>
          <w:lang w:val="en-US"/>
        </w:rPr>
      </w:pPr>
      <w:r w:rsidRPr="00801957">
        <w:rPr>
          <w:lang w:val="en-US"/>
        </w:rPr>
        <w:t xml:space="preserve">Payne, A., </w:t>
      </w:r>
      <w:proofErr w:type="spellStart"/>
      <w:r w:rsidRPr="00801957">
        <w:rPr>
          <w:lang w:val="en-US"/>
        </w:rPr>
        <w:t>Frow</w:t>
      </w:r>
      <w:proofErr w:type="spellEnd"/>
      <w:r w:rsidRPr="00801957">
        <w:rPr>
          <w:lang w:val="en-US"/>
        </w:rPr>
        <w:t>, P. and Eggert, A. (2017). The customer value proposition: evolution, development, and application in marketing. </w:t>
      </w:r>
      <w:r w:rsidRPr="00801957">
        <w:rPr>
          <w:i/>
          <w:iCs/>
          <w:lang w:val="en-US"/>
        </w:rPr>
        <w:t>Journal of the Academy of Marketing Science</w:t>
      </w:r>
      <w:r w:rsidRPr="00801957">
        <w:rPr>
          <w:lang w:val="en-US"/>
        </w:rPr>
        <w:t>, pp.1-23.</w:t>
      </w:r>
    </w:p>
    <w:p w14:paraId="750CF3A4" w14:textId="77777777" w:rsidR="00106E99" w:rsidRPr="00801957" w:rsidRDefault="00106E99" w:rsidP="00106E99">
      <w:pPr>
        <w:rPr>
          <w:lang w:val="en-US"/>
        </w:rPr>
      </w:pPr>
      <w:r w:rsidRPr="00801957">
        <w:rPr>
          <w:lang w:val="en-US"/>
        </w:rPr>
        <w:t>Pham, D.T. and Thomas, A.J. (2011). Fit manufacturing: a framework for sustainability. </w:t>
      </w:r>
      <w:r w:rsidRPr="00801957">
        <w:rPr>
          <w:i/>
          <w:iCs/>
          <w:lang w:val="en-US"/>
        </w:rPr>
        <w:t>Journal of Manufacturing Technology Management</w:t>
      </w:r>
      <w:r w:rsidRPr="00801957">
        <w:rPr>
          <w:lang w:val="en-US"/>
        </w:rPr>
        <w:t>, 23(</w:t>
      </w:r>
      <w:r w:rsidRPr="00801957">
        <w:rPr>
          <w:b/>
          <w:bCs/>
          <w:lang w:val="en-US"/>
        </w:rPr>
        <w:t>1</w:t>
      </w:r>
      <w:r w:rsidRPr="00801957">
        <w:rPr>
          <w:lang w:val="en-US"/>
        </w:rPr>
        <w:t>), pp.103-123.</w:t>
      </w:r>
    </w:p>
    <w:p w14:paraId="0CEBE340" w14:textId="77777777" w:rsidR="00106E99" w:rsidRPr="00801957" w:rsidRDefault="00106E99" w:rsidP="00106E99">
      <w:pPr>
        <w:rPr>
          <w:lang w:val="en-US"/>
        </w:rPr>
      </w:pPr>
      <w:proofErr w:type="spellStart"/>
      <w:r w:rsidRPr="00801957">
        <w:rPr>
          <w:lang w:val="en-US"/>
        </w:rPr>
        <w:t>Shalley</w:t>
      </w:r>
      <w:proofErr w:type="spellEnd"/>
      <w:r w:rsidRPr="00801957">
        <w:rPr>
          <w:lang w:val="en-US"/>
        </w:rPr>
        <w:t>, C.E. and Gilson, L.L. (2017). Creativity and the management of technology: Balancing creativity and standardization. </w:t>
      </w:r>
      <w:r w:rsidRPr="00801957">
        <w:rPr>
          <w:i/>
          <w:iCs/>
          <w:lang w:val="en-US"/>
        </w:rPr>
        <w:t>Production and Operations Management</w:t>
      </w:r>
      <w:r w:rsidRPr="00801957">
        <w:rPr>
          <w:lang w:val="en-US"/>
        </w:rPr>
        <w:t>, 26(</w:t>
      </w:r>
      <w:r w:rsidRPr="00801957">
        <w:rPr>
          <w:b/>
          <w:bCs/>
          <w:lang w:val="en-US"/>
        </w:rPr>
        <w:t>4</w:t>
      </w:r>
      <w:r w:rsidRPr="00801957">
        <w:rPr>
          <w:lang w:val="en-US"/>
        </w:rPr>
        <w:t>), pp.605-616.</w:t>
      </w:r>
    </w:p>
    <w:p w14:paraId="5079CDB7" w14:textId="77777777" w:rsidR="00106E99" w:rsidRPr="00801957" w:rsidRDefault="00106E99" w:rsidP="00106E99">
      <w:pPr>
        <w:rPr>
          <w:lang w:val="en-US"/>
        </w:rPr>
      </w:pPr>
      <w:r w:rsidRPr="00801957">
        <w:rPr>
          <w:lang w:val="en-US"/>
        </w:rPr>
        <w:t xml:space="preserve">Solomon, M., Russell-Bennett, R. and </w:t>
      </w:r>
      <w:proofErr w:type="spellStart"/>
      <w:r w:rsidRPr="00801957">
        <w:rPr>
          <w:lang w:val="en-US"/>
        </w:rPr>
        <w:t>Previte</w:t>
      </w:r>
      <w:proofErr w:type="spellEnd"/>
      <w:r w:rsidRPr="00801957">
        <w:rPr>
          <w:lang w:val="en-US"/>
        </w:rPr>
        <w:t>, J. (2012). </w:t>
      </w:r>
      <w:r w:rsidRPr="00801957">
        <w:rPr>
          <w:i/>
          <w:iCs/>
          <w:lang w:val="en-US"/>
        </w:rPr>
        <w:t xml:space="preserve">Consumer </w:t>
      </w:r>
      <w:proofErr w:type="spellStart"/>
      <w:r w:rsidRPr="00801957">
        <w:rPr>
          <w:i/>
          <w:iCs/>
          <w:lang w:val="en-US"/>
        </w:rPr>
        <w:t>behaviour</w:t>
      </w:r>
      <w:proofErr w:type="spellEnd"/>
      <w:r w:rsidRPr="00801957">
        <w:rPr>
          <w:lang w:val="en-US"/>
        </w:rPr>
        <w:t>. Pearson Higher Education AU.</w:t>
      </w:r>
    </w:p>
    <w:p w14:paraId="6BD5B98C" w14:textId="77777777" w:rsidR="00106E99" w:rsidRPr="00801957" w:rsidRDefault="00106E99" w:rsidP="00106E99">
      <w:pPr>
        <w:rPr>
          <w:lang w:val="en-US"/>
        </w:rPr>
      </w:pPr>
      <w:r w:rsidRPr="00801957">
        <w:rPr>
          <w:lang w:val="en-US"/>
        </w:rPr>
        <w:t>Teece, D.J. (2010). Business models, business strategy and innovation. </w:t>
      </w:r>
      <w:r w:rsidRPr="00801957">
        <w:rPr>
          <w:i/>
          <w:iCs/>
          <w:lang w:val="en-US"/>
        </w:rPr>
        <w:t>Long range planning</w:t>
      </w:r>
      <w:r w:rsidRPr="00801957">
        <w:rPr>
          <w:lang w:val="en-US"/>
        </w:rPr>
        <w:t>, 43(</w:t>
      </w:r>
      <w:r w:rsidRPr="00801957">
        <w:rPr>
          <w:b/>
          <w:bCs/>
          <w:lang w:val="en-US"/>
        </w:rPr>
        <w:t>2</w:t>
      </w:r>
      <w:r w:rsidRPr="00801957">
        <w:rPr>
          <w:lang w:val="en-US"/>
        </w:rPr>
        <w:t>), pp.172-194.</w:t>
      </w:r>
    </w:p>
    <w:p w14:paraId="2BBE4747" w14:textId="3DC12F62" w:rsidR="00BA4A07" w:rsidRDefault="00BA4A07"/>
    <w:p w14:paraId="37438C1B" w14:textId="3562C8EB" w:rsidR="00BA4A07" w:rsidRDefault="00BA4A07"/>
    <w:p w14:paraId="29C2A26F" w14:textId="2ADE459B" w:rsidR="00BA4A07" w:rsidRDefault="00BA4A07"/>
    <w:p w14:paraId="2C211783" w14:textId="0C8FCC04" w:rsidR="00BA4A07" w:rsidRDefault="00BA4A07"/>
    <w:p w14:paraId="3822EC45" w14:textId="77777777" w:rsidR="00BA4A07" w:rsidRDefault="00BA4A07"/>
    <w:sectPr w:rsidR="00BA4A07" w:rsidSect="00BA4A07">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9CA478F" w14:textId="77777777" w:rsidR="00A03198" w:rsidRDefault="00A03198" w:rsidP="00BA4A07">
      <w:pPr>
        <w:spacing w:after="0" w:line="240" w:lineRule="auto"/>
      </w:pPr>
      <w:r>
        <w:separator/>
      </w:r>
    </w:p>
  </w:endnote>
  <w:endnote w:type="continuationSeparator" w:id="0">
    <w:p w14:paraId="272A1D53" w14:textId="77777777" w:rsidR="00A03198" w:rsidRDefault="00A03198" w:rsidP="00BA4A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53770411"/>
      <w:docPartObj>
        <w:docPartGallery w:val="Page Numbers (Bottom of Page)"/>
        <w:docPartUnique/>
      </w:docPartObj>
    </w:sdtPr>
    <w:sdtEndPr>
      <w:rPr>
        <w:noProof/>
      </w:rPr>
    </w:sdtEndPr>
    <w:sdtContent>
      <w:p w14:paraId="424C96C1" w14:textId="2EFD3F01" w:rsidR="00BA4A07" w:rsidRDefault="00BA4A0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C85AFA1" w14:textId="77777777" w:rsidR="00BA4A07" w:rsidRDefault="00BA4A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0D7EC0C" w14:textId="77777777" w:rsidR="00A03198" w:rsidRDefault="00A03198" w:rsidP="00BA4A07">
      <w:pPr>
        <w:spacing w:after="0" w:line="240" w:lineRule="auto"/>
      </w:pPr>
      <w:r>
        <w:separator/>
      </w:r>
    </w:p>
  </w:footnote>
  <w:footnote w:type="continuationSeparator" w:id="0">
    <w:p w14:paraId="1513B614" w14:textId="77777777" w:rsidR="00A03198" w:rsidRDefault="00A03198" w:rsidP="00BA4A0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6BE2"/>
    <w:rsid w:val="00014C0D"/>
    <w:rsid w:val="00106360"/>
    <w:rsid w:val="00106E99"/>
    <w:rsid w:val="00126BE2"/>
    <w:rsid w:val="00196422"/>
    <w:rsid w:val="002E1664"/>
    <w:rsid w:val="003A63CD"/>
    <w:rsid w:val="00736194"/>
    <w:rsid w:val="00844443"/>
    <w:rsid w:val="00861B95"/>
    <w:rsid w:val="0097139E"/>
    <w:rsid w:val="00A03198"/>
    <w:rsid w:val="00B44CD7"/>
    <w:rsid w:val="00BA4A07"/>
    <w:rsid w:val="00DE5333"/>
    <w:rsid w:val="00E026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9F64D6"/>
  <w15:chartTrackingRefBased/>
  <w15:docId w15:val="{0D4CD6F6-6229-41A2-8429-99853AE56D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6360"/>
    <w:pPr>
      <w:spacing w:after="200" w:line="276" w:lineRule="auto"/>
    </w:pPr>
    <w:rPr>
      <w:rFonts w:ascii="Arial" w:hAnsi="Arial"/>
    </w:rPr>
  </w:style>
  <w:style w:type="paragraph" w:styleId="Heading1">
    <w:name w:val="heading 1"/>
    <w:basedOn w:val="Normal"/>
    <w:next w:val="Normal"/>
    <w:link w:val="Heading1Char"/>
    <w:uiPriority w:val="9"/>
    <w:qFormat/>
    <w:rsid w:val="00DE5333"/>
    <w:pPr>
      <w:keepNext/>
      <w:keepLines/>
      <w:spacing w:before="480" w:after="0"/>
      <w:outlineLvl w:val="0"/>
    </w:pPr>
    <w:rPr>
      <w:rFonts w:asciiTheme="majorHAnsi" w:eastAsiaTheme="majorEastAsia" w:hAnsiTheme="majorHAnsi" w:cstheme="majorBidi"/>
      <w:b/>
      <w:bCs/>
      <w:sz w:val="32"/>
      <w:szCs w:val="28"/>
    </w:rPr>
  </w:style>
  <w:style w:type="paragraph" w:styleId="Heading2">
    <w:name w:val="heading 2"/>
    <w:basedOn w:val="Normal"/>
    <w:next w:val="Normal"/>
    <w:link w:val="Heading2Char"/>
    <w:uiPriority w:val="9"/>
    <w:semiHidden/>
    <w:unhideWhenUsed/>
    <w:qFormat/>
    <w:rsid w:val="00E026CD"/>
    <w:pPr>
      <w:keepNext/>
      <w:keepLines/>
      <w:spacing w:before="40" w:after="0"/>
      <w:outlineLvl w:val="1"/>
    </w:pPr>
    <w:rPr>
      <w:rFonts w:asciiTheme="majorHAnsi" w:eastAsiaTheme="majorEastAsia" w:hAnsiTheme="majorHAnsi" w:cstheme="majorBidi"/>
      <w:b/>
      <w:color w:val="44546A" w:themeColor="text2"/>
      <w:sz w:val="28"/>
      <w:szCs w:val="26"/>
    </w:rPr>
  </w:style>
  <w:style w:type="paragraph" w:styleId="Heading3">
    <w:name w:val="heading 3"/>
    <w:basedOn w:val="Normal"/>
    <w:next w:val="Normal"/>
    <w:link w:val="Heading3Char"/>
    <w:uiPriority w:val="9"/>
    <w:unhideWhenUsed/>
    <w:qFormat/>
    <w:rsid w:val="0097139E"/>
    <w:pPr>
      <w:keepNext/>
      <w:keepLines/>
      <w:spacing w:before="40" w:after="0"/>
      <w:outlineLvl w:val="2"/>
    </w:pPr>
    <w:rPr>
      <w:rFonts w:asciiTheme="majorHAnsi" w:eastAsiaTheme="majorEastAsia" w:hAnsiTheme="majorHAnsi" w:cstheme="majorBidi"/>
      <w:color w:val="1F3763" w:themeColor="accent1" w:themeShade="7F"/>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5333"/>
    <w:rPr>
      <w:rFonts w:asciiTheme="majorHAnsi" w:eastAsiaTheme="majorEastAsia" w:hAnsiTheme="majorHAnsi" w:cstheme="majorBidi"/>
      <w:b/>
      <w:bCs/>
      <w:sz w:val="32"/>
      <w:szCs w:val="28"/>
    </w:rPr>
  </w:style>
  <w:style w:type="character" w:customStyle="1" w:styleId="Heading2Char">
    <w:name w:val="Heading 2 Char"/>
    <w:basedOn w:val="DefaultParagraphFont"/>
    <w:link w:val="Heading2"/>
    <w:uiPriority w:val="9"/>
    <w:semiHidden/>
    <w:rsid w:val="00E026CD"/>
    <w:rPr>
      <w:rFonts w:asciiTheme="majorHAnsi" w:eastAsiaTheme="majorEastAsia" w:hAnsiTheme="majorHAnsi" w:cstheme="majorBidi"/>
      <w:b/>
      <w:color w:val="44546A" w:themeColor="text2"/>
      <w:sz w:val="28"/>
      <w:szCs w:val="26"/>
      <w:lang w:val="en-US"/>
    </w:rPr>
  </w:style>
  <w:style w:type="paragraph" w:styleId="Title">
    <w:name w:val="Title"/>
    <w:basedOn w:val="Normal"/>
    <w:next w:val="Normal"/>
    <w:link w:val="TitleChar"/>
    <w:uiPriority w:val="10"/>
    <w:qFormat/>
    <w:rsid w:val="00E026CD"/>
    <w:pPr>
      <w:spacing w:after="0"/>
      <w:contextualSpacing/>
    </w:pPr>
    <w:rPr>
      <w:rFonts w:asciiTheme="majorHAnsi" w:eastAsiaTheme="majorEastAsia" w:hAnsiTheme="majorHAnsi" w:cstheme="majorBidi"/>
      <w:spacing w:val="-10"/>
      <w:kern w:val="28"/>
      <w:sz w:val="40"/>
      <w:szCs w:val="56"/>
    </w:rPr>
  </w:style>
  <w:style w:type="character" w:customStyle="1" w:styleId="TitleChar">
    <w:name w:val="Title Char"/>
    <w:basedOn w:val="DefaultParagraphFont"/>
    <w:link w:val="Title"/>
    <w:uiPriority w:val="10"/>
    <w:rsid w:val="00E026CD"/>
    <w:rPr>
      <w:rFonts w:asciiTheme="majorHAnsi" w:eastAsiaTheme="majorEastAsia" w:hAnsiTheme="majorHAnsi" w:cstheme="majorBidi"/>
      <w:spacing w:val="-10"/>
      <w:kern w:val="28"/>
      <w:sz w:val="40"/>
      <w:szCs w:val="56"/>
      <w:lang w:val="en-US"/>
    </w:rPr>
  </w:style>
  <w:style w:type="character" w:customStyle="1" w:styleId="Heading3Char">
    <w:name w:val="Heading 3 Char"/>
    <w:basedOn w:val="DefaultParagraphFont"/>
    <w:link w:val="Heading3"/>
    <w:uiPriority w:val="9"/>
    <w:rsid w:val="0097139E"/>
    <w:rPr>
      <w:rFonts w:asciiTheme="majorHAnsi" w:eastAsiaTheme="majorEastAsia" w:hAnsiTheme="majorHAnsi" w:cstheme="majorBidi"/>
      <w:color w:val="1F3763" w:themeColor="accent1" w:themeShade="7F"/>
      <w:sz w:val="28"/>
      <w:szCs w:val="24"/>
    </w:rPr>
  </w:style>
  <w:style w:type="paragraph" w:styleId="Header">
    <w:name w:val="header"/>
    <w:basedOn w:val="Normal"/>
    <w:link w:val="HeaderChar"/>
    <w:uiPriority w:val="99"/>
    <w:unhideWhenUsed/>
    <w:rsid w:val="00BA4A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4A07"/>
    <w:rPr>
      <w:rFonts w:ascii="Arial" w:hAnsi="Arial"/>
    </w:rPr>
  </w:style>
  <w:style w:type="paragraph" w:styleId="Footer">
    <w:name w:val="footer"/>
    <w:basedOn w:val="Normal"/>
    <w:link w:val="FooterChar"/>
    <w:uiPriority w:val="99"/>
    <w:unhideWhenUsed/>
    <w:rsid w:val="00BA4A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4A07"/>
    <w:rPr>
      <w:rFonts w:ascii="Arial" w:hAnsi="Arial"/>
    </w:rPr>
  </w:style>
  <w:style w:type="paragraph" w:styleId="NoSpacing">
    <w:name w:val="No Spacing"/>
    <w:link w:val="NoSpacingChar"/>
    <w:uiPriority w:val="1"/>
    <w:qFormat/>
    <w:rsid w:val="00BA4A0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A4A07"/>
    <w:rPr>
      <w:rFonts w:eastAsiaTheme="minorEastAsia"/>
      <w:lang w:val="en-US"/>
    </w:rPr>
  </w:style>
  <w:style w:type="paragraph" w:styleId="TOCHeading">
    <w:name w:val="TOC Heading"/>
    <w:basedOn w:val="Heading1"/>
    <w:next w:val="Normal"/>
    <w:uiPriority w:val="39"/>
    <w:unhideWhenUsed/>
    <w:qFormat/>
    <w:rsid w:val="00106E99"/>
    <w:pPr>
      <w:spacing w:before="240" w:line="259" w:lineRule="auto"/>
      <w:outlineLvl w:val="9"/>
    </w:pPr>
    <w:rPr>
      <w:b w:val="0"/>
      <w:bCs w:val="0"/>
      <w:color w:val="2F5496" w:themeColor="accent1" w:themeShade="BF"/>
      <w:szCs w:val="32"/>
      <w:lang w:val="en-US"/>
    </w:rPr>
  </w:style>
  <w:style w:type="paragraph" w:styleId="TOC1">
    <w:name w:val="toc 1"/>
    <w:basedOn w:val="Normal"/>
    <w:next w:val="Normal"/>
    <w:autoRedefine/>
    <w:uiPriority w:val="39"/>
    <w:unhideWhenUsed/>
    <w:rsid w:val="00106E99"/>
    <w:pPr>
      <w:spacing w:after="100"/>
    </w:pPr>
  </w:style>
  <w:style w:type="character" w:styleId="Hyperlink">
    <w:name w:val="Hyperlink"/>
    <w:basedOn w:val="DefaultParagraphFont"/>
    <w:uiPriority w:val="99"/>
    <w:unhideWhenUsed/>
    <w:rsid w:val="00106E9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84787488">
      <w:bodyDiv w:val="1"/>
      <w:marLeft w:val="0"/>
      <w:marRight w:val="0"/>
      <w:marTop w:val="0"/>
      <w:marBottom w:val="0"/>
      <w:divBdr>
        <w:top w:val="none" w:sz="0" w:space="0" w:color="auto"/>
        <w:left w:val="none" w:sz="0" w:space="0" w:color="auto"/>
        <w:bottom w:val="none" w:sz="0" w:space="0" w:color="auto"/>
        <w:right w:val="none" w:sz="0" w:space="0" w:color="auto"/>
      </w:divBdr>
      <w:divsChild>
        <w:div w:id="768542658">
          <w:marLeft w:val="0"/>
          <w:marRight w:val="0"/>
          <w:marTop w:val="0"/>
          <w:marBottom w:val="150"/>
          <w:divBdr>
            <w:top w:val="none" w:sz="0" w:space="0" w:color="auto"/>
            <w:left w:val="none" w:sz="0" w:space="0" w:color="auto"/>
            <w:bottom w:val="none" w:sz="0" w:space="0" w:color="auto"/>
            <w:right w:val="none" w:sz="0" w:space="0" w:color="auto"/>
          </w:divBdr>
        </w:div>
      </w:divsChild>
    </w:div>
    <w:div w:id="864564188">
      <w:bodyDiv w:val="1"/>
      <w:marLeft w:val="0"/>
      <w:marRight w:val="0"/>
      <w:marTop w:val="0"/>
      <w:marBottom w:val="0"/>
      <w:divBdr>
        <w:top w:val="none" w:sz="0" w:space="0" w:color="auto"/>
        <w:left w:val="none" w:sz="0" w:space="0" w:color="auto"/>
        <w:bottom w:val="none" w:sz="0" w:space="0" w:color="auto"/>
        <w:right w:val="none" w:sz="0" w:space="0" w:color="auto"/>
      </w:divBdr>
      <w:divsChild>
        <w:div w:id="1028339000">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8</Pages>
  <Words>2938</Words>
  <Characters>16752</Characters>
  <Application>Microsoft Office Word</Application>
  <DocSecurity>0</DocSecurity>
  <Lines>139</Lines>
  <Paragraphs>39</Paragraphs>
  <ScaleCrop>false</ScaleCrop>
  <Company/>
  <LinksUpToDate>false</LinksUpToDate>
  <CharactersWithSpaces>19651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Fundamentals Analysis and Evaluation - Assessment 2</dc:title>
  <dc:subject>Lecturer: Tushara Balendran</dc:subject>
  <dc:creator>Student Name:</dc:creator>
  <cp:keywords/>
  <dc:description/>
  <cp:revision>5</cp:revision>
  <dcterms:created xsi:type="dcterms:W3CDTF">2020-08-19T12:58:00Z</dcterms:created>
  <dcterms:modified xsi:type="dcterms:W3CDTF">2020-08-31T14:53:00Z</dcterms:modified>
</cp:coreProperties>
</file>