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0D4BB" w14:textId="77777777" w:rsidR="00685012" w:rsidRPr="005B33F4" w:rsidRDefault="00685012">
      <w:pPr>
        <w:pStyle w:val="p1"/>
        <w:rPr>
          <w:b/>
          <w:bCs/>
        </w:rPr>
      </w:pPr>
      <w:r w:rsidRPr="005B33F4">
        <w:rPr>
          <w:rStyle w:val="s1"/>
          <w:b/>
          <w:bCs/>
        </w:rPr>
        <w:t>University of Wales Trinity Saint David</w:t>
      </w:r>
    </w:p>
    <w:p w14:paraId="424C8A00" w14:textId="2025587D" w:rsidR="00685012" w:rsidRPr="005B33F4" w:rsidRDefault="00685012" w:rsidP="00685012">
      <w:pPr>
        <w:pStyle w:val="p1"/>
        <w:rPr>
          <w:b/>
          <w:bCs/>
        </w:rPr>
      </w:pPr>
      <w:r w:rsidRPr="005B33F4">
        <w:rPr>
          <w:rStyle w:val="s1"/>
          <w:b/>
          <w:bCs/>
        </w:rPr>
        <w:t>BA (Hons) Business Management</w:t>
      </w:r>
    </w:p>
    <w:p w14:paraId="5B700B24" w14:textId="78F069AE" w:rsidR="00685012" w:rsidRPr="005B33F4" w:rsidRDefault="00685012" w:rsidP="00685012">
      <w:pPr>
        <w:pStyle w:val="p1"/>
        <w:rPr>
          <w:b/>
          <w:bCs/>
        </w:rPr>
      </w:pPr>
      <w:r w:rsidRPr="005B33F4">
        <w:rPr>
          <w:rStyle w:val="s1"/>
          <w:b/>
          <w:bCs/>
        </w:rPr>
        <w:t>Module:</w:t>
      </w:r>
      <w:r w:rsidRPr="005B33F4">
        <w:rPr>
          <w:rStyle w:val="s2"/>
          <w:b/>
          <w:bCs/>
        </w:rPr>
        <w:t xml:space="preserve"> Global Business Environment (LCBB4016)</w:t>
      </w:r>
    </w:p>
    <w:p w14:paraId="5F80A201" w14:textId="7E5150DA" w:rsidR="00685012" w:rsidRPr="005B33F4" w:rsidRDefault="00685012" w:rsidP="00685012">
      <w:pPr>
        <w:pStyle w:val="p1"/>
        <w:rPr>
          <w:b/>
          <w:bCs/>
        </w:rPr>
      </w:pPr>
      <w:r w:rsidRPr="005B33F4">
        <w:rPr>
          <w:rStyle w:val="s1"/>
          <w:b/>
          <w:bCs/>
        </w:rPr>
        <w:t>Assignment Title:</w:t>
      </w:r>
      <w:r w:rsidRPr="005B33F4">
        <w:rPr>
          <w:rStyle w:val="s2"/>
          <w:b/>
          <w:bCs/>
        </w:rPr>
        <w:t xml:space="preserve"> Component 2: Coursework Essay</w:t>
      </w:r>
    </w:p>
    <w:p w14:paraId="64D3F3D3" w14:textId="77777777" w:rsidR="00685012" w:rsidRPr="005B33F4" w:rsidRDefault="00685012">
      <w:pPr>
        <w:pStyle w:val="p1"/>
        <w:rPr>
          <w:b/>
          <w:bCs/>
        </w:rPr>
      </w:pPr>
      <w:r w:rsidRPr="005B33F4">
        <w:rPr>
          <w:rStyle w:val="s1"/>
          <w:b/>
          <w:bCs/>
        </w:rPr>
        <w:t>Essay Title:</w:t>
      </w:r>
    </w:p>
    <w:p w14:paraId="0B20BA50" w14:textId="1F952A9E" w:rsidR="00685012" w:rsidRPr="005B33F4" w:rsidRDefault="00685012" w:rsidP="00685012">
      <w:pPr>
        <w:pStyle w:val="p1"/>
        <w:rPr>
          <w:b/>
          <w:bCs/>
        </w:rPr>
      </w:pPr>
      <w:r w:rsidRPr="005B33F4">
        <w:rPr>
          <w:rStyle w:val="s1"/>
          <w:b/>
          <w:bCs/>
        </w:rPr>
        <w:t>The Impact of Global Forces on BP: Opportunities, Challenges, and Strategic Responses in a Changing Business Environment</w:t>
      </w:r>
    </w:p>
    <w:p w14:paraId="019843F7" w14:textId="77777777" w:rsidR="00685012" w:rsidRPr="005B33F4" w:rsidRDefault="00685012">
      <w:pPr>
        <w:pStyle w:val="p1"/>
        <w:rPr>
          <w:b/>
          <w:bCs/>
        </w:rPr>
      </w:pPr>
      <w:r w:rsidRPr="005B33F4">
        <w:rPr>
          <w:rStyle w:val="s1"/>
          <w:b/>
          <w:bCs/>
        </w:rPr>
        <w:t>Student Name:</w:t>
      </w:r>
      <w:r w:rsidRPr="005B33F4">
        <w:rPr>
          <w:rStyle w:val="s2"/>
          <w:b/>
          <w:bCs/>
        </w:rPr>
        <w:t xml:space="preserve"> Daniel Burulea</w:t>
      </w:r>
    </w:p>
    <w:p w14:paraId="05B08927" w14:textId="1DC571A1" w:rsidR="00685012" w:rsidRPr="005B33F4" w:rsidRDefault="00685012" w:rsidP="00685012">
      <w:pPr>
        <w:pStyle w:val="p1"/>
        <w:rPr>
          <w:b/>
          <w:bCs/>
        </w:rPr>
      </w:pPr>
      <w:r w:rsidRPr="005B33F4">
        <w:rPr>
          <w:rStyle w:val="s1"/>
          <w:b/>
          <w:bCs/>
        </w:rPr>
        <w:t>Student ID:</w:t>
      </w:r>
      <w:r w:rsidRPr="005B33F4">
        <w:rPr>
          <w:rStyle w:val="s2"/>
          <w:b/>
          <w:bCs/>
        </w:rPr>
        <w:t>2332668</w:t>
      </w:r>
    </w:p>
    <w:p w14:paraId="608A579C" w14:textId="2F7532F6" w:rsidR="00685012" w:rsidRDefault="00685012">
      <w:pPr>
        <w:pStyle w:val="p1"/>
        <w:rPr>
          <w:rStyle w:val="s2"/>
          <w:b/>
          <w:bCs/>
        </w:rPr>
      </w:pPr>
      <w:r w:rsidRPr="005B33F4">
        <w:rPr>
          <w:rStyle w:val="s1"/>
          <w:b/>
          <w:bCs/>
        </w:rPr>
        <w:t>Word Count:</w:t>
      </w:r>
      <w:r w:rsidRPr="005B33F4">
        <w:rPr>
          <w:rStyle w:val="s2"/>
          <w:b/>
          <w:bCs/>
        </w:rPr>
        <w:t xml:space="preserve"> </w:t>
      </w:r>
      <w:r w:rsidR="00181703">
        <w:rPr>
          <w:rStyle w:val="s2"/>
          <w:b/>
          <w:bCs/>
        </w:rPr>
        <w:t>1431</w:t>
      </w:r>
    </w:p>
    <w:p w14:paraId="13E6751D" w14:textId="77777777" w:rsidR="005B33F4" w:rsidRDefault="005B33F4">
      <w:pPr>
        <w:pStyle w:val="p1"/>
        <w:rPr>
          <w:rStyle w:val="s2"/>
          <w:b/>
          <w:bCs/>
        </w:rPr>
      </w:pPr>
    </w:p>
    <w:p w14:paraId="06064D07" w14:textId="77777777" w:rsidR="005B33F4" w:rsidRDefault="005B33F4">
      <w:pPr>
        <w:pStyle w:val="p1"/>
        <w:rPr>
          <w:rStyle w:val="s2"/>
          <w:b/>
          <w:bCs/>
        </w:rPr>
      </w:pPr>
    </w:p>
    <w:p w14:paraId="4C695CBB" w14:textId="77777777" w:rsidR="005B33F4" w:rsidRDefault="005B33F4">
      <w:pPr>
        <w:pStyle w:val="p1"/>
        <w:rPr>
          <w:rStyle w:val="s2"/>
          <w:b/>
          <w:bCs/>
        </w:rPr>
      </w:pPr>
    </w:p>
    <w:p w14:paraId="71682ED9" w14:textId="77777777" w:rsidR="002153EE" w:rsidRDefault="002153EE">
      <w:pPr>
        <w:pStyle w:val="p1"/>
        <w:rPr>
          <w:rStyle w:val="s2"/>
          <w:b/>
          <w:bCs/>
        </w:rPr>
      </w:pPr>
    </w:p>
    <w:p w14:paraId="5EF05C67" w14:textId="77777777" w:rsidR="002153EE" w:rsidRDefault="002153EE">
      <w:pPr>
        <w:pStyle w:val="p1"/>
        <w:rPr>
          <w:rStyle w:val="s2"/>
          <w:b/>
          <w:bCs/>
        </w:rPr>
      </w:pPr>
    </w:p>
    <w:p w14:paraId="4DF38751" w14:textId="77777777" w:rsidR="002153EE" w:rsidRDefault="002153EE">
      <w:pPr>
        <w:pStyle w:val="p1"/>
        <w:rPr>
          <w:rStyle w:val="s2"/>
          <w:b/>
          <w:bCs/>
        </w:rPr>
      </w:pPr>
    </w:p>
    <w:p w14:paraId="5EB6001A" w14:textId="77777777" w:rsidR="002153EE" w:rsidRDefault="002153EE">
      <w:pPr>
        <w:pStyle w:val="p1"/>
        <w:rPr>
          <w:rStyle w:val="s2"/>
          <w:b/>
          <w:bCs/>
        </w:rPr>
      </w:pPr>
    </w:p>
    <w:p w14:paraId="5010A3AD" w14:textId="5522DDC4" w:rsidR="002153EE" w:rsidRDefault="002153EE">
      <w:pPr>
        <w:pStyle w:val="p1"/>
        <w:rPr>
          <w:rStyle w:val="s2"/>
          <w:b/>
          <w:bCs/>
        </w:rPr>
      </w:pPr>
    </w:p>
    <w:p w14:paraId="34ECC738" w14:textId="77777777" w:rsidR="002153EE" w:rsidRDefault="002153EE">
      <w:pPr>
        <w:pStyle w:val="p1"/>
        <w:rPr>
          <w:rStyle w:val="s2"/>
          <w:b/>
          <w:bCs/>
        </w:rPr>
      </w:pPr>
    </w:p>
    <w:p w14:paraId="6B630951" w14:textId="77777777" w:rsidR="002153EE" w:rsidRDefault="002153EE">
      <w:pPr>
        <w:pStyle w:val="p1"/>
        <w:rPr>
          <w:rStyle w:val="s2"/>
          <w:b/>
          <w:bCs/>
        </w:rPr>
      </w:pPr>
    </w:p>
    <w:p w14:paraId="5310C38C" w14:textId="77777777" w:rsidR="002153EE" w:rsidRDefault="002153EE">
      <w:pPr>
        <w:pStyle w:val="p1"/>
        <w:rPr>
          <w:rStyle w:val="s2"/>
          <w:b/>
          <w:bCs/>
        </w:rPr>
      </w:pPr>
    </w:p>
    <w:p w14:paraId="107CEA0A" w14:textId="77777777" w:rsidR="002153EE" w:rsidRDefault="002153EE">
      <w:pPr>
        <w:pStyle w:val="p1"/>
        <w:rPr>
          <w:rStyle w:val="s2"/>
          <w:b/>
          <w:bCs/>
        </w:rPr>
      </w:pPr>
    </w:p>
    <w:p w14:paraId="4D141429" w14:textId="77777777" w:rsidR="002153EE" w:rsidRDefault="002153EE">
      <w:pPr>
        <w:pStyle w:val="p1"/>
        <w:rPr>
          <w:rStyle w:val="s2"/>
          <w:b/>
          <w:bCs/>
        </w:rPr>
      </w:pPr>
    </w:p>
    <w:p w14:paraId="070B8F4F" w14:textId="77777777" w:rsidR="002153EE" w:rsidRDefault="002153EE">
      <w:pPr>
        <w:pStyle w:val="p1"/>
        <w:rPr>
          <w:rStyle w:val="s2"/>
          <w:b/>
          <w:bCs/>
        </w:rPr>
      </w:pPr>
    </w:p>
    <w:p w14:paraId="57EC66DB" w14:textId="77777777" w:rsidR="002153EE" w:rsidRDefault="002153EE">
      <w:pPr>
        <w:pStyle w:val="p1"/>
        <w:rPr>
          <w:rStyle w:val="s2"/>
          <w:b/>
          <w:bCs/>
        </w:rPr>
      </w:pPr>
    </w:p>
    <w:p w14:paraId="77770E52" w14:textId="77777777" w:rsidR="002153EE" w:rsidRDefault="002153EE">
      <w:pPr>
        <w:pStyle w:val="p1"/>
        <w:rPr>
          <w:rStyle w:val="s2"/>
          <w:b/>
          <w:bCs/>
        </w:rPr>
      </w:pPr>
    </w:p>
    <w:p w14:paraId="786EDDD2" w14:textId="77777777" w:rsidR="005B33F4" w:rsidRDefault="005B33F4">
      <w:pPr>
        <w:pStyle w:val="p1"/>
        <w:rPr>
          <w:rStyle w:val="s2"/>
          <w:b/>
          <w:bCs/>
        </w:rPr>
      </w:pPr>
    </w:p>
    <w:p w14:paraId="33960ED6" w14:textId="77777777" w:rsidR="00CF4BB5" w:rsidRPr="00CF4BB5" w:rsidRDefault="00CF4BB5" w:rsidP="00CF4B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F4BB5">
        <w:rPr>
          <w:rFonts w:ascii="Times New Roman" w:eastAsia="Times New Roman" w:hAnsi="Times New Roman" w:cs="Times New Roman"/>
          <w:b/>
          <w:bCs/>
          <w:kern w:val="0"/>
          <w:sz w:val="36"/>
          <w:szCs w:val="36"/>
          <w14:ligatures w14:val="none"/>
        </w:rPr>
        <w:t>TABLE OF CONTENTS</w:t>
      </w:r>
    </w:p>
    <w:p w14:paraId="1EC3FD9D" w14:textId="1CAB6685" w:rsidR="00CF4BB5" w:rsidRPr="00CF4BB5" w:rsidRDefault="00CF4BB5" w:rsidP="00CF4BB5">
      <w:pPr>
        <w:numPr>
          <w:ilvl w:val="0"/>
          <w:numId w:val="1"/>
        </w:numPr>
        <w:spacing w:before="100" w:beforeAutospacing="1" w:after="100" w:afterAutospacing="1" w:line="240" w:lineRule="auto"/>
        <w:rPr>
          <w:rFonts w:ascii="Times New Roman" w:hAnsi="Times New Roman" w:cs="Times New Roman"/>
          <w:kern w:val="0"/>
          <w14:ligatures w14:val="none"/>
        </w:rPr>
      </w:pPr>
      <w:r w:rsidRPr="00CF4BB5">
        <w:rPr>
          <w:rFonts w:ascii="Times New Roman" w:hAnsi="Times New Roman" w:cs="Times New Roman"/>
          <w:kern w:val="0"/>
          <w14:ligatures w14:val="none"/>
        </w:rPr>
        <w:t xml:space="preserve">Introduction ……………………………………………… </w:t>
      </w:r>
      <w:r w:rsidR="00FD37AB">
        <w:rPr>
          <w:rFonts w:ascii="Times New Roman" w:hAnsi="Times New Roman" w:cs="Times New Roman"/>
          <w:kern w:val="0"/>
          <w14:ligatures w14:val="none"/>
        </w:rPr>
        <w:t>3</w:t>
      </w:r>
    </w:p>
    <w:p w14:paraId="5FE529A7" w14:textId="79B21807" w:rsidR="00CF4BB5" w:rsidRPr="00CF4BB5" w:rsidRDefault="00CF4BB5" w:rsidP="00CF4BB5">
      <w:pPr>
        <w:numPr>
          <w:ilvl w:val="0"/>
          <w:numId w:val="1"/>
        </w:numPr>
        <w:spacing w:before="100" w:beforeAutospacing="1" w:after="100" w:afterAutospacing="1" w:line="240" w:lineRule="auto"/>
        <w:rPr>
          <w:rFonts w:ascii="Times New Roman" w:hAnsi="Times New Roman" w:cs="Times New Roman"/>
          <w:kern w:val="0"/>
          <w14:ligatures w14:val="none"/>
        </w:rPr>
      </w:pPr>
      <w:r w:rsidRPr="00CF4BB5">
        <w:rPr>
          <w:rFonts w:ascii="Times New Roman" w:hAnsi="Times New Roman" w:cs="Times New Roman"/>
          <w:kern w:val="0"/>
          <w14:ligatures w14:val="none"/>
        </w:rPr>
        <w:t xml:space="preserve">Opportunities and Challenges ………………………. </w:t>
      </w:r>
      <w:r w:rsidR="00FD37AB">
        <w:rPr>
          <w:rFonts w:ascii="Times New Roman" w:hAnsi="Times New Roman" w:cs="Times New Roman"/>
          <w:kern w:val="0"/>
          <w14:ligatures w14:val="none"/>
        </w:rPr>
        <w:t>4</w:t>
      </w:r>
    </w:p>
    <w:p w14:paraId="757BDFA7" w14:textId="580D3E2F" w:rsidR="00CF4BB5" w:rsidRPr="00CF4BB5" w:rsidRDefault="00CF4BB5" w:rsidP="00CF4BB5">
      <w:pPr>
        <w:spacing w:before="100" w:beforeAutospacing="1" w:after="100" w:afterAutospacing="1" w:line="240" w:lineRule="auto"/>
        <w:ind w:left="720"/>
        <w:rPr>
          <w:rFonts w:ascii="Times New Roman" w:hAnsi="Times New Roman" w:cs="Times New Roman"/>
          <w:kern w:val="0"/>
          <w14:ligatures w14:val="none"/>
        </w:rPr>
      </w:pPr>
      <w:r w:rsidRPr="00CF4BB5">
        <w:rPr>
          <w:rFonts w:ascii="Times New Roman" w:hAnsi="Times New Roman" w:cs="Times New Roman"/>
          <w:kern w:val="0"/>
          <w14:ligatures w14:val="none"/>
        </w:rPr>
        <w:t xml:space="preserve">   2.1 Opportunities ………………………………………. </w:t>
      </w:r>
      <w:r w:rsidR="00075728">
        <w:rPr>
          <w:rFonts w:ascii="Times New Roman" w:hAnsi="Times New Roman" w:cs="Times New Roman"/>
          <w:kern w:val="0"/>
          <w14:ligatures w14:val="none"/>
        </w:rPr>
        <w:t>4</w:t>
      </w:r>
    </w:p>
    <w:p w14:paraId="2C4010C4" w14:textId="13A65F91" w:rsidR="00CF4BB5" w:rsidRPr="00CF4BB5" w:rsidRDefault="00CF4BB5" w:rsidP="00CF4BB5">
      <w:pPr>
        <w:spacing w:before="100" w:beforeAutospacing="1" w:after="100" w:afterAutospacing="1" w:line="240" w:lineRule="auto"/>
        <w:ind w:left="720"/>
        <w:rPr>
          <w:rFonts w:ascii="Times New Roman" w:hAnsi="Times New Roman" w:cs="Times New Roman"/>
          <w:kern w:val="0"/>
          <w14:ligatures w14:val="none"/>
        </w:rPr>
      </w:pPr>
      <w:r w:rsidRPr="00CF4BB5">
        <w:rPr>
          <w:rFonts w:ascii="Times New Roman" w:hAnsi="Times New Roman" w:cs="Times New Roman"/>
          <w:kern w:val="0"/>
          <w14:ligatures w14:val="none"/>
        </w:rPr>
        <w:t xml:space="preserve">   2.2 Challenges ………………………………………….. </w:t>
      </w:r>
      <w:r w:rsidR="00075728">
        <w:rPr>
          <w:rFonts w:ascii="Times New Roman" w:hAnsi="Times New Roman" w:cs="Times New Roman"/>
          <w:kern w:val="0"/>
          <w14:ligatures w14:val="none"/>
        </w:rPr>
        <w:t>4</w:t>
      </w:r>
    </w:p>
    <w:p w14:paraId="30CFF5DD" w14:textId="36950C5E" w:rsidR="00CF4BB5" w:rsidRPr="00CF4BB5" w:rsidRDefault="00CF4BB5" w:rsidP="00CF4BB5">
      <w:pPr>
        <w:numPr>
          <w:ilvl w:val="0"/>
          <w:numId w:val="1"/>
        </w:numPr>
        <w:spacing w:before="100" w:beforeAutospacing="1" w:after="100" w:afterAutospacing="1" w:line="240" w:lineRule="auto"/>
        <w:rPr>
          <w:rFonts w:ascii="Times New Roman" w:hAnsi="Times New Roman" w:cs="Times New Roman"/>
          <w:kern w:val="0"/>
          <w14:ligatures w14:val="none"/>
        </w:rPr>
      </w:pPr>
      <w:r w:rsidRPr="00CF4BB5">
        <w:rPr>
          <w:rFonts w:ascii="Times New Roman" w:hAnsi="Times New Roman" w:cs="Times New Roman"/>
          <w:kern w:val="0"/>
          <w14:ligatures w14:val="none"/>
        </w:rPr>
        <w:t xml:space="preserve">Impact on BP ………………………………………….. </w:t>
      </w:r>
      <w:r w:rsidR="00075728">
        <w:rPr>
          <w:rFonts w:ascii="Times New Roman" w:hAnsi="Times New Roman" w:cs="Times New Roman"/>
          <w:kern w:val="0"/>
          <w14:ligatures w14:val="none"/>
        </w:rPr>
        <w:t>5</w:t>
      </w:r>
    </w:p>
    <w:p w14:paraId="3517DDC7" w14:textId="6F803DA0" w:rsidR="00CF4BB5" w:rsidRPr="00CF4BB5" w:rsidRDefault="00CF4BB5" w:rsidP="00CF4BB5">
      <w:pPr>
        <w:spacing w:before="100" w:beforeAutospacing="1" w:after="100" w:afterAutospacing="1" w:line="240" w:lineRule="auto"/>
        <w:ind w:left="720"/>
        <w:rPr>
          <w:rFonts w:ascii="Times New Roman" w:hAnsi="Times New Roman" w:cs="Times New Roman"/>
          <w:kern w:val="0"/>
          <w14:ligatures w14:val="none"/>
        </w:rPr>
      </w:pPr>
      <w:r w:rsidRPr="00CF4BB5">
        <w:rPr>
          <w:rFonts w:ascii="Times New Roman" w:hAnsi="Times New Roman" w:cs="Times New Roman"/>
          <w:kern w:val="0"/>
          <w14:ligatures w14:val="none"/>
        </w:rPr>
        <w:t xml:space="preserve">   3.1 Market Position ………………………………….. </w:t>
      </w:r>
      <w:r w:rsidR="001B6895">
        <w:rPr>
          <w:rFonts w:ascii="Times New Roman" w:hAnsi="Times New Roman" w:cs="Times New Roman"/>
          <w:kern w:val="0"/>
          <w14:ligatures w14:val="none"/>
        </w:rPr>
        <w:t>5</w:t>
      </w:r>
    </w:p>
    <w:p w14:paraId="6FA3E180" w14:textId="77777777" w:rsidR="00CF4BB5" w:rsidRPr="00CF4BB5" w:rsidRDefault="00CF4BB5" w:rsidP="00CF4BB5">
      <w:pPr>
        <w:spacing w:before="100" w:beforeAutospacing="1" w:after="100" w:afterAutospacing="1" w:line="240" w:lineRule="auto"/>
        <w:ind w:left="720"/>
        <w:rPr>
          <w:rFonts w:ascii="Times New Roman" w:hAnsi="Times New Roman" w:cs="Times New Roman"/>
          <w:kern w:val="0"/>
          <w14:ligatures w14:val="none"/>
        </w:rPr>
      </w:pPr>
      <w:r w:rsidRPr="00CF4BB5">
        <w:rPr>
          <w:rFonts w:ascii="Times New Roman" w:hAnsi="Times New Roman" w:cs="Times New Roman"/>
          <w:kern w:val="0"/>
          <w14:ligatures w14:val="none"/>
        </w:rPr>
        <w:t>   3.2 Innovation ……………………………………….. 5</w:t>
      </w:r>
    </w:p>
    <w:p w14:paraId="7D0ECCE7" w14:textId="77777777" w:rsidR="00CF4BB5" w:rsidRPr="00CF4BB5" w:rsidRDefault="00CF4BB5" w:rsidP="00CF4BB5">
      <w:pPr>
        <w:spacing w:before="100" w:beforeAutospacing="1" w:after="100" w:afterAutospacing="1" w:line="240" w:lineRule="auto"/>
        <w:ind w:left="720"/>
        <w:rPr>
          <w:rFonts w:ascii="Times New Roman" w:hAnsi="Times New Roman" w:cs="Times New Roman"/>
          <w:kern w:val="0"/>
          <w14:ligatures w14:val="none"/>
        </w:rPr>
      </w:pPr>
      <w:r w:rsidRPr="00CF4BB5">
        <w:rPr>
          <w:rFonts w:ascii="Times New Roman" w:hAnsi="Times New Roman" w:cs="Times New Roman"/>
          <w:kern w:val="0"/>
          <w14:ligatures w14:val="none"/>
        </w:rPr>
        <w:t>   3.3 Talent Management ……………………………. 5</w:t>
      </w:r>
    </w:p>
    <w:p w14:paraId="3BD7BF37" w14:textId="2CED86D6" w:rsidR="00CF4BB5" w:rsidRPr="00CF4BB5" w:rsidRDefault="00CF4BB5" w:rsidP="00CF4BB5">
      <w:pPr>
        <w:spacing w:before="100" w:beforeAutospacing="1" w:after="100" w:afterAutospacing="1" w:line="240" w:lineRule="auto"/>
        <w:ind w:left="720"/>
        <w:rPr>
          <w:rFonts w:ascii="Times New Roman" w:hAnsi="Times New Roman" w:cs="Times New Roman"/>
          <w:kern w:val="0"/>
          <w14:ligatures w14:val="none"/>
        </w:rPr>
      </w:pPr>
      <w:r w:rsidRPr="00CF4BB5">
        <w:rPr>
          <w:rFonts w:ascii="Times New Roman" w:hAnsi="Times New Roman" w:cs="Times New Roman"/>
          <w:kern w:val="0"/>
          <w14:ligatures w14:val="none"/>
        </w:rPr>
        <w:t xml:space="preserve">   3.4 Competitiveness ……………………………….. </w:t>
      </w:r>
      <w:r w:rsidR="001B6895">
        <w:rPr>
          <w:rFonts w:ascii="Times New Roman" w:hAnsi="Times New Roman" w:cs="Times New Roman"/>
          <w:kern w:val="0"/>
          <w14:ligatures w14:val="none"/>
        </w:rPr>
        <w:t>5</w:t>
      </w:r>
    </w:p>
    <w:p w14:paraId="5ECF8036" w14:textId="41FF1816" w:rsidR="00CF4BB5" w:rsidRPr="00CF4BB5" w:rsidRDefault="00CF4BB5" w:rsidP="00CF4BB5">
      <w:pPr>
        <w:numPr>
          <w:ilvl w:val="0"/>
          <w:numId w:val="1"/>
        </w:numPr>
        <w:spacing w:before="100" w:beforeAutospacing="1" w:after="100" w:afterAutospacing="1" w:line="240" w:lineRule="auto"/>
        <w:rPr>
          <w:rFonts w:ascii="Times New Roman" w:hAnsi="Times New Roman" w:cs="Times New Roman"/>
          <w:kern w:val="0"/>
          <w14:ligatures w14:val="none"/>
        </w:rPr>
      </w:pPr>
      <w:r w:rsidRPr="00CF4BB5">
        <w:rPr>
          <w:rFonts w:ascii="Times New Roman" w:hAnsi="Times New Roman" w:cs="Times New Roman"/>
          <w:kern w:val="0"/>
          <w14:ligatures w14:val="none"/>
        </w:rPr>
        <w:t xml:space="preserve">Strategic Recommendations ………………………… </w:t>
      </w:r>
      <w:r w:rsidR="001B6895">
        <w:rPr>
          <w:rFonts w:ascii="Times New Roman" w:hAnsi="Times New Roman" w:cs="Times New Roman"/>
          <w:kern w:val="0"/>
          <w14:ligatures w14:val="none"/>
        </w:rPr>
        <w:t>6</w:t>
      </w:r>
    </w:p>
    <w:p w14:paraId="597692A6" w14:textId="620037C4" w:rsidR="00CF4BB5" w:rsidRPr="00CF4BB5" w:rsidRDefault="00CF4BB5" w:rsidP="00CF4BB5">
      <w:pPr>
        <w:numPr>
          <w:ilvl w:val="0"/>
          <w:numId w:val="1"/>
        </w:numPr>
        <w:spacing w:before="100" w:beforeAutospacing="1" w:after="100" w:afterAutospacing="1" w:line="240" w:lineRule="auto"/>
        <w:rPr>
          <w:rFonts w:ascii="Times New Roman" w:hAnsi="Times New Roman" w:cs="Times New Roman"/>
          <w:kern w:val="0"/>
          <w14:ligatures w14:val="none"/>
        </w:rPr>
      </w:pPr>
      <w:r w:rsidRPr="00CF4BB5">
        <w:rPr>
          <w:rFonts w:ascii="Times New Roman" w:hAnsi="Times New Roman" w:cs="Times New Roman"/>
          <w:kern w:val="0"/>
          <w14:ligatures w14:val="none"/>
        </w:rPr>
        <w:t xml:space="preserve">Conclusion …………………………………………….. </w:t>
      </w:r>
      <w:r w:rsidR="001B6895">
        <w:rPr>
          <w:rFonts w:ascii="Times New Roman" w:hAnsi="Times New Roman" w:cs="Times New Roman"/>
          <w:kern w:val="0"/>
          <w14:ligatures w14:val="none"/>
        </w:rPr>
        <w:t>7</w:t>
      </w:r>
    </w:p>
    <w:p w14:paraId="34E4CDE3" w14:textId="65B1ECDA" w:rsidR="00CF4BB5" w:rsidRPr="00CF4BB5" w:rsidRDefault="00CF4BB5" w:rsidP="00CF4BB5">
      <w:pPr>
        <w:numPr>
          <w:ilvl w:val="0"/>
          <w:numId w:val="1"/>
        </w:numPr>
        <w:spacing w:before="100" w:beforeAutospacing="1" w:after="100" w:afterAutospacing="1" w:line="240" w:lineRule="auto"/>
        <w:rPr>
          <w:rFonts w:ascii="Times New Roman" w:hAnsi="Times New Roman" w:cs="Times New Roman"/>
          <w:kern w:val="0"/>
          <w14:ligatures w14:val="none"/>
        </w:rPr>
      </w:pPr>
      <w:r w:rsidRPr="00CF4BB5">
        <w:rPr>
          <w:rFonts w:ascii="Times New Roman" w:hAnsi="Times New Roman" w:cs="Times New Roman"/>
          <w:kern w:val="0"/>
          <w14:ligatures w14:val="none"/>
        </w:rPr>
        <w:t xml:space="preserve">References ……………………………………………. </w:t>
      </w:r>
      <w:r w:rsidR="001B6895">
        <w:rPr>
          <w:rFonts w:ascii="Times New Roman" w:hAnsi="Times New Roman" w:cs="Times New Roman"/>
          <w:kern w:val="0"/>
          <w14:ligatures w14:val="none"/>
        </w:rPr>
        <w:t>8</w:t>
      </w:r>
    </w:p>
    <w:p w14:paraId="5BF90230" w14:textId="77777777" w:rsidR="005B33F4" w:rsidRPr="00CF4BB5" w:rsidRDefault="005B33F4">
      <w:pPr>
        <w:pStyle w:val="p1"/>
        <w:rPr>
          <w:b/>
          <w:bCs/>
          <w:lang w:val="ro-RO"/>
        </w:rPr>
      </w:pPr>
    </w:p>
    <w:p w14:paraId="4AEA7B25" w14:textId="77777777" w:rsidR="000C3BBF" w:rsidRDefault="000C3BBF" w:rsidP="003A2D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2E9BA95" w14:textId="77777777" w:rsidR="000C3BBF" w:rsidRDefault="000C3BBF" w:rsidP="003A2D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DC71B68" w14:textId="77777777" w:rsidR="000C3BBF" w:rsidRDefault="000C3BBF" w:rsidP="003A2D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D95E0B7" w14:textId="77777777" w:rsidR="000C3BBF" w:rsidRDefault="000C3BBF" w:rsidP="003A2D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595992B" w14:textId="77777777" w:rsidR="000C3BBF" w:rsidRDefault="000C3BBF" w:rsidP="003A2D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568804C0" w14:textId="77777777" w:rsidR="000C3BBF" w:rsidRDefault="000C3BBF" w:rsidP="003A2D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EFD1520" w14:textId="77777777" w:rsidR="000C3BBF" w:rsidRDefault="000C3BBF" w:rsidP="003A2D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60B08DD" w14:textId="3B2B1623" w:rsidR="003A2DD9" w:rsidRPr="003A2DD9" w:rsidRDefault="003A2DD9" w:rsidP="003A2D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A2DD9">
        <w:rPr>
          <w:rFonts w:ascii="Times New Roman" w:eastAsia="Times New Roman" w:hAnsi="Times New Roman" w:cs="Times New Roman"/>
          <w:b/>
          <w:bCs/>
          <w:kern w:val="36"/>
          <w:sz w:val="48"/>
          <w:szCs w:val="48"/>
          <w14:ligatures w14:val="none"/>
        </w:rPr>
        <w:lastRenderedPageBreak/>
        <w:t>The Impact of Global Forces on BP: Opportunities, Challenges, and Strategic Responses in a Changing Business Environment</w:t>
      </w:r>
    </w:p>
    <w:p w14:paraId="605FE9F0"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5A9E97D1" w14:textId="77777777" w:rsidR="003A2DD9" w:rsidRPr="003A2DD9" w:rsidRDefault="003A2DD9" w:rsidP="003A2D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2DD9">
        <w:rPr>
          <w:rFonts w:ascii="Times New Roman" w:eastAsia="Times New Roman" w:hAnsi="Times New Roman" w:cs="Times New Roman"/>
          <w:b/>
          <w:bCs/>
          <w:kern w:val="0"/>
          <w:sz w:val="36"/>
          <w:szCs w:val="36"/>
          <w14:ligatures w14:val="none"/>
        </w:rPr>
        <w:t>Introduction</w:t>
      </w:r>
    </w:p>
    <w:p w14:paraId="113321E4"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71A7F00E" w14:textId="37B2E3E3"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In today’s interconnected world, globalisation is no longer just a theoretical concept, but a reality that shapes how businesses operate every day. Companies are no longer limited to local markets; instead, they function within a complex global environment influenced by technological advancements, political developments, and increasing environmental concerns. These global forces have a direct impact on organisational performance, strategy, and long-term sustainability.</w:t>
      </w:r>
    </w:p>
    <w:p w14:paraId="52B14D2F"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2CA91C29" w14:textId="6E2FB34E"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sidRPr="003A2DD9">
        <w:rPr>
          <w:rFonts w:ascii="Times New Roman" w:hAnsi="Times New Roman" w:cs="Times New Roman"/>
          <w:kern w:val="0"/>
          <w14:ligatures w14:val="none"/>
        </w:rPr>
        <w:t>Among the most significant global forces are the rapid development of artificial intelligence (AI), geopolitical instability, and the growing importance of sustainability. AI is transforming industries by improving efficiency and decision-making, while geopolitical tensions continue to create uncertainty in global supply chains. At the same time, environmental regulations are becoming stricter, pushing companies to adopt more responsible and sustainable practices.</w:t>
      </w:r>
    </w:p>
    <w:p w14:paraId="11C5F981" w14:textId="019F8ACC"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 xml:space="preserve">This essay focuses on </w:t>
      </w:r>
      <w:hyperlink r:id="rId7" w:history="1">
        <w:r w:rsidRPr="003A2DD9">
          <w:rPr>
            <w:rFonts w:ascii="Times New Roman" w:hAnsi="Times New Roman" w:cs="Times New Roman"/>
            <w:color w:val="0000FF"/>
            <w:kern w:val="0"/>
            <w:u w:val="single"/>
            <w14:ligatures w14:val="none"/>
          </w:rPr>
          <w:t>BP</w:t>
        </w:r>
      </w:hyperlink>
      <w:r w:rsidRPr="003A2DD9">
        <w:rPr>
          <w:rFonts w:ascii="Times New Roman" w:hAnsi="Times New Roman" w:cs="Times New Roman"/>
          <w:kern w:val="0"/>
          <w14:ligatures w14:val="none"/>
        </w:rPr>
        <w:t>, a UK-based multinational operating in the global energy sector. Traditionally known for oil and gas production, BP is now undergoing a transition towards renewable energy in response to global pressures. Due to its global operations, BP is highly exposed to the impact of these forces, making it a relevant case for analysis.</w:t>
      </w:r>
    </w:p>
    <w:p w14:paraId="73019503" w14:textId="4A4F6B6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The aim of this essay is to examine how global forces create both opportunities and challenges for BP, how they influence its performance, and what strategic responses the company can adopt to remain competitive in a changing business environment.</w:t>
      </w:r>
    </w:p>
    <w:p w14:paraId="1EBE9B6A" w14:textId="77777777" w:rsidR="003A2DD9" w:rsidRPr="003A2DD9" w:rsidRDefault="003A2DD9" w:rsidP="003A2DD9">
      <w:pPr>
        <w:spacing w:after="0" w:line="240" w:lineRule="auto"/>
        <w:rPr>
          <w:rFonts w:ascii="Times New Roman" w:eastAsia="Times New Roman" w:hAnsi="Times New Roman" w:cs="Times New Roman"/>
          <w:kern w:val="0"/>
          <w14:ligatures w14:val="none"/>
        </w:rPr>
      </w:pPr>
      <w:r w:rsidRPr="003A2DD9">
        <w:rPr>
          <w:rFonts w:ascii="Times New Roman" w:eastAsia="Times New Roman" w:hAnsi="Times New Roman" w:cs="Times New Roman"/>
          <w:noProof/>
          <w:kern w:val="0"/>
          <w14:ligatures w14:val="none"/>
        </w:rPr>
        <mc:AlternateContent>
          <mc:Choice Requires="wps">
            <w:drawing>
              <wp:inline distT="0" distB="0" distL="0" distR="0" wp14:anchorId="56CB93C0" wp14:editId="5AF0217D">
                <wp:extent cx="5731510" cy="1270"/>
                <wp:effectExtent l="0" t="31750" r="0" b="36830"/>
                <wp:docPr id="1229563390" name="Dreptunghi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21FEEE" id="Dreptunghi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1C307C3" w14:textId="77777777" w:rsidR="00FD37AB" w:rsidRDefault="00FD37AB" w:rsidP="003A2D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EA9366A" w14:textId="77777777" w:rsidR="00FD37AB" w:rsidRDefault="00FD37AB" w:rsidP="003A2D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85E92B0" w14:textId="77777777" w:rsidR="00FD37AB" w:rsidRDefault="00FD37AB" w:rsidP="003A2D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15CE6A3" w14:textId="3C9983B5" w:rsidR="003A2DD9" w:rsidRPr="003A2DD9" w:rsidRDefault="003A2DD9" w:rsidP="003A2DD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3A2DD9">
        <w:rPr>
          <w:rFonts w:ascii="Times New Roman" w:eastAsia="Times New Roman" w:hAnsi="Times New Roman" w:cs="Times New Roman"/>
          <w:b/>
          <w:bCs/>
          <w:kern w:val="0"/>
          <w:sz w:val="36"/>
          <w:szCs w:val="36"/>
          <w14:ligatures w14:val="none"/>
        </w:rPr>
        <w:lastRenderedPageBreak/>
        <w:t>Opportunities and Challenges</w:t>
      </w:r>
    </w:p>
    <w:p w14:paraId="3408A660"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4AE37C54" w14:textId="77777777" w:rsidR="003A2DD9" w:rsidRPr="003A2DD9" w:rsidRDefault="003A2DD9" w:rsidP="003A2D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A2DD9">
        <w:rPr>
          <w:rFonts w:ascii="Times New Roman" w:eastAsia="Times New Roman" w:hAnsi="Times New Roman" w:cs="Times New Roman"/>
          <w:b/>
          <w:bCs/>
          <w:kern w:val="0"/>
          <w:sz w:val="27"/>
          <w:szCs w:val="27"/>
          <w14:ligatures w14:val="none"/>
        </w:rPr>
        <w:t>Opportunities</w:t>
      </w:r>
    </w:p>
    <w:p w14:paraId="142578FC"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0096C23F" w14:textId="38764E4B"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Global forces create several important opportunities for BP. One of the most significant is the development of artificial intelligence. AI allows companies to process large amounts of data, improve operational efficiency, and make better decisions. For BP, this means optimising oil exploration, predicting equipment failures, and improving supply chain management. These improvements can reduce costs and increase productivity.</w:t>
      </w:r>
    </w:p>
    <w:p w14:paraId="3E919663" w14:textId="6F68CA99"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Another opportunity comes from geopolitical changes. Although often seen as a risk, geopolitical instability can increase demand for reliable energy suppliers. Countries affected by disruptions may seek stable partners, and BP can take advantage of this by expanding into new markets and strengthening international relationships.</w:t>
      </w:r>
    </w:p>
    <w:p w14:paraId="724331F6" w14:textId="7E33B6ED"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Sustainability also presents a major opportunity. With increasing pressure from governments and society, companies are expected to reduce their environmental impact. BP can use this as a chance to transform its image and invest in renewable energy sources such as wind and solar. This not only improves its reputation but also attracts investors who prioritise environmentally responsible companies.</w:t>
      </w:r>
    </w:p>
    <w:p w14:paraId="405BFE7C" w14:textId="39DB6360"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Finally, globalisation enables BP to operate across multiple markets, diversify its income, and benefit from economies of scale. Partnerships with technology and energy companies can further support innovation and growth.</w:t>
      </w:r>
    </w:p>
    <w:p w14:paraId="243EA8D3" w14:textId="77777777" w:rsidR="003A2DD9" w:rsidRPr="003A2DD9" w:rsidRDefault="003A2DD9" w:rsidP="003A2DD9">
      <w:pPr>
        <w:spacing w:after="0" w:line="240" w:lineRule="auto"/>
        <w:rPr>
          <w:rFonts w:ascii="Times New Roman" w:eastAsia="Times New Roman" w:hAnsi="Times New Roman" w:cs="Times New Roman"/>
          <w:kern w:val="0"/>
          <w14:ligatures w14:val="none"/>
        </w:rPr>
      </w:pPr>
      <w:r w:rsidRPr="003A2DD9">
        <w:rPr>
          <w:rFonts w:ascii="Times New Roman" w:eastAsia="Times New Roman" w:hAnsi="Times New Roman" w:cs="Times New Roman"/>
          <w:noProof/>
          <w:kern w:val="0"/>
          <w14:ligatures w14:val="none"/>
        </w:rPr>
        <mc:AlternateContent>
          <mc:Choice Requires="wps">
            <w:drawing>
              <wp:inline distT="0" distB="0" distL="0" distR="0" wp14:anchorId="49419219" wp14:editId="738EB32D">
                <wp:extent cx="5731510" cy="1270"/>
                <wp:effectExtent l="0" t="31750" r="0" b="36830"/>
                <wp:docPr id="1280750991" name="Dreptunghi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B911A86" id="Dreptunghi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2DF6EF6" w14:textId="77777777" w:rsidR="003A2DD9" w:rsidRPr="003A2DD9" w:rsidRDefault="003A2DD9" w:rsidP="003A2DD9">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3A2DD9">
        <w:rPr>
          <w:rFonts w:ascii="Times New Roman" w:eastAsia="Times New Roman" w:hAnsi="Times New Roman" w:cs="Times New Roman"/>
          <w:b/>
          <w:bCs/>
          <w:kern w:val="0"/>
          <w:sz w:val="27"/>
          <w:szCs w:val="27"/>
          <w14:ligatures w14:val="none"/>
        </w:rPr>
        <w:t>Challenges</w:t>
      </w:r>
    </w:p>
    <w:p w14:paraId="20B091B6"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1D05DE9E" w14:textId="4648C3C8"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Despite these opportunities, BP faces several serious challenges. One of the main issues is geopolitical instability, which can disrupt global supply chains and affect energy prices. Conflicts and political decisions can limit access to resources and create uncertainty, making it difficult for BP to maintain stable operations.</w:t>
      </w:r>
    </w:p>
    <w:p w14:paraId="1ECD498C" w14:textId="189FE9EE"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Another major challenge is the pressure to meet environmental regulations. Transitioning from fossil fuels to renewable energy requires significant investment and organisational change. At the same time, BP faces criticism from the public and environmental groups, which can damage its reputation if progress is too slow.</w:t>
      </w:r>
    </w:p>
    <w:p w14:paraId="2F9889BD" w14:textId="3F0928A5"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Artificial intelligence, while beneficial, also presents challenges. Implementing AI requires high investment, advanced infrastructure, and skilled employees. There are also concerns about data security and job losses due to automation, which can affect employee morale.</w:t>
      </w:r>
    </w:p>
    <w:p w14:paraId="09E8D6FA" w14:textId="35667DD6"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lastRenderedPageBreak/>
        <w:t xml:space="preserve">   </w:t>
      </w:r>
      <w:r w:rsidRPr="003A2DD9">
        <w:rPr>
          <w:rFonts w:ascii="Times New Roman" w:hAnsi="Times New Roman" w:cs="Times New Roman"/>
          <w:kern w:val="0"/>
          <w14:ligatures w14:val="none"/>
        </w:rPr>
        <w:t>Additionally, competition in the energy market is increasing. BP now competes not only with traditional oil companies but also with renewable energy firms. This forces the company to continuously innovate and adapt in order to remain competitive.</w:t>
      </w:r>
    </w:p>
    <w:p w14:paraId="3E1390B4" w14:textId="3078D828" w:rsidR="003A2DD9" w:rsidRPr="00FD37AB" w:rsidRDefault="003A2DD9" w:rsidP="00FD37AB">
      <w:pPr>
        <w:spacing w:after="0" w:line="240" w:lineRule="auto"/>
        <w:rPr>
          <w:rFonts w:ascii="Times New Roman" w:eastAsia="Times New Roman" w:hAnsi="Times New Roman" w:cs="Times New Roman"/>
          <w:kern w:val="0"/>
          <w14:ligatures w14:val="none"/>
        </w:rPr>
      </w:pPr>
      <w:r w:rsidRPr="003A2DD9">
        <w:rPr>
          <w:rFonts w:ascii="Times New Roman" w:eastAsia="Times New Roman" w:hAnsi="Times New Roman" w:cs="Times New Roman"/>
          <w:noProof/>
          <w:kern w:val="0"/>
          <w14:ligatures w14:val="none"/>
        </w:rPr>
        <mc:AlternateContent>
          <mc:Choice Requires="wps">
            <w:drawing>
              <wp:inline distT="0" distB="0" distL="0" distR="0" wp14:anchorId="447CCD58" wp14:editId="02DE7686">
                <wp:extent cx="5731510" cy="1270"/>
                <wp:effectExtent l="0" t="31750" r="0" b="36830"/>
                <wp:docPr id="1990307979" name="Dreptunghi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DFAC7F1" id="Dreptunghi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0D8FC9E" w14:textId="77777777" w:rsidR="003A2DD9" w:rsidRDefault="003A2DD9" w:rsidP="003A2D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40CE902" w14:textId="1AC43C51" w:rsidR="003A2DD9" w:rsidRPr="003A2DD9" w:rsidRDefault="003A2DD9" w:rsidP="003A2DD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3A2DD9">
        <w:rPr>
          <w:rFonts w:ascii="Times New Roman" w:eastAsia="Times New Roman" w:hAnsi="Times New Roman" w:cs="Times New Roman"/>
          <w:b/>
          <w:bCs/>
          <w:kern w:val="0"/>
          <w:sz w:val="36"/>
          <w:szCs w:val="36"/>
          <w14:ligatures w14:val="none"/>
        </w:rPr>
        <w:t>Impact on BP</w:t>
      </w:r>
    </w:p>
    <w:p w14:paraId="5028462D"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36422793" w14:textId="77777777" w:rsidR="003A2DD9" w:rsidRPr="003A2DD9" w:rsidRDefault="003A2DD9" w:rsidP="003A2D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A2DD9">
        <w:rPr>
          <w:rFonts w:ascii="Times New Roman" w:eastAsia="Times New Roman" w:hAnsi="Times New Roman" w:cs="Times New Roman"/>
          <w:b/>
          <w:bCs/>
          <w:kern w:val="0"/>
          <w:sz w:val="27"/>
          <w:szCs w:val="27"/>
          <w14:ligatures w14:val="none"/>
        </w:rPr>
        <w:t>Market Position</w:t>
      </w:r>
    </w:p>
    <w:p w14:paraId="22F503A1"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2C98F289" w14:textId="5A077D4C"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Global forces are reshaping BP’s position in the energy market. As demand shifts towards cleaner energy, BP must move beyond its identity as an oil and gas company. Investments in renewable energy help the company stay relevant, but the transition also carries risks if not managed effectively.</w:t>
      </w:r>
    </w:p>
    <w:p w14:paraId="029D2A58"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626E2AC3" w14:textId="77777777" w:rsidR="003A2DD9" w:rsidRPr="003A2DD9" w:rsidRDefault="003A2DD9" w:rsidP="003A2D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A2DD9">
        <w:rPr>
          <w:rFonts w:ascii="Times New Roman" w:eastAsia="Times New Roman" w:hAnsi="Times New Roman" w:cs="Times New Roman"/>
          <w:b/>
          <w:bCs/>
          <w:kern w:val="0"/>
          <w:sz w:val="27"/>
          <w:szCs w:val="27"/>
          <w14:ligatures w14:val="none"/>
        </w:rPr>
        <w:t>Innovation</w:t>
      </w:r>
    </w:p>
    <w:p w14:paraId="376B6EE8"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2F8A929F"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sidRPr="003A2DD9">
        <w:rPr>
          <w:rFonts w:ascii="Times New Roman" w:hAnsi="Times New Roman" w:cs="Times New Roman"/>
          <w:kern w:val="0"/>
          <w14:ligatures w14:val="none"/>
        </w:rPr>
        <w:t>AI and technological advancements are driving innovation within BP. The company must invest in new technologies to improve efficiency and support its transition to sustainable energy. However, continuous investment can create financial pressure, especially during uncertain economic periods.</w:t>
      </w:r>
    </w:p>
    <w:p w14:paraId="7227BD84"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799E7666" w14:textId="77777777" w:rsidR="003A2DD9" w:rsidRPr="003A2DD9" w:rsidRDefault="003A2DD9" w:rsidP="003A2D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A2DD9">
        <w:rPr>
          <w:rFonts w:ascii="Times New Roman" w:eastAsia="Times New Roman" w:hAnsi="Times New Roman" w:cs="Times New Roman"/>
          <w:b/>
          <w:bCs/>
          <w:kern w:val="0"/>
          <w:sz w:val="27"/>
          <w:szCs w:val="27"/>
          <w14:ligatures w14:val="none"/>
        </w:rPr>
        <w:t>Talent Management</w:t>
      </w:r>
    </w:p>
    <w:p w14:paraId="4F31143A"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28E1C193" w14:textId="04138F2A"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The shift towards technology and sustainability requires new skills. BP must attract and train employees in areas such as AI and renewable energy. At the same time, automation may create uncertainty among workers, making it important to manage change carefully.</w:t>
      </w:r>
    </w:p>
    <w:p w14:paraId="77CBE955"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64C36646" w14:textId="77777777" w:rsidR="003A2DD9" w:rsidRPr="003A2DD9" w:rsidRDefault="003A2DD9" w:rsidP="003A2DD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A2DD9">
        <w:rPr>
          <w:rFonts w:ascii="Times New Roman" w:eastAsia="Times New Roman" w:hAnsi="Times New Roman" w:cs="Times New Roman"/>
          <w:b/>
          <w:bCs/>
          <w:kern w:val="0"/>
          <w:sz w:val="27"/>
          <w:szCs w:val="27"/>
          <w14:ligatures w14:val="none"/>
        </w:rPr>
        <w:t>Competitiveness</w:t>
      </w:r>
    </w:p>
    <w:p w14:paraId="37378A22"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68BB1A1C" w14:textId="41E65AA5"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lastRenderedPageBreak/>
        <w:t xml:space="preserve">   </w:t>
      </w:r>
      <w:r w:rsidRPr="003A2DD9">
        <w:rPr>
          <w:rFonts w:ascii="Times New Roman" w:hAnsi="Times New Roman" w:cs="Times New Roman"/>
          <w:kern w:val="0"/>
          <w14:ligatures w14:val="none"/>
        </w:rPr>
        <w:t>BP’s competitiveness depends on its ability to balance short-term profitability with long-term transformation. Adapting to global forces is essential in order to maintain its position in an increasingly competitive market.</w:t>
      </w:r>
    </w:p>
    <w:p w14:paraId="6CE58341" w14:textId="77777777" w:rsidR="003A2DD9" w:rsidRPr="003A2DD9" w:rsidRDefault="003A2DD9" w:rsidP="003A2DD9">
      <w:pPr>
        <w:spacing w:after="0" w:line="240" w:lineRule="auto"/>
        <w:rPr>
          <w:rFonts w:ascii="Times New Roman" w:eastAsia="Times New Roman" w:hAnsi="Times New Roman" w:cs="Times New Roman"/>
          <w:kern w:val="0"/>
          <w14:ligatures w14:val="none"/>
        </w:rPr>
      </w:pPr>
      <w:r w:rsidRPr="003A2DD9">
        <w:rPr>
          <w:rFonts w:ascii="Times New Roman" w:eastAsia="Times New Roman" w:hAnsi="Times New Roman" w:cs="Times New Roman"/>
          <w:noProof/>
          <w:kern w:val="0"/>
          <w14:ligatures w14:val="none"/>
        </w:rPr>
        <mc:AlternateContent>
          <mc:Choice Requires="wps">
            <w:drawing>
              <wp:inline distT="0" distB="0" distL="0" distR="0" wp14:anchorId="2B75A615" wp14:editId="5B713E55">
                <wp:extent cx="5731510" cy="1270"/>
                <wp:effectExtent l="0" t="31750" r="0" b="36830"/>
                <wp:docPr id="576015820" name="Dreptunghi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1C803E8" id="Dreptunghi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BE941B6" w14:textId="77777777" w:rsidR="003A2DD9" w:rsidRPr="003A2DD9" w:rsidRDefault="003A2DD9" w:rsidP="003A2DD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3A2DD9">
        <w:rPr>
          <w:rFonts w:ascii="Times New Roman" w:eastAsia="Times New Roman" w:hAnsi="Times New Roman" w:cs="Times New Roman"/>
          <w:b/>
          <w:bCs/>
          <w:kern w:val="0"/>
          <w:sz w:val="36"/>
          <w:szCs w:val="36"/>
          <w14:ligatures w14:val="none"/>
        </w:rPr>
        <w:t>Strategic Recommendations</w:t>
      </w:r>
    </w:p>
    <w:p w14:paraId="7E8AA892"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373E47FA" w14:textId="259FED6C"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In order to respond effectively to global forces, BP should adopt a proactive strategy.</w:t>
      </w:r>
    </w:p>
    <w:p w14:paraId="6B5C1D3B" w14:textId="7545D703"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Firstly, the company should invest further in AI and digital transformation. By integrating advanced technologies into its operations, BP can improve efficiency and strengthen its competitive advantage.</w:t>
      </w:r>
    </w:p>
    <w:p w14:paraId="47DA515A"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62264207" w14:textId="0349684C"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Secondly, BP should accelerate its transition towards renewable energy. Increasing investment in clean energy projects and setting clear sustainability goals can improve both its market position and public image.</w:t>
      </w:r>
    </w:p>
    <w:p w14:paraId="0F7F79B4" w14:textId="1F86D8D1"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Thirdly, BP needs to strengthen its risk management strategies. Diversifying supply chains and expanding into stable regions can reduce the impact of geopolitical disruptions.</w:t>
      </w:r>
    </w:p>
    <w:p w14:paraId="6B370B8F" w14:textId="28C2F9F9"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In addition, the company should invest in employee development. Training programmes and recruitment of skilled professionals will help BP adapt to technological and organisational changes.</w:t>
      </w:r>
    </w:p>
    <w:p w14:paraId="39C35B9E" w14:textId="1B186D94"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Finally, building strategic partnerships with other companies can support innovation and growth. Collaboration allows BP to share knowledge, reduce risks, and respond more effectively to global challenges.</w:t>
      </w:r>
    </w:p>
    <w:p w14:paraId="169EA12E" w14:textId="77777777" w:rsidR="003A2DD9" w:rsidRPr="003A2DD9" w:rsidRDefault="003A2DD9" w:rsidP="003A2DD9">
      <w:pPr>
        <w:spacing w:after="0" w:line="240" w:lineRule="auto"/>
        <w:rPr>
          <w:rFonts w:ascii="Times New Roman" w:eastAsia="Times New Roman" w:hAnsi="Times New Roman" w:cs="Times New Roman"/>
          <w:kern w:val="0"/>
          <w14:ligatures w14:val="none"/>
        </w:rPr>
      </w:pPr>
      <w:r w:rsidRPr="003A2DD9">
        <w:rPr>
          <w:rFonts w:ascii="Times New Roman" w:eastAsia="Times New Roman" w:hAnsi="Times New Roman" w:cs="Times New Roman"/>
          <w:noProof/>
          <w:kern w:val="0"/>
          <w14:ligatures w14:val="none"/>
        </w:rPr>
        <mc:AlternateContent>
          <mc:Choice Requires="wps">
            <w:drawing>
              <wp:inline distT="0" distB="0" distL="0" distR="0" wp14:anchorId="22713765" wp14:editId="6C66E279">
                <wp:extent cx="5731510" cy="1270"/>
                <wp:effectExtent l="0" t="31750" r="0" b="36830"/>
                <wp:docPr id="1496086179" name="Dreptunghi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5E6841C" id="Dreptunghi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99CB25C" w14:textId="77777777" w:rsidR="00FD37AB" w:rsidRDefault="00FD37AB" w:rsidP="003A2D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FF225D4" w14:textId="77777777" w:rsidR="00FD37AB" w:rsidRDefault="00FD37AB" w:rsidP="003A2D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9425B8C" w14:textId="77777777" w:rsidR="00FD37AB" w:rsidRDefault="00FD37AB" w:rsidP="003A2D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673B646" w14:textId="77777777" w:rsidR="00FD37AB" w:rsidRDefault="00FD37AB" w:rsidP="003A2D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C0DE1CB" w14:textId="77777777" w:rsidR="00FD37AB" w:rsidRDefault="00FD37AB" w:rsidP="003A2D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9DFD464" w14:textId="77777777" w:rsidR="00FD37AB" w:rsidRDefault="00FD37AB" w:rsidP="003A2D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1160239" w14:textId="77777777" w:rsidR="00FD37AB" w:rsidRDefault="00FD37AB" w:rsidP="003A2D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E9A20F3" w14:textId="0AE3D2AE" w:rsidR="003A2DD9" w:rsidRPr="003A2DD9" w:rsidRDefault="003A2DD9" w:rsidP="003A2DD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3A2DD9">
        <w:rPr>
          <w:rFonts w:ascii="Times New Roman" w:eastAsia="Times New Roman" w:hAnsi="Times New Roman" w:cs="Times New Roman"/>
          <w:b/>
          <w:bCs/>
          <w:kern w:val="0"/>
          <w:sz w:val="36"/>
          <w:szCs w:val="36"/>
          <w14:ligatures w14:val="none"/>
        </w:rPr>
        <w:t>Conclusion</w:t>
      </w:r>
    </w:p>
    <w:p w14:paraId="59EEEFCE" w14:textId="77777777"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p>
    <w:p w14:paraId="4C1A555F" w14:textId="267ACF74"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In conclusion, global forces such as artificial intelligence, geopolitical instability, and sustainability pressures have a significant impact on BP. These forces create both opportunities for growth and challenges that require careful management.</w:t>
      </w:r>
    </w:p>
    <w:p w14:paraId="16E7DAC2" w14:textId="22383B9F"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AI offers the potential to improve efficiency and innovation, while geopolitical changes influence market opportunities and risks. At the same time, environmental regulations push BP to transform its business model and invest in renewable energy.</w:t>
      </w:r>
    </w:p>
    <w:p w14:paraId="79BAC744" w14:textId="76C92E2E"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The future success of BP depends on its ability to respond strategically to these forces. By embracing technology, strengthening sustainability efforts, managing risks, and investing in its workforce, BP can remain competitive in a rapidly changing global environment.</w:t>
      </w:r>
    </w:p>
    <w:p w14:paraId="0D7B85E0" w14:textId="4EC0E638" w:rsidR="003A2DD9" w:rsidRPr="003A2DD9" w:rsidRDefault="003A2DD9" w:rsidP="003A2DD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Pr="003A2DD9">
        <w:rPr>
          <w:rFonts w:ascii="Times New Roman" w:hAnsi="Times New Roman" w:cs="Times New Roman"/>
          <w:kern w:val="0"/>
          <w14:ligatures w14:val="none"/>
        </w:rPr>
        <w:t>Ultimately, companies that adapt effectively to global forces are more likely to succeed, and BP’s ability to evolve will determine its long-term position in the global energy industry.</w:t>
      </w:r>
    </w:p>
    <w:p w14:paraId="166302FA" w14:textId="77777777" w:rsidR="00685012" w:rsidRDefault="00685012">
      <w:pPr>
        <w:rPr>
          <w:b/>
          <w:bCs/>
          <w:lang w:val="ro-RO"/>
        </w:rPr>
      </w:pPr>
    </w:p>
    <w:p w14:paraId="1F1B173A" w14:textId="77777777" w:rsidR="00CF4BB5" w:rsidRDefault="00CF4BB5">
      <w:pPr>
        <w:rPr>
          <w:b/>
          <w:bCs/>
          <w:lang w:val="ro-RO"/>
        </w:rPr>
      </w:pPr>
    </w:p>
    <w:p w14:paraId="34190E5E" w14:textId="77777777" w:rsidR="00CF4BB5" w:rsidRDefault="00CF4BB5">
      <w:pPr>
        <w:rPr>
          <w:b/>
          <w:bCs/>
          <w:lang w:val="ro-RO"/>
        </w:rPr>
      </w:pPr>
    </w:p>
    <w:p w14:paraId="4C9A0B08" w14:textId="77777777" w:rsidR="00CF4BB5" w:rsidRDefault="00CF4BB5">
      <w:pPr>
        <w:rPr>
          <w:b/>
          <w:bCs/>
          <w:lang w:val="ro-RO"/>
        </w:rPr>
      </w:pPr>
    </w:p>
    <w:p w14:paraId="1762C3FA" w14:textId="77777777" w:rsidR="00CF4BB5" w:rsidRDefault="00CF4BB5">
      <w:pPr>
        <w:rPr>
          <w:b/>
          <w:bCs/>
          <w:lang w:val="ro-RO"/>
        </w:rPr>
      </w:pPr>
    </w:p>
    <w:p w14:paraId="351D6F1B" w14:textId="77777777" w:rsidR="00CF4BB5" w:rsidRDefault="00CF4BB5">
      <w:pPr>
        <w:rPr>
          <w:b/>
          <w:bCs/>
          <w:lang w:val="ro-RO"/>
        </w:rPr>
      </w:pPr>
    </w:p>
    <w:p w14:paraId="5E9159E3" w14:textId="77777777" w:rsidR="00120DB3" w:rsidRDefault="00120DB3">
      <w:pPr>
        <w:rPr>
          <w:lang w:val="ro-RO"/>
        </w:rPr>
      </w:pPr>
    </w:p>
    <w:p w14:paraId="1AB3C22A" w14:textId="77777777" w:rsidR="00FD37AB" w:rsidRDefault="00FD37AB">
      <w:pPr>
        <w:rPr>
          <w:lang w:val="ro-RO"/>
        </w:rPr>
      </w:pPr>
    </w:p>
    <w:p w14:paraId="32CC602C" w14:textId="77777777" w:rsidR="00FD37AB" w:rsidRDefault="00FD37AB">
      <w:pPr>
        <w:rPr>
          <w:lang w:val="ro-RO"/>
        </w:rPr>
      </w:pPr>
    </w:p>
    <w:p w14:paraId="3554CBA0" w14:textId="77777777" w:rsidR="00FD37AB" w:rsidRDefault="00FD37AB">
      <w:pPr>
        <w:rPr>
          <w:lang w:val="ro-RO"/>
        </w:rPr>
      </w:pPr>
    </w:p>
    <w:p w14:paraId="5A268421" w14:textId="77777777" w:rsidR="00FD37AB" w:rsidRDefault="00FD37AB">
      <w:pPr>
        <w:rPr>
          <w:lang w:val="ro-RO"/>
        </w:rPr>
      </w:pPr>
    </w:p>
    <w:p w14:paraId="4B5118D7" w14:textId="77777777" w:rsidR="00FD37AB" w:rsidRDefault="00FD37AB">
      <w:pPr>
        <w:rPr>
          <w:lang w:val="ro-RO"/>
        </w:rPr>
      </w:pPr>
    </w:p>
    <w:p w14:paraId="12C52E3F" w14:textId="77777777" w:rsidR="00FD37AB" w:rsidRDefault="00FD37AB">
      <w:pPr>
        <w:rPr>
          <w:lang w:val="ro-RO"/>
        </w:rPr>
      </w:pPr>
    </w:p>
    <w:p w14:paraId="5F16AA02" w14:textId="77777777" w:rsidR="00FD37AB" w:rsidRDefault="00FD37AB">
      <w:pPr>
        <w:rPr>
          <w:lang w:val="ro-RO"/>
        </w:rPr>
      </w:pPr>
    </w:p>
    <w:p w14:paraId="334C8F8D" w14:textId="77777777" w:rsidR="00C461CF" w:rsidRDefault="00C461CF">
      <w:pPr>
        <w:rPr>
          <w:lang w:val="ro-RO"/>
        </w:rPr>
      </w:pPr>
    </w:p>
    <w:p w14:paraId="14CFD98B" w14:textId="77777777" w:rsidR="00C461CF" w:rsidRPr="00C461CF" w:rsidRDefault="00C461CF" w:rsidP="00C461C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461CF">
        <w:rPr>
          <w:rFonts w:ascii="Times New Roman" w:eastAsia="Times New Roman" w:hAnsi="Times New Roman" w:cs="Times New Roman"/>
          <w:b/>
          <w:bCs/>
          <w:kern w:val="0"/>
          <w:sz w:val="36"/>
          <w:szCs w:val="36"/>
          <w14:ligatures w14:val="none"/>
        </w:rPr>
        <w:lastRenderedPageBreak/>
        <w:t>6. References</w:t>
      </w:r>
    </w:p>
    <w:p w14:paraId="04D96F09"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p>
    <w:p w14:paraId="24854EF7"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r w:rsidRPr="00C461CF">
        <w:rPr>
          <w:rFonts w:ascii="Times New Roman" w:hAnsi="Times New Roman" w:cs="Times New Roman"/>
          <w:kern w:val="0"/>
          <w14:ligatures w14:val="none"/>
        </w:rPr>
        <w:t>BP (2023) Annual Report and Form 20-F 2023. London: BP plc.</w:t>
      </w:r>
    </w:p>
    <w:p w14:paraId="29331107"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p>
    <w:p w14:paraId="27211555"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r w:rsidRPr="00C461CF">
        <w:rPr>
          <w:rFonts w:ascii="Times New Roman" w:hAnsi="Times New Roman" w:cs="Times New Roman"/>
          <w:kern w:val="0"/>
          <w14:ligatures w14:val="none"/>
        </w:rPr>
        <w:t>BP (2024) Sustainability Report 2024. Available at: https://www.bp.com (Accessed: 20 April 2026).</w:t>
      </w:r>
    </w:p>
    <w:p w14:paraId="3B3C24E9"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p>
    <w:p w14:paraId="0D60DFFB"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r w:rsidRPr="00C461CF">
        <w:rPr>
          <w:rFonts w:ascii="Times New Roman" w:hAnsi="Times New Roman" w:cs="Times New Roman"/>
          <w:kern w:val="0"/>
          <w14:ligatures w14:val="none"/>
        </w:rPr>
        <w:t>International Energy Agency (IEA) (2023) World Energy Outlook 2023. Paris: IEA.</w:t>
      </w:r>
    </w:p>
    <w:p w14:paraId="587D51C9"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p>
    <w:p w14:paraId="5AB76F4C"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r w:rsidRPr="00C461CF">
        <w:rPr>
          <w:rFonts w:ascii="Times New Roman" w:hAnsi="Times New Roman" w:cs="Times New Roman"/>
          <w:kern w:val="0"/>
          <w14:ligatures w14:val="none"/>
        </w:rPr>
        <w:t>European Commission (2023) Corporate Sustainability Reporting Directive (CSRD). Available at: https://ec.europa.eu (Accessed: 20 April 2026).</w:t>
      </w:r>
    </w:p>
    <w:p w14:paraId="4A35AA4C"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p>
    <w:p w14:paraId="07D310D6"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r w:rsidRPr="00C461CF">
        <w:rPr>
          <w:rFonts w:ascii="Times New Roman" w:hAnsi="Times New Roman" w:cs="Times New Roman"/>
          <w:kern w:val="0"/>
          <w14:ligatures w14:val="none"/>
        </w:rPr>
        <w:t>McKinsey &amp; Company (2023) The Role of AI in Energy Industry Transformation. Available at: https://www.mckinsey.com (Accessed: 20 April 2026).</w:t>
      </w:r>
    </w:p>
    <w:p w14:paraId="47399272"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p>
    <w:p w14:paraId="06B3FBCE"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r w:rsidRPr="00C461CF">
        <w:rPr>
          <w:rFonts w:ascii="Times New Roman" w:hAnsi="Times New Roman" w:cs="Times New Roman"/>
          <w:kern w:val="0"/>
          <w14:ligatures w14:val="none"/>
        </w:rPr>
        <w:t>PwC (2024) Energy Transition and Global Risks Report. Available at: https://www.pwc.com (Accessed: 20 April 2026).</w:t>
      </w:r>
    </w:p>
    <w:p w14:paraId="41CFBFE3"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p>
    <w:p w14:paraId="5A014E31"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r w:rsidRPr="00C461CF">
        <w:rPr>
          <w:rFonts w:ascii="Times New Roman" w:hAnsi="Times New Roman" w:cs="Times New Roman"/>
          <w:kern w:val="0"/>
          <w14:ligatures w14:val="none"/>
        </w:rPr>
        <w:t>Deloitte (2023) 2023 Oil and Gas Industry Outlook. Available at: https://www2.deloitte.com (Accessed: 20 April 2026).</w:t>
      </w:r>
    </w:p>
    <w:p w14:paraId="7F2188C3"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p>
    <w:p w14:paraId="44888E4F"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r w:rsidRPr="00C461CF">
        <w:rPr>
          <w:rFonts w:ascii="Times New Roman" w:hAnsi="Times New Roman" w:cs="Times New Roman"/>
          <w:kern w:val="0"/>
          <w14:ligatures w14:val="none"/>
        </w:rPr>
        <w:t>Statista (2024) Global Energy Market Trends and Forecasts. Available at: https://www.statista.com (Accessed: 20 April 2026).</w:t>
      </w:r>
    </w:p>
    <w:p w14:paraId="45C85513"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p>
    <w:p w14:paraId="317494B7"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r w:rsidRPr="00C461CF">
        <w:rPr>
          <w:rFonts w:ascii="Times New Roman" w:hAnsi="Times New Roman" w:cs="Times New Roman"/>
          <w:kern w:val="0"/>
          <w14:ligatures w14:val="none"/>
        </w:rPr>
        <w:t>Grant, R.M. (2022) Contemporary Strategy Analysis. 11th edn. Oxford: Wiley.</w:t>
      </w:r>
    </w:p>
    <w:p w14:paraId="607A1003"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p>
    <w:p w14:paraId="45C533A2"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r w:rsidRPr="00C461CF">
        <w:rPr>
          <w:rFonts w:ascii="Times New Roman" w:hAnsi="Times New Roman" w:cs="Times New Roman"/>
          <w:kern w:val="0"/>
          <w14:ligatures w14:val="none"/>
        </w:rPr>
        <w:t>Hill, C.W.L. (2021) International Business: Competing in the Global Marketplace. 13th edn. New York: McGraw-Hill.</w:t>
      </w:r>
    </w:p>
    <w:p w14:paraId="395AA0F3"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p>
    <w:p w14:paraId="64DD4E9C" w14:textId="77777777" w:rsidR="00C461CF" w:rsidRPr="00C461CF" w:rsidRDefault="00C461CF" w:rsidP="00C461CF">
      <w:pPr>
        <w:spacing w:before="100" w:beforeAutospacing="1" w:after="100" w:afterAutospacing="1" w:line="240" w:lineRule="auto"/>
        <w:rPr>
          <w:rFonts w:ascii="Times New Roman" w:hAnsi="Times New Roman" w:cs="Times New Roman"/>
          <w:kern w:val="0"/>
          <w14:ligatures w14:val="none"/>
        </w:rPr>
      </w:pPr>
      <w:r w:rsidRPr="00C461CF">
        <w:rPr>
          <w:rFonts w:ascii="Times New Roman" w:hAnsi="Times New Roman" w:cs="Times New Roman"/>
          <w:kern w:val="0"/>
          <w14:ligatures w14:val="none"/>
        </w:rPr>
        <w:t>Porter, M.E. (2008) ‘The Five Competitive Forces That Shape Strategy’, Harvard Business Review, 86(1), pp. 78–93.</w:t>
      </w:r>
    </w:p>
    <w:p w14:paraId="002D63EB" w14:textId="77777777" w:rsidR="00C461CF" w:rsidRPr="00E619DF" w:rsidRDefault="00C461CF">
      <w:pPr>
        <w:rPr>
          <w:lang w:val="ro-RO"/>
        </w:rPr>
      </w:pPr>
    </w:p>
    <w:sectPr w:rsidR="00C461CF" w:rsidRPr="00E619DF">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29803" w14:textId="77777777" w:rsidR="000C3BBF" w:rsidRDefault="000C3BBF" w:rsidP="000C3BBF">
      <w:pPr>
        <w:spacing w:after="0" w:line="240" w:lineRule="auto"/>
      </w:pPr>
      <w:r>
        <w:separator/>
      </w:r>
    </w:p>
  </w:endnote>
  <w:endnote w:type="continuationSeparator" w:id="0">
    <w:p w14:paraId="62BD6568" w14:textId="77777777" w:rsidR="000C3BBF" w:rsidRDefault="000C3BBF" w:rsidP="000C3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1273246357"/>
      <w:docPartObj>
        <w:docPartGallery w:val="Page Numbers (Bottom of Page)"/>
        <w:docPartUnique/>
      </w:docPartObj>
    </w:sdtPr>
    <w:sdtContent>
      <w:p w14:paraId="0CEC7547" w14:textId="6F6A3F5F" w:rsidR="000C3BBF" w:rsidRDefault="000C3BBF" w:rsidP="00FE67ED">
        <w:pPr>
          <w:pStyle w:val="Subsol"/>
          <w:framePr w:wrap="none" w:vAnchor="text" w:hAnchor="margin" w:xAlign="center" w:y="1"/>
          <w:jc w:val="center"/>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68A9EAF0" w14:textId="77777777" w:rsidR="000C3BBF" w:rsidRDefault="000C3BBF">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431278296"/>
      <w:docPartObj>
        <w:docPartGallery w:val="Page Numbers (Bottom of Page)"/>
        <w:docPartUnique/>
      </w:docPartObj>
    </w:sdtPr>
    <w:sdtContent>
      <w:p w14:paraId="768F8F19" w14:textId="194D0638" w:rsidR="000C3BBF" w:rsidRDefault="000C3BBF" w:rsidP="00FE67ED">
        <w:pPr>
          <w:pStyle w:val="Subsol"/>
          <w:framePr w:wrap="none" w:vAnchor="text" w:hAnchor="margin" w:xAlign="center" w:y="1"/>
          <w:jc w:val="center"/>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2</w:t>
        </w:r>
        <w:r>
          <w:rPr>
            <w:rStyle w:val="Numrdepagin"/>
          </w:rPr>
          <w:fldChar w:fldCharType="end"/>
        </w:r>
      </w:p>
    </w:sdtContent>
  </w:sdt>
  <w:p w14:paraId="7244EAD4" w14:textId="77777777" w:rsidR="000C3BBF" w:rsidRDefault="000C3BB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7B5D1" w14:textId="77777777" w:rsidR="000C3BBF" w:rsidRDefault="000C3BBF" w:rsidP="000C3BBF">
      <w:pPr>
        <w:spacing w:after="0" w:line="240" w:lineRule="auto"/>
      </w:pPr>
      <w:r>
        <w:separator/>
      </w:r>
    </w:p>
  </w:footnote>
  <w:footnote w:type="continuationSeparator" w:id="0">
    <w:p w14:paraId="1E18EB23" w14:textId="77777777" w:rsidR="000C3BBF" w:rsidRDefault="000C3BBF" w:rsidP="000C3B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A721F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6927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revisionView w:inkAnnotation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012"/>
    <w:rsid w:val="000209A4"/>
    <w:rsid w:val="00075728"/>
    <w:rsid w:val="000C3BBF"/>
    <w:rsid w:val="00120DB3"/>
    <w:rsid w:val="00181703"/>
    <w:rsid w:val="00191143"/>
    <w:rsid w:val="001B6895"/>
    <w:rsid w:val="002153EE"/>
    <w:rsid w:val="00281D40"/>
    <w:rsid w:val="003A2DD9"/>
    <w:rsid w:val="00404529"/>
    <w:rsid w:val="00451DC4"/>
    <w:rsid w:val="005B33F4"/>
    <w:rsid w:val="005C57A4"/>
    <w:rsid w:val="00685012"/>
    <w:rsid w:val="006F119D"/>
    <w:rsid w:val="00901B92"/>
    <w:rsid w:val="00945B71"/>
    <w:rsid w:val="009C06C0"/>
    <w:rsid w:val="00A56F78"/>
    <w:rsid w:val="00C461CF"/>
    <w:rsid w:val="00C534C6"/>
    <w:rsid w:val="00CF4BB5"/>
    <w:rsid w:val="00E619DF"/>
    <w:rsid w:val="00FD37AB"/>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2B28E"/>
  <w15:chartTrackingRefBased/>
  <w15:docId w15:val="{617F0A22-EBDE-824A-88CD-76A14054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850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unhideWhenUsed/>
    <w:qFormat/>
    <w:rsid w:val="006850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unhideWhenUsed/>
    <w:qFormat/>
    <w:rsid w:val="00685012"/>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685012"/>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685012"/>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685012"/>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85012"/>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85012"/>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85012"/>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85012"/>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685012"/>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685012"/>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685012"/>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685012"/>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685012"/>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85012"/>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85012"/>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85012"/>
    <w:rPr>
      <w:rFonts w:eastAsiaTheme="majorEastAsia" w:cstheme="majorBidi"/>
      <w:color w:val="272727" w:themeColor="text1" w:themeTint="D8"/>
    </w:rPr>
  </w:style>
  <w:style w:type="paragraph" w:styleId="Titlu">
    <w:name w:val="Title"/>
    <w:basedOn w:val="Normal"/>
    <w:next w:val="Normal"/>
    <w:link w:val="TitluCaracter"/>
    <w:uiPriority w:val="10"/>
    <w:qFormat/>
    <w:rsid w:val="006850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85012"/>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85012"/>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85012"/>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85012"/>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85012"/>
    <w:rPr>
      <w:i/>
      <w:iCs/>
      <w:color w:val="404040" w:themeColor="text1" w:themeTint="BF"/>
    </w:rPr>
  </w:style>
  <w:style w:type="paragraph" w:styleId="Listparagraf">
    <w:name w:val="List Paragraph"/>
    <w:basedOn w:val="Normal"/>
    <w:uiPriority w:val="34"/>
    <w:qFormat/>
    <w:rsid w:val="00685012"/>
    <w:pPr>
      <w:ind w:left="720"/>
      <w:contextualSpacing/>
    </w:pPr>
  </w:style>
  <w:style w:type="character" w:styleId="Accentuareintens">
    <w:name w:val="Intense Emphasis"/>
    <w:basedOn w:val="Fontdeparagrafimplicit"/>
    <w:uiPriority w:val="21"/>
    <w:qFormat/>
    <w:rsid w:val="00685012"/>
    <w:rPr>
      <w:i/>
      <w:iCs/>
      <w:color w:val="2F5496" w:themeColor="accent1" w:themeShade="BF"/>
    </w:rPr>
  </w:style>
  <w:style w:type="paragraph" w:styleId="Citatintens">
    <w:name w:val="Intense Quote"/>
    <w:basedOn w:val="Normal"/>
    <w:next w:val="Normal"/>
    <w:link w:val="CitatintensCaracter"/>
    <w:uiPriority w:val="30"/>
    <w:qFormat/>
    <w:rsid w:val="006850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685012"/>
    <w:rPr>
      <w:i/>
      <w:iCs/>
      <w:color w:val="2F5496" w:themeColor="accent1" w:themeShade="BF"/>
    </w:rPr>
  </w:style>
  <w:style w:type="character" w:styleId="Referireintens">
    <w:name w:val="Intense Reference"/>
    <w:basedOn w:val="Fontdeparagrafimplicit"/>
    <w:uiPriority w:val="32"/>
    <w:qFormat/>
    <w:rsid w:val="00685012"/>
    <w:rPr>
      <w:b/>
      <w:bCs/>
      <w:smallCaps/>
      <w:color w:val="2F5496" w:themeColor="accent1" w:themeShade="BF"/>
      <w:spacing w:val="5"/>
    </w:rPr>
  </w:style>
  <w:style w:type="paragraph" w:customStyle="1" w:styleId="p1">
    <w:name w:val="p1"/>
    <w:basedOn w:val="Normal"/>
    <w:rsid w:val="00685012"/>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Fontdeparagrafimplicit"/>
    <w:rsid w:val="00685012"/>
  </w:style>
  <w:style w:type="paragraph" w:customStyle="1" w:styleId="p2">
    <w:name w:val="p2"/>
    <w:basedOn w:val="Normal"/>
    <w:rsid w:val="00685012"/>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Fontdeparagrafimplicit"/>
    <w:rsid w:val="00685012"/>
  </w:style>
  <w:style w:type="paragraph" w:customStyle="1" w:styleId="p3">
    <w:name w:val="p3"/>
    <w:basedOn w:val="Normal"/>
    <w:rsid w:val="00901B92"/>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Fontdeparagrafimplicit"/>
    <w:rsid w:val="00C461CF"/>
  </w:style>
  <w:style w:type="paragraph" w:styleId="Antet">
    <w:name w:val="header"/>
    <w:basedOn w:val="Normal"/>
    <w:link w:val="AntetCaracter"/>
    <w:uiPriority w:val="99"/>
    <w:unhideWhenUsed/>
    <w:rsid w:val="000C3BB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0C3BBF"/>
  </w:style>
  <w:style w:type="paragraph" w:styleId="Subsol">
    <w:name w:val="footer"/>
    <w:basedOn w:val="Normal"/>
    <w:link w:val="SubsolCaracter"/>
    <w:uiPriority w:val="99"/>
    <w:unhideWhenUsed/>
    <w:rsid w:val="000C3BB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0C3BBF"/>
  </w:style>
  <w:style w:type="character" w:styleId="Numrdepagin">
    <w:name w:val="page number"/>
    <w:basedOn w:val="Fontdeparagrafimplicit"/>
    <w:uiPriority w:val="99"/>
    <w:semiHidden/>
    <w:unhideWhenUsed/>
    <w:rsid w:val="000C3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hatgpt://generic-entity?number=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1432</Words>
  <Characters>8306</Characters>
  <Application>Microsoft Office Word</Application>
  <DocSecurity>0</DocSecurity>
  <Lines>69</Lines>
  <Paragraphs>19</Paragraphs>
  <ScaleCrop>false</ScaleCrop>
  <Company/>
  <LinksUpToDate>false</LinksUpToDate>
  <CharactersWithSpaces>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burulea</dc:creator>
  <cp:keywords/>
  <dc:description/>
  <cp:lastModifiedBy>daniel burulea</cp:lastModifiedBy>
  <cp:revision>2</cp:revision>
  <dcterms:created xsi:type="dcterms:W3CDTF">2026-04-20T12:23:00Z</dcterms:created>
  <dcterms:modified xsi:type="dcterms:W3CDTF">2026-04-20T12:23:00Z</dcterms:modified>
</cp:coreProperties>
</file>