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454B2C3" w:rsidR="00233A4C" w:rsidRDefault="00083915" w:rsidP="00966762">
      <w:pPr>
        <w:spacing w:before="200" w:line="360" w:lineRule="auto"/>
        <w:rPr>
          <w:b/>
          <w:bCs/>
          <w:sz w:val="32"/>
          <w:szCs w:val="32"/>
        </w:rPr>
      </w:pPr>
      <w:r>
        <w:rPr>
          <w:b/>
          <w:bCs/>
          <w:sz w:val="32"/>
          <w:szCs w:val="32"/>
        </w:rPr>
        <w:t xml:space="preserve">                               </w:t>
      </w:r>
      <w:r w:rsidR="00966762">
        <w:rPr>
          <w:noProof/>
        </w:rPr>
        <w:drawing>
          <wp:inline distT="0" distB="0" distL="0" distR="0" wp14:anchorId="0EE4D4AD" wp14:editId="7BBFB15C">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0000002" w14:textId="77777777" w:rsidR="00233A4C" w:rsidRDefault="00233A4C">
      <w:pPr>
        <w:spacing w:before="200" w:line="360" w:lineRule="auto"/>
        <w:jc w:val="center"/>
        <w:rPr>
          <w:b/>
          <w:bCs/>
          <w:sz w:val="32"/>
          <w:szCs w:val="32"/>
        </w:rPr>
      </w:pPr>
    </w:p>
    <w:p w14:paraId="00000003" w14:textId="77777777" w:rsidR="00233A4C" w:rsidRDefault="00233A4C">
      <w:pPr>
        <w:spacing w:before="200" w:line="360" w:lineRule="auto"/>
        <w:jc w:val="center"/>
        <w:rPr>
          <w:b/>
          <w:bCs/>
          <w:sz w:val="32"/>
          <w:szCs w:val="32"/>
        </w:rPr>
      </w:pPr>
    </w:p>
    <w:p w14:paraId="00000004" w14:textId="77777777" w:rsidR="00233A4C" w:rsidRDefault="00233A4C">
      <w:pPr>
        <w:spacing w:before="200" w:line="360" w:lineRule="auto"/>
        <w:jc w:val="center"/>
        <w:rPr>
          <w:b/>
          <w:bCs/>
          <w:sz w:val="32"/>
          <w:szCs w:val="32"/>
        </w:rPr>
      </w:pPr>
    </w:p>
    <w:p w14:paraId="00000008" w14:textId="000D16F9" w:rsidR="00233A4C" w:rsidRDefault="00083915" w:rsidP="00966762">
      <w:pPr>
        <w:spacing w:before="200" w:line="360" w:lineRule="auto"/>
        <w:rPr>
          <w:b/>
          <w:bCs/>
          <w:sz w:val="32"/>
          <w:szCs w:val="32"/>
        </w:rPr>
      </w:pPr>
      <w:r>
        <w:rPr>
          <w:b/>
          <w:bCs/>
          <w:sz w:val="32"/>
          <w:szCs w:val="32"/>
        </w:rPr>
        <w:t xml:space="preserve">               </w:t>
      </w:r>
      <w:r w:rsidR="00966762">
        <w:rPr>
          <w:b/>
          <w:bCs/>
          <w:sz w:val="32"/>
          <w:szCs w:val="32"/>
        </w:rPr>
        <w:t xml:space="preserve"> </w:t>
      </w:r>
      <w:r w:rsidR="0053779B">
        <w:rPr>
          <w:b/>
          <w:bCs/>
          <w:sz w:val="32"/>
          <w:szCs w:val="32"/>
        </w:rPr>
        <w:t xml:space="preserve">STUDENT’S </w:t>
      </w:r>
      <w:r>
        <w:rPr>
          <w:b/>
          <w:bCs/>
          <w:sz w:val="32"/>
          <w:szCs w:val="32"/>
        </w:rPr>
        <w:t>NAME: SIADATINA DUARTE</w:t>
      </w:r>
    </w:p>
    <w:p w14:paraId="00000009" w14:textId="710C207E" w:rsidR="00233A4C" w:rsidRDefault="0053779B">
      <w:pPr>
        <w:spacing w:before="200" w:line="360" w:lineRule="auto"/>
        <w:jc w:val="center"/>
        <w:rPr>
          <w:b/>
          <w:bCs/>
          <w:sz w:val="32"/>
          <w:szCs w:val="32"/>
        </w:rPr>
      </w:pPr>
      <w:r>
        <w:rPr>
          <w:b/>
          <w:bCs/>
          <w:sz w:val="32"/>
          <w:szCs w:val="32"/>
        </w:rPr>
        <w:t>STUDENT’S NUMBER:</w:t>
      </w:r>
      <w:r w:rsidR="007453A0">
        <w:rPr>
          <w:b/>
          <w:bCs/>
          <w:sz w:val="32"/>
          <w:szCs w:val="32"/>
        </w:rPr>
        <w:t>2511206</w:t>
      </w:r>
    </w:p>
    <w:p w14:paraId="0000000A" w14:textId="216F5DA2" w:rsidR="00233A4C" w:rsidRDefault="0053779B">
      <w:pPr>
        <w:spacing w:before="200" w:line="360" w:lineRule="auto"/>
        <w:jc w:val="center"/>
        <w:rPr>
          <w:b/>
          <w:bCs/>
          <w:sz w:val="32"/>
          <w:szCs w:val="32"/>
        </w:rPr>
      </w:pPr>
      <w:r>
        <w:rPr>
          <w:b/>
          <w:bCs/>
          <w:sz w:val="32"/>
          <w:szCs w:val="32"/>
        </w:rPr>
        <w:t xml:space="preserve">MODULE CODE AND </w:t>
      </w:r>
      <w:r w:rsidR="008A4685">
        <w:rPr>
          <w:b/>
          <w:bCs/>
          <w:sz w:val="32"/>
          <w:szCs w:val="32"/>
        </w:rPr>
        <w:t>TITLE: LCHS</w:t>
      </w:r>
      <w:r w:rsidR="00406F79">
        <w:rPr>
          <w:b/>
          <w:bCs/>
          <w:sz w:val="32"/>
          <w:szCs w:val="32"/>
        </w:rPr>
        <w:t xml:space="preserve">4003 HEALTH </w:t>
      </w:r>
      <w:r w:rsidR="008A4685">
        <w:rPr>
          <w:b/>
          <w:bCs/>
          <w:sz w:val="32"/>
          <w:szCs w:val="32"/>
        </w:rPr>
        <w:t>AND SOCIAL</w:t>
      </w:r>
    </w:p>
    <w:p w14:paraId="0000000B" w14:textId="13BB7CF4" w:rsidR="00233A4C" w:rsidRDefault="0053779B">
      <w:pPr>
        <w:spacing w:before="200" w:line="360" w:lineRule="auto"/>
        <w:jc w:val="center"/>
        <w:rPr>
          <w:b/>
          <w:bCs/>
          <w:sz w:val="32"/>
          <w:szCs w:val="32"/>
        </w:rPr>
      </w:pPr>
      <w:r>
        <w:rPr>
          <w:b/>
          <w:bCs/>
          <w:sz w:val="32"/>
          <w:szCs w:val="32"/>
        </w:rPr>
        <w:t xml:space="preserve">LECTURER’S </w:t>
      </w:r>
      <w:r w:rsidR="00066F7F">
        <w:rPr>
          <w:b/>
          <w:bCs/>
          <w:sz w:val="32"/>
          <w:szCs w:val="32"/>
        </w:rPr>
        <w:t>NAME: MUMTAZ GOOLAM</w:t>
      </w:r>
    </w:p>
    <w:p w14:paraId="0000000C" w14:textId="65B85BF1" w:rsidR="00233A4C" w:rsidRDefault="0053779B">
      <w:pPr>
        <w:spacing w:before="200" w:line="360" w:lineRule="auto"/>
        <w:jc w:val="center"/>
        <w:rPr>
          <w:b/>
          <w:bCs/>
          <w:sz w:val="32"/>
          <w:szCs w:val="32"/>
        </w:rPr>
      </w:pPr>
      <w:r>
        <w:rPr>
          <w:b/>
          <w:bCs/>
          <w:sz w:val="32"/>
          <w:szCs w:val="32"/>
        </w:rPr>
        <w:t xml:space="preserve">ASSIGNMENT </w:t>
      </w:r>
      <w:r w:rsidR="00066F7F">
        <w:rPr>
          <w:b/>
          <w:bCs/>
          <w:sz w:val="32"/>
          <w:szCs w:val="32"/>
        </w:rPr>
        <w:t>TITLE: TASK 1 POSTER</w:t>
      </w:r>
      <w:r w:rsidR="00DE74DD">
        <w:rPr>
          <w:b/>
          <w:bCs/>
          <w:sz w:val="32"/>
          <w:szCs w:val="32"/>
        </w:rPr>
        <w:t xml:space="preserve"> RESIDE</w:t>
      </w:r>
      <w:r w:rsidR="00CA74A2">
        <w:rPr>
          <w:b/>
          <w:bCs/>
          <w:sz w:val="32"/>
          <w:szCs w:val="32"/>
        </w:rPr>
        <w:t>NTIAL CARE HOMES</w:t>
      </w:r>
    </w:p>
    <w:p w14:paraId="0000000D" w14:textId="77777777" w:rsidR="00233A4C" w:rsidRDefault="0053779B">
      <w:pPr>
        <w:spacing w:before="200" w:line="360" w:lineRule="auto"/>
        <w:jc w:val="center"/>
        <w:rPr>
          <w:b/>
          <w:bCs/>
          <w:sz w:val="32"/>
          <w:szCs w:val="32"/>
        </w:rPr>
      </w:pPr>
      <w:r>
        <w:br w:type="page"/>
      </w:r>
    </w:p>
    <w:p w14:paraId="0000000E" w14:textId="77777777" w:rsidR="00233A4C" w:rsidRDefault="0053779B">
      <w:pPr>
        <w:spacing w:before="200" w:line="360" w:lineRule="auto"/>
        <w:jc w:val="center"/>
        <w:rPr>
          <w:b/>
          <w:bCs/>
          <w:sz w:val="28"/>
          <w:szCs w:val="28"/>
        </w:rPr>
      </w:pPr>
      <w:r>
        <w:rPr>
          <w:b/>
          <w:bCs/>
          <w:sz w:val="28"/>
          <w:szCs w:val="28"/>
        </w:rPr>
        <w:lastRenderedPageBreak/>
        <w:t>Table of contents</w:t>
      </w:r>
    </w:p>
    <w:p w14:paraId="0000000F" w14:textId="77777777" w:rsidR="00233A4C" w:rsidRDefault="00233A4C">
      <w:pPr>
        <w:spacing w:before="200" w:line="360" w:lineRule="auto"/>
        <w:jc w:val="center"/>
        <w:rPr>
          <w:b/>
          <w:bCs/>
          <w:sz w:val="28"/>
          <w:szCs w:val="28"/>
        </w:rPr>
      </w:pPr>
    </w:p>
    <w:sdt>
      <w:sdtPr>
        <w:id w:val="1947788777"/>
        <w:docPartObj>
          <w:docPartGallery w:val="Table of Contents"/>
          <w:docPartUnique/>
        </w:docPartObj>
      </w:sdtPr>
      <w:sdtContent>
        <w:p w14:paraId="00000014" w14:textId="31ADC2B5" w:rsidR="00233A4C" w:rsidRDefault="0053779B" w:rsidP="005E73B7">
          <w:pPr>
            <w:widowControl w:val="0"/>
            <w:tabs>
              <w:tab w:val="right" w:pos="9025"/>
            </w:tabs>
            <w:spacing w:before="200" w:line="360" w:lineRule="auto"/>
            <w:jc w:val="both"/>
            <w:rPr>
              <w:noProof/>
              <w:color w:val="000000"/>
            </w:rPr>
          </w:pPr>
          <w:r>
            <w:fldChar w:fldCharType="begin"/>
          </w:r>
          <w:r>
            <w:instrText xml:space="preserve"> TOC \h \u \z \t "Heading 1,1,Heading 2,2,Heading 3,3,Heading 4,4,Heading 5,5,Heading 6,6,"</w:instrText>
          </w:r>
          <w:r>
            <w:fldChar w:fldCharType="separate"/>
          </w:r>
          <w:hyperlink w:anchor="_t3fica9jl816">
            <w:r>
              <w:rPr>
                <w:noProof/>
                <w:color w:val="000000"/>
              </w:rPr>
              <w:t>Task 1: Poster</w:t>
            </w:r>
            <w:r>
              <w:rPr>
                <w:noProof/>
                <w:color w:val="000000"/>
              </w:rPr>
              <w:tab/>
            </w:r>
          </w:hyperlink>
          <w:r w:rsidR="00EF2FDB">
            <w:rPr>
              <w:noProof/>
            </w:rPr>
            <w:t>3</w:t>
          </w:r>
        </w:p>
        <w:p w14:paraId="00000015" w14:textId="6D3E174C" w:rsidR="00233A4C" w:rsidRDefault="0053779B">
          <w:pPr>
            <w:widowControl w:val="0"/>
            <w:tabs>
              <w:tab w:val="right" w:pos="9025"/>
            </w:tabs>
            <w:spacing w:before="200" w:line="360" w:lineRule="auto"/>
            <w:jc w:val="both"/>
            <w:rPr>
              <w:noProof/>
            </w:rPr>
          </w:pPr>
          <w:hyperlink w:anchor="_k5ez2epkg4ey">
            <w:r>
              <w:rPr>
                <w:noProof/>
                <w:color w:val="000000"/>
              </w:rPr>
              <w:t>References</w:t>
            </w:r>
            <w:r>
              <w:rPr>
                <w:noProof/>
                <w:color w:val="000000"/>
              </w:rPr>
              <w:tab/>
            </w:r>
          </w:hyperlink>
          <w:r w:rsidR="00EF2FDB">
            <w:rPr>
              <w:noProof/>
            </w:rPr>
            <w:t>4</w:t>
          </w:r>
          <w:r w:rsidR="00D974C7">
            <w:rPr>
              <w:noProof/>
            </w:rPr>
            <w:t xml:space="preserve">                                    </w:t>
          </w:r>
        </w:p>
        <w:p w14:paraId="00000017" w14:textId="7EF65859" w:rsidR="00233A4C" w:rsidRPr="00957C20" w:rsidRDefault="0053779B" w:rsidP="00D974C7">
          <w:pPr>
            <w:widowControl w:val="0"/>
            <w:tabs>
              <w:tab w:val="right" w:pos="9025"/>
            </w:tabs>
            <w:spacing w:before="200" w:line="360" w:lineRule="auto"/>
            <w:jc w:val="both"/>
          </w:pPr>
          <w:hyperlink w:anchor="_w0hx8ccntblo">
            <w:r>
              <w:rPr>
                <w:noProof/>
                <w:color w:val="000000"/>
              </w:rPr>
              <w:t>Part 1</w:t>
            </w:r>
            <w:r>
              <w:rPr>
                <w:noProof/>
                <w:color w:val="000000"/>
              </w:rPr>
              <w:tab/>
            </w:r>
          </w:hyperlink>
          <w:r>
            <w:fldChar w:fldCharType="end"/>
          </w:r>
          <w:r w:rsidR="00EF2FDB">
            <w:t>5</w:t>
          </w:r>
        </w:p>
      </w:sdtContent>
    </w:sdt>
    <w:p w14:paraId="00000019" w14:textId="77777777" w:rsidR="00233A4C" w:rsidRDefault="0053779B">
      <w:pPr>
        <w:pStyle w:val="Heading1"/>
      </w:pPr>
      <w:bookmarkStart w:id="0" w:name="_t3fica9jl816" w:colFirst="0" w:colLast="0"/>
      <w:bookmarkEnd w:id="0"/>
      <w:r>
        <w:lastRenderedPageBreak/>
        <w:t>Task 1: Poster</w:t>
      </w:r>
    </w:p>
    <w:p w14:paraId="49DE6A6E" w14:textId="0BE73B9D" w:rsidR="006F296F" w:rsidRPr="006F296F" w:rsidRDefault="006F296F" w:rsidP="006F296F">
      <w:r w:rsidRPr="006F296F">
        <w:rPr>
          <w:noProof/>
        </w:rPr>
        <w:drawing>
          <wp:inline distT="0" distB="0" distL="0" distR="0" wp14:anchorId="40E6A6F7" wp14:editId="6BA01CA8">
            <wp:extent cx="5687219" cy="8021169"/>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87219" cy="8021169"/>
                    </a:xfrm>
                    <a:prstGeom prst="rect">
                      <a:avLst/>
                    </a:prstGeom>
                  </pic:spPr>
                </pic:pic>
              </a:graphicData>
            </a:graphic>
          </wp:inline>
        </w:drawing>
      </w:r>
    </w:p>
    <w:p w14:paraId="00000050" w14:textId="17A0360B" w:rsidR="00233A4C" w:rsidRDefault="0053779B" w:rsidP="001B18E8">
      <w:pPr>
        <w:spacing w:before="200" w:line="360" w:lineRule="auto"/>
        <w:jc w:val="both"/>
        <w:rPr>
          <w:b/>
          <w:bCs/>
          <w:sz w:val="28"/>
          <w:szCs w:val="28"/>
        </w:rPr>
      </w:pPr>
      <w:bookmarkStart w:id="1" w:name="_egl2c1wgmfji" w:colFirst="0" w:colLast="0"/>
      <w:bookmarkEnd w:id="1"/>
      <w:r>
        <w:br w:type="page"/>
      </w:r>
    </w:p>
    <w:p w14:paraId="00000051" w14:textId="77777777" w:rsidR="00233A4C" w:rsidRDefault="0053779B">
      <w:pPr>
        <w:pStyle w:val="Heading1"/>
      </w:pPr>
      <w:bookmarkStart w:id="2" w:name="_k5ez2epkg4ey" w:colFirst="0" w:colLast="0"/>
      <w:bookmarkEnd w:id="2"/>
      <w:r>
        <w:lastRenderedPageBreak/>
        <w:t>References</w:t>
      </w:r>
    </w:p>
    <w:p w14:paraId="00000052" w14:textId="77777777" w:rsidR="00233A4C" w:rsidRDefault="0053779B" w:rsidP="006376DA">
      <w:pPr>
        <w:pStyle w:val="Heading2"/>
        <w:spacing w:after="100" w:afterAutospacing="1"/>
      </w:pPr>
      <w:bookmarkStart w:id="3" w:name="_w0hx8ccntblo" w:colFirst="0" w:colLast="0"/>
      <w:bookmarkEnd w:id="3"/>
      <w:r>
        <w:t>Part 1</w:t>
      </w:r>
    </w:p>
    <w:p w14:paraId="049D7B0F" w14:textId="77777777" w:rsidR="006376DA" w:rsidRDefault="006376DA" w:rsidP="006376DA">
      <w:pPr>
        <w:spacing w:before="200" w:after="100" w:afterAutospacing="1" w:line="360" w:lineRule="auto"/>
        <w:jc w:val="both"/>
      </w:pPr>
      <w:r>
        <w:t>Burton, J. K., Wolters, A. T., Towers, A. M., Jones, L., Meyer, J., Gordon, A. L., ... and Goodman, C. (2022). Developing a minimum data set for older adult care homes in the UK: exploring the concept and defining early core principles.</w:t>
      </w:r>
      <w:r>
        <w:rPr>
          <w:i/>
          <w:iCs/>
        </w:rPr>
        <w:t xml:space="preserve"> The Lancet Healthy Longevity, 3</w:t>
      </w:r>
      <w:r>
        <w:t xml:space="preserve">(3), e186-e193. </w:t>
      </w:r>
      <w:hyperlink r:id="rId12">
        <w:r>
          <w:rPr>
            <w:color w:val="1155CC"/>
            <w:u w:val="single"/>
          </w:rPr>
          <w:t>https://doi.org/10.1016/S2666-7568(22)00010-1</w:t>
        </w:r>
      </w:hyperlink>
      <w:r>
        <w:t xml:space="preserve"> </w:t>
      </w:r>
    </w:p>
    <w:p w14:paraId="28869B4C" w14:textId="77777777" w:rsidR="006376DA" w:rsidRDefault="006376DA" w:rsidP="006376DA">
      <w:pPr>
        <w:spacing w:before="200" w:after="100" w:afterAutospacing="1" w:line="360" w:lineRule="auto"/>
        <w:jc w:val="both"/>
      </w:pPr>
      <w:r>
        <w:t xml:space="preserve">Care Quality Commission, (2025). </w:t>
      </w:r>
      <w:r>
        <w:rPr>
          <w:i/>
          <w:iCs/>
        </w:rPr>
        <w:t xml:space="preserve">Health and Social Care Act 2008 (Regulated Activities) Regulations. </w:t>
      </w:r>
      <w:r>
        <w:t xml:space="preserve">Available from </w:t>
      </w:r>
      <w:hyperlink r:id="rId13">
        <w:r>
          <w:rPr>
            <w:color w:val="1155CC"/>
            <w:u w:val="single"/>
          </w:rPr>
          <w:t>https://www.cqc.org.uk/guidance-regulation/providers/regulations-service-providers-and-managers/health-social-care-act/regulation-12</w:t>
        </w:r>
      </w:hyperlink>
      <w:r>
        <w:t xml:space="preserve"> [Accessed 18 February 2026] </w:t>
      </w:r>
    </w:p>
    <w:p w14:paraId="4F006E37" w14:textId="77777777" w:rsidR="006376DA" w:rsidRDefault="006376DA" w:rsidP="006376DA">
      <w:pPr>
        <w:spacing w:before="200" w:after="100" w:afterAutospacing="1" w:line="360" w:lineRule="auto"/>
        <w:jc w:val="both"/>
      </w:pPr>
      <w:r>
        <w:t xml:space="preserve">Iqbal, A., Kinghorn, P., Glasby, J., Tanner, D., and Roberts, T. (2023). A scoping review of the costs, consequences, and wider impacts of residential care home closures in a UK context. </w:t>
      </w:r>
      <w:r>
        <w:rPr>
          <w:i/>
          <w:iCs/>
        </w:rPr>
        <w:t>Health &amp; Social Care in the Community, 2023</w:t>
      </w:r>
      <w:r>
        <w:t xml:space="preserve">(1), 8675499. </w:t>
      </w:r>
      <w:hyperlink r:id="rId14">
        <w:r>
          <w:rPr>
            <w:color w:val="1155CC"/>
            <w:u w:val="single"/>
          </w:rPr>
          <w:t>https://doi.org/10.1155/2023/8675499</w:t>
        </w:r>
      </w:hyperlink>
      <w:r>
        <w:t xml:space="preserve"> </w:t>
      </w:r>
    </w:p>
    <w:p w14:paraId="5E910DA1" w14:textId="77777777" w:rsidR="006376DA" w:rsidRDefault="006376DA" w:rsidP="006376DA">
      <w:pPr>
        <w:spacing w:before="200" w:after="100" w:afterAutospacing="1" w:line="360" w:lineRule="auto"/>
        <w:jc w:val="both"/>
      </w:pPr>
      <w:r>
        <w:t xml:space="preserve">Johannessen, T., Ree, E., Aase, I., Bal, R., and Wiig, S. (2020). Exploring challenges in quality and safety work in nursing homes and home care–a case study as basis for theory development. </w:t>
      </w:r>
      <w:r>
        <w:rPr>
          <w:i/>
          <w:iCs/>
        </w:rPr>
        <w:t>BMC health services research, 20</w:t>
      </w:r>
      <w:r>
        <w:t xml:space="preserve">(1), 277.  </w:t>
      </w:r>
      <w:hyperlink r:id="rId15">
        <w:r>
          <w:rPr>
            <w:color w:val="1155CC"/>
            <w:u w:val="single"/>
          </w:rPr>
          <w:t>https://doi.org/10.1186/s12913-020-05149-x</w:t>
        </w:r>
      </w:hyperlink>
      <w:r>
        <w:t xml:space="preserve"> </w:t>
      </w:r>
    </w:p>
    <w:p w14:paraId="7DC4D351" w14:textId="77777777" w:rsidR="006376DA" w:rsidRDefault="006376DA" w:rsidP="006376DA">
      <w:pPr>
        <w:spacing w:before="200" w:after="100" w:afterAutospacing="1" w:line="360" w:lineRule="auto"/>
        <w:jc w:val="both"/>
      </w:pPr>
      <w:r>
        <w:t xml:space="preserve">Living Developments, (2025). </w:t>
      </w:r>
      <w:r>
        <w:rPr>
          <w:i/>
          <w:iCs/>
        </w:rPr>
        <w:t xml:space="preserve">The Benefits of Residential Care. </w:t>
      </w:r>
      <w:r>
        <w:t xml:space="preserve">Available at: </w:t>
      </w:r>
      <w:hyperlink r:id="rId16">
        <w:r>
          <w:rPr>
            <w:color w:val="1155CC"/>
            <w:u w:val="single"/>
          </w:rPr>
          <w:t>https://livingdevelopments.com/news/the-benefits-of-residential-care</w:t>
        </w:r>
      </w:hyperlink>
      <w:r>
        <w:t xml:space="preserve"> [Accessed 18 February 2026] </w:t>
      </w:r>
    </w:p>
    <w:p w14:paraId="02EBD7F8" w14:textId="77777777" w:rsidR="006376DA" w:rsidRDefault="006376DA" w:rsidP="006376DA">
      <w:pPr>
        <w:spacing w:before="200" w:after="100" w:afterAutospacing="1" w:line="360" w:lineRule="auto"/>
        <w:jc w:val="both"/>
      </w:pPr>
      <w:r>
        <w:t xml:space="preserve">Lynch, B., Ryan, A. A., O’Neill, M., and Penney, S. (2022). The factors that influence care home residents’ and families’ engagement with decision-making about their care and support: an integrative review of the literature. </w:t>
      </w:r>
      <w:r>
        <w:rPr>
          <w:i/>
          <w:iCs/>
        </w:rPr>
        <w:t>BMC geriatrics, 22</w:t>
      </w:r>
      <w:r>
        <w:t xml:space="preserve">(1), 873. </w:t>
      </w:r>
      <w:hyperlink r:id="rId17">
        <w:r>
          <w:rPr>
            <w:color w:val="1155CC"/>
            <w:u w:val="single"/>
          </w:rPr>
          <w:t>https://doi.org/10.1186/s12877-022-03503-8</w:t>
        </w:r>
      </w:hyperlink>
      <w:r>
        <w:t xml:space="preserve"> </w:t>
      </w:r>
    </w:p>
    <w:p w14:paraId="2CC8FD37" w14:textId="77777777" w:rsidR="006376DA" w:rsidRDefault="006376DA" w:rsidP="006376DA">
      <w:pPr>
        <w:spacing w:before="200" w:after="100" w:afterAutospacing="1" w:line="360" w:lineRule="auto"/>
        <w:jc w:val="both"/>
      </w:pPr>
      <w:r>
        <w:t xml:space="preserve">Miller, M., Almomani, Y., Hopwood, P., Haghighi, P., Davis, A., Littler, E., ... and MacEachen, E. (2025). The impact of staffing structures in long-term care homes on the quality of work-life and work outcomes of care-workers: A narrative scoping review. </w:t>
      </w:r>
      <w:r>
        <w:rPr>
          <w:i/>
          <w:iCs/>
        </w:rPr>
        <w:t>International Journal of Nursing Studies,</w:t>
      </w:r>
      <w:r>
        <w:t xml:space="preserve"> 105304. </w:t>
      </w:r>
      <w:hyperlink r:id="rId18">
        <w:r>
          <w:rPr>
            <w:color w:val="1155CC"/>
            <w:u w:val="single"/>
          </w:rPr>
          <w:t>https://doi.org/10.1016/j.ijnurstu.2025.105304</w:t>
        </w:r>
      </w:hyperlink>
      <w:r>
        <w:t xml:space="preserve"> </w:t>
      </w:r>
    </w:p>
    <w:p w14:paraId="35A702B2" w14:textId="77777777" w:rsidR="006376DA" w:rsidRDefault="006376DA" w:rsidP="006376DA">
      <w:pPr>
        <w:spacing w:before="200" w:after="100" w:afterAutospacing="1" w:line="360" w:lineRule="auto"/>
        <w:jc w:val="both"/>
      </w:pPr>
      <w:r>
        <w:lastRenderedPageBreak/>
        <w:t xml:space="preserve">NHS, (2025). </w:t>
      </w:r>
      <w:r>
        <w:rPr>
          <w:i/>
          <w:iCs/>
        </w:rPr>
        <w:t xml:space="preserve">Care homes. </w:t>
      </w:r>
      <w:r>
        <w:t xml:space="preserve">Available at: </w:t>
      </w:r>
      <w:hyperlink r:id="rId19">
        <w:r>
          <w:rPr>
            <w:color w:val="1155CC"/>
            <w:u w:val="single"/>
          </w:rPr>
          <w:t>https://www.nhs.uk/social-care-and-support/care-services-equipment-and-care-homes/care-homes/</w:t>
        </w:r>
      </w:hyperlink>
      <w:r>
        <w:t xml:space="preserve"> [Accessed 18 February 2026]</w:t>
      </w:r>
    </w:p>
    <w:p w14:paraId="631F3DBB" w14:textId="77777777" w:rsidR="006376DA" w:rsidRDefault="006376DA" w:rsidP="006376DA">
      <w:pPr>
        <w:spacing w:before="200" w:after="100" w:afterAutospacing="1" w:line="360" w:lineRule="auto"/>
        <w:jc w:val="both"/>
      </w:pPr>
      <w:r>
        <w:t xml:space="preserve">ST. MICHAELS CARE, (2025). </w:t>
      </w:r>
      <w:r>
        <w:rPr>
          <w:i/>
          <w:iCs/>
        </w:rPr>
        <w:t xml:space="preserve">The Importance of Residential Care. </w:t>
      </w:r>
      <w:r>
        <w:t xml:space="preserve">Available at: </w:t>
      </w:r>
      <w:hyperlink r:id="rId20">
        <w:r>
          <w:rPr>
            <w:color w:val="1155CC"/>
            <w:u w:val="single"/>
          </w:rPr>
          <w:t>https://stmichaelscare.org/the-importance-of-residential-care/</w:t>
        </w:r>
      </w:hyperlink>
      <w:r>
        <w:t xml:space="preserve"> [Accessed 18 February 2026]</w:t>
      </w:r>
    </w:p>
    <w:p w14:paraId="40900B52" w14:textId="490B356C" w:rsidR="002A16E8" w:rsidRDefault="006376DA" w:rsidP="006376DA">
      <w:pPr>
        <w:spacing w:before="200" w:after="100" w:afterAutospacing="1" w:line="360" w:lineRule="auto"/>
        <w:jc w:val="both"/>
      </w:pPr>
      <w:r>
        <w:t xml:space="preserve">Szczepura, A., Nelson, S., and Wild, D. (2008). In-reach specialist nursing teams for residential care homes: uptake of services, impact on care provision and cost-effectiveness. </w:t>
      </w:r>
      <w:r>
        <w:rPr>
          <w:i/>
          <w:iCs/>
        </w:rPr>
        <w:t>BMC Health Services Research, 8</w:t>
      </w:r>
      <w:r>
        <w:t xml:space="preserve">(1), 269.  </w:t>
      </w:r>
      <w:hyperlink r:id="rId21">
        <w:r>
          <w:rPr>
            <w:color w:val="1155CC"/>
            <w:u w:val="single"/>
          </w:rPr>
          <w:t>https://doi.org/10.1186/1472-6963-8-269</w:t>
        </w:r>
      </w:hyperlink>
      <w:r>
        <w:t xml:space="preserve"> </w:t>
      </w:r>
    </w:p>
    <w:p w14:paraId="4E0D5AB5" w14:textId="77777777" w:rsidR="002A16E8" w:rsidRDefault="002A16E8">
      <w:r>
        <w:br w:type="page"/>
      </w:r>
    </w:p>
    <w:p w14:paraId="0C251310" w14:textId="77777777" w:rsidR="002A16E8" w:rsidRPr="00520D7D" w:rsidRDefault="002A16E8" w:rsidP="002A16E8">
      <w:pPr>
        <w:spacing w:before="200" w:line="360" w:lineRule="auto"/>
        <w:rPr>
          <w:noProof/>
        </w:rPr>
      </w:pPr>
      <w:r>
        <w:rPr>
          <w:noProof/>
        </w:rPr>
        <w:lastRenderedPageBreak/>
        <w:t xml:space="preserve">                         </w:t>
      </w:r>
      <w:r>
        <w:rPr>
          <w:noProof/>
        </w:rPr>
        <w:drawing>
          <wp:inline distT="0" distB="0" distL="0" distR="0" wp14:anchorId="1466BF80" wp14:editId="1F27923C">
            <wp:extent cx="2619299" cy="1628775"/>
            <wp:effectExtent l="0" t="0" r="0" b="0"/>
            <wp:docPr id="24211493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114931"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4198" cy="1631821"/>
                    </a:xfrm>
                    <a:prstGeom prst="rect">
                      <a:avLst/>
                    </a:prstGeom>
                    <a:noFill/>
                  </pic:spPr>
                </pic:pic>
              </a:graphicData>
            </a:graphic>
          </wp:inline>
        </w:drawing>
      </w:r>
      <w:r>
        <w:rPr>
          <w:noProof/>
        </w:rPr>
        <w:t xml:space="preserve">        </w:t>
      </w:r>
    </w:p>
    <w:p w14:paraId="05591100" w14:textId="77777777" w:rsidR="002A16E8" w:rsidRDefault="002A16E8" w:rsidP="002A16E8">
      <w:pPr>
        <w:spacing w:before="200" w:line="360" w:lineRule="auto"/>
        <w:rPr>
          <w:b/>
          <w:bCs/>
          <w:sz w:val="32"/>
          <w:szCs w:val="32"/>
        </w:rPr>
      </w:pPr>
      <w:r>
        <w:rPr>
          <w:b/>
          <w:bCs/>
          <w:sz w:val="32"/>
          <w:szCs w:val="32"/>
        </w:rPr>
        <w:t xml:space="preserve">                                      </w:t>
      </w:r>
    </w:p>
    <w:p w14:paraId="44EDEBB7" w14:textId="77777777" w:rsidR="002A16E8" w:rsidRDefault="002A16E8" w:rsidP="002A16E8">
      <w:pPr>
        <w:spacing w:before="200" w:line="360" w:lineRule="auto"/>
        <w:rPr>
          <w:b/>
          <w:bCs/>
          <w:sz w:val="32"/>
          <w:szCs w:val="32"/>
        </w:rPr>
      </w:pPr>
    </w:p>
    <w:p w14:paraId="7678A697" w14:textId="77777777" w:rsidR="002A16E8" w:rsidRDefault="002A16E8" w:rsidP="002A16E8">
      <w:pPr>
        <w:spacing w:before="200" w:line="360" w:lineRule="auto"/>
        <w:rPr>
          <w:b/>
          <w:bCs/>
          <w:sz w:val="32"/>
          <w:szCs w:val="32"/>
        </w:rPr>
      </w:pPr>
    </w:p>
    <w:p w14:paraId="0D9BEA44" w14:textId="77777777" w:rsidR="002A16E8" w:rsidRDefault="002A16E8" w:rsidP="002A16E8">
      <w:pPr>
        <w:spacing w:before="200" w:line="360" w:lineRule="auto"/>
        <w:rPr>
          <w:b/>
          <w:bCs/>
          <w:sz w:val="32"/>
          <w:szCs w:val="32"/>
        </w:rPr>
      </w:pPr>
      <w:r>
        <w:rPr>
          <w:b/>
          <w:bCs/>
          <w:sz w:val="32"/>
          <w:szCs w:val="32"/>
        </w:rPr>
        <w:t xml:space="preserve">  </w:t>
      </w:r>
    </w:p>
    <w:p w14:paraId="3176EC79" w14:textId="77777777" w:rsidR="002A16E8" w:rsidRDefault="002A16E8" w:rsidP="002A16E8">
      <w:pPr>
        <w:spacing w:before="200" w:line="360" w:lineRule="auto"/>
        <w:rPr>
          <w:b/>
          <w:bCs/>
          <w:sz w:val="32"/>
          <w:szCs w:val="32"/>
        </w:rPr>
      </w:pPr>
      <w:r>
        <w:rPr>
          <w:b/>
          <w:bCs/>
          <w:sz w:val="32"/>
          <w:szCs w:val="32"/>
        </w:rPr>
        <w:t xml:space="preserve">                      STUDENT’S NAME: SAIDATINA DUARTE</w:t>
      </w:r>
    </w:p>
    <w:p w14:paraId="3A5AB985" w14:textId="77777777" w:rsidR="002A16E8" w:rsidRDefault="002A16E8" w:rsidP="002A16E8">
      <w:pPr>
        <w:spacing w:before="200" w:line="360" w:lineRule="auto"/>
        <w:jc w:val="center"/>
        <w:rPr>
          <w:b/>
          <w:bCs/>
          <w:sz w:val="32"/>
          <w:szCs w:val="32"/>
        </w:rPr>
      </w:pPr>
      <w:r>
        <w:rPr>
          <w:b/>
          <w:bCs/>
          <w:sz w:val="32"/>
          <w:szCs w:val="32"/>
        </w:rPr>
        <w:t xml:space="preserve">       STUDENT’S NUMBER:2511206</w:t>
      </w:r>
    </w:p>
    <w:p w14:paraId="458BFBCF" w14:textId="77777777" w:rsidR="002A16E8" w:rsidRDefault="002A16E8" w:rsidP="002A16E8">
      <w:pPr>
        <w:spacing w:before="200" w:line="360" w:lineRule="auto"/>
        <w:jc w:val="center"/>
        <w:rPr>
          <w:b/>
          <w:bCs/>
          <w:sz w:val="32"/>
          <w:szCs w:val="32"/>
        </w:rPr>
      </w:pPr>
      <w:r>
        <w:rPr>
          <w:b/>
          <w:bCs/>
          <w:sz w:val="32"/>
          <w:szCs w:val="32"/>
        </w:rPr>
        <w:t xml:space="preserve">     MODULE CODE AND TITLE: LCHS4003 HEALTH SOCIAL CARE</w:t>
      </w:r>
    </w:p>
    <w:p w14:paraId="2647FB88" w14:textId="77777777" w:rsidR="002A16E8" w:rsidRDefault="002A16E8" w:rsidP="002A16E8">
      <w:pPr>
        <w:spacing w:before="200" w:line="360" w:lineRule="auto"/>
        <w:jc w:val="center"/>
        <w:rPr>
          <w:b/>
          <w:bCs/>
          <w:sz w:val="32"/>
          <w:szCs w:val="32"/>
        </w:rPr>
      </w:pPr>
      <w:r>
        <w:rPr>
          <w:b/>
          <w:bCs/>
          <w:sz w:val="32"/>
          <w:szCs w:val="32"/>
        </w:rPr>
        <w:t>LECTURER’S NAME: MUMTAZ GOOLAM</w:t>
      </w:r>
    </w:p>
    <w:p w14:paraId="32896740" w14:textId="77777777" w:rsidR="002A16E8" w:rsidRDefault="002A16E8" w:rsidP="002A16E8">
      <w:pPr>
        <w:spacing w:before="200" w:line="360" w:lineRule="auto"/>
        <w:jc w:val="center"/>
        <w:rPr>
          <w:b/>
          <w:bCs/>
          <w:sz w:val="32"/>
          <w:szCs w:val="32"/>
        </w:rPr>
      </w:pPr>
      <w:r>
        <w:rPr>
          <w:b/>
          <w:bCs/>
          <w:sz w:val="32"/>
          <w:szCs w:val="32"/>
        </w:rPr>
        <w:t>ASSIGNMENT TITLE: TASK 2 PHARMACY SERVICES</w:t>
      </w:r>
    </w:p>
    <w:p w14:paraId="5C4AC9BB" w14:textId="77777777" w:rsidR="002A16E8" w:rsidRDefault="002A16E8" w:rsidP="002A16E8">
      <w:pPr>
        <w:spacing w:before="200" w:line="360" w:lineRule="auto"/>
        <w:jc w:val="center"/>
        <w:rPr>
          <w:b/>
          <w:bCs/>
          <w:sz w:val="32"/>
          <w:szCs w:val="32"/>
        </w:rPr>
      </w:pPr>
      <w:r>
        <w:br w:type="page"/>
      </w:r>
    </w:p>
    <w:p w14:paraId="3C29EFB6" w14:textId="77777777" w:rsidR="002A16E8" w:rsidRDefault="002A16E8" w:rsidP="002A16E8">
      <w:pPr>
        <w:pStyle w:val="NoSpacing"/>
      </w:pPr>
      <w:r>
        <w:lastRenderedPageBreak/>
        <w:t>Table of contents</w:t>
      </w:r>
    </w:p>
    <w:p w14:paraId="2FDDFEB9" w14:textId="77777777" w:rsidR="002A16E8" w:rsidRDefault="002A16E8" w:rsidP="002A16E8">
      <w:pPr>
        <w:spacing w:before="200" w:line="360" w:lineRule="auto"/>
        <w:jc w:val="center"/>
        <w:rPr>
          <w:b/>
          <w:bCs/>
          <w:sz w:val="28"/>
          <w:szCs w:val="28"/>
        </w:rPr>
      </w:pPr>
    </w:p>
    <w:sdt>
      <w:sdtPr>
        <w:id w:val="-491101088"/>
        <w:docPartObj>
          <w:docPartGallery w:val="Table of Contents"/>
          <w:docPartUnique/>
        </w:docPartObj>
      </w:sdtPr>
      <w:sdtContent>
        <w:p w14:paraId="7281BE5E" w14:textId="77777777" w:rsidR="002A16E8" w:rsidRDefault="002A16E8" w:rsidP="002A16E8">
          <w:pPr>
            <w:widowControl w:val="0"/>
            <w:tabs>
              <w:tab w:val="right" w:pos="9025"/>
            </w:tabs>
            <w:spacing w:before="200" w:line="360" w:lineRule="auto"/>
            <w:jc w:val="both"/>
            <w:rPr>
              <w:noProof/>
              <w:color w:val="000000"/>
            </w:rPr>
          </w:pPr>
          <w:r>
            <w:fldChar w:fldCharType="begin"/>
          </w:r>
          <w:r>
            <w:instrText xml:space="preserve"> TOC \h \u \z \t "Heading 1,1,Heading 2,2,Heading 3,3,Heading 4,4,Heading 5,5,Heading 6,6,"</w:instrText>
          </w:r>
          <w:r>
            <w:fldChar w:fldCharType="separate"/>
          </w:r>
        </w:p>
        <w:p w14:paraId="76712111" w14:textId="77777777" w:rsidR="002A16E8" w:rsidRDefault="002A16E8" w:rsidP="002A16E8">
          <w:pPr>
            <w:widowControl w:val="0"/>
            <w:tabs>
              <w:tab w:val="right" w:pos="9025"/>
            </w:tabs>
            <w:spacing w:before="200" w:line="360" w:lineRule="auto"/>
            <w:jc w:val="both"/>
            <w:rPr>
              <w:noProof/>
              <w:color w:val="000000"/>
            </w:rPr>
          </w:pPr>
          <w:hyperlink w:anchor="_egl2c1wgmfji">
            <w:r>
              <w:rPr>
                <w:noProof/>
                <w:color w:val="000000"/>
              </w:rPr>
              <w:t>Task 2: Essay</w:t>
            </w:r>
            <w:r>
              <w:rPr>
                <w:noProof/>
                <w:color w:val="000000"/>
              </w:rPr>
              <w:tab/>
            </w:r>
          </w:hyperlink>
          <w:r>
            <w:rPr>
              <w:noProof/>
            </w:rPr>
            <w:fldChar w:fldCharType="begin"/>
          </w:r>
          <w:r>
            <w:rPr>
              <w:noProof/>
            </w:rPr>
            <w:instrText xml:space="preserve"> PAGEREF _egl2c1wgmfji \h </w:instrText>
          </w:r>
          <w:r>
            <w:rPr>
              <w:noProof/>
            </w:rPr>
          </w:r>
          <w:r>
            <w:rPr>
              <w:noProof/>
            </w:rPr>
            <w:fldChar w:fldCharType="separate"/>
          </w:r>
          <w:r>
            <w:rPr>
              <w:noProof/>
            </w:rPr>
            <w:t>4</w:t>
          </w:r>
          <w:r>
            <w:rPr>
              <w:noProof/>
            </w:rPr>
            <w:fldChar w:fldCharType="end"/>
          </w:r>
        </w:p>
        <w:p w14:paraId="6D0E925E" w14:textId="77777777" w:rsidR="002A16E8" w:rsidRDefault="002A16E8" w:rsidP="002A16E8">
          <w:pPr>
            <w:widowControl w:val="0"/>
            <w:tabs>
              <w:tab w:val="right" w:pos="9025"/>
            </w:tabs>
            <w:spacing w:before="200" w:line="360" w:lineRule="auto"/>
            <w:ind w:left="360"/>
            <w:jc w:val="both"/>
            <w:rPr>
              <w:noProof/>
              <w:color w:val="000000"/>
            </w:rPr>
          </w:pPr>
          <w:hyperlink w:anchor="_8ob7j09ir46a">
            <w:r>
              <w:rPr>
                <w:noProof/>
                <w:color w:val="000000"/>
              </w:rPr>
              <w:t>Introduction</w:t>
            </w:r>
            <w:r>
              <w:rPr>
                <w:noProof/>
                <w:color w:val="000000"/>
              </w:rPr>
              <w:tab/>
            </w:r>
          </w:hyperlink>
          <w:r>
            <w:rPr>
              <w:noProof/>
            </w:rPr>
            <w:fldChar w:fldCharType="begin"/>
          </w:r>
          <w:r>
            <w:rPr>
              <w:noProof/>
            </w:rPr>
            <w:instrText xml:space="preserve"> PAGEREF _8ob7j09ir46a \h </w:instrText>
          </w:r>
          <w:r>
            <w:rPr>
              <w:noProof/>
            </w:rPr>
          </w:r>
          <w:r>
            <w:rPr>
              <w:noProof/>
            </w:rPr>
            <w:fldChar w:fldCharType="separate"/>
          </w:r>
          <w:r>
            <w:rPr>
              <w:noProof/>
            </w:rPr>
            <w:t>4</w:t>
          </w:r>
          <w:r>
            <w:rPr>
              <w:noProof/>
            </w:rPr>
            <w:fldChar w:fldCharType="end"/>
          </w:r>
        </w:p>
        <w:p w14:paraId="63121077" w14:textId="77777777" w:rsidR="002A16E8" w:rsidRDefault="002A16E8" w:rsidP="002A16E8">
          <w:pPr>
            <w:widowControl w:val="0"/>
            <w:tabs>
              <w:tab w:val="right" w:pos="9025"/>
            </w:tabs>
            <w:spacing w:before="200" w:line="360" w:lineRule="auto"/>
            <w:ind w:left="360"/>
            <w:jc w:val="both"/>
            <w:rPr>
              <w:noProof/>
              <w:color w:val="000000"/>
            </w:rPr>
          </w:pPr>
          <w:hyperlink w:anchor="_7rqywohuqmxo">
            <w:r>
              <w:rPr>
                <w:noProof/>
                <w:color w:val="000000"/>
              </w:rPr>
              <w:t>Critical discussion</w:t>
            </w:r>
            <w:r>
              <w:rPr>
                <w:noProof/>
                <w:color w:val="000000"/>
              </w:rPr>
              <w:tab/>
            </w:r>
          </w:hyperlink>
          <w:r>
            <w:rPr>
              <w:noProof/>
            </w:rPr>
            <w:fldChar w:fldCharType="begin"/>
          </w:r>
          <w:r>
            <w:rPr>
              <w:noProof/>
            </w:rPr>
            <w:instrText xml:space="preserve"> PAGEREF _7rqywohuqmxo \h </w:instrText>
          </w:r>
          <w:r>
            <w:rPr>
              <w:noProof/>
            </w:rPr>
          </w:r>
          <w:r>
            <w:rPr>
              <w:noProof/>
            </w:rPr>
            <w:fldChar w:fldCharType="separate"/>
          </w:r>
          <w:r>
            <w:rPr>
              <w:noProof/>
            </w:rPr>
            <w:t>4</w:t>
          </w:r>
          <w:r>
            <w:rPr>
              <w:noProof/>
            </w:rPr>
            <w:fldChar w:fldCharType="end"/>
          </w:r>
        </w:p>
        <w:p w14:paraId="470E89DC" w14:textId="77777777" w:rsidR="002A16E8" w:rsidRDefault="002A16E8" w:rsidP="002A16E8">
          <w:pPr>
            <w:widowControl w:val="0"/>
            <w:tabs>
              <w:tab w:val="right" w:pos="9025"/>
            </w:tabs>
            <w:spacing w:before="200" w:line="360" w:lineRule="auto"/>
            <w:ind w:left="360"/>
            <w:jc w:val="both"/>
            <w:rPr>
              <w:noProof/>
              <w:color w:val="000000"/>
            </w:rPr>
          </w:pPr>
          <w:hyperlink w:anchor="_4t19k2on044t">
            <w:r>
              <w:rPr>
                <w:noProof/>
                <w:color w:val="000000"/>
              </w:rPr>
              <w:t>Conclusion</w:t>
            </w:r>
            <w:r>
              <w:rPr>
                <w:noProof/>
                <w:color w:val="000000"/>
              </w:rPr>
              <w:tab/>
            </w:r>
          </w:hyperlink>
          <w:r>
            <w:rPr>
              <w:noProof/>
            </w:rPr>
            <w:fldChar w:fldCharType="begin"/>
          </w:r>
          <w:r>
            <w:rPr>
              <w:noProof/>
            </w:rPr>
            <w:instrText xml:space="preserve"> PAGEREF _4t19k2on044t \h </w:instrText>
          </w:r>
          <w:r>
            <w:rPr>
              <w:noProof/>
            </w:rPr>
          </w:r>
          <w:r>
            <w:rPr>
              <w:noProof/>
            </w:rPr>
            <w:fldChar w:fldCharType="separate"/>
          </w:r>
          <w:r>
            <w:rPr>
              <w:noProof/>
            </w:rPr>
            <w:t>5</w:t>
          </w:r>
          <w:r>
            <w:rPr>
              <w:noProof/>
            </w:rPr>
            <w:fldChar w:fldCharType="end"/>
          </w:r>
        </w:p>
        <w:p w14:paraId="13CB9497" w14:textId="77777777" w:rsidR="002A16E8" w:rsidRDefault="002A16E8" w:rsidP="002A16E8">
          <w:pPr>
            <w:widowControl w:val="0"/>
            <w:tabs>
              <w:tab w:val="right" w:pos="9025"/>
            </w:tabs>
            <w:spacing w:before="200" w:line="360" w:lineRule="auto"/>
            <w:jc w:val="both"/>
            <w:rPr>
              <w:noProof/>
              <w:color w:val="000000"/>
            </w:rPr>
          </w:pPr>
          <w:hyperlink w:anchor="_k5ez2epkg4ey">
            <w:r>
              <w:rPr>
                <w:noProof/>
                <w:color w:val="000000"/>
              </w:rPr>
              <w:t>References</w:t>
            </w:r>
            <w:r>
              <w:rPr>
                <w:noProof/>
                <w:color w:val="000000"/>
              </w:rPr>
              <w:tab/>
            </w:r>
          </w:hyperlink>
          <w:r>
            <w:rPr>
              <w:noProof/>
            </w:rPr>
            <w:fldChar w:fldCharType="begin"/>
          </w:r>
          <w:r>
            <w:rPr>
              <w:noProof/>
            </w:rPr>
            <w:instrText xml:space="preserve"> PAGEREF _k5ez2epkg4ey \h </w:instrText>
          </w:r>
          <w:r>
            <w:rPr>
              <w:noProof/>
            </w:rPr>
          </w:r>
          <w:r>
            <w:rPr>
              <w:noProof/>
            </w:rPr>
            <w:fldChar w:fldCharType="separate"/>
          </w:r>
          <w:r>
            <w:rPr>
              <w:noProof/>
            </w:rPr>
            <w:t>6</w:t>
          </w:r>
          <w:r>
            <w:rPr>
              <w:noProof/>
            </w:rPr>
            <w:fldChar w:fldCharType="end"/>
          </w:r>
        </w:p>
        <w:p w14:paraId="04102C44" w14:textId="77777777" w:rsidR="002A16E8" w:rsidRDefault="002A16E8" w:rsidP="002A16E8">
          <w:pPr>
            <w:widowControl w:val="0"/>
            <w:tabs>
              <w:tab w:val="right" w:pos="9025"/>
            </w:tabs>
            <w:spacing w:before="200" w:line="360" w:lineRule="auto"/>
            <w:ind w:left="360"/>
            <w:jc w:val="both"/>
          </w:pPr>
          <w:hyperlink w:anchor="_n9hjr216jo01">
            <w:r>
              <w:rPr>
                <w:noProof/>
                <w:color w:val="000000"/>
              </w:rPr>
              <w:t>Part 2</w:t>
            </w:r>
            <w:r>
              <w:rPr>
                <w:noProof/>
                <w:color w:val="000000"/>
              </w:rPr>
              <w:tab/>
            </w:r>
          </w:hyperlink>
          <w:r>
            <w:rPr>
              <w:noProof/>
            </w:rPr>
            <w:fldChar w:fldCharType="begin"/>
          </w:r>
          <w:r>
            <w:rPr>
              <w:noProof/>
            </w:rPr>
            <w:instrText xml:space="preserve"> PAGEREF _n9hjr216jo01 \h </w:instrText>
          </w:r>
          <w:r>
            <w:rPr>
              <w:noProof/>
            </w:rPr>
          </w:r>
          <w:r>
            <w:rPr>
              <w:noProof/>
            </w:rPr>
            <w:fldChar w:fldCharType="separate"/>
          </w:r>
          <w:r>
            <w:rPr>
              <w:noProof/>
            </w:rPr>
            <w:t>7</w:t>
          </w:r>
          <w:r>
            <w:rPr>
              <w:noProof/>
            </w:rPr>
            <w:fldChar w:fldCharType="end"/>
          </w:r>
          <w:r>
            <w:fldChar w:fldCharType="end"/>
          </w:r>
        </w:p>
      </w:sdtContent>
    </w:sdt>
    <w:p w14:paraId="7B7EE426" w14:textId="77777777" w:rsidR="002A16E8" w:rsidRPr="00896098" w:rsidRDefault="002A16E8" w:rsidP="002A16E8">
      <w:pPr>
        <w:widowControl w:val="0"/>
        <w:tabs>
          <w:tab w:val="right" w:pos="9025"/>
        </w:tabs>
        <w:spacing w:before="200" w:line="360" w:lineRule="auto"/>
        <w:ind w:left="360"/>
        <w:jc w:val="both"/>
        <w:rPr>
          <w:color w:val="000000"/>
        </w:rPr>
      </w:pPr>
      <w:r>
        <w:br w:type="page"/>
      </w:r>
    </w:p>
    <w:p w14:paraId="4E036F87" w14:textId="77777777" w:rsidR="002A16E8" w:rsidRDefault="002A16E8" w:rsidP="002A16E8">
      <w:pPr>
        <w:pStyle w:val="Heading1"/>
      </w:pPr>
      <w:r>
        <w:lastRenderedPageBreak/>
        <w:t>Task 2: Essay</w:t>
      </w:r>
    </w:p>
    <w:p w14:paraId="74DA7345" w14:textId="77777777" w:rsidR="002A16E8" w:rsidRDefault="002A16E8" w:rsidP="002A16E8">
      <w:pPr>
        <w:pStyle w:val="Heading2"/>
      </w:pPr>
      <w:bookmarkStart w:id="4" w:name="_8ob7j09ir46a" w:colFirst="0" w:colLast="0"/>
      <w:bookmarkEnd w:id="4"/>
      <w:r>
        <w:t xml:space="preserve">Introduction </w:t>
      </w:r>
    </w:p>
    <w:p w14:paraId="7B85071D" w14:textId="77777777" w:rsidR="002A16E8" w:rsidRDefault="002A16E8" w:rsidP="002A16E8">
      <w:pPr>
        <w:spacing w:before="200" w:line="360" w:lineRule="auto"/>
        <w:jc w:val="both"/>
        <w:rPr>
          <w:color w:val="0E101A"/>
        </w:rPr>
      </w:pPr>
      <w:r>
        <w:rPr>
          <w:color w:val="0E101A"/>
        </w:rPr>
        <w:t>The current discussion aims to critically evaluate “</w:t>
      </w:r>
      <w:r>
        <w:rPr>
          <w:b/>
          <w:bCs/>
          <w:i/>
          <w:iCs/>
          <w:color w:val="0E101A"/>
        </w:rPr>
        <w:t>Pharmacy services</w:t>
      </w:r>
      <w:r>
        <w:rPr>
          <w:color w:val="0E101A"/>
        </w:rPr>
        <w:t xml:space="preserve">” as the chosen service. Pharmacy services are considered an essential part of healthcare, which has changed the role of providing medicine to patient-oriented services that enhance safety, access, and quality of living. </w:t>
      </w:r>
    </w:p>
    <w:p w14:paraId="396ED6DA" w14:textId="77777777" w:rsidR="002A16E8" w:rsidRDefault="002A16E8" w:rsidP="002A16E8">
      <w:pPr>
        <w:spacing w:before="200" w:line="360" w:lineRule="auto"/>
        <w:jc w:val="both"/>
        <w:rPr>
          <w:b/>
          <w:bCs/>
          <w:i/>
          <w:iCs/>
          <w:color w:val="0E101A"/>
        </w:rPr>
      </w:pPr>
      <w:r>
        <w:rPr>
          <w:b/>
          <w:bCs/>
          <w:i/>
          <w:iCs/>
          <w:color w:val="0E101A"/>
        </w:rPr>
        <w:t>Thesis statement</w:t>
      </w:r>
    </w:p>
    <w:p w14:paraId="6C3531A6" w14:textId="77777777" w:rsidR="002A16E8" w:rsidRDefault="002A16E8" w:rsidP="002A16E8">
      <w:pPr>
        <w:spacing w:before="200" w:line="360" w:lineRule="auto"/>
        <w:jc w:val="both"/>
        <w:rPr>
          <w:color w:val="0E101A"/>
        </w:rPr>
      </w:pPr>
      <w:r>
        <w:rPr>
          <w:color w:val="0E101A"/>
        </w:rPr>
        <w:t xml:space="preserve">Despite the expansion of clinical roles, pharmacy services seem to remain constrained by systematic pressure limiting their potential for delivering high-quality, equitable patient-centred care. </w:t>
      </w:r>
    </w:p>
    <w:p w14:paraId="4FBE9FF2" w14:textId="77777777" w:rsidR="002A16E8" w:rsidRDefault="002A16E8" w:rsidP="002A16E8">
      <w:pPr>
        <w:pStyle w:val="Heading2"/>
      </w:pPr>
      <w:bookmarkStart w:id="5" w:name="_7rqywohuqmxo" w:colFirst="0" w:colLast="0"/>
      <w:bookmarkEnd w:id="5"/>
      <w:r>
        <w:t xml:space="preserve">Critical discussion </w:t>
      </w:r>
    </w:p>
    <w:p w14:paraId="5F0ADD74" w14:textId="77777777" w:rsidR="002A16E8" w:rsidRDefault="002A16E8" w:rsidP="002A16E8">
      <w:pPr>
        <w:spacing w:before="200" w:line="360" w:lineRule="auto"/>
        <w:jc w:val="both"/>
        <w:rPr>
          <w:b/>
          <w:bCs/>
          <w:i/>
          <w:iCs/>
          <w:color w:val="0E101A"/>
        </w:rPr>
      </w:pPr>
      <w:r>
        <w:rPr>
          <w:b/>
          <w:bCs/>
          <w:i/>
          <w:iCs/>
          <w:color w:val="0E101A"/>
        </w:rPr>
        <w:t>Investigating the origins</w:t>
      </w:r>
    </w:p>
    <w:p w14:paraId="3EDEA37A" w14:textId="77777777" w:rsidR="002A16E8" w:rsidRDefault="002A16E8" w:rsidP="002A16E8">
      <w:pPr>
        <w:spacing w:before="200" w:line="360" w:lineRule="auto"/>
        <w:jc w:val="both"/>
        <w:rPr>
          <w:color w:val="0E101A"/>
        </w:rPr>
      </w:pPr>
      <w:r>
        <w:rPr>
          <w:color w:val="0E101A"/>
        </w:rPr>
        <w:t>Pharmacy services had their roots in the early apothecaries who seemed to be skilled at preparing and dispensing medicines (Feng, 2023). They also processed and dispensed medicinal ingredients based on natural sources. These professionals were highly crucial in delivering medical care during the early years, as medical professions were not yet established. The profession of pharmacy has evolved towards patient-oriented care from product-oriented care (Khan et al., 2020). Gradually, the rise in scientific knowledge gave way to the standardisation of medicines and the professionalisation of pharmacy practice. Thus, this has made pharmacists responsible professionals in the provision and dispensing of medicines and advice safely. Pharmacists seem to be at the forefront of healthcare advancements, offering essential patient care services that are crucial for fighting against chronic diseases (Thorakkattil et al., 2024).</w:t>
      </w:r>
    </w:p>
    <w:p w14:paraId="7E324E37" w14:textId="77777777" w:rsidR="002A16E8" w:rsidRDefault="002A16E8" w:rsidP="002A16E8">
      <w:pPr>
        <w:spacing w:before="200" w:line="360" w:lineRule="auto"/>
        <w:jc w:val="both"/>
        <w:rPr>
          <w:b/>
          <w:bCs/>
          <w:i/>
          <w:iCs/>
          <w:color w:val="0E101A"/>
        </w:rPr>
      </w:pPr>
      <w:r>
        <w:rPr>
          <w:b/>
          <w:bCs/>
          <w:i/>
          <w:iCs/>
          <w:color w:val="0E101A"/>
        </w:rPr>
        <w:t>Exploring the historical context</w:t>
      </w:r>
    </w:p>
    <w:p w14:paraId="6AEF9E72" w14:textId="77777777" w:rsidR="002A16E8" w:rsidRDefault="002A16E8" w:rsidP="002A16E8">
      <w:pPr>
        <w:spacing w:before="200" w:line="360" w:lineRule="auto"/>
        <w:jc w:val="both"/>
        <w:rPr>
          <w:color w:val="0E101A"/>
        </w:rPr>
      </w:pPr>
      <w:r>
        <w:rPr>
          <w:color w:val="0E101A"/>
        </w:rPr>
        <w:t xml:space="preserve">Industrialisation, pharmaceutical science, and the reform of public health contributed to the development of pharmacy services. With the beginning of mass-produced medicines in the 19th and 20th centuries, there was a need to regulate these medicines to guarantee safety and quality. In the 19th century, pharmacy evolved into a distinct profession, where evidence from industrialisation and the mass production of medicines became a reality, ensuring the growth and development of this profession (Siddiqui et al., 2023). The reforms in the healthcare system and the government policies increased the duties of the pharmacists beyond drug dispensing to encompass patient counselling and the role of the pharmacist as </w:t>
      </w:r>
      <w:r>
        <w:rPr>
          <w:color w:val="0E101A"/>
        </w:rPr>
        <w:lastRenderedPageBreak/>
        <w:t>a public health educator. The role of pharmacists has shifted to provide the right medicine, to the right patient, and at the right time (WHO, 2024). The increasing pressure on primary care accessibility also made pharmacies one of the healthcare centers of the communities.</w:t>
      </w:r>
    </w:p>
    <w:p w14:paraId="059E6F08" w14:textId="77777777" w:rsidR="002A16E8" w:rsidRDefault="002A16E8" w:rsidP="002A16E8">
      <w:pPr>
        <w:spacing w:before="200" w:line="360" w:lineRule="auto"/>
        <w:jc w:val="both"/>
        <w:rPr>
          <w:b/>
          <w:bCs/>
          <w:i/>
          <w:iCs/>
          <w:color w:val="0E101A"/>
        </w:rPr>
      </w:pPr>
      <w:r>
        <w:rPr>
          <w:b/>
          <w:bCs/>
          <w:i/>
          <w:iCs/>
          <w:color w:val="0E101A"/>
        </w:rPr>
        <w:t>Evaluating how it functions</w:t>
      </w:r>
    </w:p>
    <w:p w14:paraId="2A1643E0" w14:textId="77777777" w:rsidR="002A16E8" w:rsidRDefault="002A16E8" w:rsidP="002A16E8">
      <w:pPr>
        <w:spacing w:before="200" w:line="360" w:lineRule="auto"/>
        <w:jc w:val="both"/>
        <w:rPr>
          <w:color w:val="0E101A"/>
        </w:rPr>
      </w:pPr>
      <w:r>
        <w:rPr>
          <w:color w:val="0E101A"/>
        </w:rPr>
        <w:t>In the present day, pharmacy services are governed by regulated structures that focus on patient safety, clinical effectiveness, and accessibility. Pharmacists offer medication dispensing, clinical services, the provision of vaccines, and the support of chronic diseases (Peletidi et al., 2025). Electronic health records and digital prescribing have improved efficiency, and error rates have decreased. However, the growing workloads and commercial demands may reduce time to interact with patients, which creates an issue related to service sustainability and quality.</w:t>
      </w:r>
    </w:p>
    <w:p w14:paraId="3336A42B" w14:textId="77777777" w:rsidR="002A16E8" w:rsidRDefault="002A16E8" w:rsidP="002A16E8">
      <w:pPr>
        <w:spacing w:before="200" w:line="360" w:lineRule="auto"/>
        <w:jc w:val="both"/>
        <w:rPr>
          <w:b/>
          <w:bCs/>
          <w:i/>
          <w:iCs/>
          <w:color w:val="0E101A"/>
        </w:rPr>
      </w:pPr>
      <w:r>
        <w:rPr>
          <w:b/>
          <w:bCs/>
          <w:i/>
          <w:iCs/>
          <w:color w:val="0E101A"/>
        </w:rPr>
        <w:t>Discussion on its significance</w:t>
      </w:r>
    </w:p>
    <w:p w14:paraId="5244DD83" w14:textId="77777777" w:rsidR="002A16E8" w:rsidRDefault="002A16E8" w:rsidP="002A16E8">
      <w:pPr>
        <w:spacing w:before="200" w:line="360" w:lineRule="auto"/>
        <w:jc w:val="both"/>
        <w:rPr>
          <w:color w:val="0E101A"/>
        </w:rPr>
      </w:pPr>
      <w:r>
        <w:rPr>
          <w:color w:val="0E101A"/>
        </w:rPr>
        <w:t xml:space="preserve">Pharmacy services contribute to a high quality of life by increasing access to healthcare and safe use of medication. The FIP and WHO have recognised the significance of developing pharmacy services </w:t>
      </w:r>
      <w:proofErr w:type="gramStart"/>
      <w:r>
        <w:rPr>
          <w:color w:val="0E101A"/>
        </w:rPr>
        <w:t>in order to</w:t>
      </w:r>
      <w:proofErr w:type="gramEnd"/>
      <w:r>
        <w:rPr>
          <w:color w:val="0E101A"/>
        </w:rPr>
        <w:t xml:space="preserve"> meet the fast-growing demands for quality and safe usage of medicine, and offering affordable healthcare service provision (Atif et al., 2020). Community pharmacies provide non-appointment-based, easy access advice to help early treat and self-manage illnesses. Pharmacists are instrumental in minimising medication errors, enhancing adherence, and implementing other public health programs like smoking cessation and immunisation programmes. In the last few decades, pharmacists have been practising pharmaceutical care to improve treatment outcomes of patients by maximising the benefits of medication therapy to patients (Khan et al., 2020). Such services also decrease hospital and GP workloads, as well as enable people to be more in charge of their health, especially in older adults and people with chronic conditions.</w:t>
      </w:r>
    </w:p>
    <w:p w14:paraId="36F2C6E7" w14:textId="77777777" w:rsidR="002A16E8" w:rsidRDefault="002A16E8" w:rsidP="002A16E8">
      <w:pPr>
        <w:pStyle w:val="Heading2"/>
      </w:pPr>
      <w:bookmarkStart w:id="6" w:name="_4t19k2on044t" w:colFirst="0" w:colLast="0"/>
      <w:bookmarkEnd w:id="6"/>
      <w:r>
        <w:t>Conclusion</w:t>
      </w:r>
    </w:p>
    <w:p w14:paraId="1AC55D5E" w14:textId="77777777" w:rsidR="002A16E8" w:rsidRDefault="002A16E8" w:rsidP="002A16E8">
      <w:pPr>
        <w:spacing w:before="200" w:line="360" w:lineRule="auto"/>
        <w:jc w:val="both"/>
        <w:rPr>
          <w:color w:val="0E101A"/>
        </w:rPr>
      </w:pPr>
      <w:r>
        <w:rPr>
          <w:color w:val="0E101A"/>
        </w:rPr>
        <w:t>Pharmacy has transformed into a fundamental, patient-centred health care service whose availability and clinical functions have continually enhanced population health and general living standards.</w:t>
      </w:r>
    </w:p>
    <w:p w14:paraId="209BA3A3" w14:textId="77777777" w:rsidR="002A16E8" w:rsidRDefault="002A16E8" w:rsidP="002A16E8">
      <w:pPr>
        <w:spacing w:before="200" w:line="360" w:lineRule="auto"/>
        <w:jc w:val="both"/>
        <w:rPr>
          <w:b/>
          <w:bCs/>
          <w:sz w:val="28"/>
          <w:szCs w:val="28"/>
        </w:rPr>
      </w:pPr>
    </w:p>
    <w:p w14:paraId="0DE15871" w14:textId="77777777" w:rsidR="002A16E8" w:rsidRDefault="002A16E8" w:rsidP="002A16E8">
      <w:pPr>
        <w:spacing w:before="200" w:line="360" w:lineRule="auto"/>
        <w:rPr>
          <w:b/>
          <w:bCs/>
          <w:sz w:val="28"/>
          <w:szCs w:val="28"/>
        </w:rPr>
      </w:pPr>
      <w:r>
        <w:br w:type="page"/>
      </w:r>
    </w:p>
    <w:p w14:paraId="190AB1AF" w14:textId="77777777" w:rsidR="002A16E8" w:rsidRDefault="002A16E8" w:rsidP="002A16E8">
      <w:pPr>
        <w:pStyle w:val="Heading1"/>
      </w:pPr>
      <w:r>
        <w:lastRenderedPageBreak/>
        <w:t>References</w:t>
      </w:r>
    </w:p>
    <w:p w14:paraId="4A4F36C1" w14:textId="77777777" w:rsidR="002A16E8" w:rsidRDefault="002A16E8" w:rsidP="002A16E8">
      <w:pPr>
        <w:pStyle w:val="Heading2"/>
        <w:spacing w:after="100" w:afterAutospacing="1"/>
      </w:pPr>
      <w:r>
        <w:t>Part 2</w:t>
      </w:r>
    </w:p>
    <w:p w14:paraId="5BF45C15" w14:textId="77777777" w:rsidR="002A16E8" w:rsidRDefault="002A16E8" w:rsidP="002A16E8">
      <w:pPr>
        <w:spacing w:before="200" w:after="100" w:afterAutospacing="1" w:line="360" w:lineRule="auto"/>
        <w:jc w:val="both"/>
      </w:pPr>
      <w:r>
        <w:t xml:space="preserve">Atif, M., Razzaq, W., Mushtaq, I., Malik, I., Razzaq, M., Scahill, S., and Babar, Z. U. D. (2020). Pharmacy services beyond the basics: a qualitative study to explore perspectives of pharmacists towards basic and enhanced pharmacy services in Pakistan. </w:t>
      </w:r>
      <w:r>
        <w:rPr>
          <w:i/>
          <w:iCs/>
        </w:rPr>
        <w:t>International journal of environmental research and public health, 17</w:t>
      </w:r>
      <w:r>
        <w:t xml:space="preserve">(7), 2379. </w:t>
      </w:r>
      <w:hyperlink r:id="rId22">
        <w:r>
          <w:rPr>
            <w:color w:val="1155CC"/>
            <w:u w:val="single"/>
          </w:rPr>
          <w:t>https://doi.org/10.3390/ijerph17072379</w:t>
        </w:r>
      </w:hyperlink>
      <w:r>
        <w:t xml:space="preserve"> </w:t>
      </w:r>
    </w:p>
    <w:p w14:paraId="487D86E4" w14:textId="77777777" w:rsidR="002A16E8" w:rsidRDefault="002A16E8" w:rsidP="002A16E8">
      <w:pPr>
        <w:spacing w:before="200" w:after="100" w:afterAutospacing="1" w:line="360" w:lineRule="auto"/>
        <w:jc w:val="both"/>
      </w:pPr>
      <w:r>
        <w:t xml:space="preserve">Feng, M., (2023). </w:t>
      </w:r>
      <w:r>
        <w:rPr>
          <w:i/>
          <w:iCs/>
        </w:rPr>
        <w:t xml:space="preserve">The Evolution and Impact of Pharmacy: </w:t>
      </w:r>
      <w:proofErr w:type="gramStart"/>
      <w:r>
        <w:rPr>
          <w:i/>
          <w:iCs/>
        </w:rPr>
        <w:t>An</w:t>
      </w:r>
      <w:proofErr w:type="gramEnd"/>
      <w:r>
        <w:rPr>
          <w:i/>
          <w:iCs/>
        </w:rPr>
        <w:t xml:space="preserve"> Detailed Overview. </w:t>
      </w:r>
      <w:r>
        <w:t xml:space="preserve">Available at: </w:t>
      </w:r>
      <w:hyperlink r:id="rId23">
        <w:r>
          <w:rPr>
            <w:color w:val="1155CC"/>
            <w:u w:val="single"/>
          </w:rPr>
          <w:t>https://www.jbclinpharm.org/articles/the-evolution-and-impact-of-pharmacy-an-detailed-overview-12568.html</w:t>
        </w:r>
      </w:hyperlink>
      <w:r>
        <w:t xml:space="preserve"> [Accessed 18 February 2026]</w:t>
      </w:r>
    </w:p>
    <w:p w14:paraId="12ACBCEF" w14:textId="77777777" w:rsidR="002A16E8" w:rsidRDefault="002A16E8" w:rsidP="002A16E8">
      <w:pPr>
        <w:spacing w:before="200" w:after="100" w:afterAutospacing="1" w:line="360" w:lineRule="auto"/>
        <w:jc w:val="both"/>
      </w:pPr>
      <w:r>
        <w:t xml:space="preserve">Khan, N., McGarry, K., Naqvi, A. A., Iqbal, M. S., and Haider, Z. (2020). Pharmacists' viewpoint towards their professional role in healthcare system: a survey of hospital settings of Pakistan. </w:t>
      </w:r>
      <w:r>
        <w:rPr>
          <w:i/>
          <w:iCs/>
        </w:rPr>
        <w:t>BMC health services research, 20</w:t>
      </w:r>
      <w:r>
        <w:t xml:space="preserve">(1), 610. </w:t>
      </w:r>
      <w:hyperlink r:id="rId24">
        <w:r>
          <w:rPr>
            <w:color w:val="1155CC"/>
            <w:u w:val="single"/>
          </w:rPr>
          <w:t>https://doi.org/10.1186/s12913-020-05459-0</w:t>
        </w:r>
      </w:hyperlink>
    </w:p>
    <w:p w14:paraId="07D8EA14" w14:textId="77777777" w:rsidR="002A16E8" w:rsidRDefault="002A16E8" w:rsidP="002A16E8">
      <w:pPr>
        <w:spacing w:before="200" w:after="100" w:afterAutospacing="1" w:line="360" w:lineRule="auto"/>
        <w:jc w:val="both"/>
      </w:pPr>
      <w:r w:rsidRPr="004B7718">
        <w:rPr>
          <w:lang w:val="pt-PT"/>
        </w:rPr>
        <w:t xml:space="preserve">Peletidi, A., Petrides, M., Birlirakis, V., Klimentidis, D., Liaras, K., and Petrou, C. (2025). </w:t>
      </w:r>
      <w:r>
        <w:t xml:space="preserve">Advanced clinical services in community pharmacies: training challenges and real-world applications–a focus on Greek-speaking countries. </w:t>
      </w:r>
      <w:r>
        <w:rPr>
          <w:i/>
          <w:iCs/>
        </w:rPr>
        <w:t>Journal of pharmaceutical policy and practice, 18</w:t>
      </w:r>
      <w:r>
        <w:t xml:space="preserve">(1), 2455066. </w:t>
      </w:r>
      <w:hyperlink r:id="rId25">
        <w:r>
          <w:rPr>
            <w:color w:val="1155CC"/>
            <w:u w:val="single"/>
          </w:rPr>
          <w:t>https://doi.org/10.1080/20523211.2025.2455066</w:t>
        </w:r>
      </w:hyperlink>
      <w:r>
        <w:t xml:space="preserve"> </w:t>
      </w:r>
    </w:p>
    <w:p w14:paraId="2798BF29" w14:textId="77777777" w:rsidR="002A16E8" w:rsidRDefault="002A16E8" w:rsidP="002A16E8">
      <w:pPr>
        <w:spacing w:before="200" w:after="100" w:afterAutospacing="1" w:line="360" w:lineRule="auto"/>
        <w:jc w:val="both"/>
      </w:pPr>
      <w:r w:rsidRPr="004B7718">
        <w:rPr>
          <w:lang w:val="pt-PT"/>
        </w:rPr>
        <w:t xml:space="preserve">Siddiqui, A. W., Singh, D., Samanta, R., Das, A. M. and Chhetri, P., (2023). </w:t>
      </w:r>
      <w:r>
        <w:t xml:space="preserve">Prescription Chronicles: A Journey Through Pharmacy. </w:t>
      </w:r>
      <w:r>
        <w:rPr>
          <w:i/>
          <w:iCs/>
        </w:rPr>
        <w:t>Tuijin Jishu/Journal of Propulsion Technology, 44</w:t>
      </w:r>
      <w:r>
        <w:t xml:space="preserve">(3). Available from: </w:t>
      </w:r>
      <w:hyperlink r:id="rId26">
        <w:r>
          <w:rPr>
            <w:color w:val="1155CC"/>
            <w:u w:val="single"/>
          </w:rPr>
          <w:t>https://www.propulsiontechjournal.com/index.php/journal/article/download/1287/902/2208</w:t>
        </w:r>
      </w:hyperlink>
      <w:r>
        <w:t xml:space="preserve"> [Accessed 18 February 2026]</w:t>
      </w:r>
    </w:p>
    <w:p w14:paraId="29EA3CB8" w14:textId="77777777" w:rsidR="002A16E8" w:rsidRDefault="002A16E8" w:rsidP="002A16E8">
      <w:pPr>
        <w:spacing w:before="200" w:after="100" w:afterAutospacing="1" w:line="360" w:lineRule="auto"/>
        <w:jc w:val="both"/>
      </w:pPr>
      <w:r>
        <w:t xml:space="preserve">Thorakkattil, S. A., Parakkal, S. A., Salim, K. M., Arain, S., Krishnan, G., Madathil, H., ... and Unnikrishnan, M. K. (2024). Improving patient safety and access to healthcare: The role of pharmacist-managed clinics in optimizing therapeutic outcomes. </w:t>
      </w:r>
      <w:r>
        <w:rPr>
          <w:i/>
          <w:iCs/>
        </w:rPr>
        <w:t>Exploratory Research in Clinical and Social Pharmacy, 16</w:t>
      </w:r>
      <w:r>
        <w:t xml:space="preserve">, 100527. </w:t>
      </w:r>
      <w:hyperlink r:id="rId27">
        <w:r>
          <w:rPr>
            <w:color w:val="1155CC"/>
            <w:u w:val="single"/>
          </w:rPr>
          <w:t>https://doi.org/10.1016/j.rcsop.2024.100527</w:t>
        </w:r>
      </w:hyperlink>
    </w:p>
    <w:p w14:paraId="1A283ADC" w14:textId="77777777" w:rsidR="002A16E8" w:rsidRDefault="002A16E8" w:rsidP="002A16E8">
      <w:pPr>
        <w:spacing w:before="200" w:after="100" w:afterAutospacing="1" w:line="360" w:lineRule="auto"/>
        <w:jc w:val="both"/>
      </w:pPr>
      <w:r>
        <w:t xml:space="preserve">WHO, (2024). </w:t>
      </w:r>
      <w:r>
        <w:rPr>
          <w:i/>
          <w:iCs/>
        </w:rPr>
        <w:t xml:space="preserve">Advancing the role of pharmacists to meet changing patient and health system needs. </w:t>
      </w:r>
      <w:r>
        <w:t xml:space="preserve">Available at: </w:t>
      </w:r>
      <w:hyperlink r:id="rId28">
        <w:r>
          <w:rPr>
            <w:color w:val="1155CC"/>
            <w:u w:val="single"/>
          </w:rPr>
          <w:t>https://www.who.int/europe/news-room/feature-stories/item/advancing-the-role-of-pharmacists-to-meet-changing-patient-and-health-system-needs</w:t>
        </w:r>
      </w:hyperlink>
      <w:r>
        <w:t xml:space="preserve">  [Accessed 18 February 2026]</w:t>
      </w:r>
    </w:p>
    <w:p w14:paraId="5DACCB97" w14:textId="77777777" w:rsidR="006376DA" w:rsidRDefault="006376DA" w:rsidP="006376DA">
      <w:pPr>
        <w:spacing w:before="200" w:after="100" w:afterAutospacing="1" w:line="360" w:lineRule="auto"/>
        <w:jc w:val="both"/>
      </w:pPr>
    </w:p>
    <w:p w14:paraId="4F87C9D3" w14:textId="0F78C3C7" w:rsidR="006376DA" w:rsidRDefault="006376DA" w:rsidP="006376DA">
      <w:pPr>
        <w:spacing w:before="200" w:after="100" w:afterAutospacing="1" w:line="360" w:lineRule="auto"/>
        <w:jc w:val="both"/>
      </w:pPr>
      <w:bookmarkStart w:id="7" w:name="_n9hjr216jo01" w:colFirst="0" w:colLast="0"/>
      <w:bookmarkEnd w:id="7"/>
    </w:p>
    <w:sectPr w:rsidR="006376DA" w:rsidSect="006376DA">
      <w:footerReference w:type="defaul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D2751" w14:textId="77777777" w:rsidR="006626FB" w:rsidRDefault="006626FB" w:rsidP="006376DA">
      <w:pPr>
        <w:spacing w:line="240" w:lineRule="auto"/>
      </w:pPr>
      <w:r>
        <w:separator/>
      </w:r>
    </w:p>
  </w:endnote>
  <w:endnote w:type="continuationSeparator" w:id="0">
    <w:p w14:paraId="44ECA861" w14:textId="77777777" w:rsidR="006626FB" w:rsidRDefault="006626FB" w:rsidP="006376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784179A-DA5A-4855-884C-302EEA8DA46C}"/>
  </w:font>
  <w:font w:name="Calibri">
    <w:panose1 w:val="020F0502020204030204"/>
    <w:charset w:val="00"/>
    <w:family w:val="swiss"/>
    <w:pitch w:val="variable"/>
    <w:sig w:usb0="E4002EFF" w:usb1="C200247B" w:usb2="00000009" w:usb3="00000000" w:csb0="000001FF" w:csb1="00000000"/>
    <w:embedRegular r:id="rId2" w:fontKey="{12D8C717-22FB-4F35-96F0-21A10A5715CE}"/>
  </w:font>
  <w:font w:name="Cambria">
    <w:panose1 w:val="02040503050406030204"/>
    <w:charset w:val="00"/>
    <w:family w:val="roman"/>
    <w:pitch w:val="variable"/>
    <w:sig w:usb0="E00006FF" w:usb1="420024FF" w:usb2="02000000" w:usb3="00000000" w:csb0="0000019F" w:csb1="00000000"/>
    <w:embedRegular r:id="rId3" w:fontKey="{683EF541-10D0-43D0-8934-062DF5D085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90110536"/>
      <w:docPartObj>
        <w:docPartGallery w:val="Page Numbers (Bottom of Page)"/>
        <w:docPartUnique/>
      </w:docPartObj>
    </w:sdtPr>
    <w:sdtContent>
      <w:sdt>
        <w:sdtPr>
          <w:rPr>
            <w:sz w:val="20"/>
            <w:szCs w:val="20"/>
          </w:rPr>
          <w:id w:val="860082579"/>
          <w:docPartObj>
            <w:docPartGallery w:val="Page Numbers (Top of Page)"/>
            <w:docPartUnique/>
          </w:docPartObj>
        </w:sdtPr>
        <w:sdtContent>
          <w:p w14:paraId="0B4AD867" w14:textId="66FA2885" w:rsidR="006376DA" w:rsidRPr="006376DA" w:rsidRDefault="006376DA">
            <w:pPr>
              <w:pStyle w:val="Footer"/>
              <w:jc w:val="right"/>
              <w:rPr>
                <w:sz w:val="20"/>
                <w:szCs w:val="20"/>
              </w:rPr>
            </w:pPr>
            <w:r w:rsidRPr="006376DA">
              <w:rPr>
                <w:sz w:val="20"/>
                <w:szCs w:val="20"/>
              </w:rPr>
              <w:t xml:space="preserve">Page </w:t>
            </w:r>
            <w:r w:rsidRPr="006376DA">
              <w:rPr>
                <w:bCs/>
                <w:sz w:val="20"/>
                <w:szCs w:val="20"/>
              </w:rPr>
              <w:fldChar w:fldCharType="begin"/>
            </w:r>
            <w:r w:rsidRPr="006376DA">
              <w:rPr>
                <w:bCs/>
                <w:sz w:val="20"/>
                <w:szCs w:val="20"/>
              </w:rPr>
              <w:instrText xml:space="preserve"> PAGE </w:instrText>
            </w:r>
            <w:r w:rsidRPr="006376DA">
              <w:rPr>
                <w:bCs/>
                <w:sz w:val="20"/>
                <w:szCs w:val="20"/>
              </w:rPr>
              <w:fldChar w:fldCharType="separate"/>
            </w:r>
            <w:r w:rsidR="006F296F">
              <w:rPr>
                <w:bCs/>
                <w:noProof/>
                <w:sz w:val="20"/>
                <w:szCs w:val="20"/>
              </w:rPr>
              <w:t>4</w:t>
            </w:r>
            <w:r w:rsidRPr="006376DA">
              <w:rPr>
                <w:bCs/>
                <w:sz w:val="20"/>
                <w:szCs w:val="20"/>
              </w:rPr>
              <w:fldChar w:fldCharType="end"/>
            </w:r>
            <w:r w:rsidRPr="006376DA">
              <w:rPr>
                <w:sz w:val="20"/>
                <w:szCs w:val="20"/>
              </w:rPr>
              <w:t xml:space="preserve"> of </w:t>
            </w:r>
            <w:r w:rsidRPr="006376DA">
              <w:rPr>
                <w:bCs/>
                <w:sz w:val="20"/>
                <w:szCs w:val="20"/>
              </w:rPr>
              <w:fldChar w:fldCharType="begin"/>
            </w:r>
            <w:r w:rsidRPr="006376DA">
              <w:rPr>
                <w:bCs/>
                <w:sz w:val="20"/>
                <w:szCs w:val="20"/>
              </w:rPr>
              <w:instrText xml:space="preserve"> NUMPAGES  </w:instrText>
            </w:r>
            <w:r w:rsidRPr="006376DA">
              <w:rPr>
                <w:bCs/>
                <w:sz w:val="20"/>
                <w:szCs w:val="20"/>
              </w:rPr>
              <w:fldChar w:fldCharType="separate"/>
            </w:r>
            <w:r w:rsidR="006F296F">
              <w:rPr>
                <w:bCs/>
                <w:noProof/>
                <w:sz w:val="20"/>
                <w:szCs w:val="20"/>
              </w:rPr>
              <w:t>8</w:t>
            </w:r>
            <w:r w:rsidRPr="006376DA">
              <w:rPr>
                <w:bCs/>
                <w:sz w:val="20"/>
                <w:szCs w:val="20"/>
              </w:rPr>
              <w:fldChar w:fldCharType="end"/>
            </w:r>
          </w:p>
        </w:sdtContent>
      </w:sdt>
    </w:sdtContent>
  </w:sdt>
  <w:p w14:paraId="4DEB676A" w14:textId="77777777" w:rsidR="006376DA" w:rsidRDefault="00637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CA2F9" w14:textId="77777777" w:rsidR="006626FB" w:rsidRDefault="006626FB" w:rsidP="006376DA">
      <w:pPr>
        <w:spacing w:line="240" w:lineRule="auto"/>
      </w:pPr>
      <w:r>
        <w:separator/>
      </w:r>
    </w:p>
  </w:footnote>
  <w:footnote w:type="continuationSeparator" w:id="0">
    <w:p w14:paraId="299283ED" w14:textId="77777777" w:rsidR="006626FB" w:rsidRDefault="006626FB" w:rsidP="006376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95547"/>
    <w:multiLevelType w:val="multilevel"/>
    <w:tmpl w:val="80581A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CB4E21"/>
    <w:multiLevelType w:val="multilevel"/>
    <w:tmpl w:val="070CA5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FF64CB"/>
    <w:multiLevelType w:val="multilevel"/>
    <w:tmpl w:val="3E86E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7931B0"/>
    <w:multiLevelType w:val="multilevel"/>
    <w:tmpl w:val="C068C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DA5C16"/>
    <w:multiLevelType w:val="multilevel"/>
    <w:tmpl w:val="0E7A9F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BF3139"/>
    <w:multiLevelType w:val="multilevel"/>
    <w:tmpl w:val="17E4F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4AE2370"/>
    <w:multiLevelType w:val="multilevel"/>
    <w:tmpl w:val="7C6E1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31701943">
    <w:abstractNumId w:val="4"/>
  </w:num>
  <w:num w:numId="2" w16cid:durableId="419646729">
    <w:abstractNumId w:val="3"/>
  </w:num>
  <w:num w:numId="3" w16cid:durableId="1756900129">
    <w:abstractNumId w:val="2"/>
  </w:num>
  <w:num w:numId="4" w16cid:durableId="1527407109">
    <w:abstractNumId w:val="1"/>
  </w:num>
  <w:num w:numId="5" w16cid:durableId="1013335623">
    <w:abstractNumId w:val="5"/>
  </w:num>
  <w:num w:numId="6" w16cid:durableId="393554097">
    <w:abstractNumId w:val="0"/>
  </w:num>
  <w:num w:numId="7" w16cid:durableId="19423025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4C"/>
    <w:rsid w:val="000609CB"/>
    <w:rsid w:val="00066F7F"/>
    <w:rsid w:val="00083915"/>
    <w:rsid w:val="001B18E8"/>
    <w:rsid w:val="00233A4C"/>
    <w:rsid w:val="00275DAA"/>
    <w:rsid w:val="00294BDA"/>
    <w:rsid w:val="002A16E8"/>
    <w:rsid w:val="0039388B"/>
    <w:rsid w:val="00406F79"/>
    <w:rsid w:val="0053779B"/>
    <w:rsid w:val="005E27BF"/>
    <w:rsid w:val="005E73B7"/>
    <w:rsid w:val="006376DA"/>
    <w:rsid w:val="00646D2B"/>
    <w:rsid w:val="00656B75"/>
    <w:rsid w:val="006626FB"/>
    <w:rsid w:val="006A5800"/>
    <w:rsid w:val="006F296F"/>
    <w:rsid w:val="007453A0"/>
    <w:rsid w:val="007A15E9"/>
    <w:rsid w:val="007C1593"/>
    <w:rsid w:val="008A4685"/>
    <w:rsid w:val="008F74D6"/>
    <w:rsid w:val="00957C20"/>
    <w:rsid w:val="00966762"/>
    <w:rsid w:val="00A61145"/>
    <w:rsid w:val="00CA74A2"/>
    <w:rsid w:val="00CB1726"/>
    <w:rsid w:val="00CD6E27"/>
    <w:rsid w:val="00D25EB0"/>
    <w:rsid w:val="00D974C7"/>
    <w:rsid w:val="00DA5BF4"/>
    <w:rsid w:val="00DE74DD"/>
    <w:rsid w:val="00DF7FD8"/>
    <w:rsid w:val="00E61000"/>
    <w:rsid w:val="00EE7CB8"/>
    <w:rsid w:val="00EF2FDB"/>
    <w:rsid w:val="00F329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6F8F4"/>
  <w15:docId w15:val="{ACFDD822-7DA8-4D20-8D50-26754AF0C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line="360" w:lineRule="auto"/>
      <w:jc w:val="both"/>
      <w:outlineLvl w:val="0"/>
    </w:pPr>
    <w:rPr>
      <w:b/>
      <w:bCs/>
      <w:sz w:val="28"/>
      <w:szCs w:val="28"/>
    </w:rPr>
  </w:style>
  <w:style w:type="paragraph" w:styleId="Heading2">
    <w:name w:val="heading 2"/>
    <w:basedOn w:val="Normal"/>
    <w:next w:val="Normal"/>
    <w:pPr>
      <w:keepNext/>
      <w:keepLines/>
      <w:spacing w:before="200" w:line="360" w:lineRule="auto"/>
      <w:jc w:val="both"/>
      <w:outlineLvl w:val="1"/>
    </w:pPr>
    <w:rPr>
      <w:b/>
      <w:bCs/>
      <w:color w:val="0E101A"/>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6376D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6DA"/>
    <w:rPr>
      <w:rFonts w:ascii="Tahoma" w:hAnsi="Tahoma" w:cs="Tahoma"/>
      <w:sz w:val="16"/>
      <w:szCs w:val="16"/>
    </w:rPr>
  </w:style>
  <w:style w:type="paragraph" w:styleId="Header">
    <w:name w:val="header"/>
    <w:basedOn w:val="Normal"/>
    <w:link w:val="HeaderChar"/>
    <w:uiPriority w:val="99"/>
    <w:unhideWhenUsed/>
    <w:rsid w:val="006376DA"/>
    <w:pPr>
      <w:tabs>
        <w:tab w:val="center" w:pos="4513"/>
        <w:tab w:val="right" w:pos="9026"/>
      </w:tabs>
      <w:spacing w:line="240" w:lineRule="auto"/>
    </w:pPr>
  </w:style>
  <w:style w:type="character" w:customStyle="1" w:styleId="HeaderChar">
    <w:name w:val="Header Char"/>
    <w:basedOn w:val="DefaultParagraphFont"/>
    <w:link w:val="Header"/>
    <w:uiPriority w:val="99"/>
    <w:rsid w:val="006376DA"/>
  </w:style>
  <w:style w:type="paragraph" w:styleId="Footer">
    <w:name w:val="footer"/>
    <w:basedOn w:val="Normal"/>
    <w:link w:val="FooterChar"/>
    <w:uiPriority w:val="99"/>
    <w:unhideWhenUsed/>
    <w:rsid w:val="006376DA"/>
    <w:pPr>
      <w:tabs>
        <w:tab w:val="center" w:pos="4513"/>
        <w:tab w:val="right" w:pos="9026"/>
      </w:tabs>
      <w:spacing w:line="240" w:lineRule="auto"/>
    </w:pPr>
  </w:style>
  <w:style w:type="character" w:customStyle="1" w:styleId="FooterChar">
    <w:name w:val="Footer Char"/>
    <w:basedOn w:val="DefaultParagraphFont"/>
    <w:link w:val="Footer"/>
    <w:uiPriority w:val="99"/>
    <w:rsid w:val="006376DA"/>
  </w:style>
  <w:style w:type="paragraph" w:styleId="NoSpacing">
    <w:name w:val="No Spacing"/>
    <w:uiPriority w:val="1"/>
    <w:qFormat/>
    <w:rsid w:val="002A16E8"/>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qc.org.uk/guidance-regulation/providers/regulations-service-providers-and-managers/health-social-care-act/regulation-12" TargetMode="External"/><Relationship Id="rId18" Type="http://schemas.openxmlformats.org/officeDocument/2006/relationships/hyperlink" Target="https://doi.org/10.1016/j.ijnurstu.2025.105304" TargetMode="External"/><Relationship Id="rId26" Type="http://schemas.openxmlformats.org/officeDocument/2006/relationships/hyperlink" Target="https://www.propulsiontechjournal.com/index.php/journal/article/download/1287/902/2208" TargetMode="External"/><Relationship Id="rId3" Type="http://schemas.openxmlformats.org/officeDocument/2006/relationships/customXml" Target="../customXml/item3.xml"/><Relationship Id="rId21" Type="http://schemas.openxmlformats.org/officeDocument/2006/relationships/hyperlink" Target="https://doi.org/10.1186/1472-6963-8-269" TargetMode="External"/><Relationship Id="rId7" Type="http://schemas.openxmlformats.org/officeDocument/2006/relationships/webSettings" Target="webSettings.xml"/><Relationship Id="rId12" Type="http://schemas.openxmlformats.org/officeDocument/2006/relationships/hyperlink" Target="https://doi.org/10.1016/S2666-7568(22)00010-1" TargetMode="External"/><Relationship Id="rId17" Type="http://schemas.openxmlformats.org/officeDocument/2006/relationships/hyperlink" Target="https://doi.org/10.1186/s12877-022-03503-8" TargetMode="External"/><Relationship Id="rId25" Type="http://schemas.openxmlformats.org/officeDocument/2006/relationships/hyperlink" Target="https://doi.org/10.1080/20523211.2025.2455066" TargetMode="External"/><Relationship Id="rId2" Type="http://schemas.openxmlformats.org/officeDocument/2006/relationships/customXml" Target="../customXml/item2.xml"/><Relationship Id="rId16" Type="http://schemas.openxmlformats.org/officeDocument/2006/relationships/hyperlink" Target="https://livingdevelopments.com/news/the-benefits-of-residential-care" TargetMode="External"/><Relationship Id="rId20" Type="http://schemas.openxmlformats.org/officeDocument/2006/relationships/hyperlink" Target="https://stmichaelscare.org/the-importance-of-residential-car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doi.org/10.1186/s12913-020-05459-0" TargetMode="External"/><Relationship Id="rId5" Type="http://schemas.openxmlformats.org/officeDocument/2006/relationships/styles" Target="styles.xml"/><Relationship Id="rId15" Type="http://schemas.openxmlformats.org/officeDocument/2006/relationships/hyperlink" Target="https://doi.org/10.1186/s12913-020-05149-x" TargetMode="External"/><Relationship Id="rId23" Type="http://schemas.openxmlformats.org/officeDocument/2006/relationships/hyperlink" Target="https://www.jbclinpharm.org/articles/the-evolution-and-impact-of-pharmacy-an-detailed-overview-12568.html" TargetMode="External"/><Relationship Id="rId28" Type="http://schemas.openxmlformats.org/officeDocument/2006/relationships/hyperlink" Target="https://www.who.int/europe/news-room/feature-stories/item/advancing-the-role-of-pharmacists-to-meet-changing-patient-and-health-system-needs" TargetMode="External"/><Relationship Id="rId10" Type="http://schemas.openxmlformats.org/officeDocument/2006/relationships/image" Target="media/image1.png"/><Relationship Id="rId19" Type="http://schemas.openxmlformats.org/officeDocument/2006/relationships/hyperlink" Target="https://www.nhs.uk/social-care-and-support/care-services-equipment-and-care-homes/care-home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55/2023/8675499" TargetMode="External"/><Relationship Id="rId22" Type="http://schemas.openxmlformats.org/officeDocument/2006/relationships/hyperlink" Target="https://doi.org/10.3390/ijerph17072379" TargetMode="External"/><Relationship Id="rId27" Type="http://schemas.openxmlformats.org/officeDocument/2006/relationships/hyperlink" Target="https://doi.org/10.1016/j.rcsop.2024.100527"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940dee23895f6fd138bbc848e8971887">
  <xsd:schema xmlns:xsd="http://www.w3.org/2001/XMLSchema" xmlns:xs="http://www.w3.org/2001/XMLSchema" xmlns:p="http://schemas.microsoft.com/office/2006/metadata/properties" xmlns:ns3="3ef5847a-e696-4fee-a2c0-6c3f87568321" targetNamespace="http://schemas.microsoft.com/office/2006/metadata/properties" ma:root="true" ma:fieldsID="cce55b4b2daa0cfa279b72bca4f9d115"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AFA1C818-BE97-4820-B677-DF4AC9155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8B8FCF-1C1D-4D8D-8A94-CC8F7E9266B4}">
  <ds:schemaRefs>
    <ds:schemaRef ds:uri="http://schemas.microsoft.com/sharepoint/v3/contenttype/forms"/>
  </ds:schemaRefs>
</ds:datastoreItem>
</file>

<file path=customXml/itemProps3.xml><?xml version="1.0" encoding="utf-8"?>
<ds:datastoreItem xmlns:ds="http://schemas.openxmlformats.org/officeDocument/2006/customXml" ds:itemID="{25129A6F-85B9-465E-9243-69F145681897}">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1806</Words>
  <Characters>10296</Characters>
  <Application>Microsoft Office Word</Application>
  <DocSecurity>0</DocSecurity>
  <Lines>85</Lines>
  <Paragraphs>24</Paragraphs>
  <ScaleCrop>false</ScaleCrop>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Catarina Ngunza</dc:creator>
  <cp:lastModifiedBy>saidatina duarte</cp:lastModifiedBy>
  <cp:revision>3</cp:revision>
  <dcterms:created xsi:type="dcterms:W3CDTF">2026-03-03T15:36:00Z</dcterms:created>
  <dcterms:modified xsi:type="dcterms:W3CDTF">2026-03-03T15:38:00Z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