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E18764" wp14:paraId="30357480" wp14:textId="2209B3EB">
      <w:pPr>
        <w:pStyle w:val="Normal"/>
        <w:jc w:val="center"/>
        <w:rPr>
          <w:rFonts w:ascii="Arial Nova" w:hAnsi="Arial Nova" w:eastAsia="Arial Nova" w:cs="Arial Nova"/>
          <w:noProof w:val="0"/>
          <w:sz w:val="40"/>
          <w:szCs w:val="40"/>
          <w:lang w:val="en-US"/>
        </w:rPr>
      </w:pPr>
    </w:p>
    <w:p xmlns:wp14="http://schemas.microsoft.com/office/word/2010/wordml" w:rsidP="58E18764" wp14:paraId="639B0E1B" wp14:textId="756D352B">
      <w:pPr>
        <w:pStyle w:val="Normal"/>
        <w:jc w:val="center"/>
        <w:rPr>
          <w:rFonts w:ascii="Arial Nova" w:hAnsi="Arial Nova" w:eastAsia="Arial Nova" w:cs="Arial Nova"/>
          <w:noProof w:val="0"/>
          <w:sz w:val="40"/>
          <w:szCs w:val="40"/>
          <w:lang w:val="en-US"/>
        </w:rPr>
      </w:pPr>
    </w:p>
    <w:p xmlns:wp14="http://schemas.microsoft.com/office/word/2010/wordml" w:rsidP="58E18764" wp14:paraId="2B40C531" wp14:textId="411BDEDE">
      <w:pPr>
        <w:pStyle w:val="Normal"/>
        <w:jc w:val="center"/>
        <w:rPr>
          <w:rFonts w:ascii="Arial Nova" w:hAnsi="Arial Nova" w:eastAsia="Arial Nova" w:cs="Arial Nova"/>
          <w:noProof w:val="0"/>
          <w:sz w:val="40"/>
          <w:szCs w:val="40"/>
          <w:lang w:val="en-US"/>
        </w:rPr>
      </w:pPr>
    </w:p>
    <w:p xmlns:wp14="http://schemas.microsoft.com/office/word/2010/wordml" w:rsidP="58E18764" wp14:paraId="5A3B0E12" wp14:textId="6E7C4753">
      <w:pPr>
        <w:pStyle w:val="Normal"/>
        <w:jc w:val="center"/>
        <w:rPr>
          <w:rFonts w:ascii="Arial Nova" w:hAnsi="Arial Nova" w:eastAsia="Arial Nova" w:cs="Arial Nova"/>
          <w:noProof w:val="0"/>
          <w:sz w:val="40"/>
          <w:szCs w:val="40"/>
          <w:lang w:val="en-US"/>
        </w:rPr>
      </w:pPr>
    </w:p>
    <w:p xmlns:wp14="http://schemas.microsoft.com/office/word/2010/wordml" w:rsidP="58E18764" wp14:paraId="6554BDE4" wp14:textId="218C35B5">
      <w:pPr>
        <w:pStyle w:val="Normal"/>
        <w:jc w:val="center"/>
        <w:rPr>
          <w:rFonts w:ascii="Arial Nova" w:hAnsi="Arial Nova" w:eastAsia="Arial Nova" w:cs="Arial Nova"/>
          <w:noProof w:val="0"/>
          <w:sz w:val="40"/>
          <w:szCs w:val="40"/>
          <w:lang w:val="en-US"/>
        </w:rPr>
      </w:pPr>
    </w:p>
    <w:p xmlns:wp14="http://schemas.microsoft.com/office/word/2010/wordml" w:rsidP="58E18764" wp14:paraId="2C078E63" wp14:textId="5D7E8749">
      <w:pPr>
        <w:pStyle w:val="Normal"/>
        <w:jc w:val="center"/>
        <w:rPr>
          <w:rFonts w:ascii="Arial Nova" w:hAnsi="Arial Nova" w:eastAsia="Arial Nova" w:cs="Arial Nova"/>
          <w:noProof w:val="0"/>
          <w:sz w:val="40"/>
          <w:szCs w:val="40"/>
          <w:lang w:val="en-US"/>
        </w:rPr>
      </w:pPr>
      <w:r w:rsidRPr="58E18764" w:rsidR="09C13BDF">
        <w:rPr>
          <w:rFonts w:ascii="Arial Nova" w:hAnsi="Arial Nova" w:eastAsia="Arial Nova" w:cs="Arial Nova"/>
          <w:noProof w:val="0"/>
          <w:sz w:val="40"/>
          <w:szCs w:val="40"/>
          <w:lang w:val="en-US"/>
        </w:rPr>
        <w:t>Report Case Study: The City Hotel</w:t>
      </w:r>
    </w:p>
    <w:p w:rsidR="09C13BDF" w:rsidP="58E18764" w:rsidRDefault="09C13BDF" w14:paraId="12E64071" w14:textId="4969B4DF">
      <w:pPr>
        <w:pStyle w:val="Normal"/>
        <w:jc w:val="center"/>
        <w:rPr>
          <w:rFonts w:ascii="Arial Nova" w:hAnsi="Arial Nova" w:eastAsia="Arial Nova" w:cs="Arial Nova"/>
          <w:noProof w:val="0"/>
          <w:sz w:val="40"/>
          <w:szCs w:val="40"/>
          <w:lang w:val="en-US"/>
        </w:rPr>
      </w:pPr>
      <w:r w:rsidRPr="58E18764" w:rsidR="09C13BDF">
        <w:rPr>
          <w:rFonts w:ascii="Arial Nova" w:hAnsi="Arial Nova" w:eastAsia="Arial Nova" w:cs="Arial Nova"/>
          <w:noProof w:val="0"/>
          <w:sz w:val="40"/>
          <w:szCs w:val="40"/>
          <w:lang w:val="en-US"/>
        </w:rPr>
        <w:t xml:space="preserve">Student name: Larisa </w:t>
      </w:r>
      <w:r w:rsidRPr="58E18764" w:rsidR="09C13BDF">
        <w:rPr>
          <w:rFonts w:ascii="Arial Nova" w:hAnsi="Arial Nova" w:eastAsia="Arial Nova" w:cs="Arial Nova"/>
          <w:noProof w:val="0"/>
          <w:sz w:val="40"/>
          <w:szCs w:val="40"/>
          <w:lang w:val="en-US"/>
        </w:rPr>
        <w:t>Cionadi</w:t>
      </w:r>
      <w:r>
        <w:tab/>
      </w:r>
    </w:p>
    <w:p w:rsidR="09C13BDF" w:rsidP="58E18764" w:rsidRDefault="09C13BDF" w14:paraId="72EF7244" w14:textId="7961304D">
      <w:pPr>
        <w:pStyle w:val="Normal"/>
        <w:jc w:val="center"/>
        <w:rPr>
          <w:rFonts w:ascii="Arial Nova" w:hAnsi="Arial Nova" w:eastAsia="Arial Nova" w:cs="Arial Nova"/>
          <w:noProof w:val="0"/>
          <w:sz w:val="40"/>
          <w:szCs w:val="40"/>
          <w:lang w:val="en-US"/>
        </w:rPr>
      </w:pPr>
      <w:r w:rsidRPr="58E18764" w:rsidR="09C13BDF">
        <w:rPr>
          <w:rFonts w:ascii="Arial Nova" w:hAnsi="Arial Nova" w:eastAsia="Arial Nova" w:cs="Arial Nova"/>
          <w:noProof w:val="0"/>
          <w:sz w:val="40"/>
          <w:szCs w:val="40"/>
          <w:lang w:val="en-US"/>
        </w:rPr>
        <w:t>Student ID:2127892</w:t>
      </w:r>
    </w:p>
    <w:p w:rsidR="09C13BDF" w:rsidP="58E18764" w:rsidRDefault="09C13BDF" w14:paraId="09132412" w14:textId="29FAB03B">
      <w:pPr>
        <w:pStyle w:val="Normal"/>
        <w:jc w:val="center"/>
        <w:rPr>
          <w:rFonts w:ascii="Arial Nova" w:hAnsi="Arial Nova" w:eastAsia="Arial Nova" w:cs="Arial Nova"/>
          <w:noProof w:val="0"/>
          <w:sz w:val="40"/>
          <w:szCs w:val="40"/>
          <w:lang w:val="en-US"/>
        </w:rPr>
      </w:pPr>
      <w:r w:rsidRPr="58E18764" w:rsidR="09C13BDF">
        <w:rPr>
          <w:rFonts w:ascii="Arial Nova" w:hAnsi="Arial Nova" w:eastAsia="Arial Nova" w:cs="Arial Nova"/>
          <w:noProof w:val="0"/>
          <w:sz w:val="40"/>
          <w:szCs w:val="40"/>
          <w:lang w:val="en-US"/>
        </w:rPr>
        <w:t>Module code: BMIH5007</w:t>
      </w:r>
    </w:p>
    <w:p w:rsidR="09C13BDF" w:rsidP="58E18764" w:rsidRDefault="09C13BDF" w14:paraId="0D561A1F" w14:textId="1F3F815C">
      <w:pPr>
        <w:pStyle w:val="Normal"/>
        <w:jc w:val="center"/>
        <w:rPr>
          <w:rFonts w:ascii="Arial Nova" w:hAnsi="Arial Nova" w:eastAsia="Arial Nova" w:cs="Arial Nova"/>
          <w:noProof w:val="0"/>
          <w:sz w:val="40"/>
          <w:szCs w:val="40"/>
          <w:lang w:val="en-US"/>
        </w:rPr>
      </w:pPr>
      <w:r w:rsidRPr="58E18764" w:rsidR="09C13BDF">
        <w:rPr>
          <w:rFonts w:ascii="Arial Nova" w:hAnsi="Arial Nova" w:eastAsia="Arial Nova" w:cs="Arial Nova"/>
          <w:noProof w:val="0"/>
          <w:sz w:val="40"/>
          <w:szCs w:val="40"/>
          <w:lang w:val="en-US"/>
        </w:rPr>
        <w:t>Lec</w:t>
      </w:r>
      <w:r w:rsidRPr="58E18764" w:rsidR="209FAD97">
        <w:rPr>
          <w:rFonts w:ascii="Arial Nova" w:hAnsi="Arial Nova" w:eastAsia="Arial Nova" w:cs="Arial Nova"/>
          <w:noProof w:val="0"/>
          <w:sz w:val="40"/>
          <w:szCs w:val="40"/>
          <w:lang w:val="en-US"/>
        </w:rPr>
        <w:t>t</w:t>
      </w:r>
      <w:r w:rsidRPr="58E18764" w:rsidR="09C13BDF">
        <w:rPr>
          <w:rFonts w:ascii="Arial Nova" w:hAnsi="Arial Nova" w:eastAsia="Arial Nova" w:cs="Arial Nova"/>
          <w:noProof w:val="0"/>
          <w:sz w:val="40"/>
          <w:szCs w:val="40"/>
          <w:lang w:val="en-US"/>
        </w:rPr>
        <w:t>urer: Tristan Hawkins</w:t>
      </w:r>
      <w:r w:rsidRPr="58E18764" w:rsidR="28A12DBA">
        <w:rPr>
          <w:rFonts w:ascii="Arial Nova" w:hAnsi="Arial Nova" w:eastAsia="Arial Nova" w:cs="Arial Nova"/>
          <w:noProof w:val="0"/>
          <w:sz w:val="40"/>
          <w:szCs w:val="40"/>
          <w:lang w:val="en-US"/>
        </w:rPr>
        <w:t>, Kathryn Roberts</w:t>
      </w:r>
    </w:p>
    <w:p w:rsidR="58E18764" w:rsidP="58E18764" w:rsidRDefault="58E18764" w14:paraId="1FB05A50" w14:textId="5093010D">
      <w:pPr>
        <w:pStyle w:val="Normal"/>
        <w:jc w:val="center"/>
        <w:rPr>
          <w:rFonts w:ascii="Arial Nova" w:hAnsi="Arial Nova" w:eastAsia="Arial Nova" w:cs="Arial Nova"/>
          <w:noProof w:val="0"/>
          <w:sz w:val="40"/>
          <w:szCs w:val="40"/>
          <w:lang w:val="en-US"/>
        </w:rPr>
      </w:pPr>
    </w:p>
    <w:p w:rsidR="58E18764" w:rsidP="58E18764" w:rsidRDefault="58E18764" w14:paraId="0403C6DE" w14:textId="298EB898">
      <w:pPr>
        <w:pStyle w:val="Normal"/>
        <w:rPr>
          <w:rFonts w:ascii="Aptos" w:hAnsi="Aptos" w:eastAsia="Aptos" w:cs="Aptos"/>
          <w:noProof w:val="0"/>
          <w:sz w:val="24"/>
          <w:szCs w:val="24"/>
          <w:lang w:val="en-US"/>
        </w:rPr>
      </w:pPr>
    </w:p>
    <w:p w:rsidR="58E18764" w:rsidP="58E18764" w:rsidRDefault="58E18764" w14:paraId="14CC5374" w14:textId="77617CBC">
      <w:pPr>
        <w:pStyle w:val="Normal"/>
        <w:rPr>
          <w:rFonts w:ascii="Aptos" w:hAnsi="Aptos" w:eastAsia="Aptos" w:cs="Aptos"/>
          <w:noProof w:val="0"/>
          <w:sz w:val="24"/>
          <w:szCs w:val="24"/>
          <w:lang w:val="en-US"/>
        </w:rPr>
      </w:pPr>
    </w:p>
    <w:p w:rsidR="58E18764" w:rsidP="58E18764" w:rsidRDefault="58E18764" w14:paraId="694C23AD" w14:textId="135D02C0">
      <w:pPr>
        <w:pStyle w:val="Normal"/>
        <w:rPr>
          <w:rFonts w:ascii="Aptos" w:hAnsi="Aptos" w:eastAsia="Aptos" w:cs="Aptos"/>
          <w:noProof w:val="0"/>
          <w:sz w:val="24"/>
          <w:szCs w:val="24"/>
          <w:lang w:val="en-US"/>
        </w:rPr>
      </w:pPr>
    </w:p>
    <w:p w:rsidR="58E18764" w:rsidP="58E18764" w:rsidRDefault="58E18764" w14:paraId="1E8B5366" w14:textId="20276DC4">
      <w:pPr>
        <w:pStyle w:val="Normal"/>
        <w:rPr>
          <w:rFonts w:ascii="Aptos" w:hAnsi="Aptos" w:eastAsia="Aptos" w:cs="Aptos"/>
          <w:noProof w:val="0"/>
          <w:sz w:val="24"/>
          <w:szCs w:val="24"/>
          <w:lang w:val="en-US"/>
        </w:rPr>
      </w:pPr>
    </w:p>
    <w:p w:rsidR="58E18764" w:rsidP="58E18764" w:rsidRDefault="58E18764" w14:paraId="76A08607" w14:textId="2A452612">
      <w:pPr>
        <w:pStyle w:val="Normal"/>
        <w:rPr>
          <w:rFonts w:ascii="Aptos" w:hAnsi="Aptos" w:eastAsia="Aptos" w:cs="Aptos"/>
          <w:noProof w:val="0"/>
          <w:sz w:val="24"/>
          <w:szCs w:val="24"/>
          <w:lang w:val="en-US"/>
        </w:rPr>
      </w:pPr>
    </w:p>
    <w:p w:rsidR="58E18764" w:rsidP="58E18764" w:rsidRDefault="58E18764" w14:paraId="1A4F9A6D" w14:textId="05E1F03D">
      <w:pPr>
        <w:pStyle w:val="Normal"/>
        <w:rPr>
          <w:rFonts w:ascii="Aptos" w:hAnsi="Aptos" w:eastAsia="Aptos" w:cs="Aptos"/>
          <w:noProof w:val="0"/>
          <w:sz w:val="24"/>
          <w:szCs w:val="24"/>
          <w:lang w:val="en-US"/>
        </w:rPr>
      </w:pPr>
    </w:p>
    <w:p w:rsidR="58E18764" w:rsidP="58E18764" w:rsidRDefault="58E18764" w14:paraId="1CCB4520" w14:textId="50A58E49">
      <w:pPr>
        <w:pStyle w:val="Normal"/>
        <w:rPr>
          <w:rFonts w:ascii="Aptos" w:hAnsi="Aptos" w:eastAsia="Aptos" w:cs="Aptos"/>
          <w:noProof w:val="0"/>
          <w:sz w:val="24"/>
          <w:szCs w:val="24"/>
          <w:lang w:val="en-US"/>
        </w:rPr>
      </w:pPr>
    </w:p>
    <w:p w:rsidR="58E18764" w:rsidP="58E18764" w:rsidRDefault="58E18764" w14:paraId="7AA578E4" w14:textId="58C3AD3B">
      <w:pPr>
        <w:pStyle w:val="Normal"/>
        <w:rPr>
          <w:rFonts w:ascii="Aptos" w:hAnsi="Aptos" w:eastAsia="Aptos" w:cs="Aptos"/>
          <w:noProof w:val="0"/>
          <w:sz w:val="24"/>
          <w:szCs w:val="24"/>
          <w:lang w:val="en-US"/>
        </w:rPr>
      </w:pPr>
    </w:p>
    <w:p w:rsidR="58E18764" w:rsidP="58E18764" w:rsidRDefault="58E18764" w14:paraId="6598B6C9" w14:textId="5A349E0B">
      <w:pPr>
        <w:pStyle w:val="Normal"/>
        <w:rPr>
          <w:rFonts w:ascii="Aptos" w:hAnsi="Aptos" w:eastAsia="Aptos" w:cs="Aptos"/>
          <w:noProof w:val="0"/>
          <w:sz w:val="24"/>
          <w:szCs w:val="24"/>
          <w:lang w:val="en-US"/>
        </w:rPr>
      </w:pPr>
    </w:p>
    <w:p w:rsidR="58E18764" w:rsidP="58E18764" w:rsidRDefault="58E18764" w14:paraId="3866D25C" w14:textId="37E504B6">
      <w:pPr>
        <w:pStyle w:val="Normal"/>
        <w:rPr>
          <w:rFonts w:ascii="Aptos" w:hAnsi="Aptos" w:eastAsia="Aptos" w:cs="Aptos"/>
          <w:noProof w:val="0"/>
          <w:sz w:val="24"/>
          <w:szCs w:val="24"/>
          <w:lang w:val="en-US"/>
        </w:rPr>
      </w:pPr>
    </w:p>
    <w:p w:rsidR="58E18764" w:rsidP="58E18764" w:rsidRDefault="58E18764" w14:paraId="56C6C15D" w14:textId="1A8EAE61">
      <w:pPr>
        <w:pStyle w:val="Normal"/>
        <w:rPr>
          <w:rFonts w:ascii="Aptos" w:hAnsi="Aptos" w:eastAsia="Aptos" w:cs="Aptos"/>
          <w:noProof w:val="0"/>
          <w:sz w:val="24"/>
          <w:szCs w:val="24"/>
          <w:lang w:val="en-US"/>
        </w:rPr>
      </w:pPr>
    </w:p>
    <w:p w:rsidR="44A228E1" w:rsidP="58E18764" w:rsidRDefault="44A228E1" w14:paraId="17EE3CC3" w14:textId="7B1F93E9">
      <w:pPr>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The City Hotel was an established urban hospitality provider with  restaurant, bar and event spaces attracting the local market. Nevertheless, recent financial disclosures indicate severe difficulties with revenue, occupancy and yield. The hotel has experienced a significant drop in trading  over the last three years and had reached an operational crisis. And while there have been reason for concern regarding future ownership, with revenue falling from £5,248,290 in 2021 to only £2,325,440 by 2023 alongside higher operational losses. This casy study will present  the financial performance of City Hotel, identify what has helped drive profitability and the measures that could be taken for City Hotel to return to sustainable profitable viability. The analysis will pull income statements and balance sheets over the past couple years to track reductions in revenue, since they seem inevitable at this point, as well as, cost management.</w:t>
      </w:r>
    </w:p>
    <w:p w:rsidR="44A228E1" w:rsidP="58E18764" w:rsidRDefault="44A228E1" w14:paraId="7A46997F" w14:textId="2A194C70">
      <w:pPr>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City Hotel revenue fell from £5,248,290 as at 2021 to end at £2,325,440 as of 2023 within just three years. An alarming net drop rate of about -55.7%. This means fewer customers looking to stay in the hotel and we can assume this is worse because of macroeconomic circumstances from: COVID-19 Pandemic was a sectoral disruption that we all believed it shall soon change travel &amp; hospitality way of life, such a long lasting customer behavious impact ( less leisure and more only needed business travel). Not to mention the increasing amount of alternative lodgings and airbnb. Although the revenue dipped the labour costs at City Hotel were significant that you only need to look at the employee costs in 2021 it was £1,724,760 and in 2023 its actually only a small fraction lower of £1,233,160. Which is, as a workforce model, a frozen in space not deflating proportionally to the number of customers .</w:t>
      </w:r>
    </w:p>
    <w:p w:rsidR="44A228E1" w:rsidP="58E18764" w:rsidRDefault="44A228E1" w14:paraId="037AC74A" w14:textId="01A8936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Hotel is a labour-intensive industry and there profitability of hotel lies on the optimum use of staff. This high percentage of revenues indicates a potential inefficiency and overstaffing to demand with respect to the hotel current expenses structure in this area.Costs associated with outside services such as utilities, maintenance, continued higher than averages. Although down from £1,894,720 in 2021 to £1,071,030 in 2023 — these had remained high and accounted for a significant part of total expenditure illustrating how little opportunity there is within costs-base to adapt quickly. Speaking about depreciation and amortisation the hotel also has a high fixed cost base with £634,030 in 2022 and £661,590 in 2023 relating to depreciation and amortisation. Related to long-term investments into property and equipment these costs are not really reducible towards a great extent. These costs appear to have a very significant initial capital cost, which is now a millstone around their profitability as revenues abate. </w:t>
      </w:r>
    </w:p>
    <w:p w:rsidR="44A228E1" w:rsidP="58E18764" w:rsidRDefault="44A228E1" w14:paraId="74E02B8F" w14:textId="139EE00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This decline limits what hotel is able to reinvest to the operations or manage unexpected costs.  The short- and long-term liabilities are claiming to be higher, which shows that the hotel is bearing more dues. As the losses mounted the year 2023 equity has also fallen further adding to the ongoing capital erosion at the company. The combination of high inflation and increasing living costs has left people with shallower pockets, meaning they are far more selective when it comes to where they travel and stay. </w:t>
      </w:r>
    </w:p>
    <w:p w:rsidR="44A228E1" w:rsidP="58E18764" w:rsidRDefault="44A228E1" w14:paraId="4191D23A" w14:textId="71CA427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The staffing, along with substantial depreciation and amortisation expenses has resulted in an unscalable cost structure. As a result, even small decreases in revenue lead to big effects on net income.  The hotel appears to be working on a couple of layers behind the market in which it operates, clearly lacking an operational model that potentially can dynamically absorb shocks/pulses on demand. Moreover, City Hotel still has not effectively scaled up its revenue streams by attracting more locals or leveraging outside-the-market verticals such as remote workers or event organisers.</w:t>
      </w:r>
    </w:p>
    <w:p w:rsidR="44A228E1" w:rsidP="58E18764" w:rsidRDefault="44A228E1" w14:paraId="16DF93D3" w14:textId="150FB62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Strategic suggestions for business recovery in light of falling occupancies, City Hotel must also focus on staycation and work-from-hotel bundle focussed on local and domestic travellers. Attractive staycation packages for local residents would entice those bookers looking for short, economical getaways while staff-working from hotels may attract remote workers thirsting a change of scenery from home. In return, these new, consistent customers may create their own type of business from those customers who otherwise might not occupy the hotel room but do around other functions, making up for a drop in tourist traffic</w:t>
      </w:r>
    </w:p>
    <w:p w:rsidR="44A228E1" w:rsidP="58E18764" w:rsidRDefault="44A228E1" w14:paraId="0BF6F81A" w14:textId="59E710B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A loyalty programme to attract repeat guests could aid customer retention and targeted marketing strategies can help to reach new audiences. Increasing digital reach through campaign collaboration with travel platforms would enable wowing guests with affordable and flexible hospitality. They could promote discounts, services which tend to be of low value-added nature such free breakfasts and early check-ins to attract budget-conscious travelers.  City Hotel could market its office spaces toward businesses — specifically smaller industries that regularly require meeting rooms or event space for conferences, as many of the hotel rooms are less-utilized. If the hotel were to partner with local corporations and provide them with customized packages, it could use that money as a means of generating income without relying on the occupancy status of its individual rooms- diversifying revenue streams. This will be possible only if the companies decide to adopt importance management ways which can go a long way in optimising expenses and bringing in operational flexibility.</w:t>
      </w:r>
    </w:p>
    <w:p w:rsidR="44A228E1" w:rsidP="58E18764" w:rsidRDefault="44A228E1" w14:paraId="0F6258E3" w14:textId="24A9D9F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City Hotel should develop a flexible staffing model that would give it the ability to increase or decrease its workforce as per particular demand on any given day/month/year. And that may mean hiring part-time or temporary staff during busy hours, and making sure employees are cross-trained in multiple positions. By implementing this propose the hotel can drastically cut employee costs without ruining service by having less dependence on a huge permanent staff.</w:t>
      </w:r>
    </w:p>
    <w:p w:rsidR="44A228E1" w:rsidP="58E18764" w:rsidRDefault="44A228E1" w14:paraId="0D6F13F9" w14:textId="18038B8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Sustainability and cost effective approach for City Hotel can be investing in energy systems such as automated lights and smart thermostat, to reduce utility cost and improve sustainability. Also implement packaging methods which synchronize stock with demand to avoid food loss and also lower supply chain costs. While this will provide direction for hiring and continuously improving inventory management processes, you can take it a step further by optimizing your supply-side procurement processes to lower the cost of owning stock items while improving operational throughput. </w:t>
      </w:r>
    </w:p>
    <w:p w:rsidR="44A228E1" w:rsidP="58E18764" w:rsidRDefault="44A228E1" w14:paraId="124C7F0A" w14:textId="56BA6E9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These initiatives involve investments and offer rapid improvements in both occupancy rates and cash inflow. It is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viable</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for City Hotel to diversify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services</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optimize</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costs.By</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targeting customer demographics and implementing cost-saving measures City Hotel has the potential to reverse operating losses and achieve profitability within 1 to 2 years. Increased cash flow, due to offering a variety of services and efficient staff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management</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will help align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the  team</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 budget and reduce costs to a level by cutting unnecessary expenses. In terms of success, it may rise as local demand strengthens and the economy rebounds amid heightened competition and lowered marketing and staff training expenses.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However,</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with a strategy, in place the City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Hotgel</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able to overcome any challenges that arise.</w:t>
      </w:r>
    </w:p>
    <w:p w:rsidR="58E18764" w:rsidP="58E18764" w:rsidRDefault="58E18764" w14:paraId="4CC8AA80" w14:textId="6B4C2493">
      <w:pPr>
        <w:rPr>
          <w:rFonts w:ascii="Arial" w:hAnsi="Arial" w:eastAsia="Arial" w:cs="Arial"/>
          <w:b w:val="0"/>
          <w:bCs w:val="0"/>
          <w:i w:val="0"/>
          <w:iCs w:val="0"/>
          <w:caps w:val="0"/>
          <w:smallCaps w:val="0"/>
          <w:noProof w:val="0"/>
          <w:color w:val="000000" w:themeColor="text1" w:themeTint="FF" w:themeShade="FF"/>
          <w:sz w:val="24"/>
          <w:szCs w:val="24"/>
          <w:lang w:val="en-US"/>
        </w:rPr>
      </w:pPr>
    </w:p>
    <w:p w:rsidR="44A228E1" w:rsidP="58E18764" w:rsidRDefault="44A228E1" w14:paraId="0863950D" w14:textId="790CFA47">
      <w:pPr>
        <w:rPr>
          <w:rFonts w:ascii="Arial" w:hAnsi="Arial" w:eastAsia="Arial" w:cs="Arial"/>
          <w:b w:val="0"/>
          <w:bCs w:val="0"/>
          <w:i w:val="0"/>
          <w:iCs w:val="0"/>
          <w:caps w:val="0"/>
          <w:smallCaps w:val="0"/>
          <w:noProof w:val="0"/>
          <w:color w:val="000000" w:themeColor="text1" w:themeTint="FF" w:themeShade="FF"/>
          <w:sz w:val="24"/>
          <w:szCs w:val="24"/>
          <w:lang w:val="en-US"/>
        </w:rPr>
      </w:pP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In summary, City Hotel’s financial performance between 2021 and 2023 highlights significant challenges due to declining revenue, high operating costs, and increased reliance on debt. The analysis reveals that while the company has maintained substantial investments in assets, particularly goodwill and intangible assets, its liquidity has weakened, and profitability has suffered, especially in 2023.</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For a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turnaround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situation the City Hotel should moderate the staff costs, try sustainability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concepts</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and offer collaborations with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divers</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businesses to perform new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deal</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58E18764" w:rsidR="44A228E1">
        <w:rPr>
          <w:rFonts w:ascii="Arial" w:hAnsi="Arial" w:eastAsia="Arial" w:cs="Arial"/>
          <w:b w:val="0"/>
          <w:bCs w:val="0"/>
          <w:i w:val="0"/>
          <w:iCs w:val="0"/>
          <w:caps w:val="0"/>
          <w:smallCaps w:val="0"/>
          <w:noProof w:val="0"/>
          <w:color w:val="000000" w:themeColor="text1" w:themeTint="FF" w:themeShade="FF"/>
          <w:sz w:val="24"/>
          <w:szCs w:val="24"/>
          <w:lang w:val="en-US"/>
        </w:rPr>
        <w:t xml:space="preserve"> attract new and repeat customers.</w:t>
      </w:r>
    </w:p>
    <w:p w:rsidR="58E18764" w:rsidP="58E18764" w:rsidRDefault="58E18764" w14:paraId="0A2F49CC" w14:textId="48639C4A">
      <w:pPr>
        <w:pStyle w:val="Normal"/>
        <w:rPr>
          <w:rFonts w:ascii="Aptos" w:hAnsi="Aptos" w:eastAsia="Aptos" w:cs="Aptos"/>
          <w:noProof w:val="0"/>
          <w:sz w:val="24"/>
          <w:szCs w:val="24"/>
          <w:lang w:val="en-US"/>
        </w:rPr>
      </w:pPr>
    </w:p>
    <w:p w:rsidR="58E18764" w:rsidP="58E18764" w:rsidRDefault="58E18764" w14:paraId="47F20C37" w14:textId="2CF0D7CE">
      <w:pPr>
        <w:pStyle w:val="Normal"/>
        <w:rPr>
          <w:rFonts w:ascii="Aptos" w:hAnsi="Aptos" w:eastAsia="Aptos" w:cs="Aptos"/>
          <w:noProof w:val="0"/>
          <w:sz w:val="24"/>
          <w:szCs w:val="24"/>
          <w:lang w:val="en-US"/>
        </w:rPr>
      </w:pPr>
    </w:p>
    <w:p w:rsidR="58E18764" w:rsidP="58E18764" w:rsidRDefault="58E18764" w14:paraId="7548953D" w14:textId="6630F812">
      <w:pPr>
        <w:pStyle w:val="Normal"/>
        <w:rPr>
          <w:rFonts w:ascii="Aptos" w:hAnsi="Aptos" w:eastAsia="Aptos" w:cs="Aptos"/>
          <w:noProof w:val="0"/>
          <w:sz w:val="24"/>
          <w:szCs w:val="24"/>
          <w:lang w:val="en-US"/>
        </w:rPr>
      </w:pPr>
    </w:p>
    <w:p w:rsidR="58E18764" w:rsidP="58E18764" w:rsidRDefault="58E18764" w14:paraId="402AE464" w14:textId="334D087D">
      <w:pPr>
        <w:pStyle w:val="Normal"/>
        <w:rPr>
          <w:rFonts w:ascii="Aptos" w:hAnsi="Aptos" w:eastAsia="Aptos" w:cs="Aptos"/>
          <w:noProof w:val="0"/>
          <w:sz w:val="24"/>
          <w:szCs w:val="24"/>
          <w:lang w:val="en-US"/>
        </w:rPr>
      </w:pPr>
    </w:p>
    <w:p w:rsidR="5538E766" w:rsidP="58E18764" w:rsidRDefault="5538E766" w14:paraId="4F15E948" w14:textId="1E231979">
      <w:pPr>
        <w:pStyle w:val="Normal"/>
        <w:rPr>
          <w:rFonts w:ascii="Arial Nova" w:hAnsi="Arial Nova" w:eastAsia="Arial Nova" w:cs="Arial Nova"/>
          <w:noProof w:val="0"/>
          <w:sz w:val="24"/>
          <w:szCs w:val="24"/>
          <w:lang w:val="en-US"/>
        </w:rPr>
      </w:pPr>
      <w:r w:rsidRPr="58E18764" w:rsidR="5538E766">
        <w:rPr>
          <w:rFonts w:ascii="Arial Nova" w:hAnsi="Arial Nova" w:eastAsia="Arial Nova" w:cs="Arial Nova"/>
          <w:noProof w:val="0"/>
          <w:sz w:val="24"/>
          <w:szCs w:val="24"/>
          <w:lang w:val="en-US"/>
        </w:rPr>
        <w:t xml:space="preserve">References </w:t>
      </w:r>
    </w:p>
    <w:p w:rsidR="58E18764" w:rsidP="58E18764" w:rsidRDefault="58E18764" w14:paraId="6AE76793" w14:textId="058283CF">
      <w:pPr>
        <w:pStyle w:val="Normal"/>
        <w:rPr>
          <w:rFonts w:ascii="Aptos" w:hAnsi="Aptos" w:eastAsia="Aptos" w:cs="Aptos"/>
          <w:noProof w:val="0"/>
          <w:sz w:val="24"/>
          <w:szCs w:val="24"/>
          <w:lang w:val="en-US"/>
        </w:rPr>
      </w:pPr>
    </w:p>
    <w:p w:rsidR="5538E766" w:rsidP="58E18764" w:rsidRDefault="5538E766" w14:paraId="716E7FE8" w14:textId="26E6F9D6">
      <w:pPr>
        <w:pStyle w:val="Normal"/>
        <w:rPr>
          <w:rFonts w:ascii="Arial Nova" w:hAnsi="Arial Nova" w:eastAsia="Arial Nova" w:cs="Arial Nova"/>
        </w:rPr>
      </w:pPr>
      <w:hyperlink r:id="Rab44d96863d848e2">
        <w:r w:rsidRPr="58E18764" w:rsidR="5538E766">
          <w:rPr>
            <w:rStyle w:val="Hyperlink"/>
            <w:rFonts w:ascii="Arial Nova" w:hAnsi="Arial Nova" w:eastAsia="Arial Nova" w:cs="Arial Nova"/>
            <w:noProof w:val="0"/>
            <w:sz w:val="24"/>
            <w:szCs w:val="24"/>
            <w:lang w:val="en-US"/>
          </w:rPr>
          <w:t>https://journals.sagepub.com/doi/full/10.1177/14673584211034525</w:t>
        </w:r>
      </w:hyperlink>
    </w:p>
    <w:p w:rsidR="58E18764" w:rsidP="58E18764" w:rsidRDefault="58E18764" w14:paraId="14408C57" w14:textId="619D5138">
      <w:pPr>
        <w:pStyle w:val="Normal"/>
        <w:rPr>
          <w:rFonts w:ascii="Arial Nova" w:hAnsi="Arial Nova" w:eastAsia="Arial Nova" w:cs="Arial Nova"/>
          <w:noProof w:val="0"/>
          <w:sz w:val="24"/>
          <w:szCs w:val="24"/>
          <w:lang w:val="en-US"/>
        </w:rPr>
      </w:pPr>
    </w:p>
    <w:p w:rsidR="3B224A2D" w:rsidP="58E18764" w:rsidRDefault="3B224A2D" w14:paraId="78BB8589" w14:textId="3B5FBDD1">
      <w:pPr>
        <w:pStyle w:val="Normal"/>
        <w:rPr>
          <w:rFonts w:ascii="Arial Nova" w:hAnsi="Arial Nova" w:eastAsia="Arial Nova" w:cs="Arial Nova"/>
        </w:rPr>
      </w:pPr>
      <w:hyperlink r:id="R890758a287db4cf5">
        <w:r w:rsidRPr="58E18764" w:rsidR="3B224A2D">
          <w:rPr>
            <w:rStyle w:val="Hyperlink"/>
            <w:rFonts w:ascii="Arial Nova" w:hAnsi="Arial Nova" w:eastAsia="Arial Nova" w:cs="Arial Nova"/>
            <w:noProof w:val="0"/>
            <w:sz w:val="24"/>
            <w:szCs w:val="24"/>
            <w:lang w:val="en-US"/>
          </w:rPr>
          <w:t>https://www.travelpulse.com/news/hotels-and-resorts/a-look-at-the-hotel-industrys-recovery-in-2022-so-far</w:t>
        </w:r>
      </w:hyperlink>
    </w:p>
    <w:p w:rsidR="58E18764" w:rsidP="58E18764" w:rsidRDefault="58E18764" w14:paraId="383FA254" w14:textId="67A9B565">
      <w:pPr>
        <w:pStyle w:val="Normal"/>
        <w:rPr>
          <w:rFonts w:ascii="Arial Nova" w:hAnsi="Arial Nova" w:eastAsia="Arial Nova" w:cs="Arial Nova"/>
          <w:noProof w:val="0"/>
          <w:sz w:val="24"/>
          <w:szCs w:val="24"/>
          <w:lang w:val="en-US"/>
        </w:rPr>
      </w:pPr>
    </w:p>
    <w:p w:rsidR="3B224A2D" w:rsidP="58E18764" w:rsidRDefault="3B224A2D" w14:paraId="0ACF7440" w14:textId="5DDE4592">
      <w:pPr>
        <w:pStyle w:val="Normal"/>
        <w:rPr>
          <w:rFonts w:ascii="Arial Nova" w:hAnsi="Arial Nova" w:eastAsia="Arial Nova" w:cs="Arial Nova"/>
        </w:rPr>
      </w:pPr>
      <w:hyperlink r:id="R0addf1e228ab461e">
        <w:r w:rsidRPr="58E18764" w:rsidR="3B224A2D">
          <w:rPr>
            <w:rStyle w:val="Hyperlink"/>
            <w:rFonts w:ascii="Arial Nova" w:hAnsi="Arial Nova" w:eastAsia="Arial Nova" w:cs="Arial Nova"/>
            <w:noProof w:val="0"/>
            <w:sz w:val="24"/>
            <w:szCs w:val="24"/>
            <w:lang w:val="en-US"/>
          </w:rPr>
          <w:t>https://www.knightfrank.com/research/article/2020-12-03-down</w:t>
        </w:r>
      </w:hyperlink>
    </w:p>
    <w:p w:rsidR="58E18764" w:rsidP="58E18764" w:rsidRDefault="58E18764" w14:paraId="7DE78494" w14:textId="70C4053B">
      <w:pPr>
        <w:pStyle w:val="Normal"/>
        <w:rPr>
          <w:rFonts w:ascii="Arial Nova" w:hAnsi="Arial Nova" w:eastAsia="Arial Nova" w:cs="Arial Nova"/>
          <w:noProof w:val="0"/>
          <w:sz w:val="24"/>
          <w:szCs w:val="24"/>
          <w:lang w:val="en-US"/>
        </w:rPr>
      </w:pPr>
    </w:p>
    <w:p w:rsidR="3B224A2D" w:rsidP="58E18764" w:rsidRDefault="3B224A2D" w14:paraId="6BC84644" w14:textId="7839102A">
      <w:pPr>
        <w:pStyle w:val="Normal"/>
        <w:rPr>
          <w:rFonts w:ascii="Arial Nova" w:hAnsi="Arial Nova" w:eastAsia="Arial Nova" w:cs="Arial Nova"/>
        </w:rPr>
      </w:pPr>
      <w:hyperlink r:id="R163cc8e4596f450c">
        <w:r w:rsidRPr="58E18764" w:rsidR="3B224A2D">
          <w:rPr>
            <w:rStyle w:val="Hyperlink"/>
            <w:rFonts w:ascii="Arial Nova" w:hAnsi="Arial Nova" w:eastAsia="Arial Nova" w:cs="Arial Nova"/>
            <w:noProof w:val="0"/>
            <w:sz w:val="24"/>
            <w:szCs w:val="24"/>
            <w:lang w:val="en-US"/>
          </w:rPr>
          <w:t>https://assuredhotels.co.uk/reviving-hospitality-key-strategies-for-a-successful-hotel-turnaround/</w:t>
        </w:r>
      </w:hyperlink>
    </w:p>
    <w:p w:rsidR="58E18764" w:rsidP="58E18764" w:rsidRDefault="58E18764" w14:paraId="71C29145" w14:textId="03D3152E">
      <w:pPr>
        <w:pStyle w:val="Normal"/>
        <w:rPr>
          <w:rFonts w:ascii="Arial Nova" w:hAnsi="Arial Nova" w:eastAsia="Arial Nova" w:cs="Arial Nova"/>
          <w:noProof w:val="0"/>
          <w:sz w:val="24"/>
          <w:szCs w:val="24"/>
          <w:lang w:val="en-US"/>
        </w:rPr>
      </w:pPr>
    </w:p>
    <w:p w:rsidR="3B224A2D" w:rsidP="58E18764" w:rsidRDefault="3B224A2D" w14:paraId="2D077C0F" w14:textId="3E62F2E4">
      <w:pPr>
        <w:pStyle w:val="Normal"/>
        <w:rPr>
          <w:rFonts w:ascii="Arial Nova" w:hAnsi="Arial Nova" w:eastAsia="Arial Nova" w:cs="Arial Nova"/>
        </w:rPr>
      </w:pPr>
      <w:hyperlink r:id="R28db38bfa9b74e90">
        <w:r w:rsidRPr="58E18764" w:rsidR="3B224A2D">
          <w:rPr>
            <w:rStyle w:val="Hyperlink"/>
            <w:rFonts w:ascii="Arial Nova" w:hAnsi="Arial Nova" w:eastAsia="Arial Nova" w:cs="Arial Nova"/>
            <w:noProof w:val="0"/>
            <w:sz w:val="24"/>
            <w:szCs w:val="24"/>
            <w:lang w:val="en-US"/>
          </w:rPr>
          <w:t>https://www.sciencedirect.com/science/article/pii/S0278431921000712</w:t>
        </w:r>
      </w:hyperlink>
    </w:p>
    <w:p w:rsidR="58E18764" w:rsidP="58E18764" w:rsidRDefault="58E18764" w14:paraId="59E611FD" w14:textId="2156D3A6">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E987D9"/>
    <w:rsid w:val="09C13BDF"/>
    <w:rsid w:val="1910956A"/>
    <w:rsid w:val="19E987D9"/>
    <w:rsid w:val="209FAD97"/>
    <w:rsid w:val="28A12DBA"/>
    <w:rsid w:val="28EBE871"/>
    <w:rsid w:val="2BC394FE"/>
    <w:rsid w:val="3B224A2D"/>
    <w:rsid w:val="44A228E1"/>
    <w:rsid w:val="4D743C7B"/>
    <w:rsid w:val="50743334"/>
    <w:rsid w:val="5538E766"/>
    <w:rsid w:val="58E18764"/>
    <w:rsid w:val="5AFF914E"/>
    <w:rsid w:val="6C5F63C6"/>
    <w:rsid w:val="6D68C8F4"/>
    <w:rsid w:val="727EB80A"/>
    <w:rsid w:val="73B092AB"/>
    <w:rsid w:val="771A8659"/>
    <w:rsid w:val="7E62F6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987D9"/>
  <w15:chartTrackingRefBased/>
  <w15:docId w15:val="{D9A9DFC9-A37A-4ED5-80BE-B30DE8E709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urnals.sagepub.com/doi/full/10.1177/14673584211034525" TargetMode="External" Id="Rab44d96863d848e2" /><Relationship Type="http://schemas.openxmlformats.org/officeDocument/2006/relationships/hyperlink" Target="https://www.travelpulse.com/news/hotels-and-resorts/a-look-at-the-hotel-industrys-recovery-in-2022-so-far" TargetMode="External" Id="R890758a287db4cf5" /><Relationship Type="http://schemas.openxmlformats.org/officeDocument/2006/relationships/hyperlink" Target="https://www.knightfrank.com/research/article/2020-12-03-down" TargetMode="External" Id="R0addf1e228ab461e" /><Relationship Type="http://schemas.openxmlformats.org/officeDocument/2006/relationships/hyperlink" Target="https://assuredhotels.co.uk/reviving-hospitality-key-strategies-for-a-successful-hotel-turnaround/" TargetMode="External" Id="R163cc8e4596f450c" /><Relationship Type="http://schemas.openxmlformats.org/officeDocument/2006/relationships/hyperlink" Target="https://www.sciencedirect.com/science/article/pii/S0278431921000712" TargetMode="External" Id="R28db38bfa9b74e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2024-11-14T19:57:09.3725779Z</dcterms:created>
  <dcterms:modified xsi:type="dcterms:W3CDTF">2024-11-14T22:47:58.2960671Z</dcterms:modified>
  <dc:creator>Larisa Alexandra Cionadi (2127892)</dc:creator>
  <lastModifiedBy>Larisa Alexandra Cionadi (2127892)</lastModifiedBy>
</coreProperties>
</file>