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C138E1" w14:textId="72E42F44" w:rsidR="00994A4E" w:rsidRDefault="00994A4E" w:rsidP="00994A4E">
      <w:pPr>
        <w:spacing w:after="0" w:line="360" w:lineRule="auto"/>
        <w:contextualSpacing/>
        <w:jc w:val="center"/>
        <w:rPr>
          <w:rFonts w:ascii="Arial" w:hAnsi="Arial" w:cs="Arial"/>
          <w:b/>
          <w:bCs/>
          <w:sz w:val="22"/>
          <w:szCs w:val="22"/>
        </w:rPr>
      </w:pPr>
      <w:r>
        <w:rPr>
          <w:noProof/>
        </w:rPr>
        <w:drawing>
          <wp:inline distT="0" distB="0" distL="0" distR="0" wp14:anchorId="05832EAE" wp14:editId="14A28695">
            <wp:extent cx="5005354" cy="2133600"/>
            <wp:effectExtent l="0" t="0" r="5080" b="0"/>
            <wp:docPr id="2" name="Picture 2" descr="UWTSD Named UK University of the Year for Teaching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Named UK University of the Year for Teaching Qual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65882" cy="2202027"/>
                    </a:xfrm>
                    <a:prstGeom prst="rect">
                      <a:avLst/>
                    </a:prstGeom>
                    <a:noFill/>
                    <a:ln>
                      <a:noFill/>
                    </a:ln>
                  </pic:spPr>
                </pic:pic>
              </a:graphicData>
            </a:graphic>
          </wp:inline>
        </w:drawing>
      </w:r>
    </w:p>
    <w:p w14:paraId="44793EC1" w14:textId="77777777" w:rsidR="00994A4E" w:rsidRDefault="00994A4E" w:rsidP="00D419F2">
      <w:pPr>
        <w:spacing w:after="0" w:line="360" w:lineRule="auto"/>
        <w:contextualSpacing/>
        <w:jc w:val="both"/>
        <w:rPr>
          <w:rFonts w:ascii="Arial" w:hAnsi="Arial" w:cs="Arial"/>
          <w:b/>
          <w:bCs/>
          <w:sz w:val="22"/>
          <w:szCs w:val="22"/>
        </w:rPr>
      </w:pPr>
    </w:p>
    <w:p w14:paraId="320FBE48" w14:textId="77777777" w:rsidR="00994A4E" w:rsidRDefault="00994A4E" w:rsidP="00D419F2">
      <w:pPr>
        <w:spacing w:after="0" w:line="360" w:lineRule="auto"/>
        <w:contextualSpacing/>
        <w:jc w:val="both"/>
        <w:rPr>
          <w:rFonts w:ascii="Arial" w:hAnsi="Arial" w:cs="Arial"/>
          <w:b/>
          <w:bCs/>
          <w:sz w:val="22"/>
          <w:szCs w:val="22"/>
        </w:rPr>
      </w:pPr>
    </w:p>
    <w:p w14:paraId="24EDE9B0" w14:textId="77777777" w:rsidR="00994A4E" w:rsidRDefault="00994A4E" w:rsidP="00D419F2">
      <w:pPr>
        <w:spacing w:after="0" w:line="360" w:lineRule="auto"/>
        <w:contextualSpacing/>
        <w:jc w:val="both"/>
        <w:rPr>
          <w:rFonts w:ascii="Arial" w:hAnsi="Arial" w:cs="Arial"/>
          <w:b/>
          <w:bCs/>
          <w:sz w:val="22"/>
          <w:szCs w:val="22"/>
        </w:rPr>
      </w:pPr>
    </w:p>
    <w:p w14:paraId="790858CE" w14:textId="562ADE07" w:rsidR="00D80BE3" w:rsidRPr="00994A4E" w:rsidRDefault="00806A2F" w:rsidP="00994A4E">
      <w:pPr>
        <w:spacing w:after="0" w:line="360" w:lineRule="auto"/>
        <w:contextualSpacing/>
        <w:jc w:val="center"/>
        <w:rPr>
          <w:rFonts w:ascii="Arial" w:hAnsi="Arial" w:cs="Arial"/>
          <w:b/>
          <w:bCs/>
          <w:color w:val="C45911" w:themeColor="accent2" w:themeShade="BF"/>
          <w:sz w:val="36"/>
          <w:szCs w:val="36"/>
        </w:rPr>
      </w:pPr>
      <w:r w:rsidRPr="00994A4E">
        <w:rPr>
          <w:rFonts w:ascii="Arial" w:hAnsi="Arial" w:cs="Arial"/>
          <w:b/>
          <w:bCs/>
          <w:color w:val="C45911" w:themeColor="accent2" w:themeShade="BF"/>
          <w:sz w:val="36"/>
          <w:szCs w:val="36"/>
        </w:rPr>
        <w:t>TELEHEALTH EXPANSION AT CLEVELAND CLINIC</w:t>
      </w:r>
    </w:p>
    <w:p w14:paraId="6EAF3F36" w14:textId="77777777" w:rsidR="00994A4E" w:rsidRPr="00994A4E" w:rsidRDefault="00994A4E" w:rsidP="00994A4E">
      <w:pPr>
        <w:spacing w:after="0" w:line="360" w:lineRule="auto"/>
        <w:contextualSpacing/>
        <w:jc w:val="center"/>
        <w:rPr>
          <w:rFonts w:ascii="Arial" w:hAnsi="Arial" w:cs="Arial"/>
          <w:b/>
          <w:bCs/>
          <w:color w:val="C45911" w:themeColor="accent2" w:themeShade="BF"/>
          <w:sz w:val="22"/>
          <w:szCs w:val="22"/>
        </w:rPr>
      </w:pPr>
    </w:p>
    <w:p w14:paraId="043A0E8F" w14:textId="06F84D7A" w:rsidR="00D80BE3" w:rsidRPr="00994A4E" w:rsidRDefault="00806A2F" w:rsidP="00994A4E">
      <w:pPr>
        <w:spacing w:after="0" w:line="360" w:lineRule="auto"/>
        <w:contextualSpacing/>
        <w:jc w:val="center"/>
        <w:rPr>
          <w:rFonts w:ascii="Arial" w:hAnsi="Arial" w:cs="Arial"/>
          <w:b/>
          <w:bCs/>
        </w:rPr>
      </w:pPr>
      <w:r w:rsidRPr="00994A4E">
        <w:rPr>
          <w:rFonts w:ascii="Arial" w:hAnsi="Arial" w:cs="Arial"/>
          <w:b/>
          <w:bCs/>
        </w:rPr>
        <w:t xml:space="preserve">Student </w:t>
      </w:r>
      <w:r w:rsidR="00D80BE3" w:rsidRPr="00994A4E">
        <w:rPr>
          <w:rFonts w:ascii="Arial" w:hAnsi="Arial" w:cs="Arial"/>
          <w:b/>
          <w:bCs/>
        </w:rPr>
        <w:t>Name</w:t>
      </w:r>
      <w:r w:rsidRPr="00994A4E">
        <w:rPr>
          <w:rFonts w:ascii="Arial" w:hAnsi="Arial" w:cs="Arial"/>
          <w:b/>
          <w:bCs/>
        </w:rPr>
        <w:t>: Shivani Bharatbhai Patel</w:t>
      </w:r>
    </w:p>
    <w:p w14:paraId="29352B62" w14:textId="1FDCC113" w:rsidR="00806A2F" w:rsidRPr="00994A4E" w:rsidRDefault="00806A2F" w:rsidP="00994A4E">
      <w:pPr>
        <w:spacing w:after="0" w:line="360" w:lineRule="auto"/>
        <w:contextualSpacing/>
        <w:jc w:val="center"/>
        <w:rPr>
          <w:rFonts w:ascii="Arial" w:hAnsi="Arial" w:cs="Arial"/>
          <w:b/>
          <w:bCs/>
        </w:rPr>
      </w:pPr>
      <w:r w:rsidRPr="00994A4E">
        <w:rPr>
          <w:rFonts w:ascii="Arial" w:hAnsi="Arial" w:cs="Arial"/>
          <w:b/>
          <w:bCs/>
        </w:rPr>
        <w:t>Student Id: 250</w:t>
      </w:r>
      <w:r w:rsidR="00994A4E" w:rsidRPr="00994A4E">
        <w:rPr>
          <w:rFonts w:ascii="Arial" w:hAnsi="Arial" w:cs="Arial"/>
          <w:b/>
          <w:bCs/>
        </w:rPr>
        <w:t>8120</w:t>
      </w:r>
    </w:p>
    <w:p w14:paraId="1AEC011C" w14:textId="32243F05" w:rsidR="00D80BE3" w:rsidRPr="00994A4E" w:rsidRDefault="00994A4E" w:rsidP="00994A4E">
      <w:pPr>
        <w:spacing w:after="0" w:line="360" w:lineRule="auto"/>
        <w:contextualSpacing/>
        <w:jc w:val="center"/>
        <w:rPr>
          <w:rFonts w:ascii="Arial" w:hAnsi="Arial" w:cs="Arial"/>
          <w:b/>
          <w:bCs/>
        </w:rPr>
      </w:pPr>
      <w:r w:rsidRPr="00994A4E">
        <w:rPr>
          <w:rFonts w:ascii="Arial" w:hAnsi="Arial" w:cs="Arial"/>
          <w:b/>
          <w:bCs/>
        </w:rPr>
        <w:t>Lecturer: Dr. Fahad khan</w:t>
      </w:r>
    </w:p>
    <w:p w14:paraId="3CFB1948" w14:textId="698263A7" w:rsidR="00D80BE3" w:rsidRPr="00994A4E" w:rsidRDefault="00994A4E" w:rsidP="00994A4E">
      <w:pPr>
        <w:spacing w:after="0" w:line="360" w:lineRule="auto"/>
        <w:contextualSpacing/>
        <w:jc w:val="center"/>
        <w:rPr>
          <w:rFonts w:ascii="Arial" w:hAnsi="Arial" w:cs="Arial"/>
          <w:b/>
          <w:bCs/>
        </w:rPr>
      </w:pPr>
      <w:r w:rsidRPr="00994A4E">
        <w:rPr>
          <w:rFonts w:ascii="Arial" w:hAnsi="Arial" w:cs="Arial"/>
          <w:b/>
          <w:bCs/>
        </w:rPr>
        <w:t>MSC PUBLIC HEALTH AND SOCIAL CARE IN PRACTICE</w:t>
      </w:r>
    </w:p>
    <w:p w14:paraId="73506255" w14:textId="7EC108A6" w:rsidR="00D80BE3" w:rsidRPr="00994A4E" w:rsidRDefault="00994A4E" w:rsidP="00994A4E">
      <w:pPr>
        <w:spacing w:after="0" w:line="360" w:lineRule="auto"/>
        <w:contextualSpacing/>
        <w:jc w:val="center"/>
        <w:rPr>
          <w:rFonts w:ascii="Arial" w:hAnsi="Arial" w:cs="Arial"/>
          <w:b/>
          <w:bCs/>
        </w:rPr>
      </w:pPr>
      <w:r w:rsidRPr="00994A4E">
        <w:rPr>
          <w:rFonts w:ascii="Arial" w:hAnsi="Arial" w:cs="Arial"/>
          <w:b/>
          <w:bCs/>
        </w:rPr>
        <w:t>Health Care System Organisation and Leadership</w:t>
      </w:r>
    </w:p>
    <w:p w14:paraId="394AF2A6" w14:textId="6D5F6D0A" w:rsidR="00D80BE3" w:rsidRPr="00994A4E" w:rsidRDefault="00994A4E" w:rsidP="00994A4E">
      <w:pPr>
        <w:spacing w:after="0" w:line="360" w:lineRule="auto"/>
        <w:contextualSpacing/>
        <w:jc w:val="center"/>
        <w:rPr>
          <w:rFonts w:ascii="Arial" w:hAnsi="Arial" w:cs="Arial"/>
          <w:b/>
          <w:bCs/>
        </w:rPr>
      </w:pPr>
      <w:r w:rsidRPr="00994A4E">
        <w:rPr>
          <w:rFonts w:ascii="Arial" w:hAnsi="Arial" w:cs="Arial"/>
          <w:b/>
          <w:bCs/>
        </w:rPr>
        <w:t>LCHS7002</w:t>
      </w:r>
    </w:p>
    <w:p w14:paraId="39F8FAC9" w14:textId="7C92C2D1" w:rsidR="009A3A3B" w:rsidRDefault="00994A4E" w:rsidP="00994A4E">
      <w:pPr>
        <w:spacing w:after="0" w:line="360" w:lineRule="auto"/>
        <w:contextualSpacing/>
        <w:jc w:val="center"/>
        <w:rPr>
          <w:rFonts w:ascii="Arial" w:hAnsi="Arial" w:cs="Arial"/>
          <w:b/>
          <w:bCs/>
        </w:rPr>
      </w:pPr>
      <w:r w:rsidRPr="00994A4E">
        <w:rPr>
          <w:rFonts w:ascii="Arial" w:hAnsi="Arial" w:cs="Arial"/>
          <w:b/>
          <w:bCs/>
        </w:rPr>
        <w:t>Case Study analysis</w:t>
      </w:r>
    </w:p>
    <w:p w14:paraId="2548BFFE" w14:textId="77777777" w:rsidR="009A3A3B" w:rsidRDefault="009A3A3B">
      <w:pPr>
        <w:rPr>
          <w:rFonts w:ascii="Arial" w:hAnsi="Arial" w:cs="Arial"/>
          <w:b/>
          <w:bCs/>
        </w:rPr>
      </w:pPr>
      <w:r>
        <w:rPr>
          <w:rFonts w:ascii="Arial" w:hAnsi="Arial" w:cs="Arial"/>
          <w:b/>
          <w:bCs/>
        </w:rPr>
        <w:br w:type="page"/>
      </w:r>
    </w:p>
    <w:p w14:paraId="4D34C5BD" w14:textId="4F9FDC8F" w:rsidR="00994A4E" w:rsidRPr="009A3A3B" w:rsidRDefault="009A3A3B" w:rsidP="00994A4E">
      <w:pPr>
        <w:spacing w:after="0" w:line="360" w:lineRule="auto"/>
        <w:contextualSpacing/>
        <w:jc w:val="center"/>
        <w:rPr>
          <w:rFonts w:ascii="Arial" w:hAnsi="Arial" w:cs="Arial"/>
          <w:b/>
          <w:bCs/>
        </w:rPr>
      </w:pPr>
      <w:r w:rsidRPr="009A3A3B">
        <w:rPr>
          <w:rFonts w:ascii="Arial" w:hAnsi="Arial" w:cs="Arial"/>
          <w:b/>
          <w:bCs/>
        </w:rPr>
        <w:lastRenderedPageBreak/>
        <w:t>Table of Content</w:t>
      </w:r>
    </w:p>
    <w:p w14:paraId="00BB28F6" w14:textId="170E5619" w:rsidR="00477120" w:rsidRPr="000352AB" w:rsidRDefault="00477120" w:rsidP="000352AB">
      <w:pPr>
        <w:spacing w:after="0" w:line="360" w:lineRule="auto"/>
        <w:contextualSpacing/>
        <w:rPr>
          <w:rFonts w:ascii="Arial" w:hAnsi="Arial" w:cs="Arial"/>
          <w:sz w:val="22"/>
          <w:szCs w:val="22"/>
        </w:rPr>
      </w:pPr>
      <w:r w:rsidRPr="000352AB">
        <w:rPr>
          <w:rFonts w:ascii="Arial" w:hAnsi="Arial" w:cs="Arial"/>
          <w:sz w:val="22"/>
          <w:szCs w:val="22"/>
        </w:rPr>
        <w:t>Introduction</w:t>
      </w:r>
      <w:r w:rsidR="000352AB">
        <w:rPr>
          <w:rFonts w:ascii="Arial" w:hAnsi="Arial" w:cs="Arial"/>
          <w:sz w:val="22"/>
          <w:szCs w:val="22"/>
        </w:rPr>
        <w:t>…………………………………………………………………………………..</w:t>
      </w:r>
      <w:r w:rsidRPr="000352AB">
        <w:rPr>
          <w:rFonts w:ascii="Arial" w:hAnsi="Arial" w:cs="Arial"/>
          <w:sz w:val="22"/>
          <w:szCs w:val="22"/>
        </w:rPr>
        <w:t xml:space="preserve"> </w:t>
      </w:r>
      <w:r w:rsidR="000352AB">
        <w:rPr>
          <w:rFonts w:ascii="Arial" w:hAnsi="Arial" w:cs="Arial"/>
          <w:sz w:val="22"/>
          <w:szCs w:val="22"/>
        </w:rPr>
        <w:t>.</w:t>
      </w:r>
      <w:r w:rsidRPr="000352AB">
        <w:rPr>
          <w:rFonts w:ascii="Arial" w:hAnsi="Arial" w:cs="Arial"/>
          <w:sz w:val="22"/>
          <w:szCs w:val="22"/>
        </w:rPr>
        <w:t>3</w:t>
      </w:r>
    </w:p>
    <w:p w14:paraId="3C33528E" w14:textId="4D0B3472" w:rsidR="00477120" w:rsidRPr="000352AB" w:rsidRDefault="00477120" w:rsidP="000352AB">
      <w:pPr>
        <w:spacing w:after="0" w:line="360" w:lineRule="auto"/>
        <w:contextualSpacing/>
        <w:rPr>
          <w:rFonts w:ascii="Arial" w:hAnsi="Arial" w:cs="Arial"/>
          <w:sz w:val="22"/>
          <w:szCs w:val="22"/>
        </w:rPr>
      </w:pPr>
      <w:r w:rsidRPr="000352AB">
        <w:rPr>
          <w:rFonts w:ascii="Arial" w:hAnsi="Arial" w:cs="Arial"/>
          <w:sz w:val="22"/>
          <w:szCs w:val="22"/>
          <w:lang w:val="en-US"/>
        </w:rPr>
        <w:t>Main Contexts</w:t>
      </w:r>
      <w:r w:rsidRPr="000352AB">
        <w:rPr>
          <w:rFonts w:ascii="Arial" w:hAnsi="Arial" w:cs="Arial"/>
          <w:sz w:val="22"/>
          <w:szCs w:val="22"/>
          <w:lang w:val="en-US"/>
        </w:rPr>
        <w:t xml:space="preserve"> </w:t>
      </w:r>
      <w:r w:rsidR="000352AB">
        <w:rPr>
          <w:rFonts w:ascii="Arial" w:hAnsi="Arial" w:cs="Arial"/>
          <w:sz w:val="22"/>
          <w:szCs w:val="22"/>
          <w:lang w:val="en-US"/>
        </w:rPr>
        <w:t>…………………………………………………………………………………</w:t>
      </w:r>
      <w:r w:rsidRPr="000352AB">
        <w:rPr>
          <w:rFonts w:ascii="Arial" w:hAnsi="Arial" w:cs="Arial"/>
          <w:sz w:val="22"/>
          <w:szCs w:val="22"/>
          <w:lang w:val="en-US"/>
        </w:rPr>
        <w:t>4</w:t>
      </w:r>
    </w:p>
    <w:p w14:paraId="17F2F731" w14:textId="01F24963" w:rsidR="00477120" w:rsidRPr="000352AB" w:rsidRDefault="00477120" w:rsidP="000352AB">
      <w:pPr>
        <w:spacing w:after="0" w:line="360" w:lineRule="auto"/>
        <w:contextualSpacing/>
        <w:rPr>
          <w:rFonts w:ascii="Arial" w:hAnsi="Arial" w:cs="Arial"/>
          <w:sz w:val="22"/>
          <w:szCs w:val="22"/>
          <w:lang w:val="en-US"/>
        </w:rPr>
      </w:pPr>
      <w:r w:rsidRPr="000352AB">
        <w:rPr>
          <w:rFonts w:ascii="Arial" w:hAnsi="Arial" w:cs="Arial"/>
          <w:sz w:val="22"/>
          <w:szCs w:val="22"/>
          <w:lang w:val="en-US"/>
        </w:rPr>
        <w:t xml:space="preserve">Identifying the Problem and System </w:t>
      </w:r>
      <w:r w:rsidR="000352AB" w:rsidRPr="000352AB">
        <w:rPr>
          <w:rFonts w:ascii="Arial" w:hAnsi="Arial" w:cs="Arial"/>
          <w:sz w:val="22"/>
          <w:szCs w:val="22"/>
          <w:lang w:val="en-US"/>
        </w:rPr>
        <w:t>Context</w:t>
      </w:r>
      <w:r w:rsidR="000352AB">
        <w:rPr>
          <w:rFonts w:ascii="Arial" w:hAnsi="Arial" w:cs="Arial"/>
          <w:sz w:val="22"/>
          <w:szCs w:val="22"/>
          <w:lang w:val="en-US"/>
        </w:rPr>
        <w:t>………………………………………………</w:t>
      </w:r>
      <w:r w:rsidRPr="000352AB">
        <w:rPr>
          <w:rFonts w:ascii="Arial" w:hAnsi="Arial" w:cs="Arial"/>
          <w:sz w:val="22"/>
          <w:szCs w:val="22"/>
          <w:lang w:val="en-US"/>
        </w:rPr>
        <w:t>4</w:t>
      </w:r>
    </w:p>
    <w:p w14:paraId="1E507303" w14:textId="6E1D66D2" w:rsidR="00477120" w:rsidRPr="000352AB" w:rsidRDefault="00477120" w:rsidP="000352AB">
      <w:pPr>
        <w:spacing w:after="0" w:line="360" w:lineRule="auto"/>
        <w:contextualSpacing/>
        <w:rPr>
          <w:rFonts w:ascii="Arial" w:hAnsi="Arial" w:cs="Arial"/>
          <w:color w:val="000000" w:themeColor="text1"/>
          <w:sz w:val="22"/>
          <w:szCs w:val="22"/>
          <w:lang w:val="en-US"/>
        </w:rPr>
      </w:pPr>
      <w:r w:rsidRPr="000352AB">
        <w:rPr>
          <w:rFonts w:ascii="Arial" w:hAnsi="Arial" w:cs="Arial"/>
          <w:color w:val="000000" w:themeColor="text1"/>
          <w:sz w:val="22"/>
          <w:szCs w:val="22"/>
          <w:lang w:val="en-US"/>
        </w:rPr>
        <w:t>Global and National Context</w:t>
      </w:r>
      <w:r w:rsidR="000352AB">
        <w:rPr>
          <w:rFonts w:ascii="Arial" w:hAnsi="Arial" w:cs="Arial"/>
          <w:color w:val="000000" w:themeColor="text1"/>
          <w:sz w:val="22"/>
          <w:szCs w:val="22"/>
          <w:lang w:val="en-US"/>
        </w:rPr>
        <w:t>………………………………………………………………...</w:t>
      </w:r>
      <w:r w:rsidRPr="000352AB">
        <w:rPr>
          <w:rFonts w:ascii="Arial" w:hAnsi="Arial" w:cs="Arial"/>
          <w:color w:val="000000" w:themeColor="text1"/>
          <w:sz w:val="22"/>
          <w:szCs w:val="22"/>
          <w:lang w:val="en-US"/>
        </w:rPr>
        <w:t xml:space="preserve"> 4</w:t>
      </w:r>
    </w:p>
    <w:p w14:paraId="0806A56F" w14:textId="7E76E061" w:rsidR="00477120" w:rsidRPr="000352AB" w:rsidRDefault="00477120" w:rsidP="000352AB">
      <w:pPr>
        <w:spacing w:after="0" w:line="360" w:lineRule="auto"/>
        <w:contextualSpacing/>
        <w:rPr>
          <w:rFonts w:ascii="Arial" w:hAnsi="Arial" w:cs="Arial"/>
          <w:color w:val="000000" w:themeColor="text1"/>
          <w:sz w:val="22"/>
          <w:szCs w:val="22"/>
          <w:lang w:val="en-US"/>
        </w:rPr>
      </w:pPr>
      <w:r w:rsidRPr="000352AB">
        <w:rPr>
          <w:rFonts w:ascii="Arial" w:hAnsi="Arial" w:cs="Arial"/>
          <w:color w:val="000000" w:themeColor="text1"/>
          <w:sz w:val="22"/>
          <w:szCs w:val="22"/>
          <w:lang w:val="en-US"/>
        </w:rPr>
        <w:t>Systemic Weaknesses</w:t>
      </w:r>
      <w:r w:rsidR="000352AB">
        <w:rPr>
          <w:rFonts w:ascii="Arial" w:hAnsi="Arial" w:cs="Arial"/>
          <w:color w:val="000000" w:themeColor="text1"/>
          <w:sz w:val="22"/>
          <w:szCs w:val="22"/>
          <w:lang w:val="en-US"/>
        </w:rPr>
        <w:t>……………………………………………………………………….</w:t>
      </w:r>
      <w:r w:rsidRPr="000352AB">
        <w:rPr>
          <w:rFonts w:ascii="Arial" w:hAnsi="Arial" w:cs="Arial"/>
          <w:color w:val="000000" w:themeColor="text1"/>
          <w:sz w:val="22"/>
          <w:szCs w:val="22"/>
          <w:lang w:val="en-US"/>
        </w:rPr>
        <w:t xml:space="preserve"> 5</w:t>
      </w:r>
    </w:p>
    <w:p w14:paraId="5F5DD3BB" w14:textId="5490E5E4" w:rsidR="00477120" w:rsidRPr="000352AB" w:rsidRDefault="00477120" w:rsidP="000352AB">
      <w:pPr>
        <w:spacing w:after="0" w:line="360" w:lineRule="auto"/>
        <w:contextualSpacing/>
        <w:rPr>
          <w:rFonts w:ascii="Arial" w:hAnsi="Arial" w:cs="Arial"/>
          <w:color w:val="000000" w:themeColor="text1"/>
          <w:sz w:val="22"/>
          <w:szCs w:val="22"/>
          <w:lang w:val="en-US"/>
        </w:rPr>
      </w:pPr>
      <w:r w:rsidRPr="000352AB">
        <w:rPr>
          <w:rFonts w:ascii="Arial" w:hAnsi="Arial" w:cs="Arial"/>
          <w:color w:val="000000" w:themeColor="text1"/>
          <w:sz w:val="22"/>
          <w:szCs w:val="22"/>
          <w:lang w:val="en-US"/>
        </w:rPr>
        <w:t>Rich Picture</w:t>
      </w:r>
      <w:r w:rsidR="000352AB">
        <w:rPr>
          <w:rFonts w:ascii="Arial" w:hAnsi="Arial" w:cs="Arial"/>
          <w:color w:val="000000" w:themeColor="text1"/>
          <w:sz w:val="22"/>
          <w:szCs w:val="22"/>
          <w:lang w:val="en-US"/>
        </w:rPr>
        <w:t>……………………………………………………………………………………</w:t>
      </w:r>
      <w:r w:rsidRPr="000352AB">
        <w:rPr>
          <w:rFonts w:ascii="Arial" w:hAnsi="Arial" w:cs="Arial"/>
          <w:color w:val="000000" w:themeColor="text1"/>
          <w:sz w:val="22"/>
          <w:szCs w:val="22"/>
          <w:lang w:val="en-US"/>
        </w:rPr>
        <w:t xml:space="preserve"> 5</w:t>
      </w:r>
    </w:p>
    <w:p w14:paraId="351DBDA2" w14:textId="6AC5C0E0" w:rsidR="00477120" w:rsidRPr="000352AB" w:rsidRDefault="00477120" w:rsidP="000352AB">
      <w:pPr>
        <w:spacing w:after="0" w:line="360" w:lineRule="auto"/>
        <w:contextualSpacing/>
        <w:rPr>
          <w:rFonts w:ascii="Arial" w:hAnsi="Arial" w:cs="Arial"/>
          <w:color w:val="000000" w:themeColor="text1"/>
          <w:sz w:val="22"/>
          <w:szCs w:val="22"/>
          <w:lang w:val="en-US"/>
        </w:rPr>
      </w:pPr>
      <w:r w:rsidRPr="000352AB">
        <w:rPr>
          <w:rFonts w:ascii="Arial" w:hAnsi="Arial" w:cs="Arial"/>
          <w:color w:val="000000" w:themeColor="text1"/>
          <w:sz w:val="22"/>
          <w:szCs w:val="22"/>
          <w:lang w:val="en-US"/>
        </w:rPr>
        <w:t>Decentralization or Centralization</w:t>
      </w:r>
      <w:r w:rsidR="000352AB">
        <w:rPr>
          <w:rFonts w:ascii="Arial" w:hAnsi="Arial" w:cs="Arial"/>
          <w:color w:val="000000" w:themeColor="text1"/>
          <w:sz w:val="22"/>
          <w:szCs w:val="22"/>
          <w:lang w:val="en-US"/>
        </w:rPr>
        <w:t>…………………………………………………………...</w:t>
      </w:r>
      <w:r w:rsidRPr="000352AB">
        <w:rPr>
          <w:rFonts w:ascii="Arial" w:hAnsi="Arial" w:cs="Arial"/>
          <w:color w:val="000000" w:themeColor="text1"/>
          <w:sz w:val="22"/>
          <w:szCs w:val="22"/>
          <w:lang w:val="en-US"/>
        </w:rPr>
        <w:t xml:space="preserve"> 6</w:t>
      </w:r>
    </w:p>
    <w:p w14:paraId="708A9781" w14:textId="652E6FF7" w:rsidR="00477120" w:rsidRPr="000352AB" w:rsidRDefault="00477120" w:rsidP="000352AB">
      <w:pPr>
        <w:spacing w:after="0" w:line="360" w:lineRule="auto"/>
        <w:contextualSpacing/>
        <w:rPr>
          <w:rFonts w:ascii="Arial" w:hAnsi="Arial" w:cs="Arial"/>
          <w:color w:val="000000" w:themeColor="text1"/>
          <w:sz w:val="22"/>
          <w:szCs w:val="22"/>
          <w:lang w:val="en-US"/>
        </w:rPr>
      </w:pPr>
      <w:r w:rsidRPr="000352AB">
        <w:rPr>
          <w:rFonts w:ascii="Arial" w:hAnsi="Arial" w:cs="Arial"/>
          <w:color w:val="000000" w:themeColor="text1"/>
          <w:sz w:val="22"/>
          <w:szCs w:val="22"/>
          <w:lang w:val="en-US"/>
        </w:rPr>
        <w:t>Leadership Theories and Application</w:t>
      </w:r>
      <w:r w:rsidR="000352AB">
        <w:rPr>
          <w:rFonts w:ascii="Arial" w:hAnsi="Arial" w:cs="Arial"/>
          <w:color w:val="000000" w:themeColor="text1"/>
          <w:sz w:val="22"/>
          <w:szCs w:val="22"/>
          <w:lang w:val="en-US"/>
        </w:rPr>
        <w:t>………………………………………………………</w:t>
      </w:r>
      <w:r w:rsidRPr="000352AB">
        <w:rPr>
          <w:rFonts w:ascii="Arial" w:hAnsi="Arial" w:cs="Arial"/>
          <w:color w:val="000000" w:themeColor="text1"/>
          <w:sz w:val="22"/>
          <w:szCs w:val="22"/>
          <w:lang w:val="en-US"/>
        </w:rPr>
        <w:t xml:space="preserve"> </w:t>
      </w:r>
      <w:r w:rsidR="00296C5F">
        <w:rPr>
          <w:rFonts w:ascii="Arial" w:hAnsi="Arial" w:cs="Arial"/>
          <w:color w:val="000000" w:themeColor="text1"/>
          <w:sz w:val="22"/>
          <w:szCs w:val="22"/>
          <w:lang w:val="en-US"/>
        </w:rPr>
        <w:t>.</w:t>
      </w:r>
      <w:r w:rsidRPr="000352AB">
        <w:rPr>
          <w:rFonts w:ascii="Arial" w:hAnsi="Arial" w:cs="Arial"/>
          <w:color w:val="000000" w:themeColor="text1"/>
          <w:sz w:val="22"/>
          <w:szCs w:val="22"/>
          <w:lang w:val="en-US"/>
        </w:rPr>
        <w:t>8</w:t>
      </w:r>
    </w:p>
    <w:p w14:paraId="119940D4" w14:textId="0A1866DA" w:rsidR="00477120" w:rsidRPr="000352AB" w:rsidRDefault="00477120" w:rsidP="000352AB">
      <w:pPr>
        <w:spacing w:after="0" w:line="360" w:lineRule="auto"/>
        <w:contextualSpacing/>
        <w:rPr>
          <w:rFonts w:ascii="Arial" w:hAnsi="Arial" w:cs="Arial"/>
          <w:color w:val="000000" w:themeColor="text1"/>
          <w:sz w:val="22"/>
          <w:szCs w:val="22"/>
          <w:lang w:val="en-US"/>
        </w:rPr>
      </w:pPr>
      <w:r w:rsidRPr="000352AB">
        <w:rPr>
          <w:rFonts w:ascii="Arial" w:hAnsi="Arial" w:cs="Arial"/>
          <w:color w:val="000000" w:themeColor="text1"/>
          <w:sz w:val="22"/>
          <w:szCs w:val="22"/>
          <w:lang w:val="en-US"/>
        </w:rPr>
        <w:t>Transformational Leadership</w:t>
      </w:r>
      <w:r w:rsidR="000352AB">
        <w:rPr>
          <w:rFonts w:ascii="Arial" w:hAnsi="Arial" w:cs="Arial"/>
          <w:color w:val="000000" w:themeColor="text1"/>
          <w:sz w:val="22"/>
          <w:szCs w:val="22"/>
          <w:lang w:val="en-US"/>
        </w:rPr>
        <w:t>………………………………………………………………</w:t>
      </w:r>
      <w:r w:rsidR="00296C5F">
        <w:rPr>
          <w:rFonts w:ascii="Arial" w:hAnsi="Arial" w:cs="Arial"/>
          <w:color w:val="000000" w:themeColor="text1"/>
          <w:sz w:val="22"/>
          <w:szCs w:val="22"/>
          <w:lang w:val="en-US"/>
        </w:rPr>
        <w:t>…</w:t>
      </w:r>
      <w:r w:rsidRPr="000352AB">
        <w:rPr>
          <w:rFonts w:ascii="Arial" w:hAnsi="Arial" w:cs="Arial"/>
          <w:color w:val="000000" w:themeColor="text1"/>
          <w:sz w:val="22"/>
          <w:szCs w:val="22"/>
          <w:lang w:val="en-US"/>
        </w:rPr>
        <w:t>8</w:t>
      </w:r>
    </w:p>
    <w:p w14:paraId="3912A5E2" w14:textId="15F8A409" w:rsidR="00477120" w:rsidRPr="000352AB" w:rsidRDefault="00477120" w:rsidP="000352AB">
      <w:pPr>
        <w:spacing w:after="0" w:line="360" w:lineRule="auto"/>
        <w:contextualSpacing/>
        <w:rPr>
          <w:rFonts w:ascii="Arial" w:hAnsi="Arial" w:cs="Arial"/>
          <w:color w:val="000000" w:themeColor="text1"/>
          <w:sz w:val="22"/>
          <w:szCs w:val="22"/>
          <w:lang w:val="en-US"/>
        </w:rPr>
      </w:pPr>
      <w:r w:rsidRPr="000352AB">
        <w:rPr>
          <w:rFonts w:ascii="Arial" w:hAnsi="Arial" w:cs="Arial"/>
          <w:color w:val="000000" w:themeColor="text1"/>
          <w:sz w:val="22"/>
          <w:szCs w:val="22"/>
          <w:lang w:val="en-US"/>
        </w:rPr>
        <w:t>Critical leadership analysis</w:t>
      </w:r>
      <w:r w:rsidR="00296C5F">
        <w:rPr>
          <w:rFonts w:ascii="Arial" w:hAnsi="Arial" w:cs="Arial"/>
          <w:color w:val="000000" w:themeColor="text1"/>
          <w:sz w:val="22"/>
          <w:szCs w:val="22"/>
          <w:lang w:val="en-US"/>
        </w:rPr>
        <w:t>………………………………………………………………….</w:t>
      </w:r>
      <w:r w:rsidRPr="000352AB">
        <w:rPr>
          <w:rFonts w:ascii="Arial" w:hAnsi="Arial" w:cs="Arial"/>
          <w:color w:val="000000" w:themeColor="text1"/>
          <w:sz w:val="22"/>
          <w:szCs w:val="22"/>
          <w:lang w:val="en-US"/>
        </w:rPr>
        <w:t xml:space="preserve"> </w:t>
      </w:r>
      <w:r w:rsidR="00296C5F">
        <w:rPr>
          <w:rFonts w:ascii="Arial" w:hAnsi="Arial" w:cs="Arial"/>
          <w:color w:val="000000" w:themeColor="text1"/>
          <w:sz w:val="22"/>
          <w:szCs w:val="22"/>
          <w:lang w:val="en-US"/>
        </w:rPr>
        <w:t>.</w:t>
      </w:r>
      <w:r w:rsidRPr="000352AB">
        <w:rPr>
          <w:rFonts w:ascii="Arial" w:hAnsi="Arial" w:cs="Arial"/>
          <w:color w:val="000000" w:themeColor="text1"/>
          <w:sz w:val="22"/>
          <w:szCs w:val="22"/>
          <w:lang w:val="en-US"/>
        </w:rPr>
        <w:t>8</w:t>
      </w:r>
    </w:p>
    <w:p w14:paraId="4702F723" w14:textId="7EB9A131" w:rsidR="000352AB" w:rsidRPr="000352AB" w:rsidRDefault="000352AB" w:rsidP="000352AB">
      <w:pPr>
        <w:spacing w:after="0" w:line="360" w:lineRule="auto"/>
        <w:contextualSpacing/>
        <w:rPr>
          <w:rFonts w:ascii="Arial" w:hAnsi="Arial" w:cs="Arial"/>
          <w:color w:val="000000" w:themeColor="text1"/>
          <w:sz w:val="22"/>
          <w:szCs w:val="22"/>
          <w:lang w:val="en-US"/>
        </w:rPr>
      </w:pPr>
      <w:r w:rsidRPr="000352AB">
        <w:rPr>
          <w:rFonts w:ascii="Arial" w:hAnsi="Arial" w:cs="Arial"/>
          <w:color w:val="000000" w:themeColor="text1"/>
          <w:sz w:val="22"/>
          <w:szCs w:val="22"/>
          <w:lang w:val="en-US"/>
        </w:rPr>
        <w:t>Lessons Learned and Betterment</w:t>
      </w:r>
      <w:r w:rsidR="00296C5F">
        <w:rPr>
          <w:rFonts w:ascii="Arial" w:hAnsi="Arial" w:cs="Arial"/>
          <w:color w:val="000000" w:themeColor="text1"/>
          <w:sz w:val="22"/>
          <w:szCs w:val="22"/>
          <w:lang w:val="en-US"/>
        </w:rPr>
        <w:t>………………………………………………………….</w:t>
      </w:r>
      <w:r w:rsidRPr="000352AB">
        <w:rPr>
          <w:rFonts w:ascii="Arial" w:hAnsi="Arial" w:cs="Arial"/>
          <w:color w:val="000000" w:themeColor="text1"/>
          <w:sz w:val="22"/>
          <w:szCs w:val="22"/>
          <w:lang w:val="en-US"/>
        </w:rPr>
        <w:t xml:space="preserve"> </w:t>
      </w:r>
      <w:r w:rsidR="00296C5F">
        <w:rPr>
          <w:rFonts w:ascii="Arial" w:hAnsi="Arial" w:cs="Arial"/>
          <w:color w:val="000000" w:themeColor="text1"/>
          <w:sz w:val="22"/>
          <w:szCs w:val="22"/>
          <w:lang w:val="en-US"/>
        </w:rPr>
        <w:t>.</w:t>
      </w:r>
      <w:r w:rsidRPr="000352AB">
        <w:rPr>
          <w:rFonts w:ascii="Arial" w:hAnsi="Arial" w:cs="Arial"/>
          <w:color w:val="000000" w:themeColor="text1"/>
          <w:sz w:val="22"/>
          <w:szCs w:val="22"/>
          <w:lang w:val="en-US"/>
        </w:rPr>
        <w:t>9</w:t>
      </w:r>
    </w:p>
    <w:p w14:paraId="524CC665" w14:textId="3269D049" w:rsidR="000352AB" w:rsidRPr="000352AB" w:rsidRDefault="000352AB" w:rsidP="000352AB">
      <w:pPr>
        <w:spacing w:after="0" w:line="360" w:lineRule="auto"/>
        <w:contextualSpacing/>
        <w:rPr>
          <w:rFonts w:ascii="Arial" w:hAnsi="Arial" w:cs="Arial"/>
          <w:color w:val="000000" w:themeColor="text1"/>
          <w:sz w:val="22"/>
          <w:szCs w:val="22"/>
          <w:lang w:val="en-US"/>
        </w:rPr>
      </w:pPr>
      <w:r>
        <w:rPr>
          <w:rFonts w:ascii="Arial" w:hAnsi="Arial" w:cs="Arial"/>
          <w:color w:val="000000" w:themeColor="text1"/>
          <w:sz w:val="22"/>
          <w:szCs w:val="22"/>
          <w:lang w:val="en-US"/>
        </w:rPr>
        <w:t xml:space="preserve">  </w:t>
      </w:r>
      <w:r w:rsidRPr="000352AB">
        <w:rPr>
          <w:rFonts w:ascii="Arial" w:hAnsi="Arial" w:cs="Arial"/>
          <w:color w:val="000000" w:themeColor="text1"/>
          <w:sz w:val="22"/>
          <w:szCs w:val="22"/>
          <w:lang w:val="en-US"/>
        </w:rPr>
        <w:t>2.4.1 Interaction of Leadership and Governance</w:t>
      </w:r>
      <w:r w:rsidR="00296C5F">
        <w:rPr>
          <w:rFonts w:ascii="Arial" w:hAnsi="Arial" w:cs="Arial"/>
          <w:color w:val="000000" w:themeColor="text1"/>
          <w:sz w:val="22"/>
          <w:szCs w:val="22"/>
          <w:lang w:val="en-US"/>
        </w:rPr>
        <w:t>……………………………………….</w:t>
      </w:r>
      <w:r w:rsidRPr="000352AB">
        <w:rPr>
          <w:rFonts w:ascii="Arial" w:hAnsi="Arial" w:cs="Arial"/>
          <w:color w:val="000000" w:themeColor="text1"/>
          <w:sz w:val="22"/>
          <w:szCs w:val="22"/>
          <w:lang w:val="en-US"/>
        </w:rPr>
        <w:t xml:space="preserve"> </w:t>
      </w:r>
      <w:r w:rsidR="00296C5F">
        <w:rPr>
          <w:rFonts w:ascii="Arial" w:hAnsi="Arial" w:cs="Arial"/>
          <w:color w:val="000000" w:themeColor="text1"/>
          <w:sz w:val="22"/>
          <w:szCs w:val="22"/>
          <w:lang w:val="en-US"/>
        </w:rPr>
        <w:t>.</w:t>
      </w:r>
      <w:r w:rsidRPr="000352AB">
        <w:rPr>
          <w:rFonts w:ascii="Arial" w:hAnsi="Arial" w:cs="Arial"/>
          <w:color w:val="000000" w:themeColor="text1"/>
          <w:sz w:val="22"/>
          <w:szCs w:val="22"/>
          <w:lang w:val="en-US"/>
        </w:rPr>
        <w:t>9</w:t>
      </w:r>
    </w:p>
    <w:p w14:paraId="7BD03B21" w14:textId="2068412F" w:rsidR="000352AB" w:rsidRPr="000352AB" w:rsidRDefault="000352AB" w:rsidP="000352AB">
      <w:pPr>
        <w:spacing w:after="0" w:line="360" w:lineRule="auto"/>
        <w:contextualSpacing/>
        <w:rPr>
          <w:rFonts w:ascii="Arial" w:hAnsi="Arial" w:cs="Arial"/>
          <w:color w:val="000000" w:themeColor="text1"/>
          <w:sz w:val="22"/>
          <w:szCs w:val="22"/>
          <w:lang w:val="en-US"/>
        </w:rPr>
      </w:pPr>
      <w:r>
        <w:rPr>
          <w:rFonts w:ascii="Arial" w:hAnsi="Arial" w:cs="Arial"/>
          <w:color w:val="000000" w:themeColor="text1"/>
          <w:sz w:val="22"/>
          <w:szCs w:val="22"/>
          <w:lang w:val="en-US"/>
        </w:rPr>
        <w:t xml:space="preserve">  </w:t>
      </w:r>
      <w:r w:rsidRPr="000352AB">
        <w:rPr>
          <w:rFonts w:ascii="Arial" w:hAnsi="Arial" w:cs="Arial"/>
          <w:color w:val="000000" w:themeColor="text1"/>
          <w:sz w:val="22"/>
          <w:szCs w:val="22"/>
          <w:lang w:val="en-US"/>
        </w:rPr>
        <w:t>2.4.2 Missed Opportunities</w:t>
      </w:r>
      <w:r w:rsidR="00296C5F">
        <w:rPr>
          <w:rFonts w:ascii="Arial" w:hAnsi="Arial" w:cs="Arial"/>
          <w:color w:val="000000" w:themeColor="text1"/>
          <w:sz w:val="22"/>
          <w:szCs w:val="22"/>
          <w:lang w:val="en-US"/>
        </w:rPr>
        <w:t>……………………………………………………………….</w:t>
      </w:r>
      <w:r w:rsidRPr="000352AB">
        <w:rPr>
          <w:rFonts w:ascii="Arial" w:hAnsi="Arial" w:cs="Arial"/>
          <w:color w:val="000000" w:themeColor="text1"/>
          <w:sz w:val="22"/>
          <w:szCs w:val="22"/>
          <w:lang w:val="en-US"/>
        </w:rPr>
        <w:t xml:space="preserve"> </w:t>
      </w:r>
      <w:r w:rsidR="00296C5F">
        <w:rPr>
          <w:rFonts w:ascii="Arial" w:hAnsi="Arial" w:cs="Arial"/>
          <w:color w:val="000000" w:themeColor="text1"/>
          <w:sz w:val="22"/>
          <w:szCs w:val="22"/>
          <w:lang w:val="en-US"/>
        </w:rPr>
        <w:t>.</w:t>
      </w:r>
      <w:r w:rsidRPr="000352AB">
        <w:rPr>
          <w:rFonts w:ascii="Arial" w:hAnsi="Arial" w:cs="Arial"/>
          <w:color w:val="000000" w:themeColor="text1"/>
          <w:sz w:val="22"/>
          <w:szCs w:val="22"/>
          <w:lang w:val="en-US"/>
        </w:rPr>
        <w:t>10</w:t>
      </w:r>
    </w:p>
    <w:p w14:paraId="563DDD76" w14:textId="5A99788C" w:rsidR="000352AB" w:rsidRDefault="000352AB" w:rsidP="000352AB">
      <w:pPr>
        <w:spacing w:after="0" w:line="360" w:lineRule="auto"/>
        <w:contextualSpacing/>
        <w:rPr>
          <w:rFonts w:ascii="Arial" w:hAnsi="Arial" w:cs="Arial"/>
          <w:color w:val="000000" w:themeColor="text1"/>
          <w:sz w:val="22"/>
          <w:szCs w:val="22"/>
          <w:lang w:val="en-US"/>
        </w:rPr>
      </w:pPr>
      <w:r>
        <w:rPr>
          <w:rFonts w:ascii="Arial" w:hAnsi="Arial" w:cs="Arial"/>
          <w:color w:val="000000" w:themeColor="text1"/>
          <w:sz w:val="22"/>
          <w:szCs w:val="22"/>
          <w:lang w:val="en-US"/>
        </w:rPr>
        <w:t xml:space="preserve">  </w:t>
      </w:r>
      <w:r w:rsidRPr="000352AB">
        <w:rPr>
          <w:rFonts w:ascii="Arial" w:hAnsi="Arial" w:cs="Arial"/>
          <w:color w:val="000000" w:themeColor="text1"/>
          <w:sz w:val="22"/>
          <w:szCs w:val="22"/>
          <w:lang w:val="en-US"/>
        </w:rPr>
        <w:t>2.4.3 Evidence-Based Solutions</w:t>
      </w:r>
      <w:r w:rsidR="00296C5F">
        <w:rPr>
          <w:rFonts w:ascii="Arial" w:hAnsi="Arial" w:cs="Arial"/>
          <w:color w:val="000000" w:themeColor="text1"/>
          <w:sz w:val="22"/>
          <w:szCs w:val="22"/>
          <w:lang w:val="en-US"/>
        </w:rPr>
        <w:t>…………………………………………………………</w:t>
      </w:r>
      <w:r w:rsidRPr="000352AB">
        <w:rPr>
          <w:rFonts w:ascii="Arial" w:hAnsi="Arial" w:cs="Arial"/>
          <w:color w:val="000000" w:themeColor="text1"/>
          <w:sz w:val="22"/>
          <w:szCs w:val="22"/>
          <w:lang w:val="en-US"/>
        </w:rPr>
        <w:t xml:space="preserve"> </w:t>
      </w:r>
      <w:r w:rsidR="00296C5F">
        <w:rPr>
          <w:rFonts w:ascii="Arial" w:hAnsi="Arial" w:cs="Arial"/>
          <w:color w:val="000000" w:themeColor="text1"/>
          <w:sz w:val="22"/>
          <w:szCs w:val="22"/>
          <w:lang w:val="en-US"/>
        </w:rPr>
        <w:t>.</w:t>
      </w:r>
      <w:r w:rsidRPr="000352AB">
        <w:rPr>
          <w:rFonts w:ascii="Arial" w:hAnsi="Arial" w:cs="Arial"/>
          <w:color w:val="000000" w:themeColor="text1"/>
          <w:sz w:val="22"/>
          <w:szCs w:val="22"/>
          <w:lang w:val="en-US"/>
        </w:rPr>
        <w:t>10</w:t>
      </w:r>
    </w:p>
    <w:p w14:paraId="492A3B0B" w14:textId="4CB26FD8" w:rsidR="000352AB" w:rsidRPr="000352AB" w:rsidRDefault="000352AB" w:rsidP="000352AB">
      <w:pPr>
        <w:spacing w:after="0" w:line="360" w:lineRule="auto"/>
        <w:contextualSpacing/>
        <w:rPr>
          <w:rFonts w:ascii="Arial" w:hAnsi="Arial" w:cs="Arial"/>
          <w:color w:val="000000" w:themeColor="text1"/>
          <w:sz w:val="22"/>
          <w:szCs w:val="22"/>
          <w:lang w:val="en-US"/>
        </w:rPr>
      </w:pPr>
      <w:r>
        <w:rPr>
          <w:rFonts w:ascii="Arial" w:hAnsi="Arial" w:cs="Arial"/>
          <w:color w:val="000000" w:themeColor="text1"/>
          <w:sz w:val="22"/>
          <w:szCs w:val="22"/>
          <w:lang w:val="en-US"/>
        </w:rPr>
        <w:t xml:space="preserve">  </w:t>
      </w:r>
      <w:r w:rsidRPr="000352AB">
        <w:rPr>
          <w:rFonts w:ascii="Arial" w:hAnsi="Arial" w:cs="Arial"/>
          <w:color w:val="000000" w:themeColor="text1"/>
          <w:sz w:val="22"/>
          <w:szCs w:val="22"/>
          <w:lang w:val="en-US"/>
        </w:rPr>
        <w:t>2.4.4 Healthcare Systems Lessons</w:t>
      </w:r>
      <w:r w:rsidR="00296C5F">
        <w:rPr>
          <w:rFonts w:ascii="Arial" w:hAnsi="Arial" w:cs="Arial"/>
          <w:color w:val="000000" w:themeColor="text1"/>
          <w:sz w:val="22"/>
          <w:szCs w:val="22"/>
          <w:lang w:val="en-US"/>
        </w:rPr>
        <w:t>………………………………………………………</w:t>
      </w:r>
      <w:r w:rsidRPr="000352AB">
        <w:rPr>
          <w:rFonts w:ascii="Arial" w:hAnsi="Arial" w:cs="Arial"/>
          <w:color w:val="000000" w:themeColor="text1"/>
          <w:sz w:val="22"/>
          <w:szCs w:val="22"/>
          <w:lang w:val="en-US"/>
        </w:rPr>
        <w:t xml:space="preserve"> </w:t>
      </w:r>
      <w:r w:rsidR="00296C5F">
        <w:rPr>
          <w:rFonts w:ascii="Arial" w:hAnsi="Arial" w:cs="Arial"/>
          <w:color w:val="000000" w:themeColor="text1"/>
          <w:sz w:val="22"/>
          <w:szCs w:val="22"/>
          <w:lang w:val="en-US"/>
        </w:rPr>
        <w:t>.</w:t>
      </w:r>
      <w:r w:rsidRPr="000352AB">
        <w:rPr>
          <w:rFonts w:ascii="Arial" w:hAnsi="Arial" w:cs="Arial"/>
          <w:color w:val="000000" w:themeColor="text1"/>
          <w:sz w:val="22"/>
          <w:szCs w:val="22"/>
          <w:lang w:val="en-US"/>
        </w:rPr>
        <w:t>11</w:t>
      </w:r>
    </w:p>
    <w:p w14:paraId="4766D0F1" w14:textId="186DCE94" w:rsidR="000352AB" w:rsidRDefault="000352AB" w:rsidP="000352AB">
      <w:pPr>
        <w:spacing w:after="0" w:line="360" w:lineRule="auto"/>
        <w:contextualSpacing/>
        <w:rPr>
          <w:rFonts w:ascii="Arial" w:hAnsi="Arial" w:cs="Arial"/>
          <w:color w:val="000000" w:themeColor="text1"/>
          <w:sz w:val="22"/>
          <w:szCs w:val="22"/>
          <w:lang w:val="en-US"/>
        </w:rPr>
      </w:pPr>
      <w:r w:rsidRPr="000352AB">
        <w:rPr>
          <w:rFonts w:ascii="Arial" w:hAnsi="Arial" w:cs="Arial"/>
          <w:color w:val="000000" w:themeColor="text1"/>
          <w:sz w:val="22"/>
          <w:szCs w:val="22"/>
          <w:lang w:val="en-US"/>
        </w:rPr>
        <w:t>Recommendations</w:t>
      </w:r>
      <w:r w:rsidR="00296C5F">
        <w:rPr>
          <w:rFonts w:ascii="Arial" w:hAnsi="Arial" w:cs="Arial"/>
          <w:color w:val="000000" w:themeColor="text1"/>
          <w:sz w:val="22"/>
          <w:szCs w:val="22"/>
          <w:lang w:val="en-US"/>
        </w:rPr>
        <w:t>…………………………………………………………………………...</w:t>
      </w:r>
      <w:r w:rsidRPr="000352AB">
        <w:rPr>
          <w:rFonts w:ascii="Arial" w:hAnsi="Arial" w:cs="Arial"/>
          <w:color w:val="000000" w:themeColor="text1"/>
          <w:sz w:val="22"/>
          <w:szCs w:val="22"/>
          <w:lang w:val="en-US"/>
        </w:rPr>
        <w:t xml:space="preserve"> 12</w:t>
      </w:r>
    </w:p>
    <w:p w14:paraId="715EAA56" w14:textId="74799B44" w:rsidR="000352AB" w:rsidRPr="000352AB" w:rsidRDefault="000352AB" w:rsidP="000352AB">
      <w:pPr>
        <w:spacing w:after="0" w:line="360" w:lineRule="auto"/>
        <w:contextualSpacing/>
        <w:rPr>
          <w:rFonts w:ascii="Arial" w:hAnsi="Arial" w:cs="Arial"/>
          <w:color w:val="000000" w:themeColor="text1"/>
          <w:sz w:val="22"/>
          <w:szCs w:val="22"/>
          <w:lang w:val="en-US"/>
        </w:rPr>
      </w:pPr>
      <w:r w:rsidRPr="000352AB">
        <w:rPr>
          <w:rFonts w:ascii="Arial" w:hAnsi="Arial" w:cs="Arial"/>
          <w:color w:val="000000" w:themeColor="text1"/>
          <w:sz w:val="22"/>
          <w:szCs w:val="22"/>
          <w:lang w:val="en-US"/>
        </w:rPr>
        <w:t>Conclusion</w:t>
      </w:r>
      <w:r w:rsidR="00296C5F">
        <w:rPr>
          <w:rFonts w:ascii="Arial" w:hAnsi="Arial" w:cs="Arial"/>
          <w:color w:val="000000" w:themeColor="text1"/>
          <w:sz w:val="22"/>
          <w:szCs w:val="22"/>
          <w:lang w:val="en-US"/>
        </w:rPr>
        <w:t>……………………………………………………………………………………</w:t>
      </w:r>
      <w:r w:rsidRPr="000352AB">
        <w:rPr>
          <w:rFonts w:ascii="Arial" w:hAnsi="Arial" w:cs="Arial"/>
          <w:color w:val="000000" w:themeColor="text1"/>
          <w:sz w:val="22"/>
          <w:szCs w:val="22"/>
          <w:lang w:val="en-US"/>
        </w:rPr>
        <w:t xml:space="preserve"> </w:t>
      </w:r>
      <w:r w:rsidR="00296C5F">
        <w:rPr>
          <w:rFonts w:ascii="Arial" w:hAnsi="Arial" w:cs="Arial"/>
          <w:color w:val="000000" w:themeColor="text1"/>
          <w:sz w:val="22"/>
          <w:szCs w:val="22"/>
          <w:lang w:val="en-US"/>
        </w:rPr>
        <w:t>.</w:t>
      </w:r>
      <w:r w:rsidRPr="000352AB">
        <w:rPr>
          <w:rFonts w:ascii="Arial" w:hAnsi="Arial" w:cs="Arial"/>
          <w:color w:val="000000" w:themeColor="text1"/>
          <w:sz w:val="22"/>
          <w:szCs w:val="22"/>
          <w:lang w:val="en-US"/>
        </w:rPr>
        <w:t>13</w:t>
      </w:r>
    </w:p>
    <w:p w14:paraId="3815D718" w14:textId="77777777" w:rsidR="000352AB" w:rsidRPr="00D80BE3" w:rsidRDefault="000352AB" w:rsidP="000352AB">
      <w:pPr>
        <w:spacing w:after="0" w:line="360" w:lineRule="auto"/>
        <w:contextualSpacing/>
        <w:rPr>
          <w:rFonts w:ascii="Arial" w:hAnsi="Arial" w:cs="Arial"/>
          <w:color w:val="000000" w:themeColor="text1"/>
          <w:sz w:val="22"/>
          <w:szCs w:val="22"/>
          <w:lang w:val="en-US"/>
        </w:rPr>
      </w:pPr>
    </w:p>
    <w:p w14:paraId="6D75F4D1" w14:textId="77777777" w:rsidR="000352AB" w:rsidRDefault="000352AB" w:rsidP="000352AB">
      <w:pPr>
        <w:spacing w:after="0" w:line="360" w:lineRule="auto"/>
        <w:contextualSpacing/>
        <w:jc w:val="both"/>
        <w:rPr>
          <w:rFonts w:ascii="Arial" w:hAnsi="Arial" w:cs="Arial"/>
          <w:b/>
          <w:bCs/>
          <w:color w:val="000000" w:themeColor="text1"/>
          <w:sz w:val="22"/>
          <w:szCs w:val="22"/>
          <w:lang w:val="en-US"/>
        </w:rPr>
      </w:pPr>
    </w:p>
    <w:p w14:paraId="57676A0B" w14:textId="77777777" w:rsidR="000352AB" w:rsidRPr="00D80BE3" w:rsidRDefault="000352AB" w:rsidP="000352AB">
      <w:pPr>
        <w:spacing w:after="0" w:line="360" w:lineRule="auto"/>
        <w:contextualSpacing/>
        <w:jc w:val="both"/>
        <w:rPr>
          <w:rFonts w:ascii="Arial" w:hAnsi="Arial" w:cs="Arial"/>
          <w:color w:val="000000" w:themeColor="text1"/>
          <w:sz w:val="22"/>
          <w:szCs w:val="22"/>
          <w:lang w:val="en-US"/>
        </w:rPr>
      </w:pPr>
    </w:p>
    <w:p w14:paraId="0E8616ED" w14:textId="77777777" w:rsidR="000352AB" w:rsidRDefault="000352AB" w:rsidP="000352AB">
      <w:pPr>
        <w:spacing w:after="0" w:line="360" w:lineRule="auto"/>
        <w:contextualSpacing/>
        <w:jc w:val="both"/>
        <w:rPr>
          <w:rFonts w:ascii="Arial" w:hAnsi="Arial" w:cs="Arial"/>
          <w:color w:val="000000" w:themeColor="text1"/>
          <w:sz w:val="22"/>
          <w:szCs w:val="22"/>
          <w:lang w:val="en-US"/>
        </w:rPr>
      </w:pPr>
    </w:p>
    <w:p w14:paraId="32ABEF7D" w14:textId="77777777" w:rsidR="000352AB" w:rsidRPr="000352AB" w:rsidRDefault="000352AB" w:rsidP="000352AB">
      <w:pPr>
        <w:spacing w:after="0" w:line="360" w:lineRule="auto"/>
        <w:contextualSpacing/>
        <w:jc w:val="both"/>
        <w:rPr>
          <w:rFonts w:ascii="Arial" w:hAnsi="Arial" w:cs="Arial"/>
          <w:color w:val="000000" w:themeColor="text1"/>
          <w:sz w:val="22"/>
          <w:szCs w:val="22"/>
          <w:lang w:val="en-US"/>
        </w:rPr>
      </w:pPr>
    </w:p>
    <w:p w14:paraId="209A305B" w14:textId="77777777" w:rsidR="000352AB" w:rsidRPr="000352AB" w:rsidRDefault="000352AB" w:rsidP="000352AB">
      <w:pPr>
        <w:spacing w:after="0" w:line="360" w:lineRule="auto"/>
        <w:contextualSpacing/>
        <w:jc w:val="both"/>
        <w:rPr>
          <w:rFonts w:ascii="Arial" w:hAnsi="Arial" w:cs="Arial"/>
          <w:color w:val="000000" w:themeColor="text1"/>
          <w:sz w:val="22"/>
          <w:szCs w:val="22"/>
          <w:lang w:val="en-US"/>
        </w:rPr>
      </w:pPr>
    </w:p>
    <w:p w14:paraId="50C39FA4" w14:textId="77777777" w:rsidR="000352AB" w:rsidRPr="000352AB" w:rsidRDefault="000352AB" w:rsidP="000352AB">
      <w:pPr>
        <w:spacing w:after="0" w:line="360" w:lineRule="auto"/>
        <w:contextualSpacing/>
        <w:jc w:val="both"/>
        <w:rPr>
          <w:rFonts w:ascii="Arial" w:hAnsi="Arial" w:cs="Arial"/>
          <w:color w:val="000000" w:themeColor="text1"/>
          <w:sz w:val="22"/>
          <w:szCs w:val="22"/>
          <w:lang w:val="en-US"/>
        </w:rPr>
      </w:pPr>
    </w:p>
    <w:p w14:paraId="76FC90D2" w14:textId="77777777" w:rsidR="000352AB" w:rsidRPr="000352AB" w:rsidRDefault="000352AB" w:rsidP="000352AB">
      <w:pPr>
        <w:spacing w:after="0" w:line="360" w:lineRule="auto"/>
        <w:contextualSpacing/>
        <w:jc w:val="both"/>
        <w:rPr>
          <w:rFonts w:ascii="Arial" w:hAnsi="Arial" w:cs="Arial"/>
          <w:color w:val="000000" w:themeColor="text1"/>
          <w:sz w:val="22"/>
          <w:szCs w:val="22"/>
          <w:lang w:val="en-US"/>
        </w:rPr>
      </w:pPr>
    </w:p>
    <w:p w14:paraId="777B0F32" w14:textId="77777777" w:rsidR="000352AB" w:rsidRPr="000352AB" w:rsidRDefault="000352AB" w:rsidP="00477120">
      <w:pPr>
        <w:spacing w:after="0" w:line="360" w:lineRule="auto"/>
        <w:contextualSpacing/>
        <w:jc w:val="both"/>
        <w:rPr>
          <w:rFonts w:ascii="Arial" w:hAnsi="Arial" w:cs="Arial"/>
          <w:color w:val="000000" w:themeColor="text1"/>
          <w:sz w:val="22"/>
          <w:szCs w:val="22"/>
          <w:lang w:val="en-US"/>
        </w:rPr>
      </w:pPr>
    </w:p>
    <w:p w14:paraId="5A08B884" w14:textId="77777777" w:rsidR="00477120" w:rsidRDefault="00477120" w:rsidP="00477120">
      <w:pPr>
        <w:spacing w:after="0" w:line="360" w:lineRule="auto"/>
        <w:contextualSpacing/>
        <w:jc w:val="both"/>
        <w:rPr>
          <w:rFonts w:ascii="Arial" w:hAnsi="Arial" w:cs="Arial"/>
          <w:b/>
          <w:bCs/>
          <w:color w:val="000000" w:themeColor="text1"/>
          <w:sz w:val="22"/>
          <w:szCs w:val="22"/>
          <w:lang w:val="en-US"/>
        </w:rPr>
      </w:pPr>
    </w:p>
    <w:p w14:paraId="10472CEF" w14:textId="77777777" w:rsidR="00477120" w:rsidRPr="00477120" w:rsidRDefault="00477120" w:rsidP="00477120">
      <w:pPr>
        <w:spacing w:after="0" w:line="360" w:lineRule="auto"/>
        <w:contextualSpacing/>
        <w:jc w:val="both"/>
        <w:rPr>
          <w:rFonts w:ascii="Arial" w:hAnsi="Arial" w:cs="Arial"/>
          <w:b/>
          <w:bCs/>
          <w:color w:val="000000" w:themeColor="text1"/>
          <w:sz w:val="22"/>
          <w:szCs w:val="22"/>
          <w:lang w:val="en-US"/>
        </w:rPr>
      </w:pPr>
    </w:p>
    <w:p w14:paraId="482BFD07" w14:textId="0F590373" w:rsidR="00477120" w:rsidRDefault="00477120" w:rsidP="00477120">
      <w:pPr>
        <w:spacing w:after="0" w:line="360" w:lineRule="auto"/>
        <w:contextualSpacing/>
        <w:jc w:val="both"/>
        <w:rPr>
          <w:rFonts w:ascii="Arial" w:hAnsi="Arial" w:cs="Arial"/>
          <w:b/>
          <w:bCs/>
          <w:sz w:val="22"/>
          <w:szCs w:val="22"/>
          <w:lang w:val="en-US"/>
        </w:rPr>
      </w:pPr>
    </w:p>
    <w:p w14:paraId="0DBF678B" w14:textId="77777777" w:rsidR="00477120" w:rsidRPr="00B67996" w:rsidRDefault="00477120" w:rsidP="00477120">
      <w:pPr>
        <w:spacing w:after="0" w:line="360" w:lineRule="auto"/>
        <w:contextualSpacing/>
        <w:jc w:val="both"/>
        <w:rPr>
          <w:rFonts w:ascii="Arial" w:hAnsi="Arial" w:cs="Arial"/>
          <w:b/>
          <w:bCs/>
          <w:sz w:val="22"/>
          <w:szCs w:val="22"/>
          <w:lang w:val="en-US"/>
        </w:rPr>
      </w:pPr>
    </w:p>
    <w:p w14:paraId="70129583" w14:textId="77777777" w:rsidR="00477120" w:rsidRPr="00CD38BF" w:rsidRDefault="00477120" w:rsidP="00477120">
      <w:pPr>
        <w:spacing w:after="0" w:line="360" w:lineRule="auto"/>
        <w:contextualSpacing/>
        <w:jc w:val="both"/>
        <w:rPr>
          <w:rFonts w:ascii="Arial" w:hAnsi="Arial" w:cs="Arial"/>
          <w:b/>
          <w:bCs/>
          <w:sz w:val="22"/>
          <w:szCs w:val="22"/>
        </w:rPr>
      </w:pPr>
    </w:p>
    <w:p w14:paraId="574D1DD2" w14:textId="62B79E90" w:rsidR="00D80BE3" w:rsidRPr="009A3A3B" w:rsidRDefault="00D80BE3" w:rsidP="00477120">
      <w:pPr>
        <w:spacing w:after="0" w:line="360" w:lineRule="auto"/>
        <w:contextualSpacing/>
        <w:rPr>
          <w:rFonts w:ascii="Arial" w:hAnsi="Arial" w:cs="Arial"/>
          <w:b/>
          <w:bCs/>
        </w:rPr>
      </w:pPr>
      <w:r w:rsidRPr="009A3A3B">
        <w:rPr>
          <w:rFonts w:ascii="Arial" w:hAnsi="Arial" w:cs="Arial"/>
          <w:b/>
          <w:bCs/>
        </w:rPr>
        <w:br w:type="page"/>
      </w:r>
    </w:p>
    <w:p w14:paraId="53728F85" w14:textId="3A4A27D6" w:rsidR="00D419F2" w:rsidRDefault="00D80BE3" w:rsidP="00D419F2">
      <w:pPr>
        <w:spacing w:after="0" w:line="360" w:lineRule="auto"/>
        <w:contextualSpacing/>
        <w:jc w:val="both"/>
        <w:rPr>
          <w:rFonts w:ascii="Arial" w:hAnsi="Arial" w:cs="Arial"/>
          <w:b/>
          <w:bCs/>
          <w:sz w:val="22"/>
          <w:szCs w:val="22"/>
        </w:rPr>
      </w:pPr>
      <w:bookmarkStart w:id="0" w:name="_Hlk224485809"/>
      <w:r w:rsidRPr="00CD38BF">
        <w:rPr>
          <w:rFonts w:ascii="Arial" w:hAnsi="Arial" w:cs="Arial"/>
          <w:b/>
          <w:bCs/>
          <w:sz w:val="22"/>
          <w:szCs w:val="22"/>
        </w:rPr>
        <w:t>Telehealth Expansion at Cleveland Clinic</w:t>
      </w:r>
    </w:p>
    <w:p w14:paraId="4682709F" w14:textId="118C6E5D" w:rsidR="00BB7235" w:rsidRPr="00CD38BF" w:rsidRDefault="00D80BE3" w:rsidP="00D419F2">
      <w:pPr>
        <w:spacing w:after="0" w:line="360" w:lineRule="auto"/>
        <w:contextualSpacing/>
        <w:jc w:val="both"/>
        <w:rPr>
          <w:rFonts w:ascii="Arial" w:hAnsi="Arial" w:cs="Arial"/>
          <w:b/>
          <w:bCs/>
          <w:sz w:val="22"/>
          <w:szCs w:val="22"/>
        </w:rPr>
      </w:pPr>
      <w:r w:rsidRPr="00CD38BF">
        <w:rPr>
          <w:rFonts w:ascii="Arial" w:hAnsi="Arial" w:cs="Arial"/>
          <w:b/>
          <w:bCs/>
          <w:sz w:val="22"/>
          <w:szCs w:val="22"/>
        </w:rPr>
        <w:t>1.</w:t>
      </w:r>
      <w:r w:rsidR="00BB7235" w:rsidRPr="00CD38BF">
        <w:rPr>
          <w:rFonts w:ascii="Arial" w:hAnsi="Arial" w:cs="Arial"/>
          <w:b/>
          <w:bCs/>
          <w:sz w:val="22"/>
          <w:szCs w:val="22"/>
        </w:rPr>
        <w:t xml:space="preserve">Introduction </w:t>
      </w:r>
    </w:p>
    <w:p w14:paraId="7CCC2638" w14:textId="77777777" w:rsidR="00994A4E" w:rsidRDefault="008368BB" w:rsidP="00D419F2">
      <w:pPr>
        <w:spacing w:after="0" w:line="360" w:lineRule="auto"/>
        <w:contextualSpacing/>
        <w:jc w:val="both"/>
        <w:rPr>
          <w:rFonts w:ascii="Arial" w:hAnsi="Arial" w:cs="Arial"/>
          <w:sz w:val="22"/>
          <w:szCs w:val="22"/>
        </w:rPr>
      </w:pPr>
      <w:bookmarkStart w:id="1" w:name="_Hlk224484615"/>
      <w:r w:rsidRPr="008368BB">
        <w:rPr>
          <w:rFonts w:ascii="Arial" w:hAnsi="Arial" w:cs="Arial"/>
          <w:sz w:val="22"/>
          <w:szCs w:val="22"/>
        </w:rPr>
        <w:t xml:space="preserve">Expansion of telehealth has become a significant strategic priority of huge healthcare organisations to improve access, continuity, and efficiency of care. The Cleveland Clinic has been widely known to formulate virtual care models through the integration of telemedicine in everyday clinical procedures and professional services. Being considered a complementary service, telemedicine has become an essential course of medical service delivery facilitated by the technological breakthrough and organisational change (Mahar et al., 2018). The role of telehealth in the mainstream healthcare systems and the redefinition of care delivery and access were supported by the fact that there was greater uptake of digital healthcare during the COVID-19 pandemic (Shaver, 2022). </w:t>
      </w:r>
    </w:p>
    <w:p w14:paraId="715552C6" w14:textId="6658EEC0" w:rsidR="00D419F2" w:rsidRDefault="008368BB" w:rsidP="00D419F2">
      <w:pPr>
        <w:spacing w:after="0" w:line="360" w:lineRule="auto"/>
        <w:contextualSpacing/>
        <w:jc w:val="both"/>
        <w:rPr>
          <w:rFonts w:ascii="Arial" w:hAnsi="Arial" w:cs="Arial"/>
          <w:sz w:val="22"/>
          <w:szCs w:val="22"/>
        </w:rPr>
      </w:pPr>
      <w:r w:rsidRPr="008368BB">
        <w:rPr>
          <w:rFonts w:ascii="Arial" w:hAnsi="Arial" w:cs="Arial"/>
          <w:sz w:val="22"/>
          <w:szCs w:val="22"/>
        </w:rPr>
        <w:t>Some of the digital initiatives that have been made by the Cleveland Clinic to increase its digital strategy include the Clinic platform and structured telemedicine training programmes aimed at helping clinicians to provide effective virtual care (Savage et al., 2022; Siwicki, 2023). However, despite the advantages associated with telehealth development and accessibility to patients, it brings about operational, coordination, and governance issues that should be addressed in a highly organised manner due to the concerns of leadership and organisational alignment.</w:t>
      </w:r>
      <w:r>
        <w:rPr>
          <w:rFonts w:ascii="Arial" w:hAnsi="Arial" w:cs="Arial"/>
          <w:sz w:val="22"/>
          <w:szCs w:val="22"/>
        </w:rPr>
        <w:t xml:space="preserve"> </w:t>
      </w:r>
      <w:r w:rsidRPr="008368BB">
        <w:rPr>
          <w:rFonts w:ascii="Arial" w:hAnsi="Arial" w:cs="Arial"/>
          <w:sz w:val="22"/>
          <w:szCs w:val="22"/>
        </w:rPr>
        <w:t>Healthcare leadership is the ability to exercise influence on the individuals and teams in order to accomplish a shared goal, such as quality of patient outcomes, safety, and quality of service.</w:t>
      </w:r>
    </w:p>
    <w:p w14:paraId="65318845" w14:textId="542815FF" w:rsidR="001E1998" w:rsidRDefault="008368BB" w:rsidP="00D419F2">
      <w:pPr>
        <w:spacing w:after="0" w:line="360" w:lineRule="auto"/>
        <w:contextualSpacing/>
        <w:rPr>
          <w:rFonts w:ascii="Arial" w:hAnsi="Arial" w:cs="Arial"/>
          <w:sz w:val="22"/>
          <w:szCs w:val="22"/>
        </w:rPr>
      </w:pPr>
      <w:r w:rsidRPr="008368BB">
        <w:rPr>
          <w:rFonts w:ascii="Arial" w:hAnsi="Arial" w:cs="Arial"/>
          <w:sz w:val="22"/>
          <w:szCs w:val="22"/>
        </w:rPr>
        <w:t xml:space="preserve">Leadership plays a role in influencing innovation and </w:t>
      </w:r>
      <w:r w:rsidR="001E1998" w:rsidRPr="008368BB">
        <w:rPr>
          <w:rFonts w:ascii="Arial" w:hAnsi="Arial" w:cs="Arial"/>
          <w:sz w:val="22"/>
          <w:szCs w:val="22"/>
        </w:rPr>
        <w:t>changes</w:t>
      </w:r>
      <w:r w:rsidRPr="008368BB">
        <w:rPr>
          <w:rFonts w:ascii="Arial" w:hAnsi="Arial" w:cs="Arial"/>
          <w:sz w:val="22"/>
          <w:szCs w:val="22"/>
        </w:rPr>
        <w:t xml:space="preserve"> management within the organisation in a complex healthcare environment. The following leadership theories are some of the useful ones in the explanation of how the leaders influence these processes: transformational, transactional, and situational leadership. Transformational leadership is directed to the motivation of the staff and creation of the shared vision of change; transactional leadership is emphasized on the presence of clear structures, accountability, and performance monitoring. The situational leadership stresses the point that the leaders ought to be in a position to switch their style with the organisational requirements and the issues in the environment. Transformational leadership is particularly relevant to the case involving the telehealth extension at the Cleveland Clinic since the leaders must encourage the use of digital tools and the implementation of new care delivery models among the clinicians.</w:t>
      </w:r>
    </w:p>
    <w:p w14:paraId="1E3093B2" w14:textId="66721722" w:rsidR="00D419F2" w:rsidRPr="00806A2F" w:rsidRDefault="008368BB" w:rsidP="00D419F2">
      <w:pPr>
        <w:spacing w:after="0" w:line="360" w:lineRule="auto"/>
        <w:contextualSpacing/>
        <w:jc w:val="both"/>
        <w:rPr>
          <w:rFonts w:ascii="Arial" w:hAnsi="Arial" w:cs="Arial"/>
          <w:sz w:val="22"/>
          <w:szCs w:val="22"/>
        </w:rPr>
      </w:pPr>
      <w:r w:rsidRPr="008368BB">
        <w:rPr>
          <w:rFonts w:ascii="Arial" w:hAnsi="Arial" w:cs="Arial"/>
          <w:sz w:val="22"/>
          <w:szCs w:val="22"/>
        </w:rPr>
        <w:t>Other organisational structures that are related to leadership approaches include centralisation and decentralisation. Centralisation is a type of decision-making where the power of decision-making is at the top of the management in order to sustain uniformity and direction,</w:t>
      </w:r>
      <w:r w:rsidRPr="008368BB">
        <w:t xml:space="preserve"> </w:t>
      </w:r>
      <w:r w:rsidRPr="008368BB">
        <w:rPr>
          <w:rFonts w:ascii="Arial" w:hAnsi="Arial" w:cs="Arial"/>
          <w:sz w:val="22"/>
          <w:szCs w:val="22"/>
        </w:rPr>
        <w:t xml:space="preserve">whereas decentralisation distributes decision-making power to frontline teams, allowing flexibility and faster responses to patient needs. In telehealth expansion, a balance between these approaches is essential. </w:t>
      </w:r>
      <w:r>
        <w:rPr>
          <w:rFonts w:ascii="Arial" w:hAnsi="Arial" w:cs="Arial"/>
          <w:sz w:val="22"/>
          <w:szCs w:val="22"/>
        </w:rPr>
        <w:t xml:space="preserve">While </w:t>
      </w:r>
      <w:r w:rsidRPr="008368BB">
        <w:rPr>
          <w:rFonts w:ascii="Arial" w:hAnsi="Arial" w:cs="Arial"/>
          <w:sz w:val="22"/>
          <w:szCs w:val="22"/>
        </w:rPr>
        <w:t>with digital infrastructure and governance that may be centrally controlled, clinicians may often require decentralized autonomy to deliver patient-centred virtual care. This report, analyses the development of telehealth at the Cleveland Clinic in terms of leadership and systems to determine the place of leadership styles, organisational structures, and governance to assess the quality, safety, and patient experience of the virtual healthcare services.</w:t>
      </w:r>
    </w:p>
    <w:p w14:paraId="3B8E501B" w14:textId="16518281" w:rsidR="00B67996" w:rsidRPr="00B67996" w:rsidRDefault="00B67996" w:rsidP="00D419F2">
      <w:pPr>
        <w:spacing w:after="0" w:line="360" w:lineRule="auto"/>
        <w:contextualSpacing/>
        <w:jc w:val="both"/>
        <w:rPr>
          <w:rFonts w:ascii="Arial" w:hAnsi="Arial" w:cs="Arial"/>
          <w:b/>
          <w:bCs/>
          <w:sz w:val="22"/>
          <w:szCs w:val="22"/>
          <w:lang w:val="en-US"/>
        </w:rPr>
      </w:pPr>
      <w:r w:rsidRPr="00CD38BF">
        <w:rPr>
          <w:rFonts w:ascii="Arial" w:hAnsi="Arial" w:cs="Arial"/>
          <w:b/>
          <w:bCs/>
          <w:sz w:val="22"/>
          <w:szCs w:val="22"/>
          <w:lang w:val="en-US"/>
        </w:rPr>
        <w:t>2. Main</w:t>
      </w:r>
      <w:r w:rsidR="00477120">
        <w:rPr>
          <w:rFonts w:ascii="Arial" w:hAnsi="Arial" w:cs="Arial"/>
          <w:b/>
          <w:bCs/>
          <w:sz w:val="22"/>
          <w:szCs w:val="22"/>
          <w:lang w:val="en-US"/>
        </w:rPr>
        <w:t xml:space="preserve"> Contexts </w:t>
      </w:r>
    </w:p>
    <w:p w14:paraId="5DA3EA7B" w14:textId="77777777" w:rsidR="00B67996" w:rsidRPr="00B67996" w:rsidRDefault="00B67996" w:rsidP="00D419F2">
      <w:pPr>
        <w:spacing w:after="0" w:line="360" w:lineRule="auto"/>
        <w:contextualSpacing/>
        <w:jc w:val="both"/>
        <w:rPr>
          <w:rFonts w:ascii="Arial" w:hAnsi="Arial" w:cs="Arial"/>
          <w:b/>
          <w:bCs/>
          <w:sz w:val="22"/>
          <w:szCs w:val="22"/>
          <w:lang w:val="en-US"/>
        </w:rPr>
      </w:pPr>
      <w:r w:rsidRPr="00B67996">
        <w:rPr>
          <w:rFonts w:ascii="Arial" w:hAnsi="Arial" w:cs="Arial"/>
          <w:b/>
          <w:bCs/>
          <w:sz w:val="22"/>
          <w:szCs w:val="22"/>
          <w:lang w:val="en-US"/>
        </w:rPr>
        <w:t>2.1 Identifying the Problem and System Context</w:t>
      </w:r>
    </w:p>
    <w:p w14:paraId="31632E87" w14:textId="77777777"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color w:val="000000" w:themeColor="text1"/>
          <w:sz w:val="22"/>
          <w:szCs w:val="22"/>
          <w:lang w:val="en-US"/>
        </w:rPr>
        <w:t>Before the rapid development of telehealth, the Cleveland Clinic was experiencing a severe access barrier, particularly in the case of rural and underserved patients. These disparities were especially visible during the period of COVID-19, when it was hard to receive in-person treatment. Over 59 million Americans live in regions with a shortage of healthcare professionals (Mahar et al., 2018). The World Health Organization (WHO) has encouraged the use of telehealth to address such gaps in care (Shaver, 2022).</w:t>
      </w:r>
    </w:p>
    <w:p w14:paraId="44FCC2A4" w14:textId="77777777"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b/>
          <w:bCs/>
          <w:color w:val="000000" w:themeColor="text1"/>
          <w:sz w:val="22"/>
          <w:szCs w:val="22"/>
          <w:lang w:val="en-US"/>
        </w:rPr>
        <w:t>Global and National Context</w:t>
      </w:r>
    </w:p>
    <w:p w14:paraId="2FC3E000" w14:textId="51F26D77" w:rsid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color w:val="000000" w:themeColor="text1"/>
          <w:sz w:val="22"/>
          <w:szCs w:val="22"/>
          <w:lang w:val="en-US"/>
        </w:rPr>
        <w:t xml:space="preserve">Cleveland Clinic is not the only </w:t>
      </w:r>
      <w:r w:rsidR="008368BB" w:rsidRPr="00D80BE3">
        <w:rPr>
          <w:rFonts w:ascii="Arial" w:hAnsi="Arial" w:cs="Arial"/>
          <w:color w:val="000000" w:themeColor="text1"/>
          <w:sz w:val="22"/>
          <w:szCs w:val="22"/>
          <w:lang w:val="en-US"/>
        </w:rPr>
        <w:t>organization</w:t>
      </w:r>
      <w:r w:rsidRPr="00D80BE3">
        <w:rPr>
          <w:rFonts w:ascii="Arial" w:hAnsi="Arial" w:cs="Arial"/>
          <w:color w:val="000000" w:themeColor="text1"/>
          <w:sz w:val="22"/>
          <w:szCs w:val="22"/>
          <w:lang w:val="en-US"/>
        </w:rPr>
        <w:t xml:space="preserve"> that experienced these challenges in access and workforce, but it was tied to the bigger trends in the world and the nation. The pandemic worsened these problems within a short time, and remote care was required. Unless they are mitigated through the expansion of its channels to assist in care, the Cleveland Clinic reacted by expanding its channels to overcome these obstacles (Mahar et al., 2018; Savage et al., 2021). The modification highlighted the dependence of the world on online health services.</w:t>
      </w:r>
      <w:r w:rsidR="00F014EE">
        <w:rPr>
          <w:rFonts w:ascii="Arial" w:hAnsi="Arial" w:cs="Arial"/>
          <w:noProof/>
          <w:color w:val="000000" w:themeColor="text1"/>
          <w:sz w:val="22"/>
          <w:szCs w:val="22"/>
          <w:lang w:val="en-US"/>
        </w:rPr>
        <w:drawing>
          <wp:inline distT="0" distB="0" distL="0" distR="0" wp14:anchorId="5D110CD3" wp14:editId="13273904">
            <wp:extent cx="5928360" cy="2545080"/>
            <wp:effectExtent l="0" t="0" r="0" b="7620"/>
            <wp:docPr id="2665158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28360" cy="2545080"/>
                    </a:xfrm>
                    <a:prstGeom prst="rect">
                      <a:avLst/>
                    </a:prstGeom>
                    <a:noFill/>
                  </pic:spPr>
                </pic:pic>
              </a:graphicData>
            </a:graphic>
          </wp:inline>
        </w:drawing>
      </w:r>
    </w:p>
    <w:p w14:paraId="6263A704" w14:textId="632C085F" w:rsidR="00F014EE" w:rsidRPr="00F014EE" w:rsidRDefault="00F014EE" w:rsidP="00806A2F">
      <w:pPr>
        <w:pStyle w:val="Caption"/>
        <w:jc w:val="center"/>
        <w:rPr>
          <w:rFonts w:ascii="Arial" w:hAnsi="Arial" w:cs="Arial"/>
          <w:b/>
          <w:bCs/>
          <w:i w:val="0"/>
          <w:iCs w:val="0"/>
          <w:color w:val="000000" w:themeColor="text1"/>
          <w:sz w:val="22"/>
          <w:szCs w:val="22"/>
          <w:lang w:val="en-US"/>
        </w:rPr>
      </w:pPr>
      <w:r w:rsidRPr="00F014EE">
        <w:rPr>
          <w:rFonts w:ascii="Arial" w:hAnsi="Arial" w:cs="Arial"/>
          <w:b/>
          <w:bCs/>
          <w:i w:val="0"/>
          <w:iCs w:val="0"/>
          <w:color w:val="auto"/>
          <w:sz w:val="22"/>
          <w:szCs w:val="22"/>
        </w:rPr>
        <w:t xml:space="preserve">Figure </w:t>
      </w:r>
      <w:r w:rsidRPr="00F014EE">
        <w:rPr>
          <w:rFonts w:ascii="Arial" w:hAnsi="Arial" w:cs="Arial"/>
          <w:b/>
          <w:bCs/>
          <w:i w:val="0"/>
          <w:iCs w:val="0"/>
          <w:color w:val="auto"/>
          <w:sz w:val="22"/>
          <w:szCs w:val="22"/>
        </w:rPr>
        <w:fldChar w:fldCharType="begin"/>
      </w:r>
      <w:r w:rsidRPr="00F014EE">
        <w:rPr>
          <w:rFonts w:ascii="Arial" w:hAnsi="Arial" w:cs="Arial"/>
          <w:b/>
          <w:bCs/>
          <w:i w:val="0"/>
          <w:iCs w:val="0"/>
          <w:color w:val="auto"/>
          <w:sz w:val="22"/>
          <w:szCs w:val="22"/>
        </w:rPr>
        <w:instrText xml:space="preserve"> SEQ Figure \* ARABIC </w:instrText>
      </w:r>
      <w:r w:rsidRPr="00F014EE">
        <w:rPr>
          <w:rFonts w:ascii="Arial" w:hAnsi="Arial" w:cs="Arial"/>
          <w:b/>
          <w:bCs/>
          <w:i w:val="0"/>
          <w:iCs w:val="0"/>
          <w:color w:val="auto"/>
          <w:sz w:val="22"/>
          <w:szCs w:val="22"/>
        </w:rPr>
        <w:fldChar w:fldCharType="separate"/>
      </w:r>
      <w:r w:rsidR="00002E1C">
        <w:rPr>
          <w:rFonts w:ascii="Arial" w:hAnsi="Arial" w:cs="Arial"/>
          <w:b/>
          <w:bCs/>
          <w:i w:val="0"/>
          <w:iCs w:val="0"/>
          <w:noProof/>
          <w:color w:val="auto"/>
          <w:sz w:val="22"/>
          <w:szCs w:val="22"/>
        </w:rPr>
        <w:t>1</w:t>
      </w:r>
      <w:r w:rsidRPr="00F014EE">
        <w:rPr>
          <w:rFonts w:ascii="Arial" w:hAnsi="Arial" w:cs="Arial"/>
          <w:b/>
          <w:bCs/>
          <w:i w:val="0"/>
          <w:iCs w:val="0"/>
          <w:color w:val="auto"/>
          <w:sz w:val="22"/>
          <w:szCs w:val="22"/>
        </w:rPr>
        <w:fldChar w:fldCharType="end"/>
      </w:r>
      <w:r w:rsidRPr="00F014EE">
        <w:rPr>
          <w:rFonts w:ascii="Arial" w:hAnsi="Arial" w:cs="Arial"/>
          <w:b/>
          <w:bCs/>
          <w:i w:val="0"/>
          <w:iCs w:val="0"/>
          <w:color w:val="auto"/>
          <w:sz w:val="22"/>
          <w:szCs w:val="22"/>
        </w:rPr>
        <w:t xml:space="preserve"> Bridging healthcare gaps with telehealth</w:t>
      </w:r>
    </w:p>
    <w:p w14:paraId="76315094" w14:textId="77777777" w:rsidR="00806A2F" w:rsidRDefault="00806A2F" w:rsidP="00D419F2">
      <w:pPr>
        <w:spacing w:after="0" w:line="360" w:lineRule="auto"/>
        <w:contextualSpacing/>
        <w:jc w:val="both"/>
        <w:rPr>
          <w:rFonts w:ascii="Arial" w:hAnsi="Arial" w:cs="Arial"/>
          <w:b/>
          <w:bCs/>
          <w:color w:val="000000" w:themeColor="text1"/>
          <w:sz w:val="22"/>
          <w:szCs w:val="22"/>
          <w:lang w:val="en-US"/>
        </w:rPr>
      </w:pPr>
    </w:p>
    <w:p w14:paraId="1344324B" w14:textId="77777777" w:rsidR="00806A2F" w:rsidRDefault="00806A2F" w:rsidP="00D419F2">
      <w:pPr>
        <w:spacing w:after="0" w:line="360" w:lineRule="auto"/>
        <w:contextualSpacing/>
        <w:jc w:val="both"/>
        <w:rPr>
          <w:rFonts w:ascii="Arial" w:hAnsi="Arial" w:cs="Arial"/>
          <w:b/>
          <w:bCs/>
          <w:color w:val="000000" w:themeColor="text1"/>
          <w:sz w:val="22"/>
          <w:szCs w:val="22"/>
          <w:lang w:val="en-US"/>
        </w:rPr>
      </w:pPr>
    </w:p>
    <w:p w14:paraId="2DBACF29" w14:textId="77777777" w:rsidR="00994A4E" w:rsidRDefault="00994A4E" w:rsidP="00D419F2">
      <w:pPr>
        <w:spacing w:after="0" w:line="360" w:lineRule="auto"/>
        <w:contextualSpacing/>
        <w:jc w:val="both"/>
        <w:rPr>
          <w:rFonts w:ascii="Arial" w:hAnsi="Arial" w:cs="Arial"/>
          <w:b/>
          <w:bCs/>
          <w:color w:val="000000" w:themeColor="text1"/>
          <w:sz w:val="22"/>
          <w:szCs w:val="22"/>
          <w:lang w:val="en-US"/>
        </w:rPr>
      </w:pPr>
    </w:p>
    <w:p w14:paraId="0875325A" w14:textId="5CED362D"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b/>
          <w:bCs/>
          <w:color w:val="000000" w:themeColor="text1"/>
          <w:sz w:val="22"/>
          <w:szCs w:val="22"/>
          <w:lang w:val="en-US"/>
        </w:rPr>
        <w:t>Systemic Weaknesses</w:t>
      </w:r>
    </w:p>
    <w:p w14:paraId="10C2E54D" w14:textId="3F7A8B1B" w:rsidR="00D419F2" w:rsidRPr="00806A2F"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color w:val="000000" w:themeColor="text1"/>
          <w:sz w:val="22"/>
          <w:szCs w:val="22"/>
          <w:lang w:val="en-US"/>
        </w:rPr>
        <w:t xml:space="preserve">Continuing on such scenarios, the telehealth transition created systemic vulnerabilities such as digital infrastructure gaps and communication breakdowns. The virtual care tools turned out to be a challenge for most providers. Such problems as poor internet connection, especially in rural areas, did not vanish (Shin et al., 2022). Cleveland Clinic addressed some of the issues through general training and telemedicine and electronic health records integration (Sinsky et al., 2021; Savage et al., 2021). These are just some of the examples of steps that require proper communication and patient-centeredness on the part of both satisfaction and outcomes (Craighead et al., 2022; Shin et al., 2022). This reinforces the need to have change within </w:t>
      </w:r>
      <w:r w:rsidRPr="00CD38BF">
        <w:rPr>
          <w:rFonts w:ascii="Arial" w:hAnsi="Arial" w:cs="Arial"/>
          <w:color w:val="000000" w:themeColor="text1"/>
          <w:sz w:val="22"/>
          <w:szCs w:val="22"/>
          <w:lang w:val="en-US"/>
        </w:rPr>
        <w:t>organizations</w:t>
      </w:r>
      <w:r w:rsidRPr="00D80BE3">
        <w:rPr>
          <w:rFonts w:ascii="Arial" w:hAnsi="Arial" w:cs="Arial"/>
          <w:color w:val="000000" w:themeColor="text1"/>
          <w:sz w:val="22"/>
          <w:szCs w:val="22"/>
          <w:lang w:val="en-US"/>
        </w:rPr>
        <w:t>.</w:t>
      </w:r>
    </w:p>
    <w:p w14:paraId="4C7A549E" w14:textId="489ED7A0"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b/>
          <w:bCs/>
          <w:color w:val="000000" w:themeColor="text1"/>
          <w:sz w:val="22"/>
          <w:szCs w:val="22"/>
          <w:lang w:val="en-US"/>
        </w:rPr>
        <w:t>Rich Picture</w:t>
      </w:r>
    </w:p>
    <w:p w14:paraId="69D9E753" w14:textId="6FDCF4BC" w:rsid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color w:val="000000" w:themeColor="text1"/>
          <w:sz w:val="22"/>
          <w:szCs w:val="22"/>
          <w:lang w:val="en-US"/>
        </w:rPr>
        <w:t xml:space="preserve">As a result, patient-healthcare facility and telemedicine system communication is one of the telehealth areas that the Cleveland Clinic provides. The analysis of the telehealth implementation established patient satisfaction, success of virtual visits, and EHR integration as the key considerations (Savage et al., 2022). Others were well welcomed with online consultations, and some had issues with the Internet connectivity and technical issues. In order to successfully implement EHR, there must be coordination of services and departments. Sinsky et al. (2021) note that the digital systems should be aligned with the traditional care models. The existing gaps in telemedicine that still exist at the Cleveland Clinic should be closed with continuous staff training and enrichment of the infrastructure (Sinsky et al., 2021). Together, the case of the Cleveland Clinic shows how complex the healthcare implementation process can be. With these facts, we now move to the next task, which is to view the </w:t>
      </w:r>
      <w:r w:rsidRPr="00CD38BF">
        <w:rPr>
          <w:rFonts w:ascii="Arial" w:hAnsi="Arial" w:cs="Arial"/>
          <w:color w:val="000000" w:themeColor="text1"/>
          <w:sz w:val="22"/>
          <w:szCs w:val="22"/>
          <w:lang w:val="en-US"/>
        </w:rPr>
        <w:t>organizational</w:t>
      </w:r>
      <w:r w:rsidRPr="00D80BE3">
        <w:rPr>
          <w:rFonts w:ascii="Arial" w:hAnsi="Arial" w:cs="Arial"/>
          <w:color w:val="000000" w:themeColor="text1"/>
          <w:sz w:val="22"/>
          <w:szCs w:val="22"/>
          <w:lang w:val="en-US"/>
        </w:rPr>
        <w:t xml:space="preserve"> structure that enabled such an expansion. With this complexity, therefore, the Cleveland Clinic implemented a hybrid telehealth model in such a way that the </w:t>
      </w:r>
      <w:r w:rsidRPr="00CD38BF">
        <w:rPr>
          <w:rFonts w:ascii="Arial" w:hAnsi="Arial" w:cs="Arial"/>
          <w:color w:val="000000" w:themeColor="text1"/>
          <w:sz w:val="22"/>
          <w:szCs w:val="22"/>
          <w:lang w:val="en-US"/>
        </w:rPr>
        <w:t>centralized</w:t>
      </w:r>
      <w:r w:rsidRPr="00D80BE3">
        <w:rPr>
          <w:rFonts w:ascii="Arial" w:hAnsi="Arial" w:cs="Arial"/>
          <w:color w:val="000000" w:themeColor="text1"/>
          <w:sz w:val="22"/>
          <w:szCs w:val="22"/>
          <w:lang w:val="en-US"/>
        </w:rPr>
        <w:t xml:space="preserve"> control would not influence the flexibility of operations. The technology, policy and core strategy were centrally oriented with technology in order to achieve uniformity and stability. The local departments dealt with the daily care and the work process adaptation. Through this framework, the clinics were able to meet different needs as they continued communicating with the leadership (Mahar, Rosencrance &amp; Rasmussen, 2018; Rana et al., 2025). This interdependence was useful during times of crisis (Martinez et al., 2018; Bettencourt et al., 2023; Ulitz et al., 2023).</w:t>
      </w:r>
      <w:r w:rsidRPr="00CD38BF">
        <w:rPr>
          <w:rFonts w:ascii="Arial" w:hAnsi="Arial" w:cs="Arial"/>
          <w:color w:val="000000" w:themeColor="text1"/>
          <w:sz w:val="22"/>
          <w:szCs w:val="22"/>
          <w:lang w:val="en-US"/>
        </w:rPr>
        <w:t xml:space="preserve"> </w:t>
      </w:r>
      <w:r w:rsidRPr="00D80BE3">
        <w:rPr>
          <w:rFonts w:ascii="Arial" w:hAnsi="Arial" w:cs="Arial"/>
          <w:color w:val="000000" w:themeColor="text1"/>
          <w:sz w:val="22"/>
          <w:szCs w:val="22"/>
          <w:lang w:val="en-US"/>
        </w:rPr>
        <w:t xml:space="preserve">The central team has provided telehealth protocols, infrastructure, and technology following the pandemic (Demeke &amp; Umeakunne, 2022). The top managers also established system goals and </w:t>
      </w:r>
      <w:r w:rsidRPr="00CD38BF">
        <w:rPr>
          <w:rFonts w:ascii="Arial" w:hAnsi="Arial" w:cs="Arial"/>
          <w:color w:val="000000" w:themeColor="text1"/>
          <w:sz w:val="22"/>
          <w:szCs w:val="22"/>
          <w:lang w:val="en-US"/>
        </w:rPr>
        <w:t>localized</w:t>
      </w:r>
      <w:r w:rsidRPr="00D80BE3">
        <w:rPr>
          <w:rFonts w:ascii="Arial" w:hAnsi="Arial" w:cs="Arial"/>
          <w:color w:val="000000" w:themeColor="text1"/>
          <w:sz w:val="22"/>
          <w:szCs w:val="22"/>
          <w:lang w:val="en-US"/>
        </w:rPr>
        <w:t xml:space="preserve"> the teams. Local providers dealt with the daily activities, patient care, and patient issues (Mahar, Rosencrance and Rasmussen, 2018; Savage et al., 2021; Rana et al., 2025). This is done by a hybrid type of telehealth with local teams making </w:t>
      </w:r>
      <w:r w:rsidRPr="00CD38BF">
        <w:rPr>
          <w:rFonts w:ascii="Arial" w:hAnsi="Arial" w:cs="Arial"/>
          <w:color w:val="000000" w:themeColor="text1"/>
          <w:sz w:val="22"/>
          <w:szCs w:val="22"/>
          <w:lang w:val="en-US"/>
        </w:rPr>
        <w:t>decentralized</w:t>
      </w:r>
      <w:r w:rsidRPr="00D80BE3">
        <w:rPr>
          <w:rFonts w:ascii="Arial" w:hAnsi="Arial" w:cs="Arial"/>
          <w:color w:val="000000" w:themeColor="text1"/>
          <w:sz w:val="22"/>
          <w:szCs w:val="22"/>
          <w:lang w:val="en-US"/>
        </w:rPr>
        <w:t xml:space="preserve"> decisions promptly, with the central leadership in charge of platforms and standards. The </w:t>
      </w:r>
      <w:r w:rsidRPr="00CD38BF">
        <w:rPr>
          <w:rFonts w:ascii="Arial" w:hAnsi="Arial" w:cs="Arial"/>
          <w:color w:val="000000" w:themeColor="text1"/>
          <w:sz w:val="22"/>
          <w:szCs w:val="22"/>
          <w:lang w:val="en-US"/>
        </w:rPr>
        <w:t>organization</w:t>
      </w:r>
      <w:r w:rsidRPr="00D80BE3">
        <w:rPr>
          <w:rFonts w:ascii="Arial" w:hAnsi="Arial" w:cs="Arial"/>
          <w:color w:val="000000" w:themeColor="text1"/>
          <w:sz w:val="22"/>
          <w:szCs w:val="22"/>
          <w:lang w:val="en-US"/>
        </w:rPr>
        <w:t xml:space="preserve"> layout will offer an effective and adaptive care within the </w:t>
      </w:r>
      <w:r w:rsidRPr="00CD38BF">
        <w:rPr>
          <w:rFonts w:ascii="Arial" w:hAnsi="Arial" w:cs="Arial"/>
          <w:color w:val="000000" w:themeColor="text1"/>
          <w:sz w:val="22"/>
          <w:szCs w:val="22"/>
          <w:lang w:val="en-US"/>
        </w:rPr>
        <w:t>organization</w:t>
      </w:r>
      <w:r w:rsidRPr="00D80BE3">
        <w:rPr>
          <w:rFonts w:ascii="Arial" w:hAnsi="Arial" w:cs="Arial"/>
          <w:color w:val="000000" w:themeColor="text1"/>
          <w:sz w:val="22"/>
          <w:szCs w:val="22"/>
          <w:lang w:val="en-US"/>
        </w:rPr>
        <w:t xml:space="preserve"> (Savage et al., 2021; Mahar, Rosencrance, and Rasmussen, 2018).</w:t>
      </w:r>
    </w:p>
    <w:p w14:paraId="376D37B7" w14:textId="030780F5" w:rsidR="00720B6E" w:rsidRDefault="00720B6E" w:rsidP="00D419F2">
      <w:pPr>
        <w:spacing w:after="0" w:line="360" w:lineRule="auto"/>
        <w:contextualSpacing/>
        <w:jc w:val="both"/>
        <w:rPr>
          <w:rFonts w:ascii="Arial" w:hAnsi="Arial" w:cs="Arial"/>
          <w:color w:val="000000" w:themeColor="text1"/>
          <w:sz w:val="22"/>
          <w:szCs w:val="22"/>
          <w:lang w:val="en-US"/>
        </w:rPr>
      </w:pPr>
      <w:r>
        <w:rPr>
          <w:rFonts w:ascii="Arial" w:hAnsi="Arial" w:cs="Arial"/>
          <w:noProof/>
          <w:color w:val="000000" w:themeColor="text1"/>
          <w:sz w:val="22"/>
          <w:szCs w:val="22"/>
          <w:lang w:val="en-US"/>
        </w:rPr>
        <w:drawing>
          <wp:inline distT="0" distB="0" distL="0" distR="0" wp14:anchorId="00E0031D" wp14:editId="04B26931">
            <wp:extent cx="6031865" cy="3357922"/>
            <wp:effectExtent l="19050" t="0" r="26035" b="966470"/>
            <wp:docPr id="835148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59207" cy="3373143"/>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229C36E9" w14:textId="152AED98" w:rsidR="00720B6E" w:rsidRPr="00D80BE3" w:rsidRDefault="00720B6E" w:rsidP="00806A2F">
      <w:pPr>
        <w:pStyle w:val="Caption"/>
        <w:jc w:val="center"/>
        <w:rPr>
          <w:rFonts w:ascii="Arial" w:hAnsi="Arial" w:cs="Arial"/>
          <w:b/>
          <w:bCs/>
          <w:i w:val="0"/>
          <w:iCs w:val="0"/>
          <w:color w:val="000000" w:themeColor="text1"/>
          <w:sz w:val="28"/>
          <w:szCs w:val="28"/>
          <w:lang w:val="en-US"/>
        </w:rPr>
      </w:pPr>
      <w:r w:rsidRPr="00720B6E">
        <w:rPr>
          <w:rFonts w:ascii="Arial" w:hAnsi="Arial" w:cs="Arial"/>
          <w:b/>
          <w:bCs/>
          <w:i w:val="0"/>
          <w:iCs w:val="0"/>
          <w:color w:val="000000" w:themeColor="text1"/>
          <w:sz w:val="22"/>
          <w:szCs w:val="22"/>
        </w:rPr>
        <w:t xml:space="preserve">Figure </w:t>
      </w:r>
      <w:r w:rsidRPr="00720B6E">
        <w:rPr>
          <w:rFonts w:ascii="Arial" w:hAnsi="Arial" w:cs="Arial"/>
          <w:b/>
          <w:bCs/>
          <w:i w:val="0"/>
          <w:iCs w:val="0"/>
          <w:color w:val="000000" w:themeColor="text1"/>
          <w:sz w:val="22"/>
          <w:szCs w:val="22"/>
        </w:rPr>
        <w:fldChar w:fldCharType="begin"/>
      </w:r>
      <w:r w:rsidRPr="00720B6E">
        <w:rPr>
          <w:rFonts w:ascii="Arial" w:hAnsi="Arial" w:cs="Arial"/>
          <w:b/>
          <w:bCs/>
          <w:i w:val="0"/>
          <w:iCs w:val="0"/>
          <w:color w:val="000000" w:themeColor="text1"/>
          <w:sz w:val="22"/>
          <w:szCs w:val="22"/>
        </w:rPr>
        <w:instrText xml:space="preserve"> SEQ Figure \* ARABIC </w:instrText>
      </w:r>
      <w:r w:rsidRPr="00720B6E">
        <w:rPr>
          <w:rFonts w:ascii="Arial" w:hAnsi="Arial" w:cs="Arial"/>
          <w:b/>
          <w:bCs/>
          <w:i w:val="0"/>
          <w:iCs w:val="0"/>
          <w:color w:val="000000" w:themeColor="text1"/>
          <w:sz w:val="22"/>
          <w:szCs w:val="22"/>
        </w:rPr>
        <w:fldChar w:fldCharType="separate"/>
      </w:r>
      <w:r w:rsidR="00002E1C">
        <w:rPr>
          <w:rFonts w:ascii="Arial" w:hAnsi="Arial" w:cs="Arial"/>
          <w:b/>
          <w:bCs/>
          <w:i w:val="0"/>
          <w:iCs w:val="0"/>
          <w:noProof/>
          <w:color w:val="000000" w:themeColor="text1"/>
          <w:sz w:val="22"/>
          <w:szCs w:val="22"/>
        </w:rPr>
        <w:t>2</w:t>
      </w:r>
      <w:r w:rsidRPr="00720B6E">
        <w:rPr>
          <w:rFonts w:ascii="Arial" w:hAnsi="Arial" w:cs="Arial"/>
          <w:b/>
          <w:bCs/>
          <w:i w:val="0"/>
          <w:iCs w:val="0"/>
          <w:color w:val="000000" w:themeColor="text1"/>
          <w:sz w:val="22"/>
          <w:szCs w:val="22"/>
        </w:rPr>
        <w:fldChar w:fldCharType="end"/>
      </w:r>
      <w:r w:rsidRPr="00720B6E">
        <w:rPr>
          <w:rFonts w:ascii="Arial" w:hAnsi="Arial" w:cs="Arial"/>
          <w:b/>
          <w:bCs/>
          <w:i w:val="0"/>
          <w:iCs w:val="0"/>
          <w:color w:val="000000" w:themeColor="text1"/>
          <w:sz w:val="22"/>
          <w:szCs w:val="22"/>
        </w:rPr>
        <w:t xml:space="preserve"> a rich picture of Telehealth expansion at Cleveland Clinic</w:t>
      </w:r>
    </w:p>
    <w:p w14:paraId="678C4267" w14:textId="5299A48D"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CD38BF">
        <w:rPr>
          <w:rFonts w:ascii="Arial" w:hAnsi="Arial" w:cs="Arial"/>
          <w:b/>
          <w:bCs/>
          <w:color w:val="000000" w:themeColor="text1"/>
          <w:sz w:val="22"/>
          <w:szCs w:val="22"/>
          <w:lang w:val="en-US"/>
        </w:rPr>
        <w:t>Decentralization</w:t>
      </w:r>
      <w:r w:rsidRPr="00D80BE3">
        <w:rPr>
          <w:rFonts w:ascii="Arial" w:hAnsi="Arial" w:cs="Arial"/>
          <w:b/>
          <w:bCs/>
          <w:color w:val="000000" w:themeColor="text1"/>
          <w:sz w:val="22"/>
          <w:szCs w:val="22"/>
          <w:lang w:val="en-US"/>
        </w:rPr>
        <w:t xml:space="preserve"> or </w:t>
      </w:r>
      <w:r w:rsidRPr="00CD38BF">
        <w:rPr>
          <w:rFonts w:ascii="Arial" w:hAnsi="Arial" w:cs="Arial"/>
          <w:b/>
          <w:bCs/>
          <w:color w:val="000000" w:themeColor="text1"/>
          <w:sz w:val="22"/>
          <w:szCs w:val="22"/>
          <w:lang w:val="en-US"/>
        </w:rPr>
        <w:t>Centralization</w:t>
      </w:r>
    </w:p>
    <w:p w14:paraId="0ADC4ECD" w14:textId="46E3F3AA" w:rsid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color w:val="000000" w:themeColor="text1"/>
          <w:sz w:val="22"/>
          <w:szCs w:val="22"/>
          <w:lang w:val="en-US"/>
        </w:rPr>
        <w:t xml:space="preserve">The hybrid approach of </w:t>
      </w:r>
      <w:r w:rsidRPr="00CD38BF">
        <w:rPr>
          <w:rFonts w:ascii="Arial" w:hAnsi="Arial" w:cs="Arial"/>
          <w:color w:val="000000" w:themeColor="text1"/>
          <w:sz w:val="22"/>
          <w:szCs w:val="22"/>
          <w:lang w:val="en-US"/>
        </w:rPr>
        <w:t>decentralization</w:t>
      </w:r>
      <w:r w:rsidRPr="00D80BE3">
        <w:rPr>
          <w:rFonts w:ascii="Arial" w:hAnsi="Arial" w:cs="Arial"/>
          <w:color w:val="000000" w:themeColor="text1"/>
          <w:sz w:val="22"/>
          <w:szCs w:val="22"/>
          <w:lang w:val="en-US"/>
        </w:rPr>
        <w:t xml:space="preserve"> and </w:t>
      </w:r>
      <w:r w:rsidRPr="00CD38BF">
        <w:rPr>
          <w:rFonts w:ascii="Arial" w:hAnsi="Arial" w:cs="Arial"/>
          <w:color w:val="000000" w:themeColor="text1"/>
          <w:sz w:val="22"/>
          <w:szCs w:val="22"/>
          <w:lang w:val="en-US"/>
        </w:rPr>
        <w:t>centralization</w:t>
      </w:r>
      <w:r w:rsidRPr="00D80BE3">
        <w:rPr>
          <w:rFonts w:ascii="Arial" w:hAnsi="Arial" w:cs="Arial"/>
          <w:color w:val="000000" w:themeColor="text1"/>
          <w:sz w:val="22"/>
          <w:szCs w:val="22"/>
          <w:lang w:val="en-US"/>
        </w:rPr>
        <w:t xml:space="preserve">, which the Cleveland Clinic employed, was the most effective method of managing telehealth services provided by the clinic (Mahar, Rosencrance &amp; Rasmussen, 2018). Even though the strategic management and use of technology were core coordinated, day-to-day operation and patient care actions were </w:t>
      </w:r>
      <w:r w:rsidRPr="00CD38BF">
        <w:rPr>
          <w:rFonts w:ascii="Arial" w:hAnsi="Arial" w:cs="Arial"/>
          <w:color w:val="000000" w:themeColor="text1"/>
          <w:sz w:val="22"/>
          <w:szCs w:val="22"/>
          <w:lang w:val="en-US"/>
        </w:rPr>
        <w:t>decentralized</w:t>
      </w:r>
      <w:r w:rsidRPr="00D80BE3">
        <w:rPr>
          <w:rFonts w:ascii="Arial" w:hAnsi="Arial" w:cs="Arial"/>
          <w:color w:val="000000" w:themeColor="text1"/>
          <w:sz w:val="22"/>
          <w:szCs w:val="22"/>
          <w:lang w:val="en-US"/>
        </w:rPr>
        <w:t xml:space="preserve"> (Rana et al., 2025). Such an </w:t>
      </w:r>
      <w:r w:rsidRPr="00CD38BF">
        <w:rPr>
          <w:rFonts w:ascii="Arial" w:hAnsi="Arial" w:cs="Arial"/>
          <w:color w:val="000000" w:themeColor="text1"/>
          <w:sz w:val="22"/>
          <w:szCs w:val="22"/>
          <w:lang w:val="en-US"/>
        </w:rPr>
        <w:t>organizational</w:t>
      </w:r>
      <w:r w:rsidRPr="00D80BE3">
        <w:rPr>
          <w:rFonts w:ascii="Arial" w:hAnsi="Arial" w:cs="Arial"/>
          <w:color w:val="000000" w:themeColor="text1"/>
          <w:sz w:val="22"/>
          <w:szCs w:val="22"/>
          <w:lang w:val="en-US"/>
        </w:rPr>
        <w:t xml:space="preserve"> framework facilitated the rapid and flexible reaction of the Cleveland Clinic to the problems in particular situations when the need for telehealth services surged significantly during the COVID-19 pandemic (Savage et al., 2021). Cleveland Clinic made sure that technology and best practices are consistent by maintaining that general strategies were </w:t>
      </w:r>
      <w:r w:rsidRPr="00CD38BF">
        <w:rPr>
          <w:rFonts w:ascii="Arial" w:hAnsi="Arial" w:cs="Arial"/>
          <w:color w:val="000000" w:themeColor="text1"/>
          <w:sz w:val="22"/>
          <w:szCs w:val="22"/>
          <w:lang w:val="en-US"/>
        </w:rPr>
        <w:t>centralized</w:t>
      </w:r>
      <w:r w:rsidRPr="00D80BE3">
        <w:rPr>
          <w:rFonts w:ascii="Arial" w:hAnsi="Arial" w:cs="Arial"/>
          <w:color w:val="000000" w:themeColor="text1"/>
          <w:sz w:val="22"/>
          <w:szCs w:val="22"/>
          <w:lang w:val="en-US"/>
        </w:rPr>
        <w:t xml:space="preserve"> and that the telemedicine systems were implemented uniformly across the departments (Martinez et al., 2018). However, the decision-making related to operations was </w:t>
      </w:r>
      <w:r w:rsidRPr="00CD38BF">
        <w:rPr>
          <w:rFonts w:ascii="Arial" w:hAnsi="Arial" w:cs="Arial"/>
          <w:color w:val="000000" w:themeColor="text1"/>
          <w:sz w:val="22"/>
          <w:szCs w:val="22"/>
          <w:lang w:val="en-US"/>
        </w:rPr>
        <w:t>decentralized</w:t>
      </w:r>
      <w:r w:rsidRPr="00D80BE3">
        <w:rPr>
          <w:rFonts w:ascii="Arial" w:hAnsi="Arial" w:cs="Arial"/>
          <w:color w:val="000000" w:themeColor="text1"/>
          <w:sz w:val="22"/>
          <w:szCs w:val="22"/>
          <w:lang w:val="en-US"/>
        </w:rPr>
        <w:t xml:space="preserve">, and the separate clinic units were still to be responsive and swift to the immediate patients' needs (Bettencourt et al., 2023). This mixed system made sure that the central leaders and departments were closely interconnected to one another, particularly when it came to a crisis (Ulintz et al., 2023). The pandemic has rapidly altered the model of healthcare delivery, so the </w:t>
      </w:r>
      <w:r w:rsidRPr="00CD38BF">
        <w:rPr>
          <w:rFonts w:ascii="Arial" w:hAnsi="Arial" w:cs="Arial"/>
          <w:color w:val="000000" w:themeColor="text1"/>
          <w:sz w:val="22"/>
          <w:szCs w:val="22"/>
          <w:lang w:val="en-US"/>
        </w:rPr>
        <w:t>centralized</w:t>
      </w:r>
      <w:r w:rsidRPr="00D80BE3">
        <w:rPr>
          <w:rFonts w:ascii="Arial" w:hAnsi="Arial" w:cs="Arial"/>
          <w:color w:val="000000" w:themeColor="text1"/>
          <w:sz w:val="22"/>
          <w:szCs w:val="22"/>
          <w:lang w:val="en-US"/>
        </w:rPr>
        <w:t xml:space="preserve"> team at Cleveland Clinic ensured that imperative technology and infrastructure that enabled telehealth to be adopted were implemented with success (Demeke &amp; Umeakunne, 2022). Other key areas were </w:t>
      </w:r>
      <w:r w:rsidRPr="00CD38BF">
        <w:rPr>
          <w:rFonts w:ascii="Arial" w:hAnsi="Arial" w:cs="Arial"/>
          <w:color w:val="000000" w:themeColor="text1"/>
          <w:sz w:val="22"/>
          <w:szCs w:val="22"/>
          <w:lang w:val="en-US"/>
        </w:rPr>
        <w:t>centralized</w:t>
      </w:r>
      <w:r w:rsidRPr="00D80BE3">
        <w:rPr>
          <w:rFonts w:ascii="Arial" w:hAnsi="Arial" w:cs="Arial"/>
          <w:color w:val="000000" w:themeColor="text1"/>
          <w:sz w:val="22"/>
          <w:szCs w:val="22"/>
          <w:lang w:val="en-US"/>
        </w:rPr>
        <w:t xml:space="preserve"> to long-term planning to establish telehealth targets, compliance control, and continuous technological and staff support (Mahar, Rosencrance &amp; Rasmussen, 2018). Quite to the contrary, the decision-making process, such as the scheduling of the change, </w:t>
      </w:r>
      <w:r w:rsidRPr="00CD38BF">
        <w:rPr>
          <w:rFonts w:ascii="Arial" w:hAnsi="Arial" w:cs="Arial"/>
          <w:color w:val="000000" w:themeColor="text1"/>
          <w:sz w:val="22"/>
          <w:szCs w:val="22"/>
          <w:lang w:val="en-US"/>
        </w:rPr>
        <w:t>organizing</w:t>
      </w:r>
      <w:r w:rsidRPr="00D80BE3">
        <w:rPr>
          <w:rFonts w:ascii="Arial" w:hAnsi="Arial" w:cs="Arial"/>
          <w:color w:val="000000" w:themeColor="text1"/>
          <w:sz w:val="22"/>
          <w:szCs w:val="22"/>
          <w:lang w:val="en-US"/>
        </w:rPr>
        <w:t xml:space="preserve"> virtual care teamwork and problem-solving in patient-related problems, was </w:t>
      </w:r>
      <w:r w:rsidRPr="00CD38BF">
        <w:rPr>
          <w:rFonts w:ascii="Arial" w:hAnsi="Arial" w:cs="Arial"/>
          <w:color w:val="000000" w:themeColor="text1"/>
          <w:sz w:val="22"/>
          <w:szCs w:val="22"/>
          <w:lang w:val="en-US"/>
        </w:rPr>
        <w:t>decentralized</w:t>
      </w:r>
      <w:r w:rsidRPr="00D80BE3">
        <w:rPr>
          <w:rFonts w:ascii="Arial" w:hAnsi="Arial" w:cs="Arial"/>
          <w:color w:val="000000" w:themeColor="text1"/>
          <w:sz w:val="22"/>
          <w:szCs w:val="22"/>
          <w:lang w:val="en-US"/>
        </w:rPr>
        <w:t xml:space="preserve"> (Savage et al., 2021). This allowed the clinic-level providers to be able to make contextual decisions (Rana et al., 2025). The </w:t>
      </w:r>
      <w:r w:rsidRPr="00CD38BF">
        <w:rPr>
          <w:rFonts w:ascii="Arial" w:hAnsi="Arial" w:cs="Arial"/>
          <w:color w:val="000000" w:themeColor="text1"/>
          <w:sz w:val="22"/>
          <w:szCs w:val="22"/>
          <w:lang w:val="en-US"/>
        </w:rPr>
        <w:t>decentralized</w:t>
      </w:r>
      <w:r w:rsidRPr="00D80BE3">
        <w:rPr>
          <w:rFonts w:ascii="Arial" w:hAnsi="Arial" w:cs="Arial"/>
          <w:color w:val="000000" w:themeColor="text1"/>
          <w:sz w:val="22"/>
          <w:szCs w:val="22"/>
          <w:lang w:val="en-US"/>
        </w:rPr>
        <w:t xml:space="preserve"> decision-making process was important to solve the crisis and transform the local teams to implement telehealth solutions that would fit their needs (Martinez et al., 2018). It would help local units to take an immediate decision on patient care and respond to any changes in demand for virtual consultation and address the technology problems without consulting the central version (Bettencourt et al., 2023). </w:t>
      </w:r>
      <w:r w:rsidRPr="00CD38BF">
        <w:rPr>
          <w:rFonts w:ascii="Arial" w:hAnsi="Arial" w:cs="Arial"/>
          <w:color w:val="000000" w:themeColor="text1"/>
          <w:sz w:val="22"/>
          <w:szCs w:val="22"/>
          <w:lang w:val="en-US"/>
        </w:rPr>
        <w:t>Centralized</w:t>
      </w:r>
      <w:r w:rsidRPr="00D80BE3">
        <w:rPr>
          <w:rFonts w:ascii="Arial" w:hAnsi="Arial" w:cs="Arial"/>
          <w:color w:val="000000" w:themeColor="text1"/>
          <w:sz w:val="22"/>
          <w:szCs w:val="22"/>
          <w:lang w:val="en-US"/>
        </w:rPr>
        <w:t xml:space="preserve"> control, on the one hand, was made in spite of </w:t>
      </w:r>
      <w:r w:rsidRPr="00CD38BF">
        <w:rPr>
          <w:rFonts w:ascii="Arial" w:hAnsi="Arial" w:cs="Arial"/>
          <w:color w:val="000000" w:themeColor="text1"/>
          <w:sz w:val="22"/>
          <w:szCs w:val="22"/>
          <w:lang w:val="en-US"/>
        </w:rPr>
        <w:t>decentralization</w:t>
      </w:r>
      <w:r w:rsidRPr="00D80BE3">
        <w:rPr>
          <w:rFonts w:ascii="Arial" w:hAnsi="Arial" w:cs="Arial"/>
          <w:color w:val="000000" w:themeColor="text1"/>
          <w:sz w:val="22"/>
          <w:szCs w:val="22"/>
          <w:lang w:val="en-US"/>
        </w:rPr>
        <w:t xml:space="preserve">, providing consistency in delivering high-quality care, guidance, resources, and coordination to enable the implementation of telehealth (Ulintz et al., 2023). The privacy of the data, legal adherence, and the availability of the telemedicine platform in the electronic health records required the central leadership to coordinate closely (Demeke &amp; Umeakunne, 2022). This hybrid mechanism helped the Cleveland Clinic navigate complexities effectively and with a lot of flexibility because the work of the teams on the local level dealt with day-to-day affairs, and the work of the top leaders dealt with alignment to </w:t>
      </w:r>
      <w:r w:rsidRPr="00CD38BF">
        <w:rPr>
          <w:rFonts w:ascii="Arial" w:hAnsi="Arial" w:cs="Arial"/>
          <w:color w:val="000000" w:themeColor="text1"/>
          <w:sz w:val="22"/>
          <w:szCs w:val="22"/>
          <w:lang w:val="en-US"/>
        </w:rPr>
        <w:t>organizational</w:t>
      </w:r>
      <w:r w:rsidRPr="00D80BE3">
        <w:rPr>
          <w:rFonts w:ascii="Arial" w:hAnsi="Arial" w:cs="Arial"/>
          <w:color w:val="000000" w:themeColor="text1"/>
          <w:sz w:val="22"/>
          <w:szCs w:val="22"/>
          <w:lang w:val="en-US"/>
        </w:rPr>
        <w:t xml:space="preserve"> goals (Savage et al., 2021). This </w:t>
      </w:r>
      <w:r w:rsidRPr="00CD38BF">
        <w:rPr>
          <w:rFonts w:ascii="Arial" w:hAnsi="Arial" w:cs="Arial"/>
          <w:color w:val="000000" w:themeColor="text1"/>
          <w:sz w:val="22"/>
          <w:szCs w:val="22"/>
          <w:lang w:val="en-US"/>
        </w:rPr>
        <w:t>centralized</w:t>
      </w:r>
      <w:r w:rsidRPr="00D80BE3">
        <w:rPr>
          <w:rFonts w:ascii="Arial" w:hAnsi="Arial" w:cs="Arial"/>
          <w:color w:val="000000" w:themeColor="text1"/>
          <w:sz w:val="22"/>
          <w:szCs w:val="22"/>
          <w:lang w:val="en-US"/>
        </w:rPr>
        <w:t xml:space="preserve"> strategy but </w:t>
      </w:r>
      <w:r w:rsidRPr="00CD38BF">
        <w:rPr>
          <w:rFonts w:ascii="Arial" w:hAnsi="Arial" w:cs="Arial"/>
          <w:color w:val="000000" w:themeColor="text1"/>
          <w:sz w:val="22"/>
          <w:szCs w:val="22"/>
          <w:lang w:val="en-US"/>
        </w:rPr>
        <w:t>decentralized</w:t>
      </w:r>
      <w:r w:rsidRPr="00D80BE3">
        <w:rPr>
          <w:rFonts w:ascii="Arial" w:hAnsi="Arial" w:cs="Arial"/>
          <w:color w:val="000000" w:themeColor="text1"/>
          <w:sz w:val="22"/>
          <w:szCs w:val="22"/>
          <w:lang w:val="en-US"/>
        </w:rPr>
        <w:t xml:space="preserve"> implementation ratio was required to handle the scenario of staffing shortage, patient scheduling and technology-related challenges (Mahar, Rosencrance &amp; Rasmussen, 2018). Lastly, the hybrid model allowed the Cleveland Clinic to provide high-quality care and stable services and become adaptable enough to satisfy the needs of patients during the pandemic (Martinez et al., 2018).</w:t>
      </w:r>
      <w:r w:rsidR="00F014EE">
        <w:rPr>
          <w:rFonts w:ascii="Arial" w:hAnsi="Arial" w:cs="Arial"/>
          <w:noProof/>
          <w:color w:val="000000" w:themeColor="text1"/>
          <w:sz w:val="22"/>
          <w:szCs w:val="22"/>
          <w:lang w:val="en-US"/>
        </w:rPr>
        <w:drawing>
          <wp:inline distT="0" distB="0" distL="0" distR="0" wp14:anchorId="7F89DB01" wp14:editId="58C4B43D">
            <wp:extent cx="5554980" cy="2278380"/>
            <wp:effectExtent l="0" t="0" r="7620" b="7620"/>
            <wp:docPr id="1267997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54980" cy="2278380"/>
                    </a:xfrm>
                    <a:prstGeom prst="rect">
                      <a:avLst/>
                    </a:prstGeom>
                    <a:noFill/>
                  </pic:spPr>
                </pic:pic>
              </a:graphicData>
            </a:graphic>
          </wp:inline>
        </w:drawing>
      </w:r>
    </w:p>
    <w:p w14:paraId="09F9AF47" w14:textId="4DBF6792" w:rsidR="00F014EE" w:rsidRDefault="00F014EE" w:rsidP="00806A2F">
      <w:pPr>
        <w:pStyle w:val="Caption"/>
        <w:jc w:val="center"/>
        <w:rPr>
          <w:rFonts w:ascii="Arial" w:hAnsi="Arial" w:cs="Arial"/>
          <w:b/>
          <w:bCs/>
          <w:i w:val="0"/>
          <w:iCs w:val="0"/>
          <w:color w:val="auto"/>
          <w:sz w:val="22"/>
          <w:szCs w:val="22"/>
        </w:rPr>
      </w:pPr>
      <w:r w:rsidRPr="00F014EE">
        <w:rPr>
          <w:rFonts w:ascii="Arial" w:hAnsi="Arial" w:cs="Arial"/>
          <w:b/>
          <w:bCs/>
          <w:i w:val="0"/>
          <w:iCs w:val="0"/>
          <w:color w:val="auto"/>
          <w:sz w:val="22"/>
          <w:szCs w:val="22"/>
        </w:rPr>
        <w:t xml:space="preserve">Figure </w:t>
      </w:r>
      <w:r w:rsidRPr="00F014EE">
        <w:rPr>
          <w:rFonts w:ascii="Arial" w:hAnsi="Arial" w:cs="Arial"/>
          <w:b/>
          <w:bCs/>
          <w:i w:val="0"/>
          <w:iCs w:val="0"/>
          <w:color w:val="auto"/>
          <w:sz w:val="22"/>
          <w:szCs w:val="22"/>
        </w:rPr>
        <w:fldChar w:fldCharType="begin"/>
      </w:r>
      <w:r w:rsidRPr="00F014EE">
        <w:rPr>
          <w:rFonts w:ascii="Arial" w:hAnsi="Arial" w:cs="Arial"/>
          <w:b/>
          <w:bCs/>
          <w:i w:val="0"/>
          <w:iCs w:val="0"/>
          <w:color w:val="auto"/>
          <w:sz w:val="22"/>
          <w:szCs w:val="22"/>
        </w:rPr>
        <w:instrText xml:space="preserve"> SEQ Figure \* ARABIC </w:instrText>
      </w:r>
      <w:r w:rsidRPr="00F014EE">
        <w:rPr>
          <w:rFonts w:ascii="Arial" w:hAnsi="Arial" w:cs="Arial"/>
          <w:b/>
          <w:bCs/>
          <w:i w:val="0"/>
          <w:iCs w:val="0"/>
          <w:color w:val="auto"/>
          <w:sz w:val="22"/>
          <w:szCs w:val="22"/>
        </w:rPr>
        <w:fldChar w:fldCharType="separate"/>
      </w:r>
      <w:r w:rsidR="00002E1C">
        <w:rPr>
          <w:rFonts w:ascii="Arial" w:hAnsi="Arial" w:cs="Arial"/>
          <w:b/>
          <w:bCs/>
          <w:i w:val="0"/>
          <w:iCs w:val="0"/>
          <w:noProof/>
          <w:color w:val="auto"/>
          <w:sz w:val="22"/>
          <w:szCs w:val="22"/>
        </w:rPr>
        <w:t>3</w:t>
      </w:r>
      <w:r w:rsidRPr="00F014EE">
        <w:rPr>
          <w:rFonts w:ascii="Arial" w:hAnsi="Arial" w:cs="Arial"/>
          <w:b/>
          <w:bCs/>
          <w:i w:val="0"/>
          <w:iCs w:val="0"/>
          <w:color w:val="auto"/>
          <w:sz w:val="22"/>
          <w:szCs w:val="22"/>
        </w:rPr>
        <w:fldChar w:fldCharType="end"/>
      </w:r>
      <w:r w:rsidRPr="00F014EE">
        <w:rPr>
          <w:rFonts w:ascii="Arial" w:hAnsi="Arial" w:cs="Arial"/>
          <w:b/>
          <w:bCs/>
          <w:i w:val="0"/>
          <w:iCs w:val="0"/>
          <w:color w:val="auto"/>
          <w:sz w:val="22"/>
          <w:szCs w:val="22"/>
        </w:rPr>
        <w:t xml:space="preserve"> comparison between Centralized vs. Decentralized Systems</w:t>
      </w:r>
    </w:p>
    <w:p w14:paraId="582C74E7" w14:textId="26A94218" w:rsidR="00F014EE" w:rsidRPr="00D419F2" w:rsidRDefault="00F014EE" w:rsidP="00D419F2">
      <w:pPr>
        <w:jc w:val="both"/>
        <w:rPr>
          <w:rFonts w:ascii="Arial" w:hAnsi="Arial" w:cs="Arial"/>
          <w:sz w:val="22"/>
          <w:szCs w:val="22"/>
        </w:rPr>
      </w:pPr>
      <w:r w:rsidRPr="00F014EE">
        <w:rPr>
          <w:rFonts w:ascii="Arial" w:hAnsi="Arial" w:cs="Arial"/>
          <w:sz w:val="22"/>
          <w:szCs w:val="22"/>
        </w:rPr>
        <w:t>Source:(Imran Pollob 2025)</w:t>
      </w:r>
    </w:p>
    <w:p w14:paraId="40C7B8BC" w14:textId="77777777"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b/>
          <w:bCs/>
          <w:color w:val="000000" w:themeColor="text1"/>
          <w:sz w:val="22"/>
          <w:szCs w:val="22"/>
          <w:lang w:val="en-US"/>
        </w:rPr>
        <w:t>Leadership Theories and Application</w:t>
      </w:r>
    </w:p>
    <w:p w14:paraId="4906C8DB" w14:textId="77777777"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b/>
          <w:bCs/>
          <w:color w:val="000000" w:themeColor="text1"/>
          <w:sz w:val="22"/>
          <w:szCs w:val="22"/>
          <w:lang w:val="en-US"/>
        </w:rPr>
        <w:t xml:space="preserve">Transformational Leadership  </w:t>
      </w:r>
    </w:p>
    <w:p w14:paraId="330AF0B3" w14:textId="02F728AE"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color w:val="000000" w:themeColor="text1"/>
          <w:sz w:val="22"/>
          <w:szCs w:val="22"/>
          <w:lang w:val="en-US"/>
        </w:rPr>
        <w:t xml:space="preserve">The case of the Cleveland Clinic strategy can be discussed within the framework of transformational leadership. Transformational leadership inspired workers. Transformational leadership motivated Cleveland Clinic workers to drive change, foster new ideas, and pursue personal improvement. Executives shared a clear telemedicine vision, which led staff to adopt new technologies and care methods. However, change remains. Transformational leadership inspired workers. </w:t>
      </w:r>
      <w:r w:rsidR="00D1197D" w:rsidRPr="00D1197D">
        <w:rPr>
          <w:rFonts w:ascii="Arial" w:hAnsi="Arial" w:cs="Arial"/>
          <w:color w:val="000000" w:themeColor="text1"/>
          <w:sz w:val="22"/>
          <w:szCs w:val="22"/>
          <w:lang w:val="en-US"/>
        </w:rPr>
        <w:t>Leaders of the Cleveland Clinic promoted change, the emergence of new ideas, and self-development among the employees by being transformational leaders. The executives shared a common vision of telemedicine, and this aspect influenced employees to adopt new technologies and methods of care. However, change remained to be a difficult one in nature (Hamasaki, 2022). The leaders at the Cleveland Clinic had an objective of changing the culture, and patient safety is one of the priorities, which is essential to the success of telehealth. The patient-centred care during virtual visits and the increased rather than the replacement of face-to-face care became another priority of the leaders (Althumairi et al., 2022). Patient safety was of interest to leaders as the use of technology has risen. Data supports this. The Cleveland Clinic management introduced telehealth and achieved good results. There was increased cooperative working among employees. Patients were well satisfied with telemedicine. Transformational leaders offered quality care in teams working with them (Morelli et al., 2024). The level of safety also increased, because the number of incidents was less compared to a scenario where it was a traditional visit (Savoldelli et al., 2024). Finally, the transactional kind of leadership relies on a more formal approach since it entails the utilisation of rewards and punishments in achieving goals and ensuring compliance. Transactional leaders operate by the strict hierarchical command structure and focus on the routine and adherence to the existing procedures (Hamasaki, 2022). The transactional leadership was exemplary on the operational level. Leaders give direct accountability and compel workers to possess the processes (He et al., 2025). This approach would discourage them in the case of staff reporting errors or challenges with telehealth implementation. Such stratification could be depriving the employees at the bottom of the opportunity to express themselves and offer some improvements, which could choke creativity required to enhance telehealth services (Bernuzzi et al., 2025)</w:t>
      </w:r>
      <w:r w:rsidR="001E1998">
        <w:rPr>
          <w:rFonts w:ascii="Arial" w:hAnsi="Arial" w:cs="Arial"/>
          <w:color w:val="000000" w:themeColor="text1"/>
          <w:sz w:val="22"/>
          <w:szCs w:val="22"/>
          <w:lang w:val="en-US"/>
        </w:rPr>
        <w:t>.</w:t>
      </w:r>
    </w:p>
    <w:p w14:paraId="45C0D17A" w14:textId="22A6F8E1" w:rsidR="00D80BE3" w:rsidRPr="00D80BE3" w:rsidRDefault="001E1998" w:rsidP="00D419F2">
      <w:pPr>
        <w:spacing w:after="0" w:line="360" w:lineRule="auto"/>
        <w:contextualSpacing/>
        <w:jc w:val="both"/>
        <w:rPr>
          <w:rFonts w:ascii="Arial" w:hAnsi="Arial" w:cs="Arial"/>
          <w:color w:val="000000" w:themeColor="text1"/>
          <w:sz w:val="22"/>
          <w:szCs w:val="22"/>
          <w:lang w:val="en-US"/>
        </w:rPr>
      </w:pPr>
      <w:r>
        <w:rPr>
          <w:rFonts w:ascii="Arial" w:hAnsi="Arial" w:cs="Arial"/>
          <w:b/>
          <w:bCs/>
          <w:color w:val="000000" w:themeColor="text1"/>
          <w:sz w:val="22"/>
          <w:szCs w:val="22"/>
          <w:lang w:val="en-US"/>
        </w:rPr>
        <w:t xml:space="preserve">2.3.3 </w:t>
      </w:r>
      <w:r w:rsidR="00D80BE3" w:rsidRPr="00D80BE3">
        <w:rPr>
          <w:rFonts w:ascii="Arial" w:hAnsi="Arial" w:cs="Arial"/>
          <w:b/>
          <w:bCs/>
          <w:color w:val="000000" w:themeColor="text1"/>
          <w:sz w:val="22"/>
          <w:szCs w:val="22"/>
          <w:lang w:val="en-US"/>
        </w:rPr>
        <w:t xml:space="preserve">Critical leadership analysis </w:t>
      </w:r>
    </w:p>
    <w:p w14:paraId="113115FB" w14:textId="77777777"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color w:val="000000" w:themeColor="text1"/>
          <w:sz w:val="22"/>
          <w:szCs w:val="22"/>
          <w:lang w:val="en-US"/>
        </w:rPr>
        <w:t>The leadership team, which existed at the Cleveland Clinic at the time of the telehealth expansion, had both proactive and reactive aspects (Savoldelli, Landi &amp; Rizzi, 2024). The leaders were proactive in developing a clear vision of telemedicine and providing a technological infrastructure of the necessary level (Mahar, Rosencrance &amp; Rasmussen, 2018). They also anticipated the rising demand for virtual care during the COVID-19 pandemic, and the telehealth solutions were introduced by them earlier (Savage et al., 2022). Still, the leadership behavior was also responsive when addressing new problems, such as technological glitches or unmet training needs of employees (Althumairi et al., 2022). Leaders offered guidance and implemented the changes to the processes, as they saw it necessary (Sullivan et al., 2020).</w:t>
      </w:r>
    </w:p>
    <w:p w14:paraId="2324FDCD" w14:textId="7E69E478"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color w:val="000000" w:themeColor="text1"/>
          <w:sz w:val="22"/>
          <w:szCs w:val="22"/>
          <w:lang w:val="en-US"/>
        </w:rPr>
        <w:t xml:space="preserve">The leadership approaches embraced by the Cleveland Clinic have helped the facility because they have made the staff interested in telehealth initiatives (Adeogun &amp; Faezipour, 2025). Transformational leadership prompted the employees to adopt the system, but situational leadership offered an opportunity to be flexible in addressing operational problems (Simeon et al., 2024). Transactional leadership also ensured the daily working process was designed and that practices were being followed, regardless of the fact that sometimes it limited the free flow of feedback (Pogorzelska &amp; Chlabicz, 2022). As a result of the data retrieved by means of staff survey and patient feedback, leadership was largely </w:t>
      </w:r>
      <w:r w:rsidRPr="00CD38BF">
        <w:rPr>
          <w:rFonts w:ascii="Arial" w:hAnsi="Arial" w:cs="Arial"/>
          <w:color w:val="000000" w:themeColor="text1"/>
          <w:sz w:val="22"/>
          <w:szCs w:val="22"/>
          <w:lang w:val="en-US"/>
        </w:rPr>
        <w:t>favorable</w:t>
      </w:r>
      <w:r w:rsidRPr="00D80BE3">
        <w:rPr>
          <w:rFonts w:ascii="Arial" w:hAnsi="Arial" w:cs="Arial"/>
          <w:color w:val="000000" w:themeColor="text1"/>
          <w:sz w:val="22"/>
          <w:szCs w:val="22"/>
          <w:lang w:val="en-US"/>
        </w:rPr>
        <w:t xml:space="preserve"> in its attitude towards the staff, with the providers saying they felt supported during the transition and patients being satisfied with telehealth services (Morelli et al., 2024). Patient safety measures, incident reporting and engagement rates were good indicators of leadership effectiveness (Hamasaki, 2022).</w:t>
      </w:r>
    </w:p>
    <w:p w14:paraId="5D295D1D" w14:textId="77777777"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b/>
          <w:bCs/>
          <w:color w:val="000000" w:themeColor="text1"/>
          <w:sz w:val="22"/>
          <w:szCs w:val="22"/>
          <w:lang w:val="en-US"/>
        </w:rPr>
        <w:t>Lessons Learned and Betterment</w:t>
      </w:r>
    </w:p>
    <w:p w14:paraId="16E611DB" w14:textId="77777777"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color w:val="000000" w:themeColor="text1"/>
          <w:sz w:val="22"/>
          <w:szCs w:val="22"/>
          <w:lang w:val="en-US"/>
        </w:rPr>
        <w:t>Cleveland Clinic telehealth expansion marked the opportunities of the possibilities of improvement, primarily, the continuity of care with chronic patients (Althumairi et al., 2022). Leadership and governance could have been reversed by enhancing internal communication between the departments and investing more in the digital infrastructure (Sullivan et al., 2020). It did not train its employees properly in the early days, and this adversely impacted efficiency during the virtual consultation and customer satisfaction (Savage et al., 2022). Lack of proper remote surveillance instruments complicated the management of chronic diseases and created panic in patients towards the quality of care (Adeogun &amp; Faezipour, 2025). The problems with scheduling, follow-ups, and billing were some of the areas where delays were present because of siloed interdepartmental communication (Hamasaki, 2022). These loopholes would be bridged to foster efficiency in operations and patient outcomes during the telehealth implementation process (Simeon et al., 2024).</w:t>
      </w:r>
    </w:p>
    <w:p w14:paraId="1347BCC1" w14:textId="77777777"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b/>
          <w:bCs/>
          <w:color w:val="000000" w:themeColor="text1"/>
          <w:sz w:val="22"/>
          <w:szCs w:val="22"/>
          <w:lang w:val="en-US"/>
        </w:rPr>
        <w:t>2.4.1 Interaction of Leadership and Governance</w:t>
      </w:r>
    </w:p>
    <w:p w14:paraId="4220E273" w14:textId="439AAB65"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color w:val="000000" w:themeColor="text1"/>
          <w:sz w:val="22"/>
          <w:szCs w:val="22"/>
          <w:lang w:val="en-US"/>
        </w:rPr>
        <w:t xml:space="preserve">At the Cleveland Clinic, the leadership decisions were a major influence on telehealth outcomes (Mahar, Rosencrance and Rasmussen, 2018). It was able to cope with the crisis with the help of the hybrid model with </w:t>
      </w:r>
      <w:r w:rsidRPr="00CD38BF">
        <w:rPr>
          <w:rFonts w:ascii="Arial" w:hAnsi="Arial" w:cs="Arial"/>
          <w:color w:val="000000" w:themeColor="text1"/>
          <w:sz w:val="22"/>
          <w:szCs w:val="22"/>
          <w:lang w:val="en-US"/>
        </w:rPr>
        <w:t>centralized</w:t>
      </w:r>
      <w:r w:rsidRPr="00D80BE3">
        <w:rPr>
          <w:rFonts w:ascii="Arial" w:hAnsi="Arial" w:cs="Arial"/>
          <w:color w:val="000000" w:themeColor="text1"/>
          <w:sz w:val="22"/>
          <w:szCs w:val="22"/>
          <w:lang w:val="en-US"/>
        </w:rPr>
        <w:t xml:space="preserve"> strategic oversight and </w:t>
      </w:r>
      <w:r w:rsidRPr="00CD38BF">
        <w:rPr>
          <w:rFonts w:ascii="Arial" w:hAnsi="Arial" w:cs="Arial"/>
          <w:color w:val="000000" w:themeColor="text1"/>
          <w:sz w:val="22"/>
          <w:szCs w:val="22"/>
          <w:lang w:val="en-US"/>
        </w:rPr>
        <w:t>decentralized</w:t>
      </w:r>
      <w:r w:rsidRPr="00D80BE3">
        <w:rPr>
          <w:rFonts w:ascii="Arial" w:hAnsi="Arial" w:cs="Arial"/>
          <w:color w:val="000000" w:themeColor="text1"/>
          <w:sz w:val="22"/>
          <w:szCs w:val="22"/>
          <w:lang w:val="en-US"/>
        </w:rPr>
        <w:t xml:space="preserve"> decision-making (Savoldelli, Landi &amp; Rizzi, 2024). However, the administrative challenges, such as the absence of effective escalation policies and accountability models, delayed the problem resolution in the scenarios where patients encountered problems in the virtual appointments (Sinsky et al., 2021). The teams were </w:t>
      </w:r>
      <w:r w:rsidRPr="00CD38BF">
        <w:rPr>
          <w:rFonts w:ascii="Arial" w:hAnsi="Arial" w:cs="Arial"/>
          <w:color w:val="000000" w:themeColor="text1"/>
          <w:sz w:val="22"/>
          <w:szCs w:val="22"/>
          <w:lang w:val="en-US"/>
        </w:rPr>
        <w:t>decentralized</w:t>
      </w:r>
      <w:r w:rsidRPr="00D80BE3">
        <w:rPr>
          <w:rFonts w:ascii="Arial" w:hAnsi="Arial" w:cs="Arial"/>
          <w:color w:val="000000" w:themeColor="text1"/>
          <w:sz w:val="22"/>
          <w:szCs w:val="22"/>
          <w:lang w:val="en-US"/>
        </w:rPr>
        <w:t>, were not in contact with the central leadership, and made decisions quickly, and the reaction to technological and operational issues was slow (Savage et al., 2022). Better accountability mechanisms and clear-cut procedures of escalation would have resulted in quicker and more effective decision-making, particularly in the early stages of telehealth integration (Rana et al., 2025).</w:t>
      </w:r>
    </w:p>
    <w:p w14:paraId="029C214F" w14:textId="77777777"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b/>
          <w:bCs/>
          <w:color w:val="000000" w:themeColor="text1"/>
          <w:sz w:val="22"/>
          <w:szCs w:val="22"/>
          <w:lang w:val="en-US"/>
        </w:rPr>
        <w:t>2.4.2 Missed Opportunities</w:t>
      </w:r>
    </w:p>
    <w:p w14:paraId="3AB68AC6" w14:textId="77777777"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color w:val="000000" w:themeColor="text1"/>
          <w:sz w:val="22"/>
          <w:szCs w:val="22"/>
          <w:lang w:val="en-US"/>
        </w:rPr>
        <w:t>Even though telehealth is effective, the Cleveland Clinic has missed valuable opportunities to enhance services (Althumairi et al., 2022). The development of the personnel was also poor in the first level, which inhibited competency in virtual consultations and the patient experience (Savage et al., 2022). Lapses in the continuity of care were caused by the insufficient patient follow-ups of the chronic patients (Sullivan et al., 2020). The communication between the departments was typically fragmented, and this was the reason that created problems in scheduling and patient billing (Hamasaki, 2022). It would have improved the effectiveness of operations, patient experience, and the quality of care because of increased integration of remote monitoring tools, comprehensive training of the employees, and effective interdepartmental communication (Adeogun &amp; Faezipour, 2025; Simeon et al., 2024).</w:t>
      </w:r>
    </w:p>
    <w:p w14:paraId="07F694D1" w14:textId="77777777"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b/>
          <w:bCs/>
          <w:color w:val="000000" w:themeColor="text1"/>
          <w:sz w:val="22"/>
          <w:szCs w:val="22"/>
          <w:lang w:val="en-US"/>
        </w:rPr>
        <w:t>2.4.3 Evidence-Based Solutions</w:t>
      </w:r>
    </w:p>
    <w:p w14:paraId="19B7D9F7" w14:textId="77777777"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color w:val="000000" w:themeColor="text1"/>
          <w:sz w:val="22"/>
          <w:szCs w:val="22"/>
          <w:lang w:val="en-US"/>
        </w:rPr>
        <w:t>These problems would have been addressed by adopting a series of evidence-based interventions.</w:t>
      </w:r>
    </w:p>
    <w:p w14:paraId="3D318982" w14:textId="77777777"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color w:val="000000" w:themeColor="text1"/>
          <w:sz w:val="22"/>
          <w:szCs w:val="22"/>
          <w:lang w:val="en-US"/>
        </w:rPr>
        <w:t>Problem: delayed clinical deterioration reporting.</w:t>
      </w:r>
    </w:p>
    <w:p w14:paraId="30752395" w14:textId="6EDA2F00"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b/>
          <w:bCs/>
          <w:color w:val="000000" w:themeColor="text1"/>
          <w:sz w:val="22"/>
          <w:szCs w:val="22"/>
          <w:lang w:val="en-US"/>
        </w:rPr>
        <w:t>Statistics:</w:t>
      </w:r>
      <w:r w:rsidRPr="00D80BE3">
        <w:rPr>
          <w:rFonts w:ascii="Arial" w:hAnsi="Arial" w:cs="Arial"/>
          <w:color w:val="000000" w:themeColor="text1"/>
          <w:sz w:val="22"/>
          <w:szCs w:val="22"/>
          <w:lang w:val="en-US"/>
        </w:rPr>
        <w:t xml:space="preserve"> It was discovered that 40 </w:t>
      </w:r>
      <w:r w:rsidR="00002E1C">
        <w:rPr>
          <w:rFonts w:ascii="Arial" w:hAnsi="Arial" w:cs="Arial"/>
          <w:color w:val="000000" w:themeColor="text1"/>
          <w:sz w:val="22"/>
          <w:szCs w:val="22"/>
          <w:lang w:val="en-US"/>
        </w:rPr>
        <w:t>%</w:t>
      </w:r>
      <w:r w:rsidRPr="00D80BE3">
        <w:rPr>
          <w:rFonts w:ascii="Arial" w:hAnsi="Arial" w:cs="Arial"/>
          <w:color w:val="000000" w:themeColor="text1"/>
          <w:sz w:val="22"/>
          <w:szCs w:val="22"/>
          <w:lang w:val="en-US"/>
        </w:rPr>
        <w:t xml:space="preserve"> of the cases of clinical deterioration went unreported until more than 48 hours later, which delayed the delivery of necessary interventions (Savage et al., 2021).</w:t>
      </w:r>
    </w:p>
    <w:p w14:paraId="18E2DF6D" w14:textId="77777777"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b/>
          <w:bCs/>
          <w:color w:val="000000" w:themeColor="text1"/>
          <w:sz w:val="22"/>
          <w:szCs w:val="22"/>
          <w:lang w:val="en-US"/>
        </w:rPr>
        <w:t>Solution:</w:t>
      </w:r>
      <w:r w:rsidRPr="00D80BE3">
        <w:rPr>
          <w:rFonts w:ascii="Arial" w:hAnsi="Arial" w:cs="Arial"/>
          <w:color w:val="000000" w:themeColor="text1"/>
          <w:sz w:val="22"/>
          <w:szCs w:val="22"/>
          <w:lang w:val="en-US"/>
        </w:rPr>
        <w:t xml:space="preserve"> The use of a digital incident reporting system makes it possible to receive notifications in real-time and improve the speed of clinical decision-making. It would also provide a digital platform where healthcare providers can report the incidents as they happen, and this will lead to a timely response and reduction of delays in care. Clinical escalation instructions: The formulation of clear clinical escalation instructions in telehealth would help in addressing the issue of patient degradation or malfunctioning equipment in the field. These measures would enable implementing the necessary intervention at the right time (Mahar et al., 2018). Electronic health record (EHR): With the facilitation of the use of telemedicine and EHR systems, the supply of patient information would be simplified, reducing errors and improving the provision of care. Improved communication between telehealth systems and EHR systems would also improve decision-making since the healthcare facility must have the opportunity to get the most recent patient data (Althumairi et al., 2022). Leadership training programs: The leadership development programs carried out on an ongoing basis and focused on addressing the challenges of dealing with digital changes and telemedicine technologies would help the healthcare leaders better help their staff members navigate changes. The leaders would be sufficiently trained and prepared to meet the peculiarities of the issues that would arise during the telehealth implementation process (Savoldelli et al., 2024). Interdisciplinary communication systems: The application of the tools to support efficient communication within the clinical, administrative, and technical teams would help reduce the silos and improve the operation of the entire telehealth system. The coordination could be done by having real-time communication platforms that would facilitate the coordination of all departments, so that all teams would be aligned with each other and updated (Sinsky et al., 2021).</w:t>
      </w:r>
    </w:p>
    <w:p w14:paraId="52A21956" w14:textId="77777777"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b/>
          <w:bCs/>
          <w:color w:val="000000" w:themeColor="text1"/>
          <w:sz w:val="22"/>
          <w:szCs w:val="22"/>
          <w:lang w:val="en-US"/>
        </w:rPr>
        <w:t>2.4.4 Healthcare Systems Lessons</w:t>
      </w:r>
    </w:p>
    <w:p w14:paraId="4006DF71" w14:textId="77777777" w:rsidR="00002E1C"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color w:val="000000" w:themeColor="text1"/>
          <w:sz w:val="22"/>
          <w:szCs w:val="22"/>
          <w:lang w:val="en-US"/>
        </w:rPr>
        <w:t xml:space="preserve">The case of the Cleveland Clinic can have some beneficial implications for other healthcare </w:t>
      </w:r>
      <w:r w:rsidRPr="00CD38BF">
        <w:rPr>
          <w:rFonts w:ascii="Arial" w:hAnsi="Arial" w:cs="Arial"/>
          <w:color w:val="000000" w:themeColor="text1"/>
          <w:sz w:val="22"/>
          <w:szCs w:val="22"/>
          <w:lang w:val="en-US"/>
        </w:rPr>
        <w:t>organizations</w:t>
      </w:r>
      <w:r w:rsidRPr="00D80BE3">
        <w:rPr>
          <w:rFonts w:ascii="Arial" w:hAnsi="Arial" w:cs="Arial"/>
          <w:color w:val="000000" w:themeColor="text1"/>
          <w:sz w:val="22"/>
          <w:szCs w:val="22"/>
          <w:lang w:val="en-US"/>
        </w:rPr>
        <w:t xml:space="preserve">. Some of the lessons taken include the necessity of possessing a leadership strategy that is innovative and considerate. Once the culture of continuous improvement and flexibility is developed within the </w:t>
      </w:r>
      <w:r w:rsidRPr="00CD38BF">
        <w:rPr>
          <w:rFonts w:ascii="Arial" w:hAnsi="Arial" w:cs="Arial"/>
          <w:color w:val="000000" w:themeColor="text1"/>
          <w:sz w:val="22"/>
          <w:szCs w:val="22"/>
          <w:lang w:val="en-US"/>
        </w:rPr>
        <w:t>organizations</w:t>
      </w:r>
      <w:r w:rsidRPr="00D80BE3">
        <w:rPr>
          <w:rFonts w:ascii="Arial" w:hAnsi="Arial" w:cs="Arial"/>
          <w:color w:val="000000" w:themeColor="text1"/>
          <w:sz w:val="22"/>
          <w:szCs w:val="22"/>
          <w:lang w:val="en-US"/>
        </w:rPr>
        <w:t xml:space="preserve">, then they will be better placed to adopt new technologies like telehealth without witnessing failure. As demonstrated by the leadership at Cleveland Clinic, the latter was capable of balancing the </w:t>
      </w:r>
      <w:r w:rsidRPr="00CD38BF">
        <w:rPr>
          <w:rFonts w:ascii="Arial" w:hAnsi="Arial" w:cs="Arial"/>
          <w:color w:val="000000" w:themeColor="text1"/>
          <w:sz w:val="22"/>
          <w:szCs w:val="22"/>
          <w:lang w:val="en-US"/>
        </w:rPr>
        <w:t>centralized</w:t>
      </w:r>
      <w:r w:rsidRPr="00D80BE3">
        <w:rPr>
          <w:rFonts w:ascii="Arial" w:hAnsi="Arial" w:cs="Arial"/>
          <w:color w:val="000000" w:themeColor="text1"/>
          <w:sz w:val="22"/>
          <w:szCs w:val="22"/>
          <w:lang w:val="en-US"/>
        </w:rPr>
        <w:t xml:space="preserve"> model and the </w:t>
      </w:r>
      <w:r w:rsidRPr="00CD38BF">
        <w:rPr>
          <w:rFonts w:ascii="Arial" w:hAnsi="Arial" w:cs="Arial"/>
          <w:color w:val="000000" w:themeColor="text1"/>
          <w:sz w:val="22"/>
          <w:szCs w:val="22"/>
          <w:lang w:val="en-US"/>
        </w:rPr>
        <w:t>decentralized</w:t>
      </w:r>
      <w:r w:rsidRPr="00D80BE3">
        <w:rPr>
          <w:rFonts w:ascii="Arial" w:hAnsi="Arial" w:cs="Arial"/>
          <w:color w:val="000000" w:themeColor="text1"/>
          <w:sz w:val="22"/>
          <w:szCs w:val="22"/>
          <w:lang w:val="en-US"/>
        </w:rPr>
        <w:t xml:space="preserve"> application of the strategies to enable the clinic to adapt to the newly emerged demands of the patients and the employees during the pandemic (Sinsky et al., 2021). Safety culture: A good safety culture is important, especially in virtual care, and it is one of the primary lessons. The effectiveness and the safety of telehealth services to the patients can be ensured by the focus on patient safety with clear policies and practices (Hamasaki, 2022). Open governance: Transparent governance refers to a process of governance that should be developed by healthcare </w:t>
      </w:r>
      <w:r w:rsidRPr="00CD38BF">
        <w:rPr>
          <w:rFonts w:ascii="Arial" w:hAnsi="Arial" w:cs="Arial"/>
          <w:color w:val="000000" w:themeColor="text1"/>
          <w:sz w:val="22"/>
          <w:szCs w:val="22"/>
          <w:lang w:val="en-US"/>
        </w:rPr>
        <w:t>organizations</w:t>
      </w:r>
      <w:r w:rsidRPr="00D80BE3">
        <w:rPr>
          <w:rFonts w:ascii="Arial" w:hAnsi="Arial" w:cs="Arial"/>
          <w:color w:val="000000" w:themeColor="text1"/>
          <w:sz w:val="22"/>
          <w:szCs w:val="22"/>
          <w:lang w:val="en-US"/>
        </w:rPr>
        <w:t xml:space="preserve"> so that the knowledge is made known to all stakeholders. Employees of any facility become more integrated and informed about the decision-making process when they interact with new technologies and can provide care of better quality (Ternes et al., 2024). Distributed leadership: The other lesson is that there must be distributed leadership. One of the solutions that can be employed to accelerate the process of solving the problem and reducing the number of tasks the top executives have to perform to implement telehealth is employee empowerment (Savoldelli et al., 2024). Systems thinking: Systems thinking helps </w:t>
      </w:r>
      <w:r w:rsidRPr="00CD38BF">
        <w:rPr>
          <w:rFonts w:ascii="Arial" w:hAnsi="Arial" w:cs="Arial"/>
          <w:color w:val="000000" w:themeColor="text1"/>
          <w:sz w:val="22"/>
          <w:szCs w:val="22"/>
          <w:lang w:val="en-US"/>
        </w:rPr>
        <w:t>organizations</w:t>
      </w:r>
      <w:r w:rsidRPr="00D80BE3">
        <w:rPr>
          <w:rFonts w:ascii="Arial" w:hAnsi="Arial" w:cs="Arial"/>
          <w:color w:val="000000" w:themeColor="text1"/>
          <w:sz w:val="22"/>
          <w:szCs w:val="22"/>
          <w:lang w:val="en-US"/>
        </w:rPr>
        <w:t xml:space="preserve"> to learn how other components of the telehealth system, such as technology, employee education and patient care, interact and influence each other. Considering all of these aspects together, </w:t>
      </w:r>
      <w:r w:rsidRPr="00CD38BF">
        <w:rPr>
          <w:rFonts w:ascii="Arial" w:hAnsi="Arial" w:cs="Arial"/>
          <w:color w:val="000000" w:themeColor="text1"/>
          <w:sz w:val="22"/>
          <w:szCs w:val="22"/>
          <w:lang w:val="en-US"/>
        </w:rPr>
        <w:t>organizations</w:t>
      </w:r>
      <w:r w:rsidRPr="00D80BE3">
        <w:rPr>
          <w:rFonts w:ascii="Arial" w:hAnsi="Arial" w:cs="Arial"/>
          <w:color w:val="000000" w:themeColor="text1"/>
          <w:sz w:val="22"/>
          <w:szCs w:val="22"/>
          <w:lang w:val="en-US"/>
        </w:rPr>
        <w:t xml:space="preserve"> can anticipate challenges and ensure that all aspects of telehealth adoption are </w:t>
      </w:r>
      <w:r w:rsidRPr="00CD38BF">
        <w:rPr>
          <w:rFonts w:ascii="Arial" w:hAnsi="Arial" w:cs="Arial"/>
          <w:color w:val="000000" w:themeColor="text1"/>
          <w:sz w:val="22"/>
          <w:szCs w:val="22"/>
          <w:lang w:val="en-US"/>
        </w:rPr>
        <w:t>synchronized</w:t>
      </w:r>
      <w:r w:rsidRPr="00D80BE3">
        <w:rPr>
          <w:rFonts w:ascii="Arial" w:hAnsi="Arial" w:cs="Arial"/>
          <w:color w:val="000000" w:themeColor="text1"/>
          <w:sz w:val="22"/>
          <w:szCs w:val="22"/>
          <w:lang w:val="en-US"/>
        </w:rPr>
        <w:t xml:space="preserve"> to provide the highest quality care (Sinsky et al., 2021).</w:t>
      </w:r>
    </w:p>
    <w:p w14:paraId="69B19CB9" w14:textId="3378E571" w:rsidR="00002E1C" w:rsidRDefault="00002E1C" w:rsidP="00D419F2">
      <w:pPr>
        <w:spacing w:after="0" w:line="360" w:lineRule="auto"/>
        <w:contextualSpacing/>
        <w:jc w:val="both"/>
        <w:rPr>
          <w:rFonts w:ascii="Arial" w:hAnsi="Arial" w:cs="Arial"/>
          <w:color w:val="000000" w:themeColor="text1"/>
          <w:sz w:val="22"/>
          <w:szCs w:val="22"/>
          <w:lang w:val="en-US"/>
        </w:rPr>
      </w:pPr>
      <w:r>
        <w:rPr>
          <w:rFonts w:ascii="Arial" w:hAnsi="Arial" w:cs="Arial"/>
          <w:noProof/>
          <w:color w:val="000000" w:themeColor="text1"/>
          <w:sz w:val="22"/>
          <w:szCs w:val="22"/>
          <w:lang w:val="en-US"/>
        </w:rPr>
        <w:drawing>
          <wp:inline distT="0" distB="0" distL="0" distR="0" wp14:anchorId="249F9FD5" wp14:editId="6EBEE239">
            <wp:extent cx="6499860" cy="3276600"/>
            <wp:effectExtent l="0" t="0" r="0" b="0"/>
            <wp:docPr id="19471007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99860" cy="3276600"/>
                    </a:xfrm>
                    <a:prstGeom prst="rect">
                      <a:avLst/>
                    </a:prstGeom>
                    <a:noFill/>
                  </pic:spPr>
                </pic:pic>
              </a:graphicData>
            </a:graphic>
          </wp:inline>
        </w:drawing>
      </w:r>
    </w:p>
    <w:p w14:paraId="7FBBFB56" w14:textId="42E13E8B" w:rsidR="00002E1C" w:rsidRPr="00002E1C" w:rsidRDefault="00002E1C" w:rsidP="00806A2F">
      <w:pPr>
        <w:pStyle w:val="Caption"/>
        <w:jc w:val="center"/>
        <w:rPr>
          <w:rFonts w:ascii="Arial" w:hAnsi="Arial" w:cs="Arial"/>
          <w:b/>
          <w:bCs/>
          <w:i w:val="0"/>
          <w:iCs w:val="0"/>
          <w:color w:val="auto"/>
          <w:sz w:val="28"/>
          <w:szCs w:val="28"/>
          <w:lang w:val="en-US"/>
        </w:rPr>
      </w:pPr>
      <w:r w:rsidRPr="00002E1C">
        <w:rPr>
          <w:rFonts w:ascii="Arial" w:hAnsi="Arial" w:cs="Arial"/>
          <w:b/>
          <w:bCs/>
          <w:i w:val="0"/>
          <w:iCs w:val="0"/>
          <w:color w:val="auto"/>
          <w:sz w:val="22"/>
          <w:szCs w:val="22"/>
        </w:rPr>
        <w:t xml:space="preserve">Figure </w:t>
      </w:r>
      <w:r w:rsidRPr="00002E1C">
        <w:rPr>
          <w:rFonts w:ascii="Arial" w:hAnsi="Arial" w:cs="Arial"/>
          <w:b/>
          <w:bCs/>
          <w:i w:val="0"/>
          <w:iCs w:val="0"/>
          <w:color w:val="auto"/>
          <w:sz w:val="22"/>
          <w:szCs w:val="22"/>
        </w:rPr>
        <w:fldChar w:fldCharType="begin"/>
      </w:r>
      <w:r w:rsidRPr="00002E1C">
        <w:rPr>
          <w:rFonts w:ascii="Arial" w:hAnsi="Arial" w:cs="Arial"/>
          <w:b/>
          <w:bCs/>
          <w:i w:val="0"/>
          <w:iCs w:val="0"/>
          <w:color w:val="auto"/>
          <w:sz w:val="22"/>
          <w:szCs w:val="22"/>
        </w:rPr>
        <w:instrText xml:space="preserve"> SEQ Figure \* ARABIC </w:instrText>
      </w:r>
      <w:r w:rsidRPr="00002E1C">
        <w:rPr>
          <w:rFonts w:ascii="Arial" w:hAnsi="Arial" w:cs="Arial"/>
          <w:b/>
          <w:bCs/>
          <w:i w:val="0"/>
          <w:iCs w:val="0"/>
          <w:color w:val="auto"/>
          <w:sz w:val="22"/>
          <w:szCs w:val="22"/>
        </w:rPr>
        <w:fldChar w:fldCharType="separate"/>
      </w:r>
      <w:r w:rsidRPr="00002E1C">
        <w:rPr>
          <w:rFonts w:ascii="Arial" w:hAnsi="Arial" w:cs="Arial"/>
          <w:b/>
          <w:bCs/>
          <w:i w:val="0"/>
          <w:iCs w:val="0"/>
          <w:noProof/>
          <w:color w:val="auto"/>
          <w:sz w:val="22"/>
          <w:szCs w:val="22"/>
        </w:rPr>
        <w:t>4</w:t>
      </w:r>
      <w:r w:rsidRPr="00002E1C">
        <w:rPr>
          <w:rFonts w:ascii="Arial" w:hAnsi="Arial" w:cs="Arial"/>
          <w:b/>
          <w:bCs/>
          <w:i w:val="0"/>
          <w:iCs w:val="0"/>
          <w:color w:val="auto"/>
          <w:sz w:val="22"/>
          <w:szCs w:val="22"/>
        </w:rPr>
        <w:fldChar w:fldCharType="end"/>
      </w:r>
      <w:r w:rsidRPr="00002E1C">
        <w:rPr>
          <w:rFonts w:ascii="Arial" w:hAnsi="Arial" w:cs="Arial"/>
          <w:b/>
          <w:bCs/>
          <w:i w:val="0"/>
          <w:iCs w:val="0"/>
          <w:color w:val="auto"/>
          <w:sz w:val="22"/>
          <w:szCs w:val="22"/>
        </w:rPr>
        <w:t xml:space="preserve"> Cleveland Clinic telehealth improvement infographic</w:t>
      </w:r>
    </w:p>
    <w:p w14:paraId="79D64570" w14:textId="77777777"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b/>
          <w:bCs/>
          <w:color w:val="000000" w:themeColor="text1"/>
          <w:sz w:val="22"/>
          <w:szCs w:val="22"/>
          <w:lang w:val="en-US"/>
        </w:rPr>
        <w:t>3. Recommendations</w:t>
      </w:r>
    </w:p>
    <w:p w14:paraId="2C32C3DD" w14:textId="76EE63FE"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color w:val="000000" w:themeColor="text1"/>
          <w:sz w:val="22"/>
          <w:szCs w:val="22"/>
          <w:lang w:val="en-US"/>
        </w:rPr>
        <w:t xml:space="preserve">Telehealth development in the Cleveland Clinic is already highly developed, and there is still an opportunity to enhance patient care and efficiency (Mahar, Rosencrance and Rasmussen, 2018). The emphasis on integrating the latest technology, such as using artificial intelligence to assist the diagnostic process, wearables to keep track of health in real-time, and the tools connected to augmented reality to communicate with the patient, will increase the services of telehealth (Savage et al., 2021). The improved communication with patients through user-friendly and intuitive platforms will simplify the implementation and allow patients to self-manage at home (Craighead et al., 2022). By introducing a distributed leadership model, the staff at all levels will be able to address the issues related to operation and patients in a more efficient manner (Savage et al., 2022). One possible solution is </w:t>
      </w:r>
      <w:r w:rsidRPr="00CD38BF">
        <w:rPr>
          <w:rFonts w:ascii="Arial" w:hAnsi="Arial" w:cs="Arial"/>
          <w:color w:val="000000" w:themeColor="text1"/>
          <w:sz w:val="22"/>
          <w:szCs w:val="22"/>
          <w:lang w:val="en-US"/>
        </w:rPr>
        <w:t>decentralization</w:t>
      </w:r>
      <w:r w:rsidRPr="00D80BE3">
        <w:rPr>
          <w:rFonts w:ascii="Arial" w:hAnsi="Arial" w:cs="Arial"/>
          <w:color w:val="000000" w:themeColor="text1"/>
          <w:sz w:val="22"/>
          <w:szCs w:val="22"/>
          <w:lang w:val="en-US"/>
        </w:rPr>
        <w:t xml:space="preserve"> of decisions, which would permit frontline teams to respond swiftly to the issues of technology in place and make the telehealth processes feel accountable and owned (Sinsky, Jerzak &amp; Hopkins, 2021). The quality of communication between the staff and the leadership will be enhanced; the frequent updates, the loop of feedback, and appropriate reporting options will ensure that all people will move collectively to address the emergent concerns in time (Demeke &amp; Umeakunne, 2022). The growth of patient demand and the optimal resource allocation, particularly in rural and poorly-served neighborhoods, will be supported by digital infrastructure investment (fast servers, secure data storage, resourcing tools, etc.) (Ternes et al., 2024; Okrent, 2015). The barriers to the remote populations will be erased due to access to broadband and digital literacy programs, and more equal access to telehealth will be gained (Sinsky, Jerzak, &amp; Hopkins, 2021). Training, webinars, and workshops as part of introducing continuous learning into the telehealth culture will equip healthcare providers with changes in technologies and those of patients' needs (Savage et al., 2021). The co-design of telehealth services by the patients will ensure patient-</w:t>
      </w:r>
      <w:r w:rsidRPr="00CD38BF">
        <w:rPr>
          <w:rFonts w:ascii="Arial" w:hAnsi="Arial" w:cs="Arial"/>
          <w:color w:val="000000" w:themeColor="text1"/>
          <w:sz w:val="22"/>
          <w:szCs w:val="22"/>
          <w:lang w:val="en-US"/>
        </w:rPr>
        <w:t>centered</w:t>
      </w:r>
      <w:r w:rsidRPr="00D80BE3">
        <w:rPr>
          <w:rFonts w:ascii="Arial" w:hAnsi="Arial" w:cs="Arial"/>
          <w:color w:val="000000" w:themeColor="text1"/>
          <w:sz w:val="22"/>
          <w:szCs w:val="22"/>
          <w:lang w:val="en-US"/>
        </w:rPr>
        <w:t xml:space="preserve"> care and improve patient satisfaction and outcomes (Adeogun &amp; Faezipour, 2025; Craighead et al., 2022). These measures will enable Cleveland Clinic to proceed with its growth in telehealth and provide high-quality, safe, and efficient care to patients (Mahar, Rosencrance and Rasmussen, 2018).</w:t>
      </w:r>
    </w:p>
    <w:p w14:paraId="3290B799" w14:textId="77777777"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b/>
          <w:bCs/>
          <w:color w:val="000000" w:themeColor="text1"/>
          <w:sz w:val="22"/>
          <w:szCs w:val="22"/>
          <w:lang w:val="en-US"/>
        </w:rPr>
        <w:t>Conclusion</w:t>
      </w:r>
    </w:p>
    <w:p w14:paraId="74E038E7" w14:textId="14F88092" w:rsidR="00D80BE3" w:rsidRPr="00D80BE3" w:rsidRDefault="00D80BE3" w:rsidP="00D419F2">
      <w:pPr>
        <w:spacing w:after="0" w:line="360" w:lineRule="auto"/>
        <w:contextualSpacing/>
        <w:jc w:val="both"/>
        <w:rPr>
          <w:rFonts w:ascii="Arial" w:hAnsi="Arial" w:cs="Arial"/>
          <w:color w:val="000000" w:themeColor="text1"/>
          <w:sz w:val="22"/>
          <w:szCs w:val="22"/>
          <w:lang w:val="en-US"/>
        </w:rPr>
      </w:pPr>
      <w:r w:rsidRPr="00D80BE3">
        <w:rPr>
          <w:rFonts w:ascii="Arial" w:hAnsi="Arial" w:cs="Arial"/>
          <w:color w:val="000000" w:themeColor="text1"/>
          <w:sz w:val="22"/>
          <w:szCs w:val="22"/>
          <w:lang w:val="en-US"/>
        </w:rPr>
        <w:t xml:space="preserve">The most noticeable issue that occurred during the evolution of telehealth at the Cleveland Clinic was continuity of care to long-term patients and the speed of developing telemedicine services (Mahar, Rosencrance &amp; Rasmussen, 2018). Although the program was successful in making patients more accessible, other issues, such as the lack of training of medical workers and the lack of integration of remote monitoring equipment, were also demonstrated (Savage et al., 2022). During the early stages, the failure of leadership and governance was observed, in particular, due to the lack of a policy in the field of escalation and communication failures (Shaver, 2022). Despite the adoption of a hybrid leadership model in the Cleveland Clinic, the </w:t>
      </w:r>
      <w:r w:rsidRPr="00CD38BF">
        <w:rPr>
          <w:rFonts w:ascii="Arial" w:hAnsi="Arial" w:cs="Arial"/>
          <w:color w:val="000000" w:themeColor="text1"/>
          <w:sz w:val="22"/>
          <w:szCs w:val="22"/>
          <w:lang w:val="en-US"/>
        </w:rPr>
        <w:t>decentralized</w:t>
      </w:r>
      <w:r w:rsidRPr="00D80BE3">
        <w:rPr>
          <w:rFonts w:ascii="Arial" w:hAnsi="Arial" w:cs="Arial"/>
          <w:color w:val="000000" w:themeColor="text1"/>
          <w:sz w:val="22"/>
          <w:szCs w:val="22"/>
          <w:lang w:val="en-US"/>
        </w:rPr>
        <w:t xml:space="preserve"> decision-making process introduced certain inefficiency in certain situations, especially in responding to technology-related and patient care concerns promptly (Sinsky, Jerzak and Hopkins, 2021). Moreover, the absence of communication among the leadership and frontline employees complicated the successful structuring of the current situation and the timely removal of emerging issues (Rose et al., 2021). </w:t>
      </w:r>
      <w:r w:rsidRPr="00CD38BF">
        <w:rPr>
          <w:rFonts w:ascii="Arial" w:hAnsi="Arial" w:cs="Arial"/>
          <w:color w:val="000000" w:themeColor="text1"/>
          <w:sz w:val="22"/>
          <w:szCs w:val="22"/>
          <w:lang w:val="en-US"/>
        </w:rPr>
        <w:t>Organizational</w:t>
      </w:r>
      <w:r w:rsidRPr="00D80BE3">
        <w:rPr>
          <w:rFonts w:ascii="Arial" w:hAnsi="Arial" w:cs="Arial"/>
          <w:color w:val="000000" w:themeColor="text1"/>
          <w:sz w:val="22"/>
          <w:szCs w:val="22"/>
          <w:lang w:val="en-US"/>
        </w:rPr>
        <w:t xml:space="preserve"> structure served as a powerful tool to ensure that the Cleveland Clinic could introduce the use of telehealth in an effective way. The flexibility in the clinic level was facilitated by the hybrid model, and </w:t>
      </w:r>
      <w:r w:rsidRPr="00CD38BF">
        <w:rPr>
          <w:rFonts w:ascii="Arial" w:hAnsi="Arial" w:cs="Arial"/>
          <w:color w:val="000000" w:themeColor="text1"/>
          <w:sz w:val="22"/>
          <w:szCs w:val="22"/>
          <w:lang w:val="en-US"/>
        </w:rPr>
        <w:t>centralized</w:t>
      </w:r>
      <w:r w:rsidRPr="00D80BE3">
        <w:rPr>
          <w:rFonts w:ascii="Arial" w:hAnsi="Arial" w:cs="Arial"/>
          <w:color w:val="000000" w:themeColor="text1"/>
          <w:sz w:val="22"/>
          <w:szCs w:val="22"/>
          <w:lang w:val="en-US"/>
        </w:rPr>
        <w:t xml:space="preserve"> leadership ensured the existence of an alignment towards high-level strategic goals (Siwicki, 2023). However, this </w:t>
      </w:r>
      <w:r w:rsidRPr="00CD38BF">
        <w:rPr>
          <w:rFonts w:ascii="Arial" w:hAnsi="Arial" w:cs="Arial"/>
          <w:color w:val="000000" w:themeColor="text1"/>
          <w:sz w:val="22"/>
          <w:szCs w:val="22"/>
          <w:lang w:val="en-US"/>
        </w:rPr>
        <w:t>organization</w:t>
      </w:r>
      <w:r w:rsidRPr="00D80BE3">
        <w:rPr>
          <w:rFonts w:ascii="Arial" w:hAnsi="Arial" w:cs="Arial"/>
          <w:color w:val="000000" w:themeColor="text1"/>
          <w:sz w:val="22"/>
          <w:szCs w:val="22"/>
          <w:lang w:val="en-US"/>
        </w:rPr>
        <w:t xml:space="preserve"> was forced to be empowered with better communication lines to be able to derive the maximum out of it (Lang, 2022). A systems thinking approach would have allowed the Cleveland Clinic to anticipate the challenges more in the future and align all parts of the telehealth system to facilitate a streamlined care delivery (Shin et al., 2022). The presence of a culture of lifelong learning, effective communication, and staff training can contribute to the improvement of patient safety (Sinsky, Jerzak and Hopkins, 2021). Lastly, effective leadership will continue to be required to facilitate innovation, patient outcomes, and long-term success of the telehealth services (Lang, 2022; Mahar, Rosencrance &amp; Rasmussen, 2018).</w:t>
      </w:r>
    </w:p>
    <w:bookmarkEnd w:id="0"/>
    <w:bookmarkEnd w:id="1"/>
    <w:p w14:paraId="1749F577" w14:textId="77777777" w:rsidR="00D419F2" w:rsidRDefault="00D419F2" w:rsidP="00D419F2">
      <w:pPr>
        <w:spacing w:line="360" w:lineRule="auto"/>
        <w:jc w:val="both"/>
        <w:rPr>
          <w:rFonts w:ascii="Arial" w:hAnsi="Arial" w:cs="Arial"/>
          <w:sz w:val="22"/>
          <w:szCs w:val="22"/>
        </w:rPr>
      </w:pPr>
    </w:p>
    <w:p w14:paraId="2C504BB1" w14:textId="77777777" w:rsidR="00D419F2" w:rsidRDefault="00D419F2" w:rsidP="00D419F2">
      <w:pPr>
        <w:spacing w:line="360" w:lineRule="auto"/>
        <w:jc w:val="both"/>
        <w:rPr>
          <w:rFonts w:ascii="Arial" w:hAnsi="Arial" w:cs="Arial"/>
          <w:sz w:val="22"/>
          <w:szCs w:val="22"/>
        </w:rPr>
      </w:pPr>
    </w:p>
    <w:p w14:paraId="587454F7" w14:textId="77777777" w:rsidR="00D419F2" w:rsidRDefault="00D419F2" w:rsidP="00D419F2">
      <w:pPr>
        <w:spacing w:line="360" w:lineRule="auto"/>
        <w:jc w:val="both"/>
        <w:rPr>
          <w:rFonts w:ascii="Arial" w:hAnsi="Arial" w:cs="Arial"/>
          <w:sz w:val="22"/>
          <w:szCs w:val="22"/>
        </w:rPr>
      </w:pPr>
    </w:p>
    <w:p w14:paraId="3D21C245" w14:textId="1F74A1EA" w:rsidR="00BB7235" w:rsidRPr="009A3A3B" w:rsidRDefault="00BB7235" w:rsidP="009A3A3B">
      <w:pPr>
        <w:tabs>
          <w:tab w:val="left" w:pos="630"/>
        </w:tabs>
        <w:spacing w:line="360" w:lineRule="auto"/>
        <w:jc w:val="both"/>
        <w:rPr>
          <w:rFonts w:ascii="Arial" w:hAnsi="Arial" w:cs="Arial"/>
          <w:b/>
          <w:bCs/>
          <w:sz w:val="22"/>
          <w:szCs w:val="22"/>
        </w:rPr>
      </w:pPr>
      <w:r w:rsidRPr="009A3A3B">
        <w:rPr>
          <w:rFonts w:ascii="Arial" w:hAnsi="Arial" w:cs="Arial"/>
          <w:b/>
          <w:bCs/>
          <w:sz w:val="22"/>
          <w:szCs w:val="22"/>
        </w:rPr>
        <w:t>Reference</w:t>
      </w:r>
      <w:r w:rsidR="004C2883" w:rsidRPr="009A3A3B">
        <w:rPr>
          <w:rFonts w:ascii="Arial" w:hAnsi="Arial" w:cs="Arial"/>
          <w:b/>
          <w:bCs/>
          <w:sz w:val="22"/>
          <w:szCs w:val="22"/>
        </w:rPr>
        <w:t xml:space="preserve"> list</w:t>
      </w:r>
    </w:p>
    <w:p w14:paraId="22406B90" w14:textId="647C0ECE" w:rsidR="000D7F72" w:rsidRPr="00CD38BF" w:rsidRDefault="000D7F72" w:rsidP="00D419F2">
      <w:pPr>
        <w:pStyle w:val="NormalWeb"/>
        <w:spacing w:before="0" w:beforeAutospacing="0" w:after="0" w:afterAutospacing="0" w:line="360" w:lineRule="auto"/>
        <w:ind w:left="720" w:hanging="720"/>
        <w:contextualSpacing/>
        <w:rPr>
          <w:rFonts w:ascii="Arial" w:hAnsi="Arial" w:cs="Arial"/>
          <w:color w:val="000000"/>
          <w:sz w:val="22"/>
          <w:szCs w:val="22"/>
        </w:rPr>
      </w:pPr>
      <w:bookmarkStart w:id="2" w:name="_Hlk224477096"/>
      <w:r>
        <w:rPr>
          <w:color w:val="000000"/>
        </w:rPr>
        <w:t>‌</w:t>
      </w:r>
      <w:r w:rsidRPr="00344ED7">
        <w:rPr>
          <w:color w:val="000000"/>
        </w:rPr>
        <w:t xml:space="preserve"> </w:t>
      </w:r>
      <w:r w:rsidRPr="00CD38BF">
        <w:rPr>
          <w:rFonts w:ascii="Arial" w:hAnsi="Arial" w:cs="Arial"/>
          <w:color w:val="000000"/>
          <w:sz w:val="22"/>
          <w:szCs w:val="22"/>
        </w:rPr>
        <w:t>Adeogun, A &amp; Faezipour, M 2025, ‘Assessing the Impact of Telemedicine on Patient</w:t>
      </w:r>
      <w:r w:rsidR="00D419F2">
        <w:rPr>
          <w:rFonts w:ascii="Arial" w:hAnsi="Arial" w:cs="Arial"/>
          <w:color w:val="000000"/>
          <w:sz w:val="22"/>
          <w:szCs w:val="22"/>
        </w:rPr>
        <w:t xml:space="preserve"> </w:t>
      </w:r>
      <w:r w:rsidRPr="00CD38BF">
        <w:rPr>
          <w:rFonts w:ascii="Arial" w:hAnsi="Arial" w:cs="Arial"/>
          <w:color w:val="000000"/>
          <w:sz w:val="22"/>
          <w:szCs w:val="22"/>
        </w:rPr>
        <w:t>Satisfaction Before and During the COVID-19 Pandemic’, </w:t>
      </w:r>
      <w:r w:rsidRPr="00CD38BF">
        <w:rPr>
          <w:rFonts w:ascii="Arial" w:hAnsi="Arial" w:cs="Arial"/>
          <w:i/>
          <w:iCs/>
          <w:color w:val="000000"/>
          <w:sz w:val="22"/>
          <w:szCs w:val="22"/>
        </w:rPr>
        <w:t>Healthcare</w:t>
      </w:r>
      <w:r w:rsidRPr="00CD38BF">
        <w:rPr>
          <w:rFonts w:ascii="Arial" w:hAnsi="Arial" w:cs="Arial"/>
          <w:color w:val="000000"/>
          <w:sz w:val="22"/>
          <w:szCs w:val="22"/>
        </w:rPr>
        <w:t xml:space="preserve">, vol. 13, MDPI AG, no. 17, p. 2095, viewed 15 March 2026, </w:t>
      </w:r>
      <w:hyperlink r:id="rId13" w:history="1">
        <w:r w:rsidRPr="00CD38BF">
          <w:rPr>
            <w:rStyle w:val="Hyperlink"/>
            <w:rFonts w:ascii="Arial" w:hAnsi="Arial" w:cs="Arial"/>
            <w:sz w:val="22"/>
            <w:szCs w:val="22"/>
          </w:rPr>
          <w:t>https://www.mdpi.com/2227-9032/13/17/2095</w:t>
        </w:r>
      </w:hyperlink>
      <w:r w:rsidRPr="00CD38BF">
        <w:rPr>
          <w:rFonts w:ascii="Arial" w:hAnsi="Arial" w:cs="Arial"/>
          <w:color w:val="000000"/>
          <w:sz w:val="22"/>
          <w:szCs w:val="22"/>
        </w:rPr>
        <w:t>.</w:t>
      </w:r>
    </w:p>
    <w:p w14:paraId="33A56118" w14:textId="77777777" w:rsidR="000D7F72" w:rsidRPr="00CD38BF" w:rsidRDefault="000D7F72" w:rsidP="00D419F2">
      <w:pPr>
        <w:pStyle w:val="NormalWeb"/>
        <w:spacing w:before="0" w:beforeAutospacing="0" w:after="0" w:afterAutospacing="0" w:line="360" w:lineRule="auto"/>
        <w:ind w:left="720" w:hanging="720"/>
        <w:contextualSpacing/>
        <w:rPr>
          <w:rFonts w:ascii="Arial" w:hAnsi="Arial" w:cs="Arial"/>
          <w:color w:val="000000"/>
          <w:sz w:val="22"/>
          <w:szCs w:val="22"/>
        </w:rPr>
      </w:pPr>
      <w:r w:rsidRPr="00CD38BF">
        <w:rPr>
          <w:rFonts w:ascii="Arial" w:hAnsi="Arial" w:cs="Arial"/>
          <w:color w:val="000000"/>
          <w:sz w:val="22"/>
          <w:szCs w:val="22"/>
        </w:rPr>
        <w:t>Althumairi, A, AlHabib, AF, Alumran, A &amp; Alakrawi, Z 2022, ‘Healthcare Providers’ Satisfaction with Implementation of Telemedicine in Ambulatory Care during COVID-19’, </w:t>
      </w:r>
      <w:r w:rsidRPr="00CD38BF">
        <w:rPr>
          <w:rFonts w:ascii="Arial" w:hAnsi="Arial" w:cs="Arial"/>
          <w:i/>
          <w:iCs/>
          <w:color w:val="000000"/>
          <w:sz w:val="22"/>
          <w:szCs w:val="22"/>
        </w:rPr>
        <w:t>Healthcare</w:t>
      </w:r>
      <w:r w:rsidRPr="00CD38BF">
        <w:rPr>
          <w:rFonts w:ascii="Arial" w:hAnsi="Arial" w:cs="Arial"/>
          <w:color w:val="000000"/>
          <w:sz w:val="22"/>
          <w:szCs w:val="22"/>
        </w:rPr>
        <w:t xml:space="preserve">, vol. 10, MDPI AG, no. 7, p. 1169, viewed 15 March 2026, </w:t>
      </w:r>
      <w:hyperlink r:id="rId14" w:history="1">
        <w:r w:rsidRPr="00CD38BF">
          <w:rPr>
            <w:rStyle w:val="Hyperlink"/>
            <w:rFonts w:ascii="Arial" w:hAnsi="Arial" w:cs="Arial"/>
            <w:sz w:val="22"/>
            <w:szCs w:val="22"/>
          </w:rPr>
          <w:t>https://www.mdpi.com/2227-9032/10/7/1169</w:t>
        </w:r>
      </w:hyperlink>
      <w:r w:rsidRPr="00CD38BF">
        <w:rPr>
          <w:rFonts w:ascii="Arial" w:hAnsi="Arial" w:cs="Arial"/>
          <w:color w:val="000000"/>
          <w:sz w:val="22"/>
          <w:szCs w:val="22"/>
        </w:rPr>
        <w:t>.</w:t>
      </w:r>
    </w:p>
    <w:p w14:paraId="6A8AAAC3" w14:textId="77777777" w:rsidR="000D7F72" w:rsidRPr="00CD38BF" w:rsidRDefault="000D7F72" w:rsidP="00D419F2">
      <w:pPr>
        <w:pStyle w:val="NormalWeb"/>
        <w:spacing w:before="0" w:beforeAutospacing="0" w:after="0" w:afterAutospacing="0" w:line="360" w:lineRule="auto"/>
        <w:ind w:left="720" w:hanging="720"/>
        <w:contextualSpacing/>
        <w:rPr>
          <w:rFonts w:ascii="Arial" w:hAnsi="Arial" w:cs="Arial"/>
          <w:color w:val="000000"/>
          <w:sz w:val="22"/>
          <w:szCs w:val="22"/>
        </w:rPr>
      </w:pPr>
      <w:r w:rsidRPr="00CD38BF">
        <w:rPr>
          <w:rFonts w:ascii="Arial" w:hAnsi="Arial" w:cs="Arial"/>
          <w:color w:val="000000"/>
          <w:sz w:val="22"/>
          <w:szCs w:val="22"/>
        </w:rPr>
        <w:t>Bashshur, R, Doarn, CR, Frenk, JM, Kvedar, JC &amp; Woolliscroft, JO 2020, ‘Telemedicine and the COVID-19 Pandemic, Lessons for the Future’, </w:t>
      </w:r>
      <w:r w:rsidRPr="00CD38BF">
        <w:rPr>
          <w:rFonts w:ascii="Arial" w:hAnsi="Arial" w:cs="Arial"/>
          <w:i/>
          <w:iCs/>
          <w:color w:val="000000"/>
          <w:sz w:val="22"/>
          <w:szCs w:val="22"/>
        </w:rPr>
        <w:t>Telemedicine and e-Health</w:t>
      </w:r>
      <w:r w:rsidRPr="00CD38BF">
        <w:rPr>
          <w:rFonts w:ascii="Arial" w:hAnsi="Arial" w:cs="Arial"/>
          <w:color w:val="000000"/>
          <w:sz w:val="22"/>
          <w:szCs w:val="22"/>
        </w:rPr>
        <w:t xml:space="preserve">, vol. 26, SAGE Publications, no. 5, pp. 571–573, viewed 15 March 2026, </w:t>
      </w:r>
      <w:hyperlink r:id="rId15" w:history="1">
        <w:r w:rsidRPr="00CD38BF">
          <w:rPr>
            <w:rStyle w:val="Hyperlink"/>
            <w:rFonts w:ascii="Arial" w:hAnsi="Arial" w:cs="Arial"/>
            <w:sz w:val="22"/>
            <w:szCs w:val="22"/>
          </w:rPr>
          <w:t>https://pubmed.ncbi.nlm.nih.gov/32275485/</w:t>
        </w:r>
      </w:hyperlink>
      <w:r w:rsidRPr="00CD38BF">
        <w:rPr>
          <w:rFonts w:ascii="Arial" w:hAnsi="Arial" w:cs="Arial"/>
          <w:color w:val="000000"/>
          <w:sz w:val="22"/>
          <w:szCs w:val="22"/>
        </w:rPr>
        <w:t>.</w:t>
      </w:r>
    </w:p>
    <w:p w14:paraId="64C5DAE5" w14:textId="77777777" w:rsidR="000D7F72" w:rsidRPr="00CD38BF" w:rsidRDefault="000D7F72" w:rsidP="00D419F2">
      <w:pPr>
        <w:pStyle w:val="NormalWeb"/>
        <w:spacing w:before="0" w:beforeAutospacing="0" w:after="0" w:afterAutospacing="0" w:line="360" w:lineRule="auto"/>
        <w:ind w:left="720" w:hanging="720"/>
        <w:contextualSpacing/>
        <w:rPr>
          <w:rFonts w:ascii="Arial" w:hAnsi="Arial" w:cs="Arial"/>
          <w:color w:val="000000"/>
          <w:sz w:val="22"/>
          <w:szCs w:val="22"/>
        </w:rPr>
      </w:pPr>
      <w:r w:rsidRPr="00CD38BF">
        <w:rPr>
          <w:rFonts w:ascii="Arial" w:hAnsi="Arial" w:cs="Arial"/>
          <w:color w:val="000000"/>
          <w:sz w:val="22"/>
          <w:szCs w:val="22"/>
        </w:rPr>
        <w:t>Bernuzzi, C, Piccardo, MA &amp; Guglielmetti, C 2025, ‘Mapping Research Trends on the Implications of Telemedicine for Healthcare Professionals: A Comprehensive Bibliometric Analysis’, </w:t>
      </w:r>
      <w:r w:rsidRPr="00CD38BF">
        <w:rPr>
          <w:rFonts w:ascii="Arial" w:hAnsi="Arial" w:cs="Arial"/>
          <w:i/>
          <w:iCs/>
          <w:color w:val="000000"/>
          <w:sz w:val="22"/>
          <w:szCs w:val="22"/>
        </w:rPr>
        <w:t>Healthcare</w:t>
      </w:r>
      <w:r w:rsidRPr="00CD38BF">
        <w:rPr>
          <w:rFonts w:ascii="Arial" w:hAnsi="Arial" w:cs="Arial"/>
          <w:color w:val="000000"/>
          <w:sz w:val="22"/>
          <w:szCs w:val="22"/>
        </w:rPr>
        <w:t xml:space="preserve">, vol. 13, MDPI AG, no. 10, p. 1149, viewed 15 March 2026, </w:t>
      </w:r>
      <w:hyperlink r:id="rId16" w:history="1">
        <w:r w:rsidRPr="00CD38BF">
          <w:rPr>
            <w:rStyle w:val="Hyperlink"/>
            <w:rFonts w:ascii="Arial" w:hAnsi="Arial" w:cs="Arial"/>
            <w:sz w:val="22"/>
            <w:szCs w:val="22"/>
          </w:rPr>
          <w:t>https://www.mdpi.com/2227-9032/13/10/1149</w:t>
        </w:r>
      </w:hyperlink>
      <w:r w:rsidRPr="00CD38BF">
        <w:rPr>
          <w:rFonts w:ascii="Arial" w:hAnsi="Arial" w:cs="Arial"/>
          <w:color w:val="000000"/>
          <w:sz w:val="22"/>
          <w:szCs w:val="22"/>
        </w:rPr>
        <w:t>.</w:t>
      </w:r>
    </w:p>
    <w:p w14:paraId="156B7E27" w14:textId="77777777" w:rsidR="000D7F72" w:rsidRPr="00CD38BF" w:rsidRDefault="000D7F72" w:rsidP="00D419F2">
      <w:pPr>
        <w:pStyle w:val="NormalWeb"/>
        <w:spacing w:before="0" w:beforeAutospacing="0" w:after="0" w:afterAutospacing="0" w:line="360" w:lineRule="auto"/>
        <w:ind w:left="720" w:hanging="720"/>
        <w:contextualSpacing/>
        <w:rPr>
          <w:rFonts w:ascii="Arial" w:hAnsi="Arial" w:cs="Arial"/>
          <w:color w:val="000000"/>
          <w:sz w:val="22"/>
          <w:szCs w:val="22"/>
        </w:rPr>
      </w:pPr>
      <w:r w:rsidRPr="00CD38BF">
        <w:rPr>
          <w:rFonts w:ascii="Arial" w:hAnsi="Arial" w:cs="Arial"/>
          <w:color w:val="000000"/>
          <w:sz w:val="22"/>
          <w:szCs w:val="22"/>
        </w:rPr>
        <w:t>Bettencourt, N, Wilson, CJ, Johnson, PJ &amp; D’Souza, F 2023, ‘A Rebalancing of Financial Valuations and Expectations Moving Forward in the Telehealth Sector as the United States Moves Toward a Post-COVID-19 Reality’, </w:t>
      </w:r>
      <w:r w:rsidRPr="00CD38BF">
        <w:rPr>
          <w:rFonts w:ascii="Arial" w:hAnsi="Arial" w:cs="Arial"/>
          <w:i/>
          <w:iCs/>
          <w:color w:val="000000"/>
          <w:sz w:val="22"/>
          <w:szCs w:val="22"/>
        </w:rPr>
        <w:t>Journal of Medical Internet Research</w:t>
      </w:r>
      <w:r w:rsidRPr="00CD38BF">
        <w:rPr>
          <w:rFonts w:ascii="Arial" w:hAnsi="Arial" w:cs="Arial"/>
          <w:color w:val="000000"/>
          <w:sz w:val="22"/>
          <w:szCs w:val="22"/>
        </w:rPr>
        <w:t xml:space="preserve">, vol. 25, JMIR Publications Inc., p. e35857, viewed 15 March 2026, </w:t>
      </w:r>
      <w:hyperlink r:id="rId17" w:history="1">
        <w:r w:rsidRPr="00CD38BF">
          <w:rPr>
            <w:rStyle w:val="Hyperlink"/>
            <w:rFonts w:ascii="Arial" w:hAnsi="Arial" w:cs="Arial"/>
            <w:sz w:val="22"/>
            <w:szCs w:val="22"/>
          </w:rPr>
          <w:t>https://www.jmir.org/2023/1/e35857/PDF</w:t>
        </w:r>
      </w:hyperlink>
      <w:r w:rsidRPr="00CD38BF">
        <w:rPr>
          <w:rFonts w:ascii="Arial" w:hAnsi="Arial" w:cs="Arial"/>
          <w:color w:val="000000"/>
          <w:sz w:val="22"/>
          <w:szCs w:val="22"/>
        </w:rPr>
        <w:t>.</w:t>
      </w:r>
    </w:p>
    <w:p w14:paraId="57D3546A" w14:textId="77777777" w:rsidR="000D7F72" w:rsidRPr="00CD38BF" w:rsidRDefault="000D7F72" w:rsidP="00D419F2">
      <w:pPr>
        <w:spacing w:after="0" w:line="360" w:lineRule="auto"/>
        <w:ind w:left="720" w:hanging="720"/>
        <w:contextualSpacing/>
        <w:rPr>
          <w:rFonts w:ascii="Arial" w:hAnsi="Arial" w:cs="Arial"/>
          <w:sz w:val="22"/>
          <w:szCs w:val="22"/>
          <w:lang w:val="en-US"/>
        </w:rPr>
      </w:pPr>
      <w:r w:rsidRPr="00CD38BF">
        <w:rPr>
          <w:rFonts w:ascii="Arial" w:hAnsi="Arial" w:cs="Arial"/>
          <w:sz w:val="22"/>
          <w:szCs w:val="22"/>
          <w:lang w:val="en-US"/>
        </w:rPr>
        <w:t>Craighead, CG, Collart, C, Frankel, R, Rose, S, Misra-Hebert, AD, Tucker Edmonds, B, Michie, M, Chien, E, Coleridge, M, Goje, O, Ranzini, AC &amp; Farrell, RM 2022, ‘Impact of Telehealth on the Delivery of Prenatal Care During the COVID-19 Pandemic: Mixed Methods Study of the Barriers and Opportunities to Improve Health Care Communication in Discussions About Pregnancy and Prenatal Genetic Testing’, </w:t>
      </w:r>
      <w:r w:rsidRPr="00CD38BF">
        <w:rPr>
          <w:rFonts w:ascii="Arial" w:hAnsi="Arial" w:cs="Arial"/>
          <w:i/>
          <w:iCs/>
          <w:sz w:val="22"/>
          <w:szCs w:val="22"/>
          <w:lang w:val="en-US"/>
        </w:rPr>
        <w:t>JMIR Formative Research</w:t>
      </w:r>
      <w:r w:rsidRPr="00CD38BF">
        <w:rPr>
          <w:rFonts w:ascii="Arial" w:hAnsi="Arial" w:cs="Arial"/>
          <w:sz w:val="22"/>
          <w:szCs w:val="22"/>
          <w:lang w:val="en-US"/>
        </w:rPr>
        <w:t xml:space="preserve">, vol. 6, JMIR Publications Inc., no. 12, p. e38821, viewed 15 March 2026, </w:t>
      </w:r>
      <w:hyperlink r:id="rId18" w:history="1">
        <w:r w:rsidRPr="00CD38BF">
          <w:rPr>
            <w:rStyle w:val="Hyperlink"/>
            <w:rFonts w:ascii="Arial" w:hAnsi="Arial" w:cs="Arial"/>
            <w:sz w:val="22"/>
            <w:szCs w:val="22"/>
            <w:lang w:val="en-US"/>
          </w:rPr>
          <w:t>https://formative.jmir.org/2022/12/e38821/PDF</w:t>
        </w:r>
      </w:hyperlink>
      <w:r w:rsidRPr="00CD38BF">
        <w:rPr>
          <w:rFonts w:ascii="Arial" w:hAnsi="Arial" w:cs="Arial"/>
          <w:sz w:val="22"/>
          <w:szCs w:val="22"/>
          <w:lang w:val="en-US"/>
        </w:rPr>
        <w:t>.</w:t>
      </w:r>
    </w:p>
    <w:p w14:paraId="033CD7F1" w14:textId="5034E595" w:rsidR="000D7F72" w:rsidRPr="00CD38BF" w:rsidRDefault="000D7F72" w:rsidP="00D419F2">
      <w:pPr>
        <w:pStyle w:val="NormalWeb"/>
        <w:spacing w:before="0" w:beforeAutospacing="0" w:after="0" w:afterAutospacing="0" w:line="360" w:lineRule="auto"/>
        <w:ind w:left="720" w:hanging="720"/>
        <w:contextualSpacing/>
        <w:rPr>
          <w:rFonts w:ascii="Arial" w:hAnsi="Arial" w:cs="Arial"/>
          <w:color w:val="000000"/>
          <w:sz w:val="22"/>
          <w:szCs w:val="22"/>
        </w:rPr>
      </w:pPr>
      <w:r w:rsidRPr="00CD38BF">
        <w:rPr>
          <w:rFonts w:ascii="Arial" w:hAnsi="Arial" w:cs="Arial"/>
          <w:color w:val="000000"/>
          <w:sz w:val="22"/>
          <w:szCs w:val="22"/>
        </w:rPr>
        <w:t>Demeke, HB &amp; Umeakunne, E 2022, ‘Telehealth Expansion During the COVID-19 Pandemic and Beyond’, </w:t>
      </w:r>
      <w:r w:rsidRPr="00CD38BF">
        <w:rPr>
          <w:rFonts w:ascii="Arial" w:hAnsi="Arial" w:cs="Arial"/>
          <w:i/>
          <w:iCs/>
          <w:color w:val="000000"/>
          <w:sz w:val="22"/>
          <w:szCs w:val="22"/>
        </w:rPr>
        <w:t>AJN, American Journal of Nursing</w:t>
      </w:r>
      <w:r w:rsidRPr="00CD38BF">
        <w:rPr>
          <w:rFonts w:ascii="Arial" w:hAnsi="Arial" w:cs="Arial"/>
          <w:color w:val="000000"/>
          <w:sz w:val="22"/>
          <w:szCs w:val="22"/>
        </w:rPr>
        <w:t xml:space="preserve">, vol. 122, no. 7, pp. 23–25, viewed 15 March 2026, </w:t>
      </w:r>
      <w:hyperlink r:id="rId19" w:history="1">
        <w:r w:rsidRPr="00CD38BF">
          <w:rPr>
            <w:rStyle w:val="Hyperlink"/>
            <w:rFonts w:ascii="Arial" w:hAnsi="Arial" w:cs="Arial"/>
            <w:sz w:val="22"/>
            <w:szCs w:val="22"/>
          </w:rPr>
          <w:t>https://learning.lww.com/ovidfiles/00000446-202207000-00019.pdf</w:t>
        </w:r>
      </w:hyperlink>
      <w:r w:rsidRPr="00CD38BF">
        <w:rPr>
          <w:rFonts w:ascii="Arial" w:hAnsi="Arial" w:cs="Arial"/>
          <w:color w:val="000000"/>
          <w:sz w:val="22"/>
          <w:szCs w:val="22"/>
        </w:rPr>
        <w:t>.</w:t>
      </w:r>
    </w:p>
    <w:p w14:paraId="614EC661" w14:textId="77777777" w:rsidR="000D7F72" w:rsidRPr="00CD38BF" w:rsidRDefault="000D7F72" w:rsidP="00D419F2">
      <w:pPr>
        <w:pStyle w:val="NormalWeb"/>
        <w:spacing w:before="0" w:beforeAutospacing="0" w:after="0" w:afterAutospacing="0" w:line="360" w:lineRule="auto"/>
        <w:ind w:left="720" w:hanging="720"/>
        <w:contextualSpacing/>
        <w:rPr>
          <w:rFonts w:ascii="Arial" w:hAnsi="Arial" w:cs="Arial"/>
          <w:color w:val="000000"/>
          <w:sz w:val="22"/>
          <w:szCs w:val="22"/>
        </w:rPr>
      </w:pPr>
      <w:r w:rsidRPr="00CD38BF">
        <w:rPr>
          <w:rFonts w:ascii="Arial" w:hAnsi="Arial" w:cs="Arial"/>
          <w:color w:val="000000"/>
          <w:sz w:val="22"/>
          <w:szCs w:val="22"/>
        </w:rPr>
        <w:t>Hamasaki, H 2022, ‘Patient Satisfaction with Telemedicine in Adults with Diabetes: A Systematic Review’, </w:t>
      </w:r>
      <w:r w:rsidRPr="00CD38BF">
        <w:rPr>
          <w:rFonts w:ascii="Arial" w:hAnsi="Arial" w:cs="Arial"/>
          <w:i/>
          <w:iCs/>
          <w:color w:val="000000"/>
          <w:sz w:val="22"/>
          <w:szCs w:val="22"/>
        </w:rPr>
        <w:t>Healthcare</w:t>
      </w:r>
      <w:r w:rsidRPr="00CD38BF">
        <w:rPr>
          <w:rFonts w:ascii="Arial" w:hAnsi="Arial" w:cs="Arial"/>
          <w:color w:val="000000"/>
          <w:sz w:val="22"/>
          <w:szCs w:val="22"/>
        </w:rPr>
        <w:t xml:space="preserve">, vol. 10, MDPI AG, no. 9, p. 1677, viewed 15 March 2026, </w:t>
      </w:r>
      <w:hyperlink r:id="rId20" w:history="1">
        <w:r w:rsidRPr="00CD38BF">
          <w:rPr>
            <w:rStyle w:val="Hyperlink"/>
            <w:rFonts w:ascii="Arial" w:hAnsi="Arial" w:cs="Arial"/>
            <w:sz w:val="22"/>
            <w:szCs w:val="22"/>
          </w:rPr>
          <w:t>https://www.mdpi.com/2227-9032/10/9/1677</w:t>
        </w:r>
      </w:hyperlink>
      <w:r w:rsidRPr="00CD38BF">
        <w:rPr>
          <w:rFonts w:ascii="Arial" w:hAnsi="Arial" w:cs="Arial"/>
          <w:color w:val="000000"/>
          <w:sz w:val="22"/>
          <w:szCs w:val="22"/>
        </w:rPr>
        <w:t>.</w:t>
      </w:r>
    </w:p>
    <w:p w14:paraId="12348DC7" w14:textId="2EF57F98" w:rsidR="000D7F72" w:rsidRPr="00CD38BF" w:rsidRDefault="000D7F72" w:rsidP="00D419F2">
      <w:pPr>
        <w:pStyle w:val="NormalWeb"/>
        <w:spacing w:before="0" w:beforeAutospacing="0" w:after="0" w:afterAutospacing="0" w:line="360" w:lineRule="auto"/>
        <w:ind w:left="720" w:hanging="720"/>
        <w:contextualSpacing/>
        <w:rPr>
          <w:rFonts w:ascii="Arial" w:hAnsi="Arial" w:cs="Arial"/>
          <w:color w:val="000000"/>
          <w:sz w:val="22"/>
          <w:szCs w:val="22"/>
        </w:rPr>
      </w:pPr>
      <w:r w:rsidRPr="00CD38BF">
        <w:rPr>
          <w:rFonts w:ascii="Arial" w:hAnsi="Arial" w:cs="Arial"/>
          <w:color w:val="000000"/>
          <w:sz w:val="22"/>
          <w:szCs w:val="22"/>
        </w:rPr>
        <w:t>He, H, Raja Ghazilla, RA &amp; Abdul-Rashid, SH 2025, ‘A Systematic Review of the Usability of Telemedicine Interface Design for Older Adults’, </w:t>
      </w:r>
      <w:r w:rsidRPr="00CD38BF">
        <w:rPr>
          <w:rFonts w:ascii="Arial" w:hAnsi="Arial" w:cs="Arial"/>
          <w:i/>
          <w:iCs/>
          <w:color w:val="000000"/>
          <w:sz w:val="22"/>
          <w:szCs w:val="22"/>
        </w:rPr>
        <w:t>Applied Sciences</w:t>
      </w:r>
      <w:r w:rsidRPr="00CD38BF">
        <w:rPr>
          <w:rFonts w:ascii="Arial" w:hAnsi="Arial" w:cs="Arial"/>
          <w:color w:val="000000"/>
          <w:sz w:val="22"/>
          <w:szCs w:val="22"/>
        </w:rPr>
        <w:t xml:space="preserve">, vol. 15, MDPI AG, no. 10, p. 5458, viewed 15 March 2026, </w:t>
      </w:r>
      <w:hyperlink r:id="rId21" w:history="1">
        <w:r w:rsidRPr="00CD38BF">
          <w:rPr>
            <w:rStyle w:val="Hyperlink"/>
            <w:rFonts w:ascii="Arial" w:hAnsi="Arial" w:cs="Arial"/>
            <w:sz w:val="22"/>
            <w:szCs w:val="22"/>
          </w:rPr>
          <w:t>https://www.mdpi.com/2076-3417/15/10/5458</w:t>
        </w:r>
      </w:hyperlink>
      <w:r w:rsidRPr="00CD38BF">
        <w:rPr>
          <w:rFonts w:ascii="Arial" w:hAnsi="Arial" w:cs="Arial"/>
          <w:color w:val="000000"/>
          <w:sz w:val="22"/>
          <w:szCs w:val="22"/>
        </w:rPr>
        <w:t>.</w:t>
      </w:r>
    </w:p>
    <w:p w14:paraId="261D5354" w14:textId="77777777" w:rsidR="000D7F72" w:rsidRPr="00CD38BF" w:rsidRDefault="000D7F72" w:rsidP="00D419F2">
      <w:pPr>
        <w:pStyle w:val="NormalWeb"/>
        <w:spacing w:before="0" w:beforeAutospacing="0" w:after="0" w:afterAutospacing="0" w:line="360" w:lineRule="auto"/>
        <w:ind w:left="720" w:hanging="720"/>
        <w:contextualSpacing/>
        <w:rPr>
          <w:rFonts w:ascii="Arial" w:hAnsi="Arial" w:cs="Arial"/>
          <w:color w:val="000000"/>
          <w:sz w:val="22"/>
          <w:szCs w:val="22"/>
        </w:rPr>
      </w:pPr>
      <w:r w:rsidRPr="00CD38BF">
        <w:rPr>
          <w:rFonts w:ascii="Arial" w:hAnsi="Arial" w:cs="Arial"/>
          <w:color w:val="000000"/>
          <w:sz w:val="22"/>
          <w:szCs w:val="22"/>
        </w:rPr>
        <w:t>Khusheim, LH 2025, ‘Leveraging Digital Platforms and Leadership Inclusivity to Enhance Leadership Effectiveness and Patient Outcomes in Healthcare Organizations’, </w:t>
      </w:r>
      <w:r w:rsidRPr="00CD38BF">
        <w:rPr>
          <w:rFonts w:ascii="Arial" w:hAnsi="Arial" w:cs="Arial"/>
          <w:i/>
          <w:iCs/>
          <w:color w:val="000000"/>
          <w:sz w:val="22"/>
          <w:szCs w:val="22"/>
        </w:rPr>
        <w:t>Healthcare</w:t>
      </w:r>
      <w:r w:rsidRPr="00CD38BF">
        <w:rPr>
          <w:rFonts w:ascii="Arial" w:hAnsi="Arial" w:cs="Arial"/>
          <w:color w:val="000000"/>
          <w:sz w:val="22"/>
          <w:szCs w:val="22"/>
        </w:rPr>
        <w:t xml:space="preserve">, vol. 13, MDPI AG, no. 15, p. 1833, viewed 15 March 2026, </w:t>
      </w:r>
      <w:hyperlink r:id="rId22" w:history="1">
        <w:r w:rsidRPr="00CD38BF">
          <w:rPr>
            <w:rStyle w:val="Hyperlink"/>
            <w:rFonts w:ascii="Arial" w:hAnsi="Arial" w:cs="Arial"/>
            <w:sz w:val="22"/>
            <w:szCs w:val="22"/>
          </w:rPr>
          <w:t>https://www.mdpi.com/2227-9032/13/15/1833</w:t>
        </w:r>
      </w:hyperlink>
      <w:r w:rsidRPr="00CD38BF">
        <w:rPr>
          <w:rFonts w:ascii="Arial" w:hAnsi="Arial" w:cs="Arial"/>
          <w:color w:val="000000"/>
          <w:sz w:val="22"/>
          <w:szCs w:val="22"/>
        </w:rPr>
        <w:t>.</w:t>
      </w:r>
    </w:p>
    <w:p w14:paraId="4E127A0F" w14:textId="77777777" w:rsidR="000D7F72" w:rsidRPr="00CD38BF" w:rsidRDefault="000D7F72" w:rsidP="00D419F2">
      <w:pPr>
        <w:spacing w:after="0" w:line="360" w:lineRule="auto"/>
        <w:ind w:left="720" w:hanging="720"/>
        <w:contextualSpacing/>
        <w:rPr>
          <w:rFonts w:ascii="Arial" w:hAnsi="Arial" w:cs="Arial"/>
          <w:sz w:val="22"/>
          <w:szCs w:val="22"/>
        </w:rPr>
      </w:pPr>
      <w:r w:rsidRPr="00CD38BF">
        <w:rPr>
          <w:rFonts w:ascii="Arial" w:hAnsi="Arial" w:cs="Arial"/>
          <w:sz w:val="22"/>
          <w:szCs w:val="22"/>
        </w:rPr>
        <w:t>Lang, D.M., 2022. The impact of telemedicine as a disruptive innovation on allergy and immunology practice. </w:t>
      </w:r>
      <w:r w:rsidRPr="00CD38BF">
        <w:rPr>
          <w:rFonts w:ascii="Arial" w:hAnsi="Arial" w:cs="Arial"/>
          <w:i/>
          <w:iCs/>
          <w:sz w:val="22"/>
          <w:szCs w:val="22"/>
        </w:rPr>
        <w:t>Annals of Allergy, Asthma &amp; Immunology</w:t>
      </w:r>
      <w:r w:rsidRPr="00CD38BF">
        <w:rPr>
          <w:rFonts w:ascii="Arial" w:hAnsi="Arial" w:cs="Arial"/>
          <w:sz w:val="22"/>
          <w:szCs w:val="22"/>
        </w:rPr>
        <w:t>, </w:t>
      </w:r>
      <w:r w:rsidRPr="00CD38BF">
        <w:rPr>
          <w:rFonts w:ascii="Arial" w:hAnsi="Arial" w:cs="Arial"/>
          <w:i/>
          <w:iCs/>
          <w:sz w:val="22"/>
          <w:szCs w:val="22"/>
        </w:rPr>
        <w:t>128</w:t>
      </w:r>
      <w:r w:rsidRPr="00CD38BF">
        <w:rPr>
          <w:rFonts w:ascii="Arial" w:hAnsi="Arial" w:cs="Arial"/>
          <w:sz w:val="22"/>
          <w:szCs w:val="22"/>
        </w:rPr>
        <w:t xml:space="preserve">(2), pp.146-151. Available at: </w:t>
      </w:r>
      <w:hyperlink r:id="rId23" w:tgtFrame="_new" w:history="1">
        <w:r w:rsidRPr="00CD38BF">
          <w:rPr>
            <w:rStyle w:val="Hyperlink"/>
            <w:rFonts w:ascii="Arial" w:hAnsi="Arial" w:cs="Arial"/>
            <w:sz w:val="22"/>
            <w:szCs w:val="22"/>
          </w:rPr>
          <w:t>https://www.annallergy.org/article/S1081-1206(21)01218-7/pdf</w:t>
        </w:r>
      </w:hyperlink>
      <w:r w:rsidRPr="00CD38BF">
        <w:rPr>
          <w:rFonts w:ascii="Arial" w:hAnsi="Arial" w:cs="Arial"/>
          <w:sz w:val="22"/>
          <w:szCs w:val="22"/>
        </w:rPr>
        <w:t xml:space="preserve"> (Accessed: 6 March 2026).</w:t>
      </w:r>
    </w:p>
    <w:p w14:paraId="35E1624C" w14:textId="77777777" w:rsidR="000D7F72" w:rsidRPr="00CD38BF" w:rsidRDefault="000D7F72" w:rsidP="00D419F2">
      <w:pPr>
        <w:pStyle w:val="NormalWeb"/>
        <w:spacing w:before="0" w:beforeAutospacing="0" w:after="0" w:afterAutospacing="0" w:line="360" w:lineRule="auto"/>
        <w:ind w:left="720" w:hanging="720"/>
        <w:contextualSpacing/>
        <w:rPr>
          <w:rFonts w:ascii="Arial" w:hAnsi="Arial" w:cs="Arial"/>
          <w:color w:val="000000"/>
          <w:sz w:val="22"/>
          <w:szCs w:val="22"/>
        </w:rPr>
      </w:pPr>
      <w:r w:rsidRPr="00CD38BF">
        <w:rPr>
          <w:rFonts w:ascii="Arial" w:hAnsi="Arial" w:cs="Arial"/>
          <w:color w:val="000000"/>
          <w:sz w:val="22"/>
          <w:szCs w:val="22"/>
        </w:rPr>
        <w:t>Lin, F-S, Shi, H-C &amp; Fang, K-T 2020, ‘Exploring Pictorial Health Education Tools for Long-Term Home Care: A Qualitative Perspective’, </w:t>
      </w:r>
      <w:r w:rsidRPr="00CD38BF">
        <w:rPr>
          <w:rFonts w:ascii="Arial" w:hAnsi="Arial" w:cs="Arial"/>
          <w:i/>
          <w:iCs/>
          <w:color w:val="000000"/>
          <w:sz w:val="22"/>
          <w:szCs w:val="22"/>
        </w:rPr>
        <w:t>Healthcare</w:t>
      </w:r>
      <w:r w:rsidRPr="00CD38BF">
        <w:rPr>
          <w:rFonts w:ascii="Arial" w:hAnsi="Arial" w:cs="Arial"/>
          <w:color w:val="000000"/>
          <w:sz w:val="22"/>
          <w:szCs w:val="22"/>
        </w:rPr>
        <w:t xml:space="preserve">, vol. 8, MDPI AG, no. 3, p. 205, viewed 15 March 2026, </w:t>
      </w:r>
      <w:hyperlink r:id="rId24" w:history="1">
        <w:r w:rsidRPr="00CD38BF">
          <w:rPr>
            <w:rStyle w:val="Hyperlink"/>
            <w:rFonts w:ascii="Arial" w:hAnsi="Arial" w:cs="Arial"/>
            <w:sz w:val="22"/>
            <w:szCs w:val="22"/>
          </w:rPr>
          <w:t>https://www.mdpi.com/2227-9032/8/3/205</w:t>
        </w:r>
      </w:hyperlink>
      <w:r w:rsidRPr="00CD38BF">
        <w:rPr>
          <w:rFonts w:ascii="Arial" w:hAnsi="Arial" w:cs="Arial"/>
          <w:color w:val="000000"/>
          <w:sz w:val="22"/>
          <w:szCs w:val="22"/>
        </w:rPr>
        <w:t>.</w:t>
      </w:r>
    </w:p>
    <w:p w14:paraId="2284D713" w14:textId="77777777" w:rsidR="000D7F72" w:rsidRPr="00CD38BF" w:rsidRDefault="000D7F72" w:rsidP="00D419F2">
      <w:pPr>
        <w:spacing w:after="0" w:line="360" w:lineRule="auto"/>
        <w:ind w:left="720" w:hanging="720"/>
        <w:contextualSpacing/>
        <w:rPr>
          <w:rFonts w:ascii="Arial" w:hAnsi="Arial" w:cs="Arial"/>
          <w:sz w:val="22"/>
          <w:szCs w:val="22"/>
          <w:lang w:val="en-US"/>
        </w:rPr>
      </w:pPr>
      <w:r w:rsidRPr="00CD38BF">
        <w:rPr>
          <w:rFonts w:ascii="Arial" w:hAnsi="Arial" w:cs="Arial"/>
          <w:sz w:val="22"/>
          <w:szCs w:val="22"/>
          <w:lang w:val="en-US"/>
        </w:rPr>
        <w:t>Mahar, JH, Rosencrance, GJ &amp; Rasmussen, PA 2018, ‘Telemedicine: Past, present, and future’, </w:t>
      </w:r>
      <w:r w:rsidRPr="00CD38BF">
        <w:rPr>
          <w:rFonts w:ascii="Arial" w:hAnsi="Arial" w:cs="Arial"/>
          <w:i/>
          <w:iCs/>
          <w:sz w:val="22"/>
          <w:szCs w:val="22"/>
          <w:lang w:val="en-US"/>
        </w:rPr>
        <w:t>Cleveland Clinic Journal of Medicine</w:t>
      </w:r>
      <w:r w:rsidRPr="00CD38BF">
        <w:rPr>
          <w:rFonts w:ascii="Arial" w:hAnsi="Arial" w:cs="Arial"/>
          <w:sz w:val="22"/>
          <w:szCs w:val="22"/>
          <w:lang w:val="en-US"/>
        </w:rPr>
        <w:t xml:space="preserve">, vol. 85, Cleveland Clinic Journal of Medicine, no. 12, pp. 938–942, viewed 15 March 2026, </w:t>
      </w:r>
      <w:hyperlink r:id="rId25" w:history="1">
        <w:r w:rsidRPr="00CD38BF">
          <w:rPr>
            <w:rStyle w:val="Hyperlink"/>
            <w:rFonts w:ascii="Arial" w:hAnsi="Arial" w:cs="Arial"/>
            <w:sz w:val="22"/>
            <w:szCs w:val="22"/>
            <w:lang w:val="en-US"/>
          </w:rPr>
          <w:t>https://www.ccjm.org/content/85/12/938</w:t>
        </w:r>
      </w:hyperlink>
      <w:r w:rsidRPr="00CD38BF">
        <w:rPr>
          <w:rFonts w:ascii="Arial" w:hAnsi="Arial" w:cs="Arial"/>
          <w:sz w:val="22"/>
          <w:szCs w:val="22"/>
          <w:lang w:val="en-US"/>
        </w:rPr>
        <w:t>.</w:t>
      </w:r>
    </w:p>
    <w:p w14:paraId="5D3BC918" w14:textId="77777777" w:rsidR="000D7F72" w:rsidRPr="00CD38BF" w:rsidRDefault="000D7F72" w:rsidP="00D419F2">
      <w:pPr>
        <w:spacing w:after="0" w:line="360" w:lineRule="auto"/>
        <w:ind w:left="720" w:hanging="720"/>
        <w:contextualSpacing/>
        <w:rPr>
          <w:rFonts w:ascii="Arial" w:hAnsi="Arial" w:cs="Arial"/>
          <w:sz w:val="22"/>
          <w:szCs w:val="22"/>
          <w:lang w:val="en-US"/>
        </w:rPr>
      </w:pPr>
      <w:r w:rsidRPr="00CD38BF">
        <w:rPr>
          <w:rFonts w:ascii="Arial" w:hAnsi="Arial" w:cs="Arial"/>
          <w:sz w:val="22"/>
          <w:szCs w:val="22"/>
          <w:lang w:val="en-US"/>
        </w:rPr>
        <w:t>Martinez, KA, Rood, M, Jhangiani, N, Kou, L, Rose, S, Boissy, A &amp; Rothberg, MB 2018, ‘Patterns of Use and Correlates of Patient Satisfaction with a Large Nationwide Direct to Consumer Telemedicine Service’, </w:t>
      </w:r>
      <w:r w:rsidRPr="00CD38BF">
        <w:rPr>
          <w:rFonts w:ascii="Arial" w:hAnsi="Arial" w:cs="Arial"/>
          <w:i/>
          <w:iCs/>
          <w:sz w:val="22"/>
          <w:szCs w:val="22"/>
          <w:lang w:val="en-US"/>
        </w:rPr>
        <w:t>Journal of General Internal Medicine</w:t>
      </w:r>
      <w:r w:rsidRPr="00CD38BF">
        <w:rPr>
          <w:rFonts w:ascii="Arial" w:hAnsi="Arial" w:cs="Arial"/>
          <w:sz w:val="22"/>
          <w:szCs w:val="22"/>
          <w:lang w:val="en-US"/>
        </w:rPr>
        <w:t xml:space="preserve">, vol. 33, Springer Science and Business Media LLC, no. 10, pp. 1768–1773, viewed 15 March 2026, </w:t>
      </w:r>
      <w:hyperlink r:id="rId26" w:history="1">
        <w:r w:rsidRPr="00CD38BF">
          <w:rPr>
            <w:rStyle w:val="Hyperlink"/>
            <w:rFonts w:ascii="Arial" w:hAnsi="Arial" w:cs="Arial"/>
            <w:sz w:val="22"/>
            <w:szCs w:val="22"/>
            <w:lang w:val="en-US"/>
          </w:rPr>
          <w:t>https://pmc.ncbi.nlm.nih.gov/articles/PMC6153236/</w:t>
        </w:r>
      </w:hyperlink>
      <w:r w:rsidRPr="00CD38BF">
        <w:rPr>
          <w:rFonts w:ascii="Arial" w:hAnsi="Arial" w:cs="Arial"/>
          <w:sz w:val="22"/>
          <w:szCs w:val="22"/>
          <w:lang w:val="en-US"/>
        </w:rPr>
        <w:t>.</w:t>
      </w:r>
    </w:p>
    <w:p w14:paraId="599E8BB6" w14:textId="77777777" w:rsidR="000D7F72" w:rsidRPr="00CD38BF" w:rsidRDefault="000D7F72" w:rsidP="00D419F2">
      <w:pPr>
        <w:pStyle w:val="NormalWeb"/>
        <w:spacing w:before="0" w:beforeAutospacing="0" w:after="0" w:afterAutospacing="0" w:line="360" w:lineRule="auto"/>
        <w:ind w:left="720" w:hanging="720"/>
        <w:contextualSpacing/>
        <w:rPr>
          <w:rFonts w:ascii="Arial" w:hAnsi="Arial" w:cs="Arial"/>
          <w:color w:val="000000"/>
          <w:sz w:val="22"/>
          <w:szCs w:val="22"/>
        </w:rPr>
      </w:pPr>
      <w:r w:rsidRPr="00CD38BF">
        <w:rPr>
          <w:rFonts w:ascii="Arial" w:hAnsi="Arial" w:cs="Arial"/>
          <w:color w:val="000000"/>
          <w:sz w:val="22"/>
          <w:szCs w:val="22"/>
        </w:rPr>
        <w:t>Morelli, S, Daniele, C, D’Avenio, G, Grigioni, M &amp; Giansanti, D 2024, ‘Optimizing Telehealth: Leveraging Key Performance Indicators for Enhanced TeleHealth and Digital Healthcare Outcomes (Telemechron Study)’, </w:t>
      </w:r>
      <w:r w:rsidRPr="00CD38BF">
        <w:rPr>
          <w:rFonts w:ascii="Arial" w:hAnsi="Arial" w:cs="Arial"/>
          <w:i/>
          <w:iCs/>
          <w:color w:val="000000"/>
          <w:sz w:val="22"/>
          <w:szCs w:val="22"/>
        </w:rPr>
        <w:t>Healthcare</w:t>
      </w:r>
      <w:r w:rsidRPr="00CD38BF">
        <w:rPr>
          <w:rFonts w:ascii="Arial" w:hAnsi="Arial" w:cs="Arial"/>
          <w:color w:val="000000"/>
          <w:sz w:val="22"/>
          <w:szCs w:val="22"/>
        </w:rPr>
        <w:t xml:space="preserve">, vol. 12, MDPI AG, no. 13, p. 1319, viewed 15 March 2026, </w:t>
      </w:r>
      <w:hyperlink r:id="rId27" w:history="1">
        <w:r w:rsidRPr="00CD38BF">
          <w:rPr>
            <w:rStyle w:val="Hyperlink"/>
            <w:rFonts w:ascii="Arial" w:hAnsi="Arial" w:cs="Arial"/>
            <w:sz w:val="22"/>
            <w:szCs w:val="22"/>
          </w:rPr>
          <w:t>https://www.mdpi.com/2227-9032/12/13/1319</w:t>
        </w:r>
      </w:hyperlink>
      <w:r w:rsidRPr="00CD38BF">
        <w:rPr>
          <w:rFonts w:ascii="Arial" w:hAnsi="Arial" w:cs="Arial"/>
          <w:color w:val="000000"/>
          <w:sz w:val="22"/>
          <w:szCs w:val="22"/>
        </w:rPr>
        <w:t>.</w:t>
      </w:r>
    </w:p>
    <w:p w14:paraId="3262B7D5" w14:textId="77777777" w:rsidR="000D7F72" w:rsidRPr="00CD38BF" w:rsidRDefault="000D7F72" w:rsidP="00D419F2">
      <w:pPr>
        <w:spacing w:after="0" w:line="360" w:lineRule="auto"/>
        <w:ind w:left="720" w:hanging="720"/>
        <w:contextualSpacing/>
        <w:rPr>
          <w:rFonts w:ascii="Arial" w:hAnsi="Arial" w:cs="Arial"/>
          <w:sz w:val="22"/>
          <w:szCs w:val="22"/>
          <w:lang w:val="en-US"/>
        </w:rPr>
      </w:pPr>
      <w:r w:rsidRPr="00CD38BF">
        <w:rPr>
          <w:rFonts w:ascii="Arial" w:hAnsi="Arial" w:cs="Arial"/>
          <w:sz w:val="22"/>
          <w:szCs w:val="22"/>
          <w:lang w:val="en-US"/>
        </w:rPr>
        <w:t>Okrent, D 2015, </w:t>
      </w:r>
      <w:r w:rsidRPr="00CD38BF">
        <w:rPr>
          <w:rFonts w:ascii="Arial" w:hAnsi="Arial" w:cs="Arial"/>
          <w:i/>
          <w:iCs/>
          <w:sz w:val="22"/>
          <w:szCs w:val="22"/>
          <w:lang w:val="en-US"/>
        </w:rPr>
        <w:t>An Alliance for Health Reform Toolkit Telemedicine: The Promise and Challenges</w:t>
      </w:r>
      <w:r w:rsidRPr="00CD38BF">
        <w:rPr>
          <w:rFonts w:ascii="Arial" w:hAnsi="Arial" w:cs="Arial"/>
          <w:sz w:val="22"/>
          <w:szCs w:val="22"/>
          <w:lang w:val="en-US"/>
        </w:rPr>
        <w:t xml:space="preserve">, viewed 15 March 2026, </w:t>
      </w:r>
      <w:hyperlink r:id="rId28" w:history="1">
        <w:r w:rsidRPr="00CD38BF">
          <w:rPr>
            <w:rStyle w:val="Hyperlink"/>
            <w:rFonts w:ascii="Arial" w:hAnsi="Arial" w:cs="Arial"/>
            <w:sz w:val="22"/>
            <w:szCs w:val="22"/>
            <w:lang w:val="en-US"/>
          </w:rPr>
          <w:t>https://www.michiganrc.org/docs/Telemedicine_Toolkit_June_2015_164_(3).pdf</w:t>
        </w:r>
      </w:hyperlink>
      <w:r w:rsidRPr="00CD38BF">
        <w:rPr>
          <w:rFonts w:ascii="Arial" w:hAnsi="Arial" w:cs="Arial"/>
          <w:sz w:val="22"/>
          <w:szCs w:val="22"/>
          <w:lang w:val="en-US"/>
        </w:rPr>
        <w:t>.</w:t>
      </w:r>
    </w:p>
    <w:p w14:paraId="103343BE" w14:textId="77777777" w:rsidR="000D7F72" w:rsidRPr="00CD38BF" w:rsidRDefault="000D7F72" w:rsidP="00D419F2">
      <w:pPr>
        <w:pStyle w:val="NormalWeb"/>
        <w:spacing w:before="0" w:beforeAutospacing="0" w:after="0" w:afterAutospacing="0" w:line="360" w:lineRule="auto"/>
        <w:ind w:left="720" w:hanging="720"/>
        <w:contextualSpacing/>
        <w:rPr>
          <w:rFonts w:ascii="Arial" w:hAnsi="Arial" w:cs="Arial"/>
          <w:color w:val="000000"/>
          <w:sz w:val="22"/>
          <w:szCs w:val="22"/>
        </w:rPr>
      </w:pPr>
      <w:r w:rsidRPr="00CD38BF">
        <w:rPr>
          <w:rFonts w:ascii="Arial" w:hAnsi="Arial" w:cs="Arial"/>
          <w:color w:val="000000"/>
          <w:sz w:val="22"/>
          <w:szCs w:val="22"/>
        </w:rPr>
        <w:t>Pogorzelska, K &amp; Chlabicz, S 2022, ‘Patient Satisfaction with Telemedicine during the COVID-19 Pandemic—A Systematic Review’, </w:t>
      </w:r>
      <w:r w:rsidRPr="00CD38BF">
        <w:rPr>
          <w:rFonts w:ascii="Arial" w:hAnsi="Arial" w:cs="Arial"/>
          <w:i/>
          <w:iCs/>
          <w:color w:val="000000"/>
          <w:sz w:val="22"/>
          <w:szCs w:val="22"/>
        </w:rPr>
        <w:t>International Journal of Environmental Research and Public Health</w:t>
      </w:r>
      <w:r w:rsidRPr="00CD38BF">
        <w:rPr>
          <w:rFonts w:ascii="Arial" w:hAnsi="Arial" w:cs="Arial"/>
          <w:color w:val="000000"/>
          <w:sz w:val="22"/>
          <w:szCs w:val="22"/>
        </w:rPr>
        <w:t xml:space="preserve">, vol. 19, MDPI AG, no. 10, p. 6113, viewed 15 March 2026, </w:t>
      </w:r>
      <w:hyperlink r:id="rId29" w:history="1">
        <w:r w:rsidRPr="00CD38BF">
          <w:rPr>
            <w:rStyle w:val="Hyperlink"/>
            <w:rFonts w:ascii="Arial" w:hAnsi="Arial" w:cs="Arial"/>
            <w:sz w:val="22"/>
            <w:szCs w:val="22"/>
          </w:rPr>
          <w:t>https://pubmed.ncbi.nlm.nih.gov/35627650/</w:t>
        </w:r>
      </w:hyperlink>
      <w:r w:rsidRPr="00CD38BF">
        <w:rPr>
          <w:rFonts w:ascii="Arial" w:hAnsi="Arial" w:cs="Arial"/>
          <w:color w:val="000000"/>
          <w:sz w:val="22"/>
          <w:szCs w:val="22"/>
        </w:rPr>
        <w:t>.</w:t>
      </w:r>
    </w:p>
    <w:p w14:paraId="19BA8FF1" w14:textId="77777777" w:rsidR="000D7F72" w:rsidRPr="00CD38BF" w:rsidRDefault="000D7F72" w:rsidP="00D419F2">
      <w:pPr>
        <w:spacing w:after="0" w:line="360" w:lineRule="auto"/>
        <w:ind w:left="720" w:hanging="720"/>
        <w:contextualSpacing/>
        <w:rPr>
          <w:rFonts w:ascii="Arial" w:hAnsi="Arial" w:cs="Arial"/>
          <w:sz w:val="22"/>
          <w:szCs w:val="22"/>
          <w:lang w:val="en-US"/>
        </w:rPr>
      </w:pPr>
      <w:r w:rsidRPr="00CD38BF">
        <w:rPr>
          <w:rFonts w:ascii="Arial" w:hAnsi="Arial" w:cs="Arial"/>
          <w:sz w:val="22"/>
          <w:szCs w:val="22"/>
          <w:lang w:val="en-US"/>
        </w:rPr>
        <w:t>Rana, A, Price, S, Seeley, M &amp; Morris, A 2025, ‘Quality Metrics in Digital Health Equity: A Systematic Evaluation of Cleveland Clinic’s Ongoing Virtual Care Initiative’, </w:t>
      </w:r>
      <w:r w:rsidRPr="00CD38BF">
        <w:rPr>
          <w:rFonts w:ascii="Arial" w:hAnsi="Arial" w:cs="Arial"/>
          <w:i/>
          <w:iCs/>
          <w:sz w:val="22"/>
          <w:szCs w:val="22"/>
          <w:lang w:val="en-US"/>
        </w:rPr>
        <w:t>Ohio Journal of Public Health</w:t>
      </w:r>
      <w:r w:rsidRPr="00CD38BF">
        <w:rPr>
          <w:rFonts w:ascii="Arial" w:hAnsi="Arial" w:cs="Arial"/>
          <w:sz w:val="22"/>
          <w:szCs w:val="22"/>
          <w:lang w:val="en-US"/>
        </w:rPr>
        <w:t xml:space="preserve">, vol. 7, The Ohio State University Libraries, no. 2, pp. 1–7, viewed 15 March 2026, </w:t>
      </w:r>
      <w:hyperlink r:id="rId30" w:history="1">
        <w:r w:rsidRPr="00CD38BF">
          <w:rPr>
            <w:rStyle w:val="Hyperlink"/>
            <w:rFonts w:ascii="Arial" w:hAnsi="Arial" w:cs="Arial"/>
            <w:sz w:val="22"/>
            <w:szCs w:val="22"/>
            <w:lang w:val="en-US"/>
          </w:rPr>
          <w:t>https://ojph.org/article/id/5108/</w:t>
        </w:r>
      </w:hyperlink>
      <w:r w:rsidRPr="00CD38BF">
        <w:rPr>
          <w:rFonts w:ascii="Arial" w:hAnsi="Arial" w:cs="Arial"/>
          <w:sz w:val="22"/>
          <w:szCs w:val="22"/>
          <w:lang w:val="en-US"/>
        </w:rPr>
        <w:t>.</w:t>
      </w:r>
    </w:p>
    <w:p w14:paraId="2530C1B5" w14:textId="77777777" w:rsidR="000D7F72" w:rsidRPr="00CD38BF" w:rsidRDefault="000D7F72" w:rsidP="00D419F2">
      <w:pPr>
        <w:spacing w:after="0" w:line="360" w:lineRule="auto"/>
        <w:ind w:left="720" w:hanging="720"/>
        <w:contextualSpacing/>
        <w:rPr>
          <w:rFonts w:ascii="Arial" w:hAnsi="Arial" w:cs="Arial"/>
          <w:sz w:val="22"/>
          <w:szCs w:val="22"/>
        </w:rPr>
      </w:pPr>
      <w:r w:rsidRPr="00CD38BF">
        <w:rPr>
          <w:rFonts w:ascii="Arial" w:hAnsi="Arial" w:cs="Arial"/>
          <w:sz w:val="22"/>
          <w:szCs w:val="22"/>
        </w:rPr>
        <w:t>Rose, S., Hurwitz, H.M., Mercer, M.B., Hizlan, S., Gali, K., Yu, P.C., Franke, C., Martinez, K., Stanton, M., Faiman, M. and Rasmussen, P., 2021. Patient experience in virtual visits hinges on technology and the patient-clinician relationship: a large survey study with open-ended questions. </w:t>
      </w:r>
      <w:r w:rsidRPr="00CD38BF">
        <w:rPr>
          <w:rFonts w:ascii="Arial" w:hAnsi="Arial" w:cs="Arial"/>
          <w:i/>
          <w:iCs/>
          <w:sz w:val="22"/>
          <w:szCs w:val="22"/>
        </w:rPr>
        <w:t>Journal of Medical Internet Research</w:t>
      </w:r>
      <w:r w:rsidRPr="00CD38BF">
        <w:rPr>
          <w:rFonts w:ascii="Arial" w:hAnsi="Arial" w:cs="Arial"/>
          <w:sz w:val="22"/>
          <w:szCs w:val="22"/>
        </w:rPr>
        <w:t>, </w:t>
      </w:r>
      <w:r w:rsidRPr="00CD38BF">
        <w:rPr>
          <w:rFonts w:ascii="Arial" w:hAnsi="Arial" w:cs="Arial"/>
          <w:i/>
          <w:iCs/>
          <w:sz w:val="22"/>
          <w:szCs w:val="22"/>
        </w:rPr>
        <w:t>23</w:t>
      </w:r>
      <w:r w:rsidRPr="00CD38BF">
        <w:rPr>
          <w:rFonts w:ascii="Arial" w:hAnsi="Arial" w:cs="Arial"/>
          <w:sz w:val="22"/>
          <w:szCs w:val="22"/>
        </w:rPr>
        <w:t xml:space="preserve">(6), p.e18488. Available at: </w:t>
      </w:r>
      <w:hyperlink r:id="rId31" w:tgtFrame="_new" w:history="1">
        <w:r w:rsidRPr="00CD38BF">
          <w:rPr>
            <w:rStyle w:val="Hyperlink"/>
            <w:rFonts w:ascii="Arial" w:hAnsi="Arial" w:cs="Arial"/>
            <w:sz w:val="22"/>
            <w:szCs w:val="22"/>
          </w:rPr>
          <w:t>https://www.jmir.org/2021/6/e18488</w:t>
        </w:r>
      </w:hyperlink>
      <w:r w:rsidRPr="00CD38BF">
        <w:rPr>
          <w:rFonts w:ascii="Arial" w:hAnsi="Arial" w:cs="Arial"/>
          <w:sz w:val="22"/>
          <w:szCs w:val="22"/>
        </w:rPr>
        <w:t xml:space="preserve"> (Accessed: 6 March 2026).</w:t>
      </w:r>
    </w:p>
    <w:p w14:paraId="5A83F639" w14:textId="6608391C" w:rsidR="000D7F72" w:rsidRPr="00CD38BF" w:rsidRDefault="000D7F72" w:rsidP="00D419F2">
      <w:pPr>
        <w:pStyle w:val="NormalWeb"/>
        <w:spacing w:before="0" w:beforeAutospacing="0" w:after="0" w:afterAutospacing="0" w:line="360" w:lineRule="auto"/>
        <w:ind w:left="720" w:hanging="720"/>
        <w:contextualSpacing/>
        <w:rPr>
          <w:rFonts w:ascii="Arial" w:hAnsi="Arial" w:cs="Arial"/>
          <w:color w:val="000000"/>
          <w:sz w:val="22"/>
          <w:szCs w:val="22"/>
        </w:rPr>
      </w:pPr>
      <w:r w:rsidRPr="00CD38BF">
        <w:rPr>
          <w:rFonts w:ascii="Arial" w:hAnsi="Arial" w:cs="Arial"/>
          <w:color w:val="000000"/>
          <w:sz w:val="22"/>
          <w:szCs w:val="22"/>
        </w:rPr>
        <w:t>‌</w:t>
      </w:r>
      <w:r w:rsidRPr="00CD38BF">
        <w:rPr>
          <w:rFonts w:ascii="Arial" w:hAnsi="Arial" w:cs="Arial"/>
          <w:sz w:val="22"/>
          <w:szCs w:val="22"/>
        </w:rPr>
        <w:t>Savage, DJ, Gutierrez, O, Montané, BE, Singh, AD, Yudelevich, E, Mahar, J, Brateanu, A, Khatri, L, Fleisher, C &amp; Jolly, SE 2021, ‘Implementing a telemedicine curriculum for internal medicine residents during a pandemic: the Cleveland Clinic experience’, </w:t>
      </w:r>
      <w:r w:rsidRPr="00CD38BF">
        <w:rPr>
          <w:rFonts w:ascii="Arial" w:hAnsi="Arial" w:cs="Arial"/>
          <w:i/>
          <w:iCs/>
          <w:sz w:val="22"/>
          <w:szCs w:val="22"/>
        </w:rPr>
        <w:t>Postgraduate Medical Journal</w:t>
      </w:r>
      <w:r w:rsidRPr="00CD38BF">
        <w:rPr>
          <w:rFonts w:ascii="Arial" w:hAnsi="Arial" w:cs="Arial"/>
          <w:sz w:val="22"/>
          <w:szCs w:val="22"/>
        </w:rPr>
        <w:t xml:space="preserve">, vol. 98, Oxford University Press (OUP), no. 1161, pp. 487–491, viewed 15 March 2026, </w:t>
      </w:r>
      <w:hyperlink r:id="rId32" w:history="1">
        <w:r w:rsidRPr="00CD38BF">
          <w:rPr>
            <w:rStyle w:val="Hyperlink"/>
            <w:rFonts w:ascii="Arial" w:hAnsi="Arial" w:cs="Arial"/>
            <w:sz w:val="22"/>
            <w:szCs w:val="22"/>
          </w:rPr>
          <w:t>https://academic.oup.com/pmj/article-pdf/98/1161/487/49916060/postgradmedj-98-487.pdf</w:t>
        </w:r>
      </w:hyperlink>
    </w:p>
    <w:p w14:paraId="201A0D65" w14:textId="6D1322C4" w:rsidR="000D7F72" w:rsidRPr="00CD38BF" w:rsidRDefault="000D7F72" w:rsidP="00D419F2">
      <w:pPr>
        <w:pStyle w:val="NormalWeb"/>
        <w:spacing w:before="0" w:beforeAutospacing="0" w:after="0" w:afterAutospacing="0" w:line="360" w:lineRule="auto"/>
        <w:ind w:left="720" w:hanging="720"/>
        <w:contextualSpacing/>
        <w:rPr>
          <w:rFonts w:ascii="Arial" w:hAnsi="Arial" w:cs="Arial"/>
          <w:color w:val="000000"/>
          <w:sz w:val="22"/>
          <w:szCs w:val="22"/>
        </w:rPr>
      </w:pPr>
      <w:r w:rsidRPr="00CD38BF">
        <w:rPr>
          <w:rFonts w:ascii="Arial" w:hAnsi="Arial" w:cs="Arial"/>
          <w:color w:val="000000"/>
          <w:sz w:val="22"/>
          <w:szCs w:val="22"/>
        </w:rPr>
        <w:t>‌ Savoldelli, A, Landi, D &amp; Rizzi, C 2024, ‘Exploring Quantitative Methodologies for Assessing the Environmental, Social, and Economic Impacts of Telemedicine: A Literature Review’, </w:t>
      </w:r>
      <w:r w:rsidRPr="00CD38BF">
        <w:rPr>
          <w:rFonts w:ascii="Arial" w:hAnsi="Arial" w:cs="Arial"/>
          <w:i/>
          <w:iCs/>
          <w:color w:val="000000"/>
          <w:sz w:val="22"/>
          <w:szCs w:val="22"/>
        </w:rPr>
        <w:t>Sustainability</w:t>
      </w:r>
      <w:r w:rsidRPr="00CD38BF">
        <w:rPr>
          <w:rFonts w:ascii="Arial" w:hAnsi="Arial" w:cs="Arial"/>
          <w:color w:val="000000"/>
          <w:sz w:val="22"/>
          <w:szCs w:val="22"/>
        </w:rPr>
        <w:t xml:space="preserve">, vol. 16, MDPI AG, no. 6, p. 2438, viewed 15 March 2026, </w:t>
      </w:r>
      <w:hyperlink r:id="rId33" w:history="1">
        <w:r w:rsidRPr="00CD38BF">
          <w:rPr>
            <w:rStyle w:val="Hyperlink"/>
            <w:rFonts w:ascii="Arial" w:hAnsi="Arial" w:cs="Arial"/>
            <w:sz w:val="22"/>
            <w:szCs w:val="22"/>
          </w:rPr>
          <w:t>https://www.mdpi.com/2071-1050/16/6/2438</w:t>
        </w:r>
      </w:hyperlink>
      <w:r w:rsidRPr="00CD38BF">
        <w:rPr>
          <w:rFonts w:ascii="Arial" w:hAnsi="Arial" w:cs="Arial"/>
          <w:color w:val="000000"/>
          <w:sz w:val="22"/>
          <w:szCs w:val="22"/>
        </w:rPr>
        <w:t>.</w:t>
      </w:r>
    </w:p>
    <w:p w14:paraId="1389CEC3" w14:textId="77777777" w:rsidR="000D7F72" w:rsidRPr="00CD38BF" w:rsidRDefault="000D7F72" w:rsidP="00D419F2">
      <w:pPr>
        <w:pStyle w:val="NormalWeb"/>
        <w:spacing w:before="0" w:beforeAutospacing="0" w:after="0" w:afterAutospacing="0" w:line="360" w:lineRule="auto"/>
        <w:ind w:left="720" w:hanging="720"/>
        <w:contextualSpacing/>
        <w:rPr>
          <w:rFonts w:ascii="Arial" w:hAnsi="Arial" w:cs="Arial"/>
          <w:color w:val="000000"/>
          <w:sz w:val="22"/>
          <w:szCs w:val="22"/>
        </w:rPr>
      </w:pPr>
      <w:r w:rsidRPr="00CD38BF">
        <w:rPr>
          <w:rFonts w:ascii="Arial" w:hAnsi="Arial" w:cs="Arial"/>
          <w:color w:val="000000"/>
          <w:sz w:val="22"/>
          <w:szCs w:val="22"/>
        </w:rPr>
        <w:t>Schwedler, K-J, Ehlers, J, Ostermann, T &amp; Hohenberg, G 2026, ‘The Role of Telemedicine Centers and Digital Health Applications in Home Care: Challenges and Opportunities for Family Caregivers’, </w:t>
      </w:r>
      <w:r w:rsidRPr="00CD38BF">
        <w:rPr>
          <w:rFonts w:ascii="Arial" w:hAnsi="Arial" w:cs="Arial"/>
          <w:i/>
          <w:iCs/>
          <w:color w:val="000000"/>
          <w:sz w:val="22"/>
          <w:szCs w:val="22"/>
        </w:rPr>
        <w:t>Healthcare</w:t>
      </w:r>
      <w:r w:rsidRPr="00CD38BF">
        <w:rPr>
          <w:rFonts w:ascii="Arial" w:hAnsi="Arial" w:cs="Arial"/>
          <w:color w:val="000000"/>
          <w:sz w:val="22"/>
          <w:szCs w:val="22"/>
        </w:rPr>
        <w:t xml:space="preserve">, vol. 14, MDPI AG, no. 1, p. 136, viewed 15 March 2026, </w:t>
      </w:r>
      <w:hyperlink r:id="rId34" w:history="1">
        <w:r w:rsidRPr="00CD38BF">
          <w:rPr>
            <w:rStyle w:val="Hyperlink"/>
            <w:rFonts w:ascii="Arial" w:hAnsi="Arial" w:cs="Arial"/>
            <w:sz w:val="22"/>
            <w:szCs w:val="22"/>
          </w:rPr>
          <w:t>https://www.mdpi.com/2227-9032/14/1/136</w:t>
        </w:r>
      </w:hyperlink>
      <w:r w:rsidRPr="00CD38BF">
        <w:rPr>
          <w:rFonts w:ascii="Arial" w:hAnsi="Arial" w:cs="Arial"/>
          <w:color w:val="000000"/>
          <w:sz w:val="22"/>
          <w:szCs w:val="22"/>
        </w:rPr>
        <w:t>.</w:t>
      </w:r>
    </w:p>
    <w:p w14:paraId="28CDD174" w14:textId="77777777" w:rsidR="000D7F72" w:rsidRPr="00CD38BF" w:rsidRDefault="000D7F72" w:rsidP="00D419F2">
      <w:pPr>
        <w:spacing w:after="0" w:line="360" w:lineRule="auto"/>
        <w:ind w:left="720" w:hanging="720"/>
        <w:contextualSpacing/>
        <w:rPr>
          <w:rFonts w:ascii="Arial" w:hAnsi="Arial" w:cs="Arial"/>
          <w:sz w:val="22"/>
          <w:szCs w:val="22"/>
        </w:rPr>
      </w:pPr>
      <w:r w:rsidRPr="00CD38BF">
        <w:rPr>
          <w:rFonts w:ascii="Arial" w:hAnsi="Arial" w:cs="Arial"/>
          <w:sz w:val="22"/>
          <w:szCs w:val="22"/>
        </w:rPr>
        <w:t>Shaver, J., 2022. The state of telehealth before and after the COVID-19 pandemic. </w:t>
      </w:r>
      <w:r w:rsidRPr="00CD38BF">
        <w:rPr>
          <w:rFonts w:ascii="Arial" w:hAnsi="Arial" w:cs="Arial"/>
          <w:i/>
          <w:iCs/>
          <w:sz w:val="22"/>
          <w:szCs w:val="22"/>
        </w:rPr>
        <w:t>Primary care</w:t>
      </w:r>
      <w:r w:rsidRPr="00CD38BF">
        <w:rPr>
          <w:rFonts w:ascii="Arial" w:hAnsi="Arial" w:cs="Arial"/>
          <w:sz w:val="22"/>
          <w:szCs w:val="22"/>
        </w:rPr>
        <w:t>, </w:t>
      </w:r>
      <w:r w:rsidRPr="00CD38BF">
        <w:rPr>
          <w:rFonts w:ascii="Arial" w:hAnsi="Arial" w:cs="Arial"/>
          <w:i/>
          <w:iCs/>
          <w:sz w:val="22"/>
          <w:szCs w:val="22"/>
        </w:rPr>
        <w:t>49</w:t>
      </w:r>
      <w:r w:rsidRPr="00CD38BF">
        <w:rPr>
          <w:rFonts w:ascii="Arial" w:hAnsi="Arial" w:cs="Arial"/>
          <w:sz w:val="22"/>
          <w:szCs w:val="22"/>
        </w:rPr>
        <w:t xml:space="preserve">(4), p.517. Available at: </w:t>
      </w:r>
      <w:hyperlink r:id="rId35" w:history="1">
        <w:r w:rsidRPr="00CD38BF">
          <w:rPr>
            <w:rStyle w:val="Hyperlink"/>
            <w:rFonts w:ascii="Arial" w:hAnsi="Arial" w:cs="Arial"/>
            <w:sz w:val="22"/>
            <w:szCs w:val="22"/>
          </w:rPr>
          <w:t>https://www.ncbi.nlm.nih.gov/pmc/articles/PMC9035352/</w:t>
        </w:r>
      </w:hyperlink>
      <w:r w:rsidRPr="00CD38BF">
        <w:rPr>
          <w:rFonts w:ascii="Arial" w:hAnsi="Arial" w:cs="Arial"/>
          <w:sz w:val="22"/>
          <w:szCs w:val="22"/>
        </w:rPr>
        <w:t xml:space="preserve">  (Accessed: 6 March 2026).</w:t>
      </w:r>
    </w:p>
    <w:p w14:paraId="7AE914F8" w14:textId="77777777" w:rsidR="000D7F72" w:rsidRPr="00CD38BF" w:rsidRDefault="000D7F72" w:rsidP="00D419F2">
      <w:pPr>
        <w:spacing w:after="0" w:line="360" w:lineRule="auto"/>
        <w:ind w:left="720" w:hanging="720"/>
        <w:contextualSpacing/>
        <w:rPr>
          <w:rFonts w:ascii="Arial" w:hAnsi="Arial" w:cs="Arial"/>
          <w:sz w:val="22"/>
          <w:szCs w:val="22"/>
        </w:rPr>
      </w:pPr>
      <w:r w:rsidRPr="00CD38BF">
        <w:rPr>
          <w:rFonts w:ascii="Arial" w:hAnsi="Arial" w:cs="Arial"/>
          <w:sz w:val="22"/>
          <w:szCs w:val="22"/>
        </w:rPr>
        <w:t>Shin, R.J., Yao, M., Akesson, C., Blazel, M., Mei, L. and Brant, A.R., 2022. An exploratory study comparing the quality of contraceptive counseling provided via telemedicine versus in-person visits. </w:t>
      </w:r>
      <w:r w:rsidRPr="00CD38BF">
        <w:rPr>
          <w:rFonts w:ascii="Arial" w:hAnsi="Arial" w:cs="Arial"/>
          <w:i/>
          <w:iCs/>
          <w:sz w:val="22"/>
          <w:szCs w:val="22"/>
        </w:rPr>
        <w:t>Contraception</w:t>
      </w:r>
      <w:r w:rsidRPr="00CD38BF">
        <w:rPr>
          <w:rFonts w:ascii="Arial" w:hAnsi="Arial" w:cs="Arial"/>
          <w:sz w:val="22"/>
          <w:szCs w:val="22"/>
        </w:rPr>
        <w:t>, </w:t>
      </w:r>
      <w:r w:rsidRPr="00CD38BF">
        <w:rPr>
          <w:rFonts w:ascii="Arial" w:hAnsi="Arial" w:cs="Arial"/>
          <w:i/>
          <w:iCs/>
          <w:sz w:val="22"/>
          <w:szCs w:val="22"/>
        </w:rPr>
        <w:t>112</w:t>
      </w:r>
      <w:r w:rsidRPr="00CD38BF">
        <w:rPr>
          <w:rFonts w:ascii="Arial" w:hAnsi="Arial" w:cs="Arial"/>
          <w:sz w:val="22"/>
          <w:szCs w:val="22"/>
        </w:rPr>
        <w:t xml:space="preserve">, pp.86-92. Available at: </w:t>
      </w:r>
      <w:hyperlink r:id="rId36" w:history="1">
        <w:r w:rsidRPr="00CD38BF">
          <w:rPr>
            <w:rStyle w:val="Hyperlink"/>
            <w:rFonts w:ascii="Arial" w:hAnsi="Arial" w:cs="Arial"/>
            <w:sz w:val="22"/>
            <w:szCs w:val="22"/>
          </w:rPr>
          <w:t>https://doi.org/10.1016/j.contraception.2022.02.004</w:t>
        </w:r>
      </w:hyperlink>
      <w:r w:rsidRPr="00CD38BF">
        <w:rPr>
          <w:rFonts w:ascii="Arial" w:hAnsi="Arial" w:cs="Arial"/>
          <w:sz w:val="22"/>
          <w:szCs w:val="22"/>
        </w:rPr>
        <w:t xml:space="preserve"> (Accessed: 6 March 2026).</w:t>
      </w:r>
    </w:p>
    <w:p w14:paraId="5AD67962" w14:textId="77777777" w:rsidR="000D7F72" w:rsidRPr="00CD38BF" w:rsidRDefault="000D7F72" w:rsidP="00D419F2">
      <w:pPr>
        <w:pStyle w:val="NormalWeb"/>
        <w:spacing w:before="0" w:beforeAutospacing="0" w:after="0" w:afterAutospacing="0" w:line="360" w:lineRule="auto"/>
        <w:ind w:left="720" w:hanging="720"/>
        <w:contextualSpacing/>
        <w:rPr>
          <w:rFonts w:ascii="Arial" w:hAnsi="Arial" w:cs="Arial"/>
          <w:color w:val="000000"/>
          <w:sz w:val="22"/>
          <w:szCs w:val="22"/>
        </w:rPr>
      </w:pPr>
      <w:r w:rsidRPr="00CD38BF">
        <w:rPr>
          <w:rFonts w:ascii="Arial" w:hAnsi="Arial" w:cs="Arial"/>
          <w:color w:val="000000"/>
          <w:sz w:val="22"/>
          <w:szCs w:val="22"/>
        </w:rPr>
        <w:t>Simeon, N, None Olayemi Oluwatosin Akanji, None Oluwaleke Akinwale, Katsina, A, Bitrus, P, Ukpoju-Ebonyi, M &amp; None Jean-Marie Akor Ebonyi 2024, ‘Bridging gaps in preventive healthcare: Telehealth and digital innovations for rural communities’, </w:t>
      </w:r>
      <w:r w:rsidRPr="00CD38BF">
        <w:rPr>
          <w:rFonts w:ascii="Arial" w:hAnsi="Arial" w:cs="Arial"/>
          <w:i/>
          <w:iCs/>
          <w:color w:val="000000"/>
          <w:sz w:val="22"/>
          <w:szCs w:val="22"/>
        </w:rPr>
        <w:t>World Journal of Advanced Research and Reviews</w:t>
      </w:r>
      <w:r w:rsidRPr="00CD38BF">
        <w:rPr>
          <w:rFonts w:ascii="Arial" w:hAnsi="Arial" w:cs="Arial"/>
          <w:color w:val="000000"/>
          <w:sz w:val="22"/>
          <w:szCs w:val="22"/>
        </w:rPr>
        <w:t>, vol. 24, GSC Online Press, no. 3, pp. 2861–2872.</w:t>
      </w:r>
    </w:p>
    <w:p w14:paraId="70FB9837" w14:textId="77777777" w:rsidR="000D7F72" w:rsidRPr="00CD38BF" w:rsidRDefault="000D7F72" w:rsidP="00D419F2">
      <w:pPr>
        <w:spacing w:after="0" w:line="360" w:lineRule="auto"/>
        <w:ind w:left="720" w:hanging="720"/>
        <w:contextualSpacing/>
        <w:rPr>
          <w:rFonts w:ascii="Arial" w:hAnsi="Arial" w:cs="Arial"/>
          <w:sz w:val="22"/>
          <w:szCs w:val="22"/>
        </w:rPr>
      </w:pPr>
      <w:r w:rsidRPr="00CD38BF">
        <w:rPr>
          <w:rFonts w:ascii="Arial" w:hAnsi="Arial" w:cs="Arial"/>
          <w:sz w:val="22"/>
          <w:szCs w:val="22"/>
        </w:rPr>
        <w:t>Sinsky, C.A., Jerzak, J.T. and Hopkins, K.D., 2021, February. Telemedicine and team-based care: the perils and the promise. In </w:t>
      </w:r>
      <w:r w:rsidRPr="00CD38BF">
        <w:rPr>
          <w:rFonts w:ascii="Arial" w:hAnsi="Arial" w:cs="Arial"/>
          <w:i/>
          <w:iCs/>
          <w:sz w:val="22"/>
          <w:szCs w:val="22"/>
        </w:rPr>
        <w:t>Mayo Clinic Proceedings</w:t>
      </w:r>
      <w:r w:rsidRPr="00CD38BF">
        <w:rPr>
          <w:rFonts w:ascii="Arial" w:hAnsi="Arial" w:cs="Arial"/>
          <w:sz w:val="22"/>
          <w:szCs w:val="22"/>
        </w:rPr>
        <w:t xml:space="preserve"> (Vol. 96, No. 2, pp. 429-437). Elsevier. Available at: </w:t>
      </w:r>
      <w:hyperlink r:id="rId37" w:history="1">
        <w:r w:rsidRPr="00CD38BF">
          <w:rPr>
            <w:rStyle w:val="Hyperlink"/>
            <w:rFonts w:ascii="Arial" w:hAnsi="Arial" w:cs="Arial"/>
            <w:sz w:val="22"/>
            <w:szCs w:val="22"/>
          </w:rPr>
          <w:t>https://www.sciencedirect.com/science/article/pii/S0025619620313793</w:t>
        </w:r>
      </w:hyperlink>
      <w:r w:rsidRPr="00CD38BF">
        <w:rPr>
          <w:rFonts w:ascii="Arial" w:hAnsi="Arial" w:cs="Arial"/>
          <w:sz w:val="22"/>
          <w:szCs w:val="22"/>
        </w:rPr>
        <w:t xml:space="preserve">  (Accessed: 6 March 2026).</w:t>
      </w:r>
    </w:p>
    <w:p w14:paraId="7F0B5A3B" w14:textId="77777777" w:rsidR="000D7F72" w:rsidRPr="00CD38BF" w:rsidRDefault="000D7F72" w:rsidP="00D419F2">
      <w:pPr>
        <w:pStyle w:val="NormalWeb"/>
        <w:spacing w:before="0" w:beforeAutospacing="0" w:after="0" w:afterAutospacing="0" w:line="360" w:lineRule="auto"/>
        <w:ind w:left="720" w:hanging="720"/>
        <w:contextualSpacing/>
        <w:rPr>
          <w:rFonts w:ascii="Arial" w:hAnsi="Arial" w:cs="Arial"/>
          <w:color w:val="000000"/>
          <w:sz w:val="22"/>
          <w:szCs w:val="22"/>
        </w:rPr>
      </w:pPr>
      <w:r w:rsidRPr="00CD38BF">
        <w:rPr>
          <w:rFonts w:ascii="Arial" w:hAnsi="Arial" w:cs="Arial"/>
          <w:color w:val="000000"/>
          <w:sz w:val="22"/>
          <w:szCs w:val="22"/>
        </w:rPr>
        <w:t>Smith, AC, Thomas, E, Snoswell, CL, Haydon, H, Mehrotra, A, Clemensen, J &amp; Caffery, LJ 2020, ‘Telehealth for global emergencies: Implications for coronavirus disease 2019 (COVID-19)’, </w:t>
      </w:r>
      <w:r w:rsidRPr="00CD38BF">
        <w:rPr>
          <w:rFonts w:ascii="Arial" w:hAnsi="Arial" w:cs="Arial"/>
          <w:i/>
          <w:iCs/>
          <w:color w:val="000000"/>
          <w:sz w:val="22"/>
          <w:szCs w:val="22"/>
        </w:rPr>
        <w:t>Journal of Telemedicine and Telecare</w:t>
      </w:r>
      <w:r w:rsidRPr="00CD38BF">
        <w:rPr>
          <w:rFonts w:ascii="Arial" w:hAnsi="Arial" w:cs="Arial"/>
          <w:color w:val="000000"/>
          <w:sz w:val="22"/>
          <w:szCs w:val="22"/>
        </w:rPr>
        <w:t xml:space="preserve">, vol. 26, SAGE Publications, no. 5, pp. 309–313, viewed 15 March 2026, </w:t>
      </w:r>
      <w:hyperlink r:id="rId38" w:history="1">
        <w:r w:rsidRPr="00CD38BF">
          <w:rPr>
            <w:rStyle w:val="Hyperlink"/>
            <w:rFonts w:ascii="Arial" w:hAnsi="Arial" w:cs="Arial"/>
            <w:sz w:val="22"/>
            <w:szCs w:val="22"/>
          </w:rPr>
          <w:t>https://pubmed.ncbi.nlm.nih.gov/32196391/</w:t>
        </w:r>
      </w:hyperlink>
      <w:r w:rsidRPr="00CD38BF">
        <w:rPr>
          <w:rFonts w:ascii="Arial" w:hAnsi="Arial" w:cs="Arial"/>
          <w:color w:val="000000"/>
          <w:sz w:val="22"/>
          <w:szCs w:val="22"/>
        </w:rPr>
        <w:t>.</w:t>
      </w:r>
    </w:p>
    <w:p w14:paraId="71918B22" w14:textId="77777777" w:rsidR="000D7F72" w:rsidRPr="00CD38BF" w:rsidRDefault="000D7F72" w:rsidP="00D419F2">
      <w:pPr>
        <w:pStyle w:val="NormalWeb"/>
        <w:spacing w:before="0" w:beforeAutospacing="0" w:after="0" w:afterAutospacing="0" w:line="360" w:lineRule="auto"/>
        <w:ind w:left="720" w:hanging="720"/>
        <w:contextualSpacing/>
        <w:rPr>
          <w:rFonts w:ascii="Arial" w:hAnsi="Arial" w:cs="Arial"/>
          <w:color w:val="000000"/>
          <w:sz w:val="22"/>
          <w:szCs w:val="22"/>
        </w:rPr>
      </w:pPr>
      <w:r w:rsidRPr="00CD38BF">
        <w:rPr>
          <w:rFonts w:ascii="Arial" w:hAnsi="Arial" w:cs="Arial"/>
          <w:color w:val="000000"/>
          <w:sz w:val="22"/>
          <w:szCs w:val="22"/>
        </w:rPr>
        <w:t>Sullivan, AB, Kane, A, Roth, AJ, Davis, BE, Drerup, ML &amp; Heinberg, LJ 2020, ‘The COVID-19 Crisis: A Mental Health Perspective and Response Using Telemedicine’, </w:t>
      </w:r>
      <w:r w:rsidRPr="00CD38BF">
        <w:rPr>
          <w:rFonts w:ascii="Arial" w:hAnsi="Arial" w:cs="Arial"/>
          <w:i/>
          <w:iCs/>
          <w:color w:val="000000"/>
          <w:sz w:val="22"/>
          <w:szCs w:val="22"/>
        </w:rPr>
        <w:t>Journal of Patient Experience</w:t>
      </w:r>
      <w:r w:rsidRPr="00CD38BF">
        <w:rPr>
          <w:rFonts w:ascii="Arial" w:hAnsi="Arial" w:cs="Arial"/>
          <w:color w:val="000000"/>
          <w:sz w:val="22"/>
          <w:szCs w:val="22"/>
        </w:rPr>
        <w:t xml:space="preserve">, vol. 7, SAGE Publications, no. 3, pp. 295–301, viewed 15 March 2026, </w:t>
      </w:r>
      <w:hyperlink r:id="rId39" w:history="1">
        <w:r w:rsidRPr="00CD38BF">
          <w:rPr>
            <w:rStyle w:val="Hyperlink"/>
            <w:rFonts w:ascii="Arial" w:hAnsi="Arial" w:cs="Arial"/>
            <w:sz w:val="22"/>
            <w:szCs w:val="22"/>
          </w:rPr>
          <w:t>https://pmc.ncbi.nlm.nih.gov/articles/PMC7410128/</w:t>
        </w:r>
      </w:hyperlink>
      <w:r w:rsidRPr="00CD38BF">
        <w:rPr>
          <w:rFonts w:ascii="Arial" w:hAnsi="Arial" w:cs="Arial"/>
          <w:color w:val="000000"/>
          <w:sz w:val="22"/>
          <w:szCs w:val="22"/>
        </w:rPr>
        <w:t>.</w:t>
      </w:r>
    </w:p>
    <w:p w14:paraId="7793815F" w14:textId="77777777" w:rsidR="000D7F72" w:rsidRPr="00CD38BF" w:rsidRDefault="000D7F72" w:rsidP="00D419F2">
      <w:pPr>
        <w:spacing w:after="0" w:line="360" w:lineRule="auto"/>
        <w:ind w:left="720" w:hanging="720"/>
        <w:contextualSpacing/>
        <w:rPr>
          <w:rFonts w:ascii="Arial" w:hAnsi="Arial" w:cs="Arial"/>
          <w:sz w:val="22"/>
          <w:szCs w:val="22"/>
          <w:lang w:val="en-US"/>
        </w:rPr>
      </w:pPr>
      <w:r w:rsidRPr="00CD38BF">
        <w:rPr>
          <w:rFonts w:ascii="Arial" w:hAnsi="Arial" w:cs="Arial"/>
          <w:sz w:val="22"/>
          <w:szCs w:val="22"/>
          <w:lang w:val="en-US"/>
        </w:rPr>
        <w:t>Ternes, S, Lavin, L, Vakkalanka, JP, Healy, HS, Merchant, KA, Ward, MM &amp; Mohr, NM 2024, ‘The role of increasing synchronous telehealth use during the COVID-19 pandemic on disparities in access to healthcare: A systematic review’, </w:t>
      </w:r>
      <w:r w:rsidRPr="00CD38BF">
        <w:rPr>
          <w:rFonts w:ascii="Arial" w:hAnsi="Arial" w:cs="Arial"/>
          <w:i/>
          <w:iCs/>
          <w:sz w:val="22"/>
          <w:szCs w:val="22"/>
          <w:lang w:val="en-US"/>
        </w:rPr>
        <w:t>Journal of Telemedicine and Telecare</w:t>
      </w:r>
      <w:r w:rsidRPr="00CD38BF">
        <w:rPr>
          <w:rFonts w:ascii="Arial" w:hAnsi="Arial" w:cs="Arial"/>
          <w:sz w:val="22"/>
          <w:szCs w:val="22"/>
          <w:lang w:val="en-US"/>
        </w:rPr>
        <w:t xml:space="preserve">, vol. 31, SAGE Publications, no. 8, pp. 1091–1113, viewed 15 March 2026, </w:t>
      </w:r>
      <w:hyperlink r:id="rId40" w:history="1">
        <w:r w:rsidRPr="00CD38BF">
          <w:rPr>
            <w:rStyle w:val="Hyperlink"/>
            <w:rFonts w:ascii="Arial" w:hAnsi="Arial" w:cs="Arial"/>
            <w:sz w:val="22"/>
            <w:szCs w:val="22"/>
            <w:lang w:val="en-US"/>
          </w:rPr>
          <w:t>https://journals.sagepub.com/doi/10.1177/1357633X241245459</w:t>
        </w:r>
      </w:hyperlink>
      <w:r w:rsidRPr="00CD38BF">
        <w:rPr>
          <w:rFonts w:ascii="Arial" w:hAnsi="Arial" w:cs="Arial"/>
          <w:sz w:val="22"/>
          <w:szCs w:val="22"/>
          <w:lang w:val="en-US"/>
        </w:rPr>
        <w:t>.</w:t>
      </w:r>
    </w:p>
    <w:p w14:paraId="49880808" w14:textId="75CF0391" w:rsidR="000D7F72" w:rsidRPr="00CD38BF" w:rsidRDefault="000D7F72" w:rsidP="00D419F2">
      <w:pPr>
        <w:spacing w:after="0" w:line="360" w:lineRule="auto"/>
        <w:ind w:left="720" w:hanging="720"/>
        <w:contextualSpacing/>
        <w:rPr>
          <w:rFonts w:ascii="Arial" w:hAnsi="Arial" w:cs="Arial"/>
          <w:sz w:val="22"/>
          <w:szCs w:val="22"/>
          <w:lang w:val="en-US"/>
        </w:rPr>
      </w:pPr>
      <w:r w:rsidRPr="00CD38BF">
        <w:rPr>
          <w:rFonts w:ascii="Arial" w:hAnsi="Arial" w:cs="Arial"/>
          <w:sz w:val="22"/>
          <w:szCs w:val="22"/>
          <w:lang w:val="en-US"/>
        </w:rPr>
        <w:t>Ulintz, AJ, Podolsky, SR, Lapin, B &amp; Wyllie, RR 2023, ‘Addition of community paramedics to a physician home</w:t>
      </w:r>
      <w:r w:rsidRPr="00CD38BF">
        <w:rPr>
          <w:rFonts w:ascii="Cambria Math" w:hAnsi="Cambria Math" w:cs="Cambria Math"/>
          <w:sz w:val="22"/>
          <w:szCs w:val="22"/>
          <w:lang w:val="en-US"/>
        </w:rPr>
        <w:t>‐</w:t>
      </w:r>
      <w:r w:rsidRPr="00CD38BF">
        <w:rPr>
          <w:rFonts w:ascii="Arial" w:hAnsi="Arial" w:cs="Arial"/>
          <w:sz w:val="22"/>
          <w:szCs w:val="22"/>
          <w:lang w:val="en-US"/>
        </w:rPr>
        <w:t>visit program: A prospective cohort study’, </w:t>
      </w:r>
      <w:r w:rsidRPr="00CD38BF">
        <w:rPr>
          <w:rFonts w:ascii="Arial" w:hAnsi="Arial" w:cs="Arial"/>
          <w:i/>
          <w:iCs/>
          <w:sz w:val="22"/>
          <w:szCs w:val="22"/>
          <w:lang w:val="en-US"/>
        </w:rPr>
        <w:t>Journal of the American Geriatrics Society</w:t>
      </w:r>
      <w:r w:rsidRPr="00CD38BF">
        <w:rPr>
          <w:rFonts w:ascii="Arial" w:hAnsi="Arial" w:cs="Arial"/>
          <w:sz w:val="22"/>
          <w:szCs w:val="22"/>
          <w:lang w:val="en-US"/>
        </w:rPr>
        <w:t xml:space="preserve">, vol. 71, Wiley, no. 12, pp. 3896–3905, viewed 15 March 2026, </w:t>
      </w:r>
      <w:hyperlink r:id="rId41" w:history="1">
        <w:r w:rsidRPr="00CD38BF">
          <w:rPr>
            <w:rStyle w:val="Hyperlink"/>
            <w:rFonts w:ascii="Arial" w:hAnsi="Arial" w:cs="Arial"/>
            <w:sz w:val="22"/>
            <w:szCs w:val="22"/>
            <w:lang w:val="en-US"/>
          </w:rPr>
          <w:t>https://agsjournals.onlinelibrary.wiley.com/doi/pdf/10.1111/jgs.18625</w:t>
        </w:r>
      </w:hyperlink>
      <w:r w:rsidRPr="00CD38BF">
        <w:rPr>
          <w:rFonts w:ascii="Arial" w:hAnsi="Arial" w:cs="Arial"/>
          <w:sz w:val="22"/>
          <w:szCs w:val="22"/>
          <w:lang w:val="en-US"/>
        </w:rPr>
        <w:t>.</w:t>
      </w:r>
    </w:p>
    <w:bookmarkEnd w:id="2"/>
    <w:p w14:paraId="162F5585" w14:textId="77777777" w:rsidR="00344ED7" w:rsidRDefault="00344ED7" w:rsidP="00D419F2">
      <w:pPr>
        <w:pStyle w:val="NormalWeb"/>
        <w:spacing w:before="0" w:beforeAutospacing="0" w:after="240" w:afterAutospacing="0" w:line="360" w:lineRule="atLeast"/>
        <w:rPr>
          <w:color w:val="000000"/>
        </w:rPr>
      </w:pPr>
    </w:p>
    <w:p w14:paraId="2DF50EFC" w14:textId="77777777" w:rsidR="00344ED7" w:rsidRDefault="00344ED7" w:rsidP="00D419F2">
      <w:pPr>
        <w:pStyle w:val="NormalWeb"/>
        <w:rPr>
          <w:color w:val="000000"/>
        </w:rPr>
      </w:pPr>
      <w:r>
        <w:rPr>
          <w:color w:val="000000"/>
        </w:rPr>
        <w:t>‌</w:t>
      </w:r>
    </w:p>
    <w:p w14:paraId="0F13F7D8" w14:textId="77777777" w:rsidR="00344ED7" w:rsidRPr="00344ED7" w:rsidRDefault="00344ED7" w:rsidP="00D419F2">
      <w:pPr>
        <w:pStyle w:val="NormalWeb"/>
        <w:rPr>
          <w:color w:val="000000"/>
        </w:rPr>
      </w:pPr>
    </w:p>
    <w:p w14:paraId="401200C2" w14:textId="77777777" w:rsidR="00344ED7" w:rsidRPr="00344ED7" w:rsidRDefault="00344ED7" w:rsidP="00D419F2">
      <w:pPr>
        <w:pStyle w:val="NormalWeb"/>
        <w:rPr>
          <w:color w:val="000000"/>
        </w:rPr>
      </w:pPr>
      <w:r w:rsidRPr="00344ED7">
        <w:rPr>
          <w:color w:val="000000"/>
        </w:rPr>
        <w:t>‌</w:t>
      </w:r>
    </w:p>
    <w:p w14:paraId="74C75981" w14:textId="0DB3EBF2" w:rsidR="00344ED7" w:rsidRDefault="00344ED7" w:rsidP="00D419F2">
      <w:pPr>
        <w:pStyle w:val="NormalWeb"/>
        <w:rPr>
          <w:color w:val="000000"/>
        </w:rPr>
      </w:pPr>
    </w:p>
    <w:p w14:paraId="7E8438D4" w14:textId="77777777" w:rsidR="00344ED7" w:rsidRPr="00344ED7" w:rsidRDefault="00344ED7" w:rsidP="00D419F2">
      <w:pPr>
        <w:pStyle w:val="NormalWeb"/>
        <w:jc w:val="both"/>
        <w:rPr>
          <w:color w:val="000000"/>
        </w:rPr>
      </w:pPr>
    </w:p>
    <w:p w14:paraId="0BA8DED2" w14:textId="77777777" w:rsidR="00344ED7" w:rsidRPr="00344ED7" w:rsidRDefault="00344ED7" w:rsidP="00D419F2">
      <w:pPr>
        <w:pStyle w:val="NormalWeb"/>
        <w:jc w:val="both"/>
        <w:rPr>
          <w:color w:val="000000"/>
        </w:rPr>
      </w:pPr>
    </w:p>
    <w:p w14:paraId="268F2224" w14:textId="77777777" w:rsidR="00344ED7" w:rsidRPr="00344ED7" w:rsidRDefault="00344ED7" w:rsidP="00D419F2">
      <w:pPr>
        <w:pStyle w:val="NormalWeb"/>
        <w:jc w:val="both"/>
        <w:rPr>
          <w:color w:val="000000"/>
        </w:rPr>
      </w:pPr>
      <w:r w:rsidRPr="00344ED7">
        <w:rPr>
          <w:color w:val="000000"/>
        </w:rPr>
        <w:t>‌</w:t>
      </w:r>
    </w:p>
    <w:p w14:paraId="226EFE44" w14:textId="5C1D94B8" w:rsidR="0075339A" w:rsidRDefault="0075339A" w:rsidP="00D419F2">
      <w:pPr>
        <w:pStyle w:val="NormalWeb"/>
        <w:jc w:val="both"/>
        <w:rPr>
          <w:color w:val="000000"/>
        </w:rPr>
      </w:pPr>
    </w:p>
    <w:p w14:paraId="38AC8887" w14:textId="77777777" w:rsidR="0075339A" w:rsidRDefault="0075339A" w:rsidP="00D419F2">
      <w:pPr>
        <w:pStyle w:val="NormalWeb"/>
        <w:spacing w:before="0" w:beforeAutospacing="0" w:after="240" w:afterAutospacing="0" w:line="360" w:lineRule="atLeast"/>
        <w:jc w:val="both"/>
        <w:rPr>
          <w:color w:val="000000"/>
        </w:rPr>
      </w:pPr>
    </w:p>
    <w:p w14:paraId="63E9C642" w14:textId="4E258D4F" w:rsidR="00F24FAD" w:rsidRPr="00344ED7" w:rsidRDefault="006340F7" w:rsidP="00D419F2">
      <w:pPr>
        <w:pStyle w:val="NormalWeb"/>
        <w:jc w:val="both"/>
        <w:rPr>
          <w:color w:val="000000"/>
        </w:rPr>
      </w:pPr>
      <w:r w:rsidRPr="006340F7">
        <w:t>‌‌</w:t>
      </w:r>
    </w:p>
    <w:sectPr w:rsidR="00F24FAD" w:rsidRPr="00344ED7">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474855" w14:textId="77777777" w:rsidR="00896FA9" w:rsidRDefault="00896FA9" w:rsidP="00CD38BF">
      <w:pPr>
        <w:spacing w:after="0" w:line="240" w:lineRule="auto"/>
      </w:pPr>
      <w:r>
        <w:separator/>
      </w:r>
    </w:p>
  </w:endnote>
  <w:endnote w:type="continuationSeparator" w:id="0">
    <w:p w14:paraId="6C4A90DA" w14:textId="77777777" w:rsidR="00896FA9" w:rsidRDefault="00896FA9" w:rsidP="00CD38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7EFAA3" w14:textId="77777777" w:rsidR="00896FA9" w:rsidRDefault="00896FA9" w:rsidP="00CD38BF">
      <w:pPr>
        <w:spacing w:after="0" w:line="240" w:lineRule="auto"/>
      </w:pPr>
      <w:r>
        <w:separator/>
      </w:r>
    </w:p>
  </w:footnote>
  <w:footnote w:type="continuationSeparator" w:id="0">
    <w:p w14:paraId="78250941" w14:textId="77777777" w:rsidR="00896FA9" w:rsidRDefault="00896FA9" w:rsidP="00CD38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5646368"/>
      <w:docPartObj>
        <w:docPartGallery w:val="Page Numbers (Top of Page)"/>
        <w:docPartUnique/>
      </w:docPartObj>
    </w:sdtPr>
    <w:sdtEndPr>
      <w:rPr>
        <w:noProof/>
      </w:rPr>
    </w:sdtEndPr>
    <w:sdtContent>
      <w:p w14:paraId="381CA468" w14:textId="40C1B547" w:rsidR="00CD38BF" w:rsidRDefault="00CD38B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5A9084B" w14:textId="77777777" w:rsidR="00CD38BF" w:rsidRDefault="00CD38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A0618"/>
    <w:multiLevelType w:val="multilevel"/>
    <w:tmpl w:val="D180D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CF36A0"/>
    <w:multiLevelType w:val="hybridMultilevel"/>
    <w:tmpl w:val="D188F5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292C9E"/>
    <w:multiLevelType w:val="multilevel"/>
    <w:tmpl w:val="C3647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563270"/>
    <w:multiLevelType w:val="multilevel"/>
    <w:tmpl w:val="4C54C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0261B4"/>
    <w:multiLevelType w:val="hybridMultilevel"/>
    <w:tmpl w:val="087260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21754857">
    <w:abstractNumId w:val="0"/>
  </w:num>
  <w:num w:numId="2" w16cid:durableId="932712252">
    <w:abstractNumId w:val="2"/>
  </w:num>
  <w:num w:numId="3" w16cid:durableId="364715969">
    <w:abstractNumId w:val="4"/>
  </w:num>
  <w:num w:numId="4" w16cid:durableId="1582176448">
    <w:abstractNumId w:val="3"/>
  </w:num>
  <w:num w:numId="5" w16cid:durableId="8842936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8DF"/>
    <w:rsid w:val="000003CB"/>
    <w:rsid w:val="00002E1C"/>
    <w:rsid w:val="000352AB"/>
    <w:rsid w:val="000D7F72"/>
    <w:rsid w:val="001561A8"/>
    <w:rsid w:val="001E1998"/>
    <w:rsid w:val="00296C5F"/>
    <w:rsid w:val="002C077A"/>
    <w:rsid w:val="002E5343"/>
    <w:rsid w:val="00344ED7"/>
    <w:rsid w:val="00477120"/>
    <w:rsid w:val="004B4FC8"/>
    <w:rsid w:val="004C2883"/>
    <w:rsid w:val="00527F74"/>
    <w:rsid w:val="00571125"/>
    <w:rsid w:val="005D4218"/>
    <w:rsid w:val="006340F7"/>
    <w:rsid w:val="00695BCF"/>
    <w:rsid w:val="006D38EA"/>
    <w:rsid w:val="006E405A"/>
    <w:rsid w:val="00720B6E"/>
    <w:rsid w:val="0075339A"/>
    <w:rsid w:val="00786BAE"/>
    <w:rsid w:val="00806A2F"/>
    <w:rsid w:val="008368BB"/>
    <w:rsid w:val="00896FA9"/>
    <w:rsid w:val="00994A4E"/>
    <w:rsid w:val="009A3A3B"/>
    <w:rsid w:val="00A66AD3"/>
    <w:rsid w:val="00B67996"/>
    <w:rsid w:val="00B8120B"/>
    <w:rsid w:val="00BB4678"/>
    <w:rsid w:val="00BB7235"/>
    <w:rsid w:val="00C7301E"/>
    <w:rsid w:val="00C848DF"/>
    <w:rsid w:val="00CD38BF"/>
    <w:rsid w:val="00D1197D"/>
    <w:rsid w:val="00D419F2"/>
    <w:rsid w:val="00D80BE3"/>
    <w:rsid w:val="00DE5537"/>
    <w:rsid w:val="00EF0678"/>
    <w:rsid w:val="00F014EE"/>
    <w:rsid w:val="00F24FAD"/>
    <w:rsid w:val="00FA2FE4"/>
    <w:rsid w:val="00FA6C8C"/>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9AE44"/>
  <w15:chartTrackingRefBased/>
  <w15:docId w15:val="{D5A5C485-2178-40F4-A9DF-187E2DC6E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0BE3"/>
    <w:rPr>
      <w:rFonts w:ascii="Times New Roman" w:hAnsi="Times New Roman" w:cs="Times New Roman"/>
      <w:sz w:val="24"/>
      <w:szCs w:val="24"/>
    </w:rPr>
  </w:style>
  <w:style w:type="paragraph" w:styleId="Heading1">
    <w:name w:val="heading 1"/>
    <w:basedOn w:val="Normal"/>
    <w:next w:val="Normal"/>
    <w:link w:val="Heading1Char"/>
    <w:uiPriority w:val="9"/>
    <w:qFormat/>
    <w:rsid w:val="00C848D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848D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848D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848D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848D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848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48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48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48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48D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848D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848D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848D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848D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848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48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48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48DF"/>
    <w:rPr>
      <w:rFonts w:eastAsiaTheme="majorEastAsia" w:cstheme="majorBidi"/>
      <w:color w:val="272727" w:themeColor="text1" w:themeTint="D8"/>
    </w:rPr>
  </w:style>
  <w:style w:type="paragraph" w:styleId="Title">
    <w:name w:val="Title"/>
    <w:basedOn w:val="Normal"/>
    <w:next w:val="Normal"/>
    <w:link w:val="TitleChar"/>
    <w:uiPriority w:val="10"/>
    <w:qFormat/>
    <w:rsid w:val="00C848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48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48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48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48DF"/>
    <w:pPr>
      <w:spacing w:before="160"/>
      <w:jc w:val="center"/>
    </w:pPr>
    <w:rPr>
      <w:i/>
      <w:iCs/>
      <w:color w:val="404040" w:themeColor="text1" w:themeTint="BF"/>
    </w:rPr>
  </w:style>
  <w:style w:type="character" w:customStyle="1" w:styleId="QuoteChar">
    <w:name w:val="Quote Char"/>
    <w:basedOn w:val="DefaultParagraphFont"/>
    <w:link w:val="Quote"/>
    <w:uiPriority w:val="29"/>
    <w:rsid w:val="00C848DF"/>
    <w:rPr>
      <w:i/>
      <w:iCs/>
      <w:color w:val="404040" w:themeColor="text1" w:themeTint="BF"/>
    </w:rPr>
  </w:style>
  <w:style w:type="paragraph" w:styleId="ListParagraph">
    <w:name w:val="List Paragraph"/>
    <w:basedOn w:val="Normal"/>
    <w:uiPriority w:val="34"/>
    <w:qFormat/>
    <w:rsid w:val="00C848DF"/>
    <w:pPr>
      <w:ind w:left="720"/>
      <w:contextualSpacing/>
    </w:pPr>
  </w:style>
  <w:style w:type="character" w:styleId="IntenseEmphasis">
    <w:name w:val="Intense Emphasis"/>
    <w:basedOn w:val="DefaultParagraphFont"/>
    <w:uiPriority w:val="21"/>
    <w:qFormat/>
    <w:rsid w:val="00C848DF"/>
    <w:rPr>
      <w:i/>
      <w:iCs/>
      <w:color w:val="2F5496" w:themeColor="accent1" w:themeShade="BF"/>
    </w:rPr>
  </w:style>
  <w:style w:type="paragraph" w:styleId="IntenseQuote">
    <w:name w:val="Intense Quote"/>
    <w:basedOn w:val="Normal"/>
    <w:next w:val="Normal"/>
    <w:link w:val="IntenseQuoteChar"/>
    <w:uiPriority w:val="30"/>
    <w:qFormat/>
    <w:rsid w:val="00C848D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848DF"/>
    <w:rPr>
      <w:i/>
      <w:iCs/>
      <w:color w:val="2F5496" w:themeColor="accent1" w:themeShade="BF"/>
    </w:rPr>
  </w:style>
  <w:style w:type="character" w:styleId="IntenseReference">
    <w:name w:val="Intense Reference"/>
    <w:basedOn w:val="DefaultParagraphFont"/>
    <w:uiPriority w:val="32"/>
    <w:qFormat/>
    <w:rsid w:val="00C848DF"/>
    <w:rPr>
      <w:b/>
      <w:bCs/>
      <w:smallCaps/>
      <w:color w:val="2F5496" w:themeColor="accent1" w:themeShade="BF"/>
      <w:spacing w:val="5"/>
    </w:rPr>
  </w:style>
  <w:style w:type="character" w:styleId="Hyperlink">
    <w:name w:val="Hyperlink"/>
    <w:basedOn w:val="DefaultParagraphFont"/>
    <w:uiPriority w:val="99"/>
    <w:unhideWhenUsed/>
    <w:rsid w:val="00C848DF"/>
    <w:rPr>
      <w:color w:val="0563C1" w:themeColor="hyperlink"/>
      <w:u w:val="single"/>
    </w:rPr>
  </w:style>
  <w:style w:type="character" w:styleId="UnresolvedMention">
    <w:name w:val="Unresolved Mention"/>
    <w:basedOn w:val="DefaultParagraphFont"/>
    <w:uiPriority w:val="99"/>
    <w:semiHidden/>
    <w:unhideWhenUsed/>
    <w:rsid w:val="00C848DF"/>
    <w:rPr>
      <w:color w:val="605E5C"/>
      <w:shd w:val="clear" w:color="auto" w:fill="E1DFDD"/>
    </w:rPr>
  </w:style>
  <w:style w:type="paragraph" w:styleId="NormalWeb">
    <w:name w:val="Normal (Web)"/>
    <w:basedOn w:val="Normal"/>
    <w:uiPriority w:val="99"/>
    <w:unhideWhenUsed/>
    <w:rsid w:val="0075339A"/>
    <w:pPr>
      <w:spacing w:before="100" w:beforeAutospacing="1" w:after="100" w:afterAutospacing="1" w:line="240" w:lineRule="auto"/>
    </w:pPr>
    <w:rPr>
      <w:rFonts w:eastAsia="Times New Roman"/>
      <w:kern w:val="0"/>
      <w:lang w:val="en-US"/>
      <w14:ligatures w14:val="none"/>
    </w:rPr>
  </w:style>
  <w:style w:type="paragraph" w:styleId="Header">
    <w:name w:val="header"/>
    <w:basedOn w:val="Normal"/>
    <w:link w:val="HeaderChar"/>
    <w:uiPriority w:val="99"/>
    <w:unhideWhenUsed/>
    <w:rsid w:val="00CD3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38BF"/>
    <w:rPr>
      <w:rFonts w:ascii="Times New Roman" w:hAnsi="Times New Roman" w:cs="Times New Roman"/>
      <w:sz w:val="24"/>
      <w:szCs w:val="24"/>
    </w:rPr>
  </w:style>
  <w:style w:type="paragraph" w:styleId="Footer">
    <w:name w:val="footer"/>
    <w:basedOn w:val="Normal"/>
    <w:link w:val="FooterChar"/>
    <w:uiPriority w:val="99"/>
    <w:unhideWhenUsed/>
    <w:rsid w:val="00CD3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38BF"/>
    <w:rPr>
      <w:rFonts w:ascii="Times New Roman" w:hAnsi="Times New Roman" w:cs="Times New Roman"/>
      <w:sz w:val="24"/>
      <w:szCs w:val="24"/>
    </w:rPr>
  </w:style>
  <w:style w:type="paragraph" w:styleId="Caption">
    <w:name w:val="caption"/>
    <w:basedOn w:val="Normal"/>
    <w:next w:val="Normal"/>
    <w:uiPriority w:val="35"/>
    <w:unhideWhenUsed/>
    <w:qFormat/>
    <w:rsid w:val="00720B6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dpi.com/2227-9032/13/17/2095" TargetMode="External"/><Relationship Id="rId18" Type="http://schemas.openxmlformats.org/officeDocument/2006/relationships/hyperlink" Target="https://formative.jmir.org/2022/12/e38821/PDF" TargetMode="External"/><Relationship Id="rId26" Type="http://schemas.openxmlformats.org/officeDocument/2006/relationships/hyperlink" Target="https://pmc.ncbi.nlm.nih.gov/articles/PMC6153236/" TargetMode="External"/><Relationship Id="rId39" Type="http://schemas.openxmlformats.org/officeDocument/2006/relationships/hyperlink" Target="https://pmc.ncbi.nlm.nih.gov/articles/PMC7410128/" TargetMode="External"/><Relationship Id="rId21" Type="http://schemas.openxmlformats.org/officeDocument/2006/relationships/hyperlink" Target="https://www.mdpi.com/2076-3417/15/10/5458" TargetMode="External"/><Relationship Id="rId34" Type="http://schemas.openxmlformats.org/officeDocument/2006/relationships/hyperlink" Target="https://www.mdpi.com/2227-9032/14/1/136" TargetMode="External"/><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dpi.com/2227-9032/13/10/1149" TargetMode="External"/><Relationship Id="rId20" Type="http://schemas.openxmlformats.org/officeDocument/2006/relationships/hyperlink" Target="https://www.mdpi.com/2227-9032/10/9/1677" TargetMode="External"/><Relationship Id="rId29" Type="http://schemas.openxmlformats.org/officeDocument/2006/relationships/hyperlink" Target="https://pubmed.ncbi.nlm.nih.gov/35627650/" TargetMode="External"/><Relationship Id="rId41" Type="http://schemas.openxmlformats.org/officeDocument/2006/relationships/hyperlink" Target="https://agsjournals.onlinelibrary.wiley.com/doi/pdf/10.1111/jgs.186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dpi.com/2227-9032/8/3/205" TargetMode="External"/><Relationship Id="rId32" Type="http://schemas.openxmlformats.org/officeDocument/2006/relationships/hyperlink" Target="https://academic.oup.com/pmj/article-pdf/98/1161/487/49916060/postgradmedj-98-487.pdf" TargetMode="External"/><Relationship Id="rId37" Type="http://schemas.openxmlformats.org/officeDocument/2006/relationships/hyperlink" Target="https://www.sciencedirect.com/science/article/pii/S0025619620313793" TargetMode="External"/><Relationship Id="rId40" Type="http://schemas.openxmlformats.org/officeDocument/2006/relationships/hyperlink" Target="https://journals.sagepub.com/doi/10.1177/1357633X241245459" TargetMode="External"/><Relationship Id="rId5" Type="http://schemas.openxmlformats.org/officeDocument/2006/relationships/webSettings" Target="webSettings.xml"/><Relationship Id="rId15" Type="http://schemas.openxmlformats.org/officeDocument/2006/relationships/hyperlink" Target="https://pubmed.ncbi.nlm.nih.gov/32275485/" TargetMode="External"/><Relationship Id="rId23" Type="http://schemas.openxmlformats.org/officeDocument/2006/relationships/hyperlink" Target="https://www.annallergy.org/article/S1081-1206(21)01218-7/pdf?utm_source=chatgpt.com" TargetMode="External"/><Relationship Id="rId28" Type="http://schemas.openxmlformats.org/officeDocument/2006/relationships/hyperlink" Target="https://www.michiganrc.org/docs/Telemedicine_Toolkit_June_2015_164_(3).pdf" TargetMode="External"/><Relationship Id="rId36" Type="http://schemas.openxmlformats.org/officeDocument/2006/relationships/hyperlink" Target="https://doi.org/10.1016/j.contraception.2022.02.004" TargetMode="External"/><Relationship Id="rId10" Type="http://schemas.openxmlformats.org/officeDocument/2006/relationships/image" Target="media/image3.jpeg"/><Relationship Id="rId19" Type="http://schemas.openxmlformats.org/officeDocument/2006/relationships/hyperlink" Target="https://learning.lww.com/ovidfiles/00000446-202207000-00019.pdf" TargetMode="External"/><Relationship Id="rId31" Type="http://schemas.openxmlformats.org/officeDocument/2006/relationships/hyperlink" Target="https://www.jmir.org/2021/6/e18488?utm_source=chatgpt.com"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mdpi.com/2227-9032/10/7/1169" TargetMode="External"/><Relationship Id="rId22" Type="http://schemas.openxmlformats.org/officeDocument/2006/relationships/hyperlink" Target="https://www.mdpi.com/2227-9032/13/15/1833" TargetMode="External"/><Relationship Id="rId27" Type="http://schemas.openxmlformats.org/officeDocument/2006/relationships/hyperlink" Target="https://www.mdpi.com/2227-9032/12/13/1319" TargetMode="External"/><Relationship Id="rId30" Type="http://schemas.openxmlformats.org/officeDocument/2006/relationships/hyperlink" Target="https://ojph.org/article/id/5108/" TargetMode="External"/><Relationship Id="rId35" Type="http://schemas.openxmlformats.org/officeDocument/2006/relationships/hyperlink" Target="https://www.ncbi.nlm.nih.gov/pmc/articles/PMC9035352/"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jmir.org/2023/1/e35857/PDF" TargetMode="External"/><Relationship Id="rId25" Type="http://schemas.openxmlformats.org/officeDocument/2006/relationships/hyperlink" Target="https://www.ccjm.org/content/85/12/938" TargetMode="External"/><Relationship Id="rId33" Type="http://schemas.openxmlformats.org/officeDocument/2006/relationships/hyperlink" Target="https://www.mdpi.com/2071-1050/16/6/2438" TargetMode="External"/><Relationship Id="rId38" Type="http://schemas.openxmlformats.org/officeDocument/2006/relationships/hyperlink" Target="https://pubmed.ncbi.nlm.nih.gov/321963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2952ED-1C29-431F-8E02-BDC48C2BE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6178</Words>
  <Characters>35219</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NAINESH PATEL</dc:creator>
  <cp:keywords/>
  <dc:description/>
  <cp:lastModifiedBy>Patel Shivani</cp:lastModifiedBy>
  <cp:revision>2</cp:revision>
  <dcterms:created xsi:type="dcterms:W3CDTF">2026-03-27T00:34:00Z</dcterms:created>
  <dcterms:modified xsi:type="dcterms:W3CDTF">2026-03-27T00:34:00Z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b12acff9-ba54-4c91-891c-7910d8b88b47</vt:lpwstr>
  </property>
</Properties>
</file>