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ind w:left="0" w:right="0" w:firstLine="0"/>
        <w:jc w:val="left"/>
        <w:rPr>
          <w:rFonts w:ascii="Times New Roman" w:hAnsi="Times New Roman"/>
          <w:sz w:val="24"/>
          <w:szCs w:val="24"/>
          <w:shd w:val="clear" w:color="auto" w:fill="ffffff"/>
          <w:rtl w:val="0"/>
        </w:rPr>
      </w:pPr>
    </w:p>
    <w:p>
      <w:pPr>
        <w:pStyle w:val="Title"/>
        <w:keepNext w:val="0"/>
        <w:bidi w:val="0"/>
        <w:ind w:left="0" w:right="0" w:firstLine="0"/>
        <w:jc w:val="center"/>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School of Sport, Health &amp; Outdoor Education</w:t>
      </w:r>
    </w:p>
    <w:p>
      <w:pPr>
        <w:pStyle w:val="Body"/>
        <w:bidi w:val="0"/>
        <w:spacing w:line="276" w:lineRule="auto"/>
        <w:ind w:left="0" w:right="0" w:firstLine="0"/>
        <w:jc w:val="left"/>
        <w:rPr>
          <w:rFonts w:ascii="Cambria" w:cs="Cambria" w:hAnsi="Cambria" w:eastAsia="Cambria"/>
          <w:b w:val="1"/>
          <w:bCs w:val="1"/>
          <w:sz w:val="16"/>
          <w:szCs w:val="16"/>
          <w:u w:color="000000"/>
          <w:rtl w:val="0"/>
        </w:rPr>
      </w:pPr>
    </w:p>
    <w:p>
      <w:pPr>
        <w:pStyle w:val="Subtitle"/>
        <w:keepNext w:val="0"/>
        <w:bidi w:val="0"/>
        <w:ind w:left="0" w:right="0" w:firstLine="0"/>
        <w:jc w:val="center"/>
        <w:rPr>
          <w:rFonts w:ascii="Times New Roman" w:cs="Times New Roman" w:hAnsi="Times New Roman" w:eastAsia="Times New Roman"/>
          <w:sz w:val="32"/>
          <w:szCs w:val="32"/>
          <w:u w:val="single" w:color="000000"/>
          <w:rtl w:val="0"/>
          <w:lang w:val="en-US"/>
        </w:rPr>
      </w:pPr>
      <w:r>
        <w:rPr>
          <w:rFonts w:ascii="Times New Roman" w:hAnsi="Times New Roman"/>
          <w:sz w:val="32"/>
          <w:szCs w:val="32"/>
          <w:u w:val="single" w:color="000000"/>
          <w:rtl w:val="0"/>
          <w:lang w:val="en-US"/>
        </w:rPr>
        <w:t>Assessment Feedback Sheet</w:t>
      </w:r>
    </w:p>
    <w:p>
      <w:pPr>
        <w:pStyle w:val="Subtitle"/>
        <w:keepNext w:val="0"/>
        <w:bidi w:val="0"/>
        <w:ind w:left="0" w:right="0" w:firstLine="0"/>
        <w:jc w:val="center"/>
        <w:rPr>
          <w:rFonts w:ascii="Times New Roman" w:cs="Times New Roman" w:hAnsi="Times New Roman" w:eastAsia="Times New Roman"/>
          <w:sz w:val="32"/>
          <w:szCs w:val="32"/>
          <w:u w:val="single" w:color="000000"/>
          <w:rtl w:val="0"/>
          <w:lang w:val="en-US"/>
        </w:rPr>
      </w:pPr>
    </w:p>
    <w:p>
      <w:pPr>
        <w:pStyle w:val="Subtitle"/>
        <w:keepNext w:val="0"/>
        <w:bidi w:val="0"/>
        <w:spacing w:line="360" w:lineRule="auto"/>
        <w:ind w:left="0" w:right="0" w:firstLine="0"/>
        <w:jc w:val="left"/>
        <w:rPr>
          <w:rFonts w:ascii="Times New Roman" w:cs="Times New Roman" w:hAnsi="Times New Roman" w:eastAsia="Times New Roman"/>
          <w:b w:val="1"/>
          <w:bCs w:val="1"/>
          <w:sz w:val="24"/>
          <w:szCs w:val="24"/>
          <w:u w:val="none" w:color="000000"/>
          <w:rtl w:val="0"/>
          <w:lang w:val="en-US"/>
        </w:rPr>
      </w:pPr>
      <w:r>
        <w:rPr>
          <w:rFonts w:ascii="Times New Roman" w:hAnsi="Times New Roman"/>
          <w:b w:val="1"/>
          <w:bCs w:val="1"/>
          <w:sz w:val="24"/>
          <w:szCs w:val="24"/>
          <w:u w:val="none" w:color="000000"/>
          <w:rtl w:val="0"/>
          <w:lang w:val="en-US"/>
        </w:rPr>
        <w:t>Student No./Name:</w:t>
        <w:tab/>
      </w:r>
    </w:p>
    <w:p>
      <w:pPr>
        <w:pStyle w:val="Subtitle"/>
        <w:keepNext w:val="0"/>
        <w:bidi w:val="0"/>
        <w:spacing w:line="360" w:lineRule="auto"/>
        <w:ind w:left="0" w:right="0" w:firstLine="0"/>
        <w:jc w:val="both"/>
        <w:rPr>
          <w:rFonts w:ascii="Times New Roman" w:cs="Times New Roman" w:hAnsi="Times New Roman" w:eastAsia="Times New Roman"/>
          <w:b w:val="1"/>
          <w:bCs w:val="1"/>
          <w:sz w:val="24"/>
          <w:szCs w:val="24"/>
          <w:u w:val="none" w:color="000000"/>
          <w:rtl w:val="0"/>
          <w:lang w:val="en-US"/>
        </w:rPr>
      </w:pPr>
      <w:r>
        <w:rPr>
          <w:rFonts w:ascii="Times New Roman" w:hAnsi="Times New Roman"/>
          <w:b w:val="1"/>
          <w:bCs w:val="1"/>
          <w:sz w:val="24"/>
          <w:szCs w:val="24"/>
          <w:u w:val="none" w:color="000000"/>
          <w:rtl w:val="0"/>
          <w:lang w:val="en-US"/>
        </w:rPr>
        <w:t xml:space="preserve">Module: </w:t>
        <w:tab/>
        <w:tab/>
        <w:t>Assessing Health &amp; Functional Fitness</w:t>
      </w:r>
    </w:p>
    <w:p>
      <w:pPr>
        <w:pStyle w:val="Subtitle"/>
        <w:keepNext w:val="0"/>
        <w:bidi w:val="0"/>
        <w:spacing w:line="360" w:lineRule="auto"/>
        <w:ind w:left="0" w:right="0" w:firstLine="0"/>
        <w:jc w:val="both"/>
        <w:rPr>
          <w:rFonts w:ascii="Times New Roman" w:cs="Times New Roman" w:hAnsi="Times New Roman" w:eastAsia="Times New Roman"/>
          <w:b w:val="1"/>
          <w:bCs w:val="1"/>
          <w:sz w:val="24"/>
          <w:szCs w:val="24"/>
          <w:u w:val="none" w:color="000000"/>
          <w:rtl w:val="0"/>
          <w:lang w:val="en-US"/>
        </w:rPr>
      </w:pPr>
      <w:r>
        <w:rPr>
          <w:rFonts w:ascii="Times New Roman" w:hAnsi="Times New Roman"/>
          <w:b w:val="1"/>
          <w:bCs w:val="1"/>
          <w:sz w:val="24"/>
          <w:szCs w:val="24"/>
          <w:u w:val="none" w:color="000000"/>
          <w:rtl w:val="0"/>
          <w:lang w:val="en-US"/>
        </w:rPr>
        <w:t xml:space="preserve">Module Code: </w:t>
        <w:tab/>
        <w:t>SHSS4064</w:t>
        <w:tab/>
      </w:r>
    </w:p>
    <w:p>
      <w:pPr>
        <w:pStyle w:val="Subtitle"/>
        <w:keepNext w:val="0"/>
        <w:bidi w:val="0"/>
        <w:ind w:left="0" w:right="0" w:firstLine="0"/>
        <w:jc w:val="left"/>
        <w:rPr>
          <w:rFonts w:ascii="Times New Roman" w:cs="Times New Roman" w:hAnsi="Times New Roman" w:eastAsia="Times New Roman"/>
          <w:b w:val="1"/>
          <w:bCs w:val="1"/>
          <w:sz w:val="16"/>
          <w:szCs w:val="16"/>
          <w:u w:val="single" w:color="000000"/>
          <w:rtl w:val="0"/>
          <w:lang w:val="en-US"/>
        </w:rPr>
      </w:pPr>
    </w:p>
    <w:tbl>
      <w:tblPr>
        <w:tblW w:w="10945"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922"/>
        <w:gridCol w:w="923"/>
        <w:gridCol w:w="308"/>
        <w:gridCol w:w="614"/>
        <w:gridCol w:w="923"/>
        <w:gridCol w:w="922"/>
        <w:gridCol w:w="923"/>
        <w:gridCol w:w="218"/>
        <w:gridCol w:w="704"/>
        <w:gridCol w:w="923"/>
        <w:gridCol w:w="720"/>
      </w:tblGrid>
      <w:tr>
        <w:tblPrEx>
          <w:shd w:val="clear" w:color="auto" w:fill="ced7e7"/>
        </w:tblPrEx>
        <w:trPr>
          <w:trHeight w:val="227" w:hRule="atLeast"/>
        </w:trPr>
        <w:tc>
          <w:tcPr>
            <w:tcW w:type="dxa" w:w="10945"/>
            <w:gridSpan w:val="14"/>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shd w:val="nil" w:color="auto" w:fill="auto"/>
                <w:rtl w:val="0"/>
                <w:lang w:val="en-US"/>
              </w:rPr>
              <w:t>Personal Evaluation</w:t>
            </w:r>
            <w:r>
              <w:rPr>
                <w:rFonts w:ascii="Times New Roman" w:hAnsi="Times New Roman" w:hint="default"/>
                <w:b w:val="0"/>
                <w:bCs w:val="0"/>
                <w:sz w:val="18"/>
                <w:szCs w:val="18"/>
                <w:u w:color="000000"/>
                <w:shd w:val="nil" w:color="auto" w:fill="auto"/>
                <w:rtl w:val="0"/>
                <w:lang w:val="en-US"/>
              </w:rPr>
              <w:t xml:space="preserve"> – </w:t>
            </w:r>
            <w:r>
              <w:rPr>
                <w:rFonts w:ascii="Times New Roman" w:hAnsi="Times New Roman"/>
                <w:b w:val="0"/>
                <w:bCs w:val="0"/>
                <w:sz w:val="18"/>
                <w:szCs w:val="18"/>
                <w:u w:color="000000"/>
                <w:shd w:val="nil" w:color="auto" w:fill="auto"/>
                <w:rtl w:val="0"/>
                <w:lang w:val="en-US"/>
              </w:rPr>
              <w:t xml:space="preserve">to support your academic progress please complete the section below </w:t>
            </w:r>
            <w:r>
              <w:rPr>
                <w:rFonts w:ascii="Times New Roman" w:hAnsi="Times New Roman"/>
                <w:b w:val="1"/>
                <w:bCs w:val="1"/>
                <w:sz w:val="18"/>
                <w:szCs w:val="18"/>
                <w:u w:val="single" w:color="000000"/>
                <w:shd w:val="nil" w:color="auto" w:fill="auto"/>
                <w:rtl w:val="0"/>
                <w:lang w:val="en-US"/>
              </w:rPr>
              <w:t>BEFORE</w:t>
            </w:r>
            <w:r>
              <w:rPr>
                <w:rFonts w:ascii="Times New Roman" w:hAnsi="Times New Roman"/>
                <w:b w:val="0"/>
                <w:bCs w:val="0"/>
                <w:sz w:val="18"/>
                <w:szCs w:val="18"/>
                <w:u w:color="000000"/>
                <w:shd w:val="nil" w:color="auto" w:fill="auto"/>
                <w:rtl w:val="0"/>
                <w:lang w:val="en-US"/>
              </w:rPr>
              <w:t xml:space="preserve"> submitting your work.</w:t>
            </w:r>
          </w:p>
        </w:tc>
      </w:tr>
      <w:tr>
        <w:tblPrEx>
          <w:shd w:val="clear" w:color="auto" w:fill="ced7e7"/>
        </w:tblPrEx>
        <w:trPr>
          <w:trHeight w:val="66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Times New Roman" w:hAnsi="Times New Roman"/>
                <w:sz w:val="18"/>
                <w:szCs w:val="18"/>
                <w:u w:color="000000"/>
                <w:shd w:val="nil" w:color="auto" w:fill="auto"/>
                <w:rtl w:val="0"/>
                <w:lang w:val="en-US"/>
              </w:rPr>
              <w:t>What do you consider to be the best aspects of this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Accurate research that provides good evidence for my work.</w:t>
            </w: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Times New Roman" w:hAnsi="Times New Roman"/>
                <w:sz w:val="18"/>
                <w:szCs w:val="18"/>
                <w:u w:color="000000"/>
                <w:shd w:val="nil" w:color="auto" w:fill="auto"/>
                <w:rtl w:val="0"/>
                <w:lang w:val="en-US"/>
              </w:rPr>
              <w:t>Which aspects do you consider could have been improved in this piece of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Providing more information for some physical assessments.</w:t>
            </w: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Times New Roman" w:hAnsi="Times New Roman"/>
                <w:sz w:val="18"/>
                <w:szCs w:val="18"/>
                <w:u w:color="000000"/>
                <w:shd w:val="nil" w:color="auto" w:fill="auto"/>
                <w:rtl w:val="0"/>
                <w:lang w:val="en-US"/>
              </w:rPr>
              <w:t>What have you found most satisfying whilst undertaking this submission?</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Times New Roman" w:hAnsi="Times New Roman"/>
                <w:b w:val="1"/>
                <w:bCs w:val="1"/>
                <w:sz w:val="24"/>
                <w:szCs w:val="24"/>
                <w:u w:color="000000"/>
                <w:rtl w:val="0"/>
              </w:rPr>
              <w:t>Going through assessments with the client and comparing to norms.</w:t>
            </w: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jc w:val="center"/>
            </w:pPr>
            <w:r>
              <w:rPr>
                <w:rFonts w:ascii="Times New Roman" w:hAnsi="Times New Roman"/>
                <w:b w:val="1"/>
                <w:bCs w:val="1"/>
                <w:sz w:val="24"/>
                <w:szCs w:val="24"/>
                <w:u w:color="000000"/>
                <w:shd w:val="nil" w:color="auto" w:fill="auto"/>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Fonts w:ascii="Cambria" w:cs="Cambria" w:hAnsi="Cambria" w:eastAsia="Cambria"/>
                <w:sz w:val="16"/>
                <w:szCs w:val="16"/>
                <w:u w:color="000000"/>
                <w:shd w:val="nil" w:color="auto" w:fill="auto"/>
                <w:rtl w:val="0"/>
              </w:rPr>
            </w:pPr>
            <w:r>
              <w:rPr>
                <w:rFonts w:ascii="Cambria" w:cs="Cambria" w:hAnsi="Cambria" w:eastAsia="Cambria"/>
                <w:sz w:val="16"/>
                <w:szCs w:val="16"/>
                <w:u w:color="000000"/>
                <w:shd w:val="nil" w:color="auto" w:fill="auto"/>
                <w:rtl w:val="0"/>
                <w:lang w:val="en-US"/>
              </w:rPr>
              <w:t>Learning</w:t>
            </w:r>
          </w:p>
          <w:p>
            <w:pPr>
              <w:pStyle w:val="Body"/>
              <w:spacing w:line="276" w:lineRule="auto"/>
              <w:ind w:left="113" w:right="113" w:firstLine="0"/>
              <w:jc w:val="left"/>
              <w:rPr>
                <w:rFonts w:ascii="Cambria" w:cs="Cambria" w:hAnsi="Cambria" w:eastAsia="Cambria"/>
                <w:sz w:val="16"/>
                <w:szCs w:val="16"/>
                <w:u w:color="000000"/>
                <w:shd w:val="nil" w:color="auto" w:fill="auto"/>
              </w:rPr>
            </w:pPr>
            <w:r>
              <w:rPr>
                <w:rFonts w:ascii="Cambria" w:cs="Cambria" w:hAnsi="Cambria" w:eastAsia="Cambria"/>
                <w:sz w:val="16"/>
                <w:szCs w:val="16"/>
                <w:u w:color="000000"/>
                <w:shd w:val="nil" w:color="auto" w:fill="auto"/>
                <w:rtl w:val="0"/>
                <w:lang w:val="en-US"/>
              </w:rPr>
              <w:t>Outcomes</w:t>
            </w:r>
          </w:p>
          <w:p>
            <w:pPr>
              <w:pStyle w:val="Body"/>
              <w:bidi w:val="0"/>
              <w:spacing w:line="276" w:lineRule="auto"/>
              <w:ind w:left="113" w:right="113" w:firstLine="0"/>
              <w:jc w:val="left"/>
              <w:rPr>
                <w:rtl w:val="0"/>
              </w:rPr>
            </w:pPr>
            <w:r>
              <w:rPr>
                <w:rFonts w:ascii="Cambria" w:cs="Cambria" w:hAnsi="Cambria" w:eastAsia="Cambria"/>
                <w:sz w:val="16"/>
                <w:szCs w:val="16"/>
                <w:u w:color="000000"/>
                <w:shd w:val="nil" w:color="auto" w:fill="auto"/>
                <w:rtl w:val="0"/>
                <w:lang w:val="en-US"/>
              </w:rPr>
            </w:r>
          </w:p>
        </w:tc>
        <w:tc>
          <w:tcPr>
            <w:tcW w:type="dxa" w:w="810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24"/>
                <w:szCs w:val="24"/>
                <w:u w:color="000000"/>
                <w:shd w:val="nil" w:color="auto" w:fill="auto"/>
                <w:rtl w:val="0"/>
                <w:lang w:val="en-US"/>
              </w:rPr>
              <w:t>GRADE</w:t>
            </w:r>
          </w:p>
        </w:tc>
      </w:tr>
      <w:tr>
        <w:tblPrEx>
          <w:shd w:val="clear" w:color="auto" w:fill="ced7e7"/>
        </w:tblPrEx>
        <w:trPr>
          <w:trHeight w:val="962"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Poor</w:t>
            </w:r>
          </w:p>
          <w:p>
            <w:pPr>
              <w:pStyle w:val="Subtitle"/>
              <w:keepNext w:val="0"/>
              <w:jc w:val="center"/>
            </w:pPr>
            <w:r>
              <w:rPr>
                <w:rFonts w:ascii="Times New Roman" w:hAnsi="Times New Roman"/>
                <w:b w:val="1"/>
                <w:bCs w:val="1"/>
                <w:sz w:val="16"/>
                <w:szCs w:val="16"/>
                <w:u w:color="000000"/>
                <w:shd w:val="nil" w:color="auto" w:fill="auto"/>
                <w:rtl w:val="0"/>
                <w:lang w:val="en-US"/>
              </w:rPr>
              <w:t>&lt; 20%</w:t>
            </w:r>
            <w:r>
              <w:rPr>
                <w:rFonts w:ascii="Times New Roman" w:cs="Times New Roman" w:hAnsi="Times New Roman" w:eastAsia="Times New Roman"/>
                <w:b w:val="1"/>
                <w:bCs w:val="1"/>
                <w:sz w:val="16"/>
                <w:szCs w:val="16"/>
                <w:u w:color="000000"/>
                <w:shd w:val="nil" w:color="auto" w:fill="auto"/>
              </w:rPr>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Weak</w:t>
            </w:r>
          </w:p>
          <w:p>
            <w:pPr>
              <w:pStyle w:val="Subtitle"/>
              <w:keepNext w:val="0"/>
              <w:jc w:val="center"/>
            </w:pPr>
            <w:r>
              <w:rPr>
                <w:rFonts w:ascii="Times New Roman" w:hAnsi="Times New Roman"/>
                <w:b w:val="1"/>
                <w:bCs w:val="1"/>
                <w:sz w:val="16"/>
                <w:szCs w:val="16"/>
                <w:u w:color="000000"/>
                <w:shd w:val="nil" w:color="auto" w:fill="auto"/>
                <w:rtl w:val="0"/>
                <w:lang w:val="en-US"/>
              </w:rPr>
              <w:t>20-29%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Unsatisfactory</w:t>
            </w:r>
          </w:p>
          <w:p>
            <w:pPr>
              <w:pStyle w:val="Subtitle"/>
              <w:keepNext w:val="0"/>
              <w:jc w:val="center"/>
            </w:pPr>
            <w:r>
              <w:rPr>
                <w:rFonts w:ascii="Times New Roman" w:hAnsi="Times New Roman"/>
                <w:b w:val="1"/>
                <w:bCs w:val="1"/>
                <w:sz w:val="16"/>
                <w:szCs w:val="16"/>
                <w:u w:color="000000"/>
                <w:shd w:val="nil" w:color="auto" w:fill="auto"/>
                <w:rtl w:val="0"/>
                <w:lang w:val="en-US"/>
              </w:rPr>
              <w:t>30-39%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Satisfactory</w:t>
            </w:r>
          </w:p>
          <w:p>
            <w:pPr>
              <w:pStyle w:val="Subtitle"/>
              <w:keepNext w:val="0"/>
              <w:jc w:val="center"/>
            </w:pPr>
            <w:r>
              <w:rPr>
                <w:rFonts w:ascii="Times New Roman" w:hAnsi="Times New Roman"/>
                <w:b w:val="1"/>
                <w:bCs w:val="1"/>
                <w:sz w:val="16"/>
                <w:szCs w:val="16"/>
                <w:u w:color="000000"/>
                <w:shd w:val="nil" w:color="auto" w:fill="auto"/>
                <w:rtl w:val="0"/>
                <w:lang w:val="en-US"/>
              </w:rPr>
              <w:t xml:space="preserve">40 </w:t>
            </w:r>
            <w:r>
              <w:rPr>
                <w:rFonts w:ascii="Times New Roman" w:hAnsi="Times New Roman" w:hint="default"/>
                <w:b w:val="1"/>
                <w:bCs w:val="1"/>
                <w:sz w:val="16"/>
                <w:szCs w:val="16"/>
                <w:u w:color="000000"/>
                <w:shd w:val="nil" w:color="auto" w:fill="auto"/>
                <w:rtl w:val="0"/>
                <w:lang w:val="en-US"/>
              </w:rPr>
              <w:t xml:space="preserve">– </w:t>
            </w:r>
            <w:r>
              <w:rPr>
                <w:rFonts w:ascii="Times New Roman" w:hAnsi="Times New Roman"/>
                <w:b w:val="1"/>
                <w:bCs w:val="1"/>
                <w:sz w:val="16"/>
                <w:szCs w:val="16"/>
                <w:u w:color="000000"/>
                <w:shd w:val="nil" w:color="auto" w:fill="auto"/>
                <w:rtl w:val="0"/>
                <w:lang w:val="en-US"/>
              </w:rPr>
              <w:t>49%</w:t>
            </w: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Good</w:t>
            </w:r>
          </w:p>
          <w:p>
            <w:pPr>
              <w:pStyle w:val="Subtitle"/>
              <w:keepNext w:val="0"/>
              <w:jc w:val="center"/>
            </w:pPr>
            <w:r>
              <w:rPr>
                <w:rFonts w:ascii="Times New Roman" w:hAnsi="Times New Roman"/>
                <w:b w:val="1"/>
                <w:bCs w:val="1"/>
                <w:sz w:val="16"/>
                <w:szCs w:val="16"/>
                <w:u w:color="000000"/>
                <w:shd w:val="nil" w:color="auto" w:fill="auto"/>
                <w:rtl w:val="0"/>
                <w:lang w:val="en-US"/>
              </w:rPr>
              <w:t xml:space="preserve">50 </w:t>
            </w:r>
            <w:r>
              <w:rPr>
                <w:rFonts w:ascii="Times New Roman" w:hAnsi="Times New Roman" w:hint="default"/>
                <w:b w:val="1"/>
                <w:bCs w:val="1"/>
                <w:sz w:val="16"/>
                <w:szCs w:val="16"/>
                <w:u w:color="000000"/>
                <w:shd w:val="nil" w:color="auto" w:fill="auto"/>
                <w:rtl w:val="0"/>
                <w:lang w:val="en-US"/>
              </w:rPr>
              <w:t xml:space="preserve">– </w:t>
            </w:r>
            <w:r>
              <w:rPr>
                <w:rFonts w:ascii="Times New Roman" w:hAnsi="Times New Roman"/>
                <w:b w:val="1"/>
                <w:bCs w:val="1"/>
                <w:sz w:val="16"/>
                <w:szCs w:val="16"/>
                <w:u w:color="000000"/>
                <w:shd w:val="nil" w:color="auto" w:fill="auto"/>
                <w:rtl w:val="0"/>
                <w:lang w:val="en-US"/>
              </w:rPr>
              <w:t>59%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Very Good</w:t>
            </w:r>
          </w:p>
          <w:p>
            <w:pPr>
              <w:pStyle w:val="Subtitle"/>
              <w:keepNext w:val="0"/>
              <w:jc w:val="center"/>
            </w:pPr>
            <w:r>
              <w:rPr>
                <w:rFonts w:ascii="Times New Roman" w:hAnsi="Times New Roman"/>
                <w:b w:val="1"/>
                <w:bCs w:val="1"/>
                <w:sz w:val="16"/>
                <w:szCs w:val="16"/>
                <w:u w:color="000000"/>
                <w:shd w:val="nil" w:color="auto" w:fill="auto"/>
                <w:rtl w:val="0"/>
                <w:lang w:val="en-US"/>
              </w:rPr>
              <w:t xml:space="preserve">60 </w:t>
            </w:r>
            <w:r>
              <w:rPr>
                <w:rFonts w:ascii="Times New Roman" w:hAnsi="Times New Roman" w:hint="default"/>
                <w:b w:val="1"/>
                <w:bCs w:val="1"/>
                <w:sz w:val="16"/>
                <w:szCs w:val="16"/>
                <w:u w:color="000000"/>
                <w:shd w:val="nil" w:color="auto" w:fill="auto"/>
                <w:rtl w:val="0"/>
                <w:lang w:val="en-US"/>
              </w:rPr>
              <w:t xml:space="preserve">– </w:t>
            </w:r>
            <w:r>
              <w:rPr>
                <w:rFonts w:ascii="Times New Roman" w:hAnsi="Times New Roman"/>
                <w:b w:val="1"/>
                <w:bCs w:val="1"/>
                <w:sz w:val="16"/>
                <w:szCs w:val="16"/>
                <w:u w:color="000000"/>
                <w:shd w:val="nil" w:color="auto" w:fill="auto"/>
                <w:rtl w:val="0"/>
                <w:lang w:val="en-US"/>
              </w:rPr>
              <w:t>69%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Excellent</w:t>
            </w:r>
          </w:p>
          <w:p>
            <w:pPr>
              <w:pStyle w:val="Subtitle"/>
              <w:keepNext w:val="0"/>
              <w:jc w:val="center"/>
            </w:pPr>
            <w:r>
              <w:rPr>
                <w:rFonts w:ascii="Times New Roman" w:hAnsi="Times New Roman"/>
                <w:b w:val="1"/>
                <w:bCs w:val="1"/>
                <w:sz w:val="16"/>
                <w:szCs w:val="16"/>
                <w:u w:color="000000"/>
                <w:shd w:val="nil" w:color="auto" w:fill="auto"/>
                <w:rtl w:val="0"/>
                <w:lang w:val="en-US"/>
              </w:rPr>
              <w:t xml:space="preserve">70 </w:t>
            </w:r>
            <w:r>
              <w:rPr>
                <w:rFonts w:ascii="Times New Roman" w:hAnsi="Times New Roman" w:hint="default"/>
                <w:b w:val="1"/>
                <w:bCs w:val="1"/>
                <w:sz w:val="16"/>
                <w:szCs w:val="16"/>
                <w:u w:color="000000"/>
                <w:shd w:val="nil" w:color="auto" w:fill="auto"/>
                <w:rtl w:val="0"/>
                <w:lang w:val="en-US"/>
              </w:rPr>
              <w:t xml:space="preserve">– </w:t>
            </w:r>
            <w:r>
              <w:rPr>
                <w:rFonts w:ascii="Times New Roman" w:hAnsi="Times New Roman"/>
                <w:b w:val="1"/>
                <w:bCs w:val="1"/>
                <w:sz w:val="16"/>
                <w:szCs w:val="16"/>
                <w:u w:color="000000"/>
                <w:shd w:val="nil" w:color="auto" w:fill="auto"/>
                <w:rtl w:val="0"/>
                <w:lang w:val="en-US"/>
              </w:rPr>
              <w:t>84%</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Times New Roman" w:cs="Times New Roman" w:hAnsi="Times New Roman" w:eastAsia="Times New Roman"/>
                <w:b w:val="1"/>
                <w:bCs w:val="1"/>
                <w:sz w:val="16"/>
                <w:szCs w:val="16"/>
                <w:u w:color="000000"/>
                <w:shd w:val="nil" w:color="auto" w:fill="auto"/>
                <w:rtl w:val="0"/>
              </w:rPr>
            </w:pPr>
            <w:r>
              <w:rPr>
                <w:rFonts w:ascii="Times New Roman" w:hAnsi="Times New Roman"/>
                <w:b w:val="1"/>
                <w:bCs w:val="1"/>
                <w:sz w:val="16"/>
                <w:szCs w:val="16"/>
                <w:u w:color="000000"/>
                <w:shd w:val="nil" w:color="auto" w:fill="auto"/>
                <w:rtl w:val="0"/>
                <w:lang w:val="en-US"/>
              </w:rPr>
              <w:t>Exceptional</w:t>
            </w:r>
          </w:p>
          <w:p>
            <w:pPr>
              <w:pStyle w:val="Subtitle"/>
              <w:keepNext w:val="0"/>
              <w:jc w:val="center"/>
            </w:pPr>
            <w:r>
              <w:rPr>
                <w:rFonts w:ascii="Times New Roman" w:hAnsi="Times New Roman"/>
                <w:b w:val="1"/>
                <w:bCs w:val="1"/>
                <w:sz w:val="16"/>
                <w:szCs w:val="16"/>
                <w:u w:color="000000"/>
                <w:shd w:val="nil" w:color="auto" w:fill="auto"/>
                <w:rtl w:val="0"/>
                <w:lang w:val="en-US"/>
              </w:rPr>
              <w:t>85</w:t>
            </w:r>
            <w:r>
              <w:rPr>
                <w:rFonts w:ascii="Times New Roman" w:hAnsi="Times New Roman" w:hint="default"/>
                <w:b w:val="1"/>
                <w:bCs w:val="1"/>
                <w:sz w:val="16"/>
                <w:szCs w:val="16"/>
                <w:u w:color="000000"/>
                <w:shd w:val="nil" w:color="auto" w:fill="auto"/>
                <w:rtl w:val="0"/>
                <w:lang w:val="en-US"/>
              </w:rPr>
              <w:t xml:space="preserve">– </w:t>
            </w:r>
            <w:r>
              <w:rPr>
                <w:rFonts w:ascii="Times New Roman" w:hAnsi="Times New Roman"/>
                <w:b w:val="1"/>
                <w:bCs w:val="1"/>
                <w:sz w:val="16"/>
                <w:szCs w:val="16"/>
                <w:u w:color="000000"/>
                <w:shd w:val="nil" w:color="auto" w:fill="auto"/>
                <w:rtl w:val="0"/>
                <w:lang w:val="en-US"/>
              </w:rPr>
              <w:t>100%</w:t>
            </w: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shd w:val="nil" w:color="auto" w:fill="auto"/>
                <w:rtl w:val="0"/>
                <w:lang w:val="en-US"/>
              </w:rPr>
            </w:pPr>
          </w:p>
          <w:p>
            <w:pPr>
              <w:pStyle w:val="Subtitle"/>
              <w:keepNext w:val="0"/>
              <w:jc w:val="left"/>
            </w:pPr>
            <w:r>
              <w:rPr>
                <w:rFonts w:ascii="Times New Roman" w:hAnsi="Times New Roman"/>
                <w:b w:val="1"/>
                <w:bCs w:val="1"/>
                <w:sz w:val="18"/>
                <w:szCs w:val="18"/>
                <w:u w:color="000000"/>
                <w:shd w:val="nil" w:color="auto" w:fill="auto"/>
                <w:rtl w:val="0"/>
                <w:lang w:val="en-US"/>
              </w:rPr>
              <w:t xml:space="preserve">  %</w:t>
            </w:r>
          </w:p>
        </w:tc>
      </w:tr>
      <w:tr>
        <w:tblPrEx>
          <w:shd w:val="clear" w:color="auto" w:fill="ced7e7"/>
        </w:tblPrEx>
        <w:trPr>
          <w:trHeight w:val="30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shd w:val="nil" w:color="auto" w:fill="auto"/>
                <w:rtl w:val="0"/>
                <w:lang w:val="en-US"/>
              </w:rPr>
              <w:t>Introduction</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shd w:val="nil" w:color="auto" w:fill="auto"/>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shd w:val="nil" w:color="auto" w:fill="auto"/>
                <w:rtl w:val="0"/>
                <w:lang w:val="en-US"/>
              </w:rPr>
              <w:t>20</w:t>
            </w:r>
          </w:p>
        </w:tc>
      </w:tr>
      <w:tr>
        <w:tblPrEx>
          <w:shd w:val="clear" w:color="auto" w:fill="ced7e7"/>
        </w:tblPrEx>
        <w:trPr>
          <w:trHeight w:val="30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shd w:val="nil" w:color="auto" w:fill="auto"/>
                <w:rtl w:val="0"/>
                <w:lang w:val="en-US"/>
              </w:rPr>
              <w:t>Theoretical review</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shd w:val="nil" w:color="auto" w:fill="auto"/>
                <w:rtl w:val="0"/>
                <w:lang w:val="en-US"/>
              </w:rPr>
              <w:t>2,3</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shd w:val="nil" w:color="auto" w:fill="auto"/>
                <w:rtl w:val="0"/>
                <w:lang w:val="en-US"/>
              </w:rPr>
              <w:t>20</w:t>
            </w:r>
          </w:p>
        </w:tc>
      </w:tr>
      <w:tr>
        <w:tblPrEx>
          <w:shd w:val="clear" w:color="auto" w:fill="ced7e7"/>
        </w:tblPrEx>
        <w:trPr>
          <w:trHeight w:val="30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shd w:val="nil" w:color="auto" w:fill="auto"/>
                <w:rtl w:val="0"/>
                <w:lang w:val="en-US"/>
              </w:rPr>
              <w:t>Summary</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shd w:val="nil" w:color="auto" w:fill="auto"/>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shd w:val="nil" w:color="auto" w:fill="auto"/>
                <w:rtl w:val="0"/>
                <w:lang w:val="en-US"/>
              </w:rPr>
              <w:t>10</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shd w:val="nil" w:color="auto" w:fill="auto"/>
                <w:rtl w:val="0"/>
                <w:lang w:val="en-US"/>
              </w:rPr>
              <w:t>Evaluation of data and recommendations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shd w:val="nil" w:color="auto" w:fill="auto"/>
                <w:rtl w:val="0"/>
                <w:lang w:val="en-US"/>
              </w:rPr>
              <w:t>2,3</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shd w:val="nil" w:color="auto" w:fill="auto"/>
                <w:rtl w:val="0"/>
                <w:lang w:val="en-US"/>
              </w:rPr>
              <w:t>40</w:t>
            </w:r>
          </w:p>
        </w:tc>
      </w:tr>
      <w:tr>
        <w:tblPrEx>
          <w:shd w:val="clear" w:color="auto" w:fill="ced7e7"/>
        </w:tblPrEx>
        <w:trPr>
          <w:trHeight w:val="405"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sz w:val="18"/>
                <w:szCs w:val="18"/>
                <w:u w:color="000000"/>
                <w:shd w:val="nil" w:color="auto" w:fill="auto"/>
                <w:rtl w:val="0"/>
                <w:lang w:val="en-US"/>
              </w:rPr>
              <w:t>Presentation clarity and format</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Times New Roman" w:hAnsi="Times New Roman"/>
                <w:b w:val="1"/>
                <w:bCs w:val="1"/>
                <w:sz w:val="18"/>
                <w:szCs w:val="18"/>
                <w:u w:color="000000"/>
                <w:shd w:val="nil" w:color="auto" w:fill="auto"/>
                <w:rtl w:val="0"/>
                <w:lang w:val="en-US"/>
              </w:rPr>
              <w:t>3</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shd w:val="nil" w:color="auto" w:fill="auto"/>
                <w:rtl w:val="0"/>
                <w:lang w:val="en-US"/>
              </w:rPr>
              <w:t>10</w:t>
            </w:r>
          </w:p>
        </w:tc>
      </w:tr>
      <w:tr>
        <w:tblPrEx>
          <w:shd w:val="clear" w:color="auto" w:fill="ced7e7"/>
        </w:tblPrEx>
        <w:trPr>
          <w:trHeight w:val="602" w:hRule="atLeast"/>
        </w:trPr>
        <w:tc>
          <w:tcPr>
            <w:tcW w:type="dxa" w:w="10225"/>
            <w:gridSpan w:val="1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0"/>
                <w:bCs w:val="0"/>
                <w:sz w:val="18"/>
                <w:szCs w:val="18"/>
                <w:u w:color="000000"/>
                <w:shd w:val="nil" w:color="auto" w:fill="auto"/>
                <w:rtl w:val="0"/>
                <w:lang w:val="en-US"/>
              </w:rPr>
              <w:t xml:space="preserve">It is expected that students will present work that is proof read, correctly referenced and adheres to the </w:t>
            </w:r>
            <w:r>
              <w:rPr>
                <w:rFonts w:ascii="Times New Roman" w:hAnsi="Times New Roman"/>
                <w:b w:val="1"/>
                <w:bCs w:val="1"/>
                <w:sz w:val="18"/>
                <w:szCs w:val="18"/>
                <w:u w:color="000000"/>
                <w:shd w:val="nil" w:color="auto" w:fill="auto"/>
                <w:rtl w:val="0"/>
                <w:lang w:val="en-US"/>
              </w:rPr>
              <w:t>Assessment Checklist.</w:t>
            </w:r>
            <w:r>
              <w:rPr>
                <w:rFonts w:ascii="Times New Roman" w:hAnsi="Times New Roman"/>
                <w:b w:val="0"/>
                <w:bCs w:val="0"/>
                <w:sz w:val="18"/>
                <w:szCs w:val="18"/>
                <w:u w:color="000000"/>
                <w:shd w:val="nil" w:color="auto" w:fill="auto"/>
                <w:rtl w:val="0"/>
                <w:lang w:val="en-US"/>
              </w:rPr>
              <w:t xml:space="preserve"> Therefore a range of 0 </w:t>
            </w:r>
            <w:r>
              <w:rPr>
                <w:rFonts w:ascii="Times New Roman" w:hAnsi="Times New Roman" w:hint="default"/>
                <w:b w:val="0"/>
                <w:bCs w:val="0"/>
                <w:sz w:val="18"/>
                <w:szCs w:val="18"/>
                <w:u w:color="000000"/>
                <w:shd w:val="nil" w:color="auto" w:fill="auto"/>
                <w:rtl w:val="0"/>
                <w:lang w:val="en-US"/>
              </w:rPr>
              <w:t xml:space="preserve">– </w:t>
            </w:r>
            <w:r>
              <w:rPr>
                <w:rFonts w:ascii="Times New Roman" w:hAnsi="Times New Roman"/>
                <w:b w:val="0"/>
                <w:bCs w:val="0"/>
                <w:sz w:val="18"/>
                <w:szCs w:val="18"/>
                <w:u w:color="000000"/>
                <w:shd w:val="nil" w:color="auto" w:fill="auto"/>
                <w:rtl w:val="0"/>
                <w:lang w:val="en-US"/>
              </w:rPr>
              <w:t xml:space="preserve">10 marks will be deducted for non-completion of any of the points on the </w:t>
            </w:r>
            <w:r>
              <w:rPr>
                <w:rFonts w:ascii="Times New Roman" w:hAnsi="Times New Roman"/>
                <w:b w:val="1"/>
                <w:bCs w:val="1"/>
                <w:sz w:val="18"/>
                <w:szCs w:val="18"/>
                <w:u w:color="000000"/>
                <w:shd w:val="nil" w:color="auto" w:fill="auto"/>
                <w:rtl w:val="0"/>
                <w:lang w:val="en-US"/>
              </w:rPr>
              <w:t>checklist below</w:t>
            </w:r>
            <w:r>
              <w:rPr>
                <w:rFonts w:ascii="Times New Roman" w:hAnsi="Times New Roman"/>
                <w:b w:val="0"/>
                <w:bCs w:val="0"/>
                <w:sz w:val="18"/>
                <w:szCs w:val="18"/>
                <w:u w:color="000000"/>
                <w:shd w:val="nil" w:color="auto" w:fill="auto"/>
                <w:rtl w:val="0"/>
                <w:lang w:val="en-US"/>
              </w:rPr>
              <w:t>.</w:t>
            </w:r>
          </w:p>
        </w:tc>
        <w:tc>
          <w:tcPr>
            <w:tcW w:type="dxa" w:w="72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4181" w:hRule="atLeast"/>
        </w:trPr>
        <w:tc>
          <w:tcPr>
            <w:tcW w:type="dxa" w:w="10945"/>
            <w:gridSpan w:val="14"/>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24"/>
                <w:szCs w:val="24"/>
                <w:u w:color="000000"/>
                <w:shd w:val="nil" w:color="auto" w:fill="auto"/>
                <w:rtl w:val="0"/>
              </w:rPr>
            </w:pPr>
            <w:r>
              <w:rPr>
                <w:rFonts w:ascii="Times New Roman" w:hAnsi="Times New Roman"/>
                <w:b w:val="1"/>
                <w:bCs w:val="1"/>
                <w:sz w:val="24"/>
                <w:szCs w:val="24"/>
                <w:u w:color="000000"/>
                <w:shd w:val="nil" w:color="auto" w:fill="auto"/>
                <w:rtl w:val="0"/>
                <w:lang w:val="en-US"/>
              </w:rPr>
              <w:t>TUTOR COMMENTS:</w:t>
            </w: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Fonts w:ascii="Times New Roman" w:cs="Times New Roman" w:hAnsi="Times New Roman" w:eastAsia="Times New Roman"/>
                <w:b w:val="1"/>
                <w:bCs w:val="1"/>
                <w:sz w:val="24"/>
                <w:szCs w:val="24"/>
                <w:u w:color="000000"/>
                <w:shd w:val="nil" w:color="auto" w:fill="auto"/>
                <w:rtl w:val="0"/>
                <w:lang w:val="en-US"/>
              </w:rPr>
            </w:pPr>
          </w:p>
          <w:p>
            <w:pPr>
              <w:pStyle w:val="Subtitle"/>
              <w:keepNext w:val="0"/>
              <w:bidi w:val="0"/>
              <w:ind w:left="937" w:right="1152" w:firstLine="0"/>
              <w:jc w:val="both"/>
              <w:rPr>
                <w:rtl w:val="0"/>
              </w:rPr>
            </w:pPr>
            <w:r>
              <w:rPr>
                <w:rFonts w:ascii="Times New Roman" w:cs="Times New Roman" w:hAnsi="Times New Roman" w:eastAsia="Times New Roman"/>
                <w:b w:val="1"/>
                <w:bCs w:val="1"/>
                <w:sz w:val="24"/>
                <w:szCs w:val="24"/>
                <w:u w:color="000000"/>
                <w:shd w:val="nil" w:color="auto" w:fill="auto"/>
                <w:rtl w:val="0"/>
                <w:lang w:val="en-US"/>
              </w:rPr>
            </w:r>
          </w:p>
        </w:tc>
      </w:tr>
      <w:tr>
        <w:tblPrEx>
          <w:shd w:val="clear" w:color="auto" w:fill="ced7e7"/>
        </w:tblPrEx>
        <w:trPr>
          <w:trHeight w:val="4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shd w:val="nil" w:color="auto" w:fill="auto"/>
                <w:rtl w:val="0"/>
              </w:rPr>
            </w:pPr>
            <w:r>
              <w:rPr>
                <w:rFonts w:ascii="Times New Roman" w:hAnsi="Times New Roman"/>
                <w:b w:val="1"/>
                <w:bCs w:val="1"/>
                <w:sz w:val="18"/>
                <w:szCs w:val="18"/>
                <w:u w:color="000000"/>
                <w:shd w:val="nil" w:color="auto" w:fill="auto"/>
                <w:rtl w:val="0"/>
                <w:lang w:val="en-US"/>
              </w:rPr>
              <w:t xml:space="preserve"> Submission date: </w:t>
            </w:r>
          </w:p>
          <w:p>
            <w:pPr>
              <w:pStyle w:val="Subtitle"/>
              <w:keepNext w:val="0"/>
              <w:jc w:val="left"/>
            </w:pPr>
            <w:r>
              <w:rPr>
                <w:rFonts w:ascii="Times New Roman" w:hAnsi="Times New Roman"/>
                <w:b w:val="1"/>
                <w:bCs w:val="1"/>
                <w:sz w:val="18"/>
                <w:szCs w:val="18"/>
                <w:u w:color="000000"/>
                <w:shd w:val="nil" w:color="auto" w:fill="auto"/>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Times New Roman" w:cs="Times New Roman" w:hAnsi="Times New Roman" w:eastAsia="Times New Roman"/>
                <w:b w:val="1"/>
                <w:bCs w:val="1"/>
                <w:sz w:val="18"/>
                <w:szCs w:val="18"/>
                <w:u w:color="000000"/>
                <w:shd w:val="nil" w:color="auto" w:fill="auto"/>
                <w:rtl w:val="0"/>
              </w:rPr>
            </w:pPr>
            <w:r>
              <w:rPr>
                <w:rFonts w:ascii="Times New Roman" w:hAnsi="Times New Roman"/>
                <w:b w:val="1"/>
                <w:bCs w:val="1"/>
                <w:sz w:val="18"/>
                <w:szCs w:val="18"/>
                <w:u w:color="000000"/>
                <w:shd w:val="nil" w:color="auto" w:fill="auto"/>
                <w:rtl w:val="0"/>
                <w:lang w:val="en-US"/>
              </w:rPr>
              <w:t>Return date:</w:t>
            </w:r>
          </w:p>
          <w:p>
            <w:pPr>
              <w:pStyle w:val="Subtitle"/>
              <w:keepNext w:val="0"/>
              <w:jc w:val="left"/>
            </w:pPr>
            <w:r>
              <w:rPr>
                <w:rFonts w:ascii="Times New Roman" w:hAnsi="Times New Roman"/>
                <w:b w:val="1"/>
                <w:bCs w:val="1"/>
                <w:sz w:val="18"/>
                <w:szCs w:val="18"/>
                <w:u w:color="000000"/>
                <w:shd w:val="nil" w:color="auto" w:fill="auto"/>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shd w:val="nil" w:color="auto" w:fill="auto"/>
                <w:rtl w:val="0"/>
                <w:lang w:val="en-US"/>
              </w:rPr>
              <w:t xml:space="preserve">Tutor: </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Times New Roman" w:hAnsi="Times New Roman"/>
                <w:b w:val="1"/>
                <w:bCs w:val="1"/>
                <w:sz w:val="18"/>
                <w:szCs w:val="18"/>
                <w:u w:color="000000"/>
                <w:shd w:val="nil" w:color="auto" w:fill="auto"/>
                <w:rtl w:val="0"/>
                <w:lang w:val="en-US"/>
              </w:rPr>
              <w:t xml:space="preserve">Mark: </w:t>
            </w:r>
          </w:p>
        </w:tc>
      </w:tr>
    </w:tbl>
    <w:p>
      <w:pPr>
        <w:pStyle w:val="Subtitle"/>
        <w:keepNext w:val="0"/>
        <w:widowControl w:val="0"/>
        <w:bidi w:val="0"/>
        <w:ind w:left="0" w:right="0" w:firstLine="0"/>
        <w:jc w:val="center"/>
        <w:rPr>
          <w:rFonts w:ascii="Times New Roman" w:cs="Times New Roman" w:hAnsi="Times New Roman" w:eastAsia="Times New Roman"/>
          <w:b w:val="1"/>
          <w:bCs w:val="1"/>
          <w:sz w:val="16"/>
          <w:szCs w:val="16"/>
          <w:u w:val="single" w:color="000000"/>
          <w:rtl w:val="0"/>
          <w:lang w:val="en-US"/>
        </w:rPr>
      </w:pPr>
    </w:p>
    <w:p>
      <w:pPr>
        <w:pStyle w:val="Body"/>
        <w:bidi w:val="0"/>
        <w:spacing w:line="276" w:lineRule="auto"/>
        <w:ind w:left="0" w:right="0" w:firstLine="0"/>
        <w:jc w:val="left"/>
        <w:rPr>
          <w:rFonts w:ascii="Cambria" w:cs="Cambria" w:hAnsi="Cambria" w:eastAsia="Cambria"/>
          <w:sz w:val="24"/>
          <w:szCs w:val="24"/>
          <w:u w:color="000000"/>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Appendix</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Sit and reach test results</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210"/>
        <w:gridCol w:w="3211"/>
        <w:gridCol w:w="3211"/>
      </w:tblGrid>
      <w:tr>
        <w:tblPrEx>
          <w:shd w:val="clear" w:color="auto" w:fill="bdc0bf"/>
        </w:tblPrEx>
        <w:trPr>
          <w:trHeight w:val="295" w:hRule="atLeast"/>
          <w:tblHeader/>
        </w:trPr>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Attempt </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Result (cm)</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Norm Data </w:t>
            </w:r>
          </w:p>
        </w:tc>
      </w:tr>
      <w:tr>
        <w:tblPrEx>
          <w:shd w:val="clear" w:color="auto" w:fill="auto"/>
        </w:tblPrEx>
        <w:trPr>
          <w:trHeight w:val="295" w:hRule="atLeast"/>
        </w:trPr>
        <w:tc>
          <w:tcPr>
            <w:tcW w:type="dxa" w:w="3210"/>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1</w:t>
            </w:r>
          </w:p>
        </w:tc>
        <w:tc>
          <w:tcPr>
            <w:tcW w:type="dxa" w:w="3210"/>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26</w:t>
            </w:r>
          </w:p>
        </w:tc>
        <w:tc>
          <w:tcPr>
            <w:tcW w:type="dxa" w:w="3210"/>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Fair </w:t>
            </w:r>
          </w:p>
        </w:tc>
      </w:tr>
      <w:tr>
        <w:tblPrEx>
          <w:shd w:val="clear" w:color="auto" w:fill="auto"/>
        </w:tblPrEx>
        <w:trPr>
          <w:trHeight w:val="295" w:hRule="atLeast"/>
        </w:trPr>
        <w:tc>
          <w:tcPr>
            <w:tcW w:type="dxa" w:w="321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w:t>
            </w:r>
          </w:p>
        </w:tc>
        <w:tc>
          <w:tcPr>
            <w:tcW w:type="dxa" w:w="3210"/>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26</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Fair </w:t>
            </w:r>
          </w:p>
        </w:tc>
      </w:tr>
      <w:tr>
        <w:tblPrEx>
          <w:shd w:val="clear" w:color="auto" w:fill="auto"/>
        </w:tblPrEx>
        <w:trPr>
          <w:trHeight w:val="295" w:hRule="atLeast"/>
        </w:trPr>
        <w:tc>
          <w:tcPr>
            <w:tcW w:type="dxa" w:w="321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w:t>
            </w:r>
          </w:p>
        </w:tc>
        <w:tc>
          <w:tcPr>
            <w:tcW w:type="dxa" w:w="3210"/>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26</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Fair </w:t>
            </w:r>
          </w:p>
        </w:tc>
      </w:tr>
    </w:tbl>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1)</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showing 3 attempts after completing a warm up attempt, and rated compared to normative data.</w:t>
        <w:tab/>
        <w:tab/>
        <w:tab/>
        <w:tab/>
        <w:tab/>
        <w:tab/>
        <w:tab/>
        <w:tab/>
        <w:tab/>
        <w:tab/>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Sit and reach normative data</w:t>
      </w:r>
    </w:p>
    <w:p>
      <w:pPr>
        <w:pStyle w:val="Default"/>
        <w:bidi w:val="0"/>
        <w:ind w:left="0" w:right="0" w:firstLine="0"/>
        <w:jc w:val="left"/>
        <w:rPr>
          <w:rFonts w:ascii="Times New Roman" w:cs="Times New Roman" w:hAnsi="Times New Roman" w:eastAsia="Times New Roman"/>
          <w:sz w:val="24"/>
          <w:szCs w:val="24"/>
          <w:u w:val="none"/>
          <w:shd w:val="clear" w:color="auto" w:fill="ffffff"/>
          <w:rtl w:val="0"/>
        </w:rPr>
      </w:pPr>
      <w:r>
        <w:rPr>
          <w:rFonts w:ascii="Times New Roman" w:cs="Times New Roman" w:hAnsi="Times New Roman" w:eastAsia="Times New Roman"/>
          <w:sz w:val="24"/>
          <w:szCs w:val="24"/>
          <w:u w:val="none"/>
          <w:shd w:val="clear" w:color="auto" w:fill="ffffff"/>
          <w:rtl w:val="0"/>
        </w:rPr>
        <w:tab/>
        <w:tab/>
        <w:tab/>
        <w:tab/>
        <w:tab/>
        <w:tab/>
        <w:tab/>
        <w:tab/>
        <w:tab/>
        <w:tab/>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cs="Times New Roman" w:hAnsi="Times New Roman" w:eastAsia="Times New Roman"/>
          <w:sz w:val="24"/>
          <w:szCs w:val="24"/>
          <w:u w:val="none"/>
          <w:shd w:val="clear" w:color="auto" w:fill="ffffff"/>
          <w:rtl w:val="0"/>
        </w:rPr>
        <w:tab/>
        <w:tab/>
        <w:tab/>
        <w:tab/>
        <w:tab/>
        <w:tab/>
      </w:r>
      <w:r>
        <w:rPr>
          <w:rFonts w:ascii="Times New Roman" w:hAnsi="Times New Roman"/>
          <w:sz w:val="24"/>
          <w:szCs w:val="24"/>
          <w:u w:val="single"/>
          <w:shd w:val="clear" w:color="auto" w:fill="ffffff"/>
          <w:rtl w:val="0"/>
          <w:lang w:val="en-US"/>
        </w:rPr>
        <w:t>Age (Years)</w:t>
      </w:r>
    </w:p>
    <w:p>
      <w:pPr>
        <w:pStyle w:val="Default"/>
        <w:bidi w:val="0"/>
        <w:ind w:left="0" w:right="0" w:firstLine="0"/>
        <w:jc w:val="left"/>
        <w:rPr>
          <w:rFonts w:ascii="Times New Roman" w:cs="Times New Roman" w:hAnsi="Times New Roman" w:eastAsia="Times New Roman"/>
          <w:b w:val="1"/>
          <w:bCs w:val="1"/>
          <w:sz w:val="24"/>
          <w:szCs w:val="24"/>
          <w:shd w:val="clear" w:color="auto" w:fill="ffffff"/>
          <w:rtl w:val="0"/>
        </w:rPr>
      </w:pPr>
      <w:r>
        <w:rPr>
          <w:rFonts w:ascii="Times New Roman" w:cs="Times New Roman" w:hAnsi="Times New Roman" w:eastAsia="Times New Roman"/>
          <w:sz w:val="24"/>
          <w:szCs w:val="24"/>
          <w:shd w:val="clear" w:color="auto" w:fill="ffffff"/>
          <w:rtl w:val="0"/>
        </w:rPr>
        <w:tab/>
        <w:tab/>
        <w:tab/>
      </w:r>
      <w:r>
        <w:rPr>
          <w:rFonts w:ascii="Times New Roman" w:hAnsi="Times New Roman"/>
          <w:b w:val="1"/>
          <w:bCs w:val="1"/>
          <w:sz w:val="24"/>
          <w:szCs w:val="24"/>
          <w:shd w:val="clear" w:color="auto" w:fill="ffffff"/>
          <w:rtl w:val="0"/>
          <w:lang w:val="en-US"/>
        </w:rPr>
        <w:t>15-19</w:t>
        <w:tab/>
      </w:r>
      <w:r>
        <w:rPr>
          <w:rFonts w:ascii="Times New Roman" w:cs="Times New Roman" w:hAnsi="Times New Roman" w:eastAsia="Times New Roman"/>
          <w:sz w:val="24"/>
          <w:szCs w:val="24"/>
          <w:shd w:val="clear" w:color="auto" w:fill="ffffff"/>
          <w:rtl w:val="0"/>
        </w:rPr>
        <w:tab/>
        <w:tab/>
      </w:r>
      <w:r>
        <w:rPr>
          <w:rFonts w:ascii="Times New Roman" w:hAnsi="Times New Roman"/>
          <w:b w:val="1"/>
          <w:bCs w:val="1"/>
          <w:sz w:val="24"/>
          <w:szCs w:val="24"/>
          <w:shd w:val="clear" w:color="auto" w:fill="ffffff"/>
          <w:rtl w:val="0"/>
          <w:lang w:val="en-US"/>
        </w:rPr>
        <w:t>20-29</w:t>
        <w:tab/>
      </w:r>
      <w:r>
        <w:rPr>
          <w:rFonts w:ascii="Times New Roman" w:cs="Times New Roman" w:hAnsi="Times New Roman" w:eastAsia="Times New Roman"/>
          <w:sz w:val="24"/>
          <w:szCs w:val="24"/>
          <w:shd w:val="clear" w:color="auto" w:fill="ffffff"/>
          <w:rtl w:val="0"/>
        </w:rPr>
        <w:tab/>
        <w:tab/>
      </w:r>
      <w:r>
        <w:rPr>
          <w:rFonts w:ascii="Times New Roman" w:hAnsi="Times New Roman"/>
          <w:b w:val="1"/>
          <w:bCs w:val="1"/>
          <w:sz w:val="24"/>
          <w:szCs w:val="24"/>
          <w:shd w:val="clear" w:color="auto" w:fill="ffffff"/>
          <w:rtl w:val="0"/>
          <w:lang w:val="en-US"/>
        </w:rPr>
        <w:t>30-39</w:t>
        <w:tab/>
      </w:r>
      <w:r>
        <w:rPr>
          <w:rFonts w:ascii="Times New Roman" w:cs="Times New Roman" w:hAnsi="Times New Roman" w:eastAsia="Times New Roman"/>
          <w:sz w:val="24"/>
          <w:szCs w:val="24"/>
          <w:shd w:val="clear" w:color="auto" w:fill="ffffff"/>
          <w:rtl w:val="0"/>
        </w:rPr>
        <w:tab/>
        <w:tab/>
      </w:r>
      <w:r>
        <w:rPr>
          <w:rFonts w:ascii="Times New Roman" w:hAnsi="Times New Roman"/>
          <w:b w:val="1"/>
          <w:bCs w:val="1"/>
          <w:sz w:val="24"/>
          <w:szCs w:val="24"/>
          <w:shd w:val="clear" w:color="auto" w:fill="ffffff"/>
          <w:rtl w:val="0"/>
          <w:lang w:val="en-US"/>
        </w:rPr>
        <w:t>40-49</w:t>
      </w: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927"/>
        <w:gridCol w:w="1928"/>
        <w:gridCol w:w="1927"/>
        <w:gridCol w:w="1928"/>
        <w:gridCol w:w="1928"/>
      </w:tblGrid>
      <w:tr>
        <w:tblPrEx>
          <w:shd w:val="clear" w:color="auto" w:fill="bdc0bf"/>
        </w:tblPrEx>
        <w:trPr>
          <w:trHeight w:val="279" w:hRule="atLeast"/>
          <w:tblHeader/>
        </w:trPr>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Rating </w:t>
            </w:r>
          </w:p>
        </w:tc>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r>
      <w:tr>
        <w:tblPrEx>
          <w:shd w:val="clear" w:color="auto" w:fill="auto"/>
        </w:tblPrEx>
        <w:trPr>
          <w:trHeight w:val="279" w:hRule="atLeast"/>
        </w:trPr>
        <w:tc>
          <w:tcPr>
            <w:tcW w:type="dxa" w:w="1927"/>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Excellent</w:t>
            </w:r>
          </w:p>
        </w:tc>
        <w:tc>
          <w:tcPr>
            <w:tcW w:type="dxa" w:w="1927"/>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&gt;39</w:t>
            </w:r>
          </w:p>
        </w:tc>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&gt;40</w:t>
            </w:r>
          </w:p>
        </w:tc>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&gt;38</w:t>
            </w:r>
          </w:p>
        </w:tc>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&gt;35</w:t>
            </w:r>
          </w:p>
        </w:tc>
      </w:tr>
      <w:tr>
        <w:tblPrEx>
          <w:shd w:val="clear" w:color="auto" w:fill="auto"/>
        </w:tblPrEx>
        <w:trPr>
          <w:trHeight w:val="279" w:hRule="atLeast"/>
        </w:trPr>
        <w:tc>
          <w:tcPr>
            <w:tcW w:type="dxa" w:w="1927"/>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Very Good </w:t>
            </w:r>
          </w:p>
        </w:tc>
        <w:tc>
          <w:tcPr>
            <w:tcW w:type="dxa" w:w="192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34-38</w:t>
            </w:r>
          </w:p>
        </w:tc>
        <w:tc>
          <w:tcPr>
            <w:tcW w:type="dxa" w:w="19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34-39</w:t>
            </w:r>
          </w:p>
        </w:tc>
        <w:tc>
          <w:tcPr>
            <w:tcW w:type="dxa" w:w="19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33-37</w:t>
            </w:r>
          </w:p>
        </w:tc>
        <w:tc>
          <w:tcPr>
            <w:tcW w:type="dxa" w:w="19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29-34</w:t>
            </w:r>
          </w:p>
        </w:tc>
      </w:tr>
      <w:tr>
        <w:tblPrEx>
          <w:shd w:val="clear" w:color="auto" w:fill="auto"/>
        </w:tblPrEx>
        <w:trPr>
          <w:trHeight w:val="279" w:hRule="atLeast"/>
        </w:trPr>
        <w:tc>
          <w:tcPr>
            <w:tcW w:type="dxa" w:w="1927"/>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Good</w:t>
            </w:r>
          </w:p>
        </w:tc>
        <w:tc>
          <w:tcPr>
            <w:tcW w:type="dxa" w:w="1927"/>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29-33</w:t>
            </w:r>
          </w:p>
        </w:tc>
        <w:tc>
          <w:tcPr>
            <w:tcW w:type="dxa" w:w="19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30-33</w:t>
            </w:r>
          </w:p>
        </w:tc>
        <w:tc>
          <w:tcPr>
            <w:tcW w:type="dxa" w:w="19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28-32</w:t>
            </w:r>
          </w:p>
        </w:tc>
        <w:tc>
          <w:tcPr>
            <w:tcW w:type="dxa" w:w="19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24-28</w:t>
            </w:r>
          </w:p>
        </w:tc>
      </w:tr>
      <w:tr>
        <w:tblPrEx>
          <w:shd w:val="clear" w:color="auto" w:fill="auto"/>
        </w:tblPrEx>
        <w:trPr>
          <w:trHeight w:val="279" w:hRule="atLeast"/>
        </w:trPr>
        <w:tc>
          <w:tcPr>
            <w:tcW w:type="dxa" w:w="1927"/>
            <w:tcBorders>
              <w:top w:val="single" w:color="000000" w:sz="2" w:space="0" w:shadow="0" w:frame="0"/>
              <w:left w:val="single" w:color="000000" w:sz="2" w:space="0" w:shadow="0" w:frame="0"/>
              <w:bottom w:val="single" w:color="000000" w:sz="4"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Fair</w:t>
            </w:r>
          </w:p>
        </w:tc>
        <w:tc>
          <w:tcPr>
            <w:tcW w:type="dxa" w:w="1927"/>
            <w:tcBorders>
              <w:top w:val="single" w:color="000000" w:sz="2" w:space="0" w:shadow="0" w:frame="0"/>
              <w:left w:val="single" w:color="000000" w:sz="4"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24-28</w:t>
            </w:r>
          </w:p>
        </w:tc>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pPr>
            <w:r>
              <w:rPr>
                <w:rFonts w:ascii="Helvetica Neue" w:hAnsi="Helvetica Neue"/>
                <w:outline w:val="0"/>
                <w:color w:val="ed220b"/>
                <w:rtl w:val="0"/>
                <w14:textFill>
                  <w14:solidFill>
                    <w14:srgbClr w14:val="EE220C"/>
                  </w14:solidFill>
                </w14:textFill>
              </w:rPr>
              <w:t>25-29</w:t>
            </w:r>
          </w:p>
        </w:tc>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23-27</w:t>
            </w:r>
          </w:p>
        </w:tc>
        <w:tc>
          <w:tcPr>
            <w:tcW w:type="dxa" w:w="1927"/>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18-23</w:t>
            </w:r>
          </w:p>
        </w:tc>
      </w:tr>
      <w:tr>
        <w:tblPrEx>
          <w:shd w:val="clear" w:color="auto" w:fill="auto"/>
        </w:tblPrEx>
        <w:trPr>
          <w:trHeight w:val="482" w:hRule="atLeast"/>
        </w:trPr>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Requires improvement</w:t>
            </w:r>
          </w:p>
        </w:tc>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&lt;23</w:t>
            </w:r>
          </w:p>
        </w:tc>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&lt;24</w:t>
            </w:r>
          </w:p>
        </w:tc>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&lt;22</w:t>
            </w:r>
          </w:p>
        </w:tc>
        <w:tc>
          <w:tcPr>
            <w:tcW w:type="dxa" w:w="1927"/>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&lt;17</w:t>
            </w:r>
          </w:p>
        </w:tc>
      </w:tr>
    </w:tbl>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none"/>
          <w:shd w:val="clear" w:color="auto" w:fill="ffffff"/>
          <w:rtl w:val="0"/>
          <w:lang w:val="en-US"/>
        </w:rPr>
        <w:t>(Table 1.1)</w:t>
        <w:tab/>
        <w:tab/>
        <w:tab/>
        <w:tab/>
        <w:tab/>
        <w:tab/>
        <w:tab/>
        <w:tab/>
        <w:tab/>
        <w:tab/>
        <w:t xml:space="preserve">    (ACSM, 2014)</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showing normative data of male only scores from ages 15-49. Age category in red indicating  the rating of my client.</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 xml:space="preserve">Repeat sprint ability common testing protocols  </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48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Protocol</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Work Bouts </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Recovery Bouts</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Estimated Work : Rest Ratio</w:t>
            </w:r>
          </w:p>
        </w:tc>
      </w:tr>
      <w:tr>
        <w:tblPrEx>
          <w:shd w:val="clear" w:color="auto" w:fill="auto"/>
        </w:tblPrEx>
        <w:trPr>
          <w:trHeight w:val="482" w:hRule="atLeast"/>
        </w:trPr>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1</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12x20m sprints</w:t>
            </w:r>
          </w:p>
          <w:p>
            <w:pPr>
              <w:pStyle w:val="Table Style 2"/>
              <w:bidi w:val="0"/>
            </w:pPr>
            <w:r>
              <w:rPr>
                <w:rFonts w:ascii="Helvetica Neue" w:cs="Arial Unicode MS" w:hAnsi="Helvetica Neue" w:eastAsia="Arial Unicode MS"/>
                <w:rtl w:val="0"/>
              </w:rPr>
              <w:t>Every 20 seconds</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Slow walk</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1:7</w:t>
            </w:r>
          </w:p>
        </w:tc>
      </w:tr>
      <w:tr>
        <w:tblPrEx>
          <w:shd w:val="clear" w:color="auto" w:fill="auto"/>
        </w:tblPrEx>
        <w:trPr>
          <w:trHeight w:val="4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6x40m sprints</w:t>
            </w:r>
          </w:p>
          <w:p>
            <w:pPr>
              <w:pStyle w:val="Table Style 2"/>
              <w:bidi w:val="0"/>
            </w:pPr>
            <w:r>
              <w:rPr>
                <w:rFonts w:ascii="Helvetica Neue" w:cs="Arial Unicode MS" w:hAnsi="Helvetica Neue" w:eastAsia="Arial Unicode MS"/>
                <w:rtl w:val="0"/>
              </w:rPr>
              <w:t xml:space="preserve">Every 20 seconds  </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1:6</w:t>
            </w:r>
          </w:p>
        </w:tc>
      </w:tr>
      <w:tr>
        <w:tblPrEx>
          <w:shd w:val="clear" w:color="auto" w:fill="auto"/>
        </w:tblPrEx>
        <w:trPr>
          <w:trHeight w:val="47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6x20m sprints,</w:t>
            </w:r>
          </w:p>
          <w:p>
            <w:pPr>
              <w:pStyle w:val="Table Style 2"/>
              <w:bidi w:val="0"/>
            </w:pPr>
            <w:r>
              <w:rPr>
                <w:rFonts w:ascii="Helvetica Neue" w:cs="Arial Unicode MS" w:hAnsi="Helvetica Neue" w:eastAsia="Arial Unicode MS"/>
                <w:rtl w:val="0"/>
              </w:rPr>
              <w:t>Every 20 seconds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1:5</w:t>
            </w:r>
          </w:p>
        </w:tc>
      </w:tr>
    </w:tbl>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1.2)</w:t>
        <w:tab/>
        <w:tab/>
        <w:tab/>
        <w:tab/>
        <w:tab/>
        <w:tab/>
        <w:tab/>
        <w:tab/>
        <w:tab/>
        <w:tab/>
        <w:t xml:space="preserve">      (ESSA, 2014)</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*Protocol 3 was used for my client.</w:t>
        <w:tab/>
        <w:tab/>
        <w:tab/>
        <w:tab/>
        <w:tab/>
      </w:r>
    </w:p>
    <w:p>
      <w:pPr>
        <w:pStyle w:val="Default"/>
        <w:bidi w:val="0"/>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ind w:left="0" w:right="0" w:firstLine="0"/>
        <w:jc w:val="left"/>
        <w:rPr>
          <w:rFonts w:ascii="Times New Roman" w:cs="Times New Roman" w:hAnsi="Times New Roman" w:eastAsia="Times New Roman"/>
          <w:sz w:val="28"/>
          <w:szCs w:val="28"/>
          <w:u w:val="single"/>
          <w:shd w:val="clear" w:color="auto" w:fill="ffffff"/>
          <w:rtl w:val="0"/>
        </w:rPr>
      </w:pPr>
      <w:r>
        <w:rPr>
          <w:rFonts w:ascii="Times New Roman" w:hAnsi="Times New Roman"/>
          <w:sz w:val="28"/>
          <w:szCs w:val="28"/>
          <w:u w:val="single"/>
          <w:shd w:val="clear" w:color="auto" w:fill="ffffff"/>
          <w:rtl w:val="0"/>
          <w:lang w:val="en-US"/>
        </w:rPr>
        <w:t>Repeat sprint ability test results</w:t>
      </w:r>
    </w:p>
    <w:p>
      <w:pPr>
        <w:pStyle w:val="Default"/>
        <w:bidi w:val="0"/>
        <w:ind w:left="0" w:right="0" w:firstLine="0"/>
        <w:jc w:val="left"/>
        <w:rPr>
          <w:rFonts w:ascii="Times New Roman" w:cs="Times New Roman" w:hAnsi="Times New Roman" w:eastAsia="Times New Roman"/>
          <w:sz w:val="28"/>
          <w:szCs w:val="28"/>
          <w:shd w:val="clear" w:color="auto" w:fill="ffffff"/>
          <w:rtl w:val="0"/>
        </w:rPr>
      </w:pPr>
      <w:r>
        <w:rPr>
          <w:rFonts w:ascii="Times New Roman" w:hAnsi="Times New Roman"/>
          <w:sz w:val="28"/>
          <w:szCs w:val="28"/>
          <w:shd w:val="clear" w:color="auto" w:fill="ffffff"/>
          <w:rtl w:val="0"/>
          <w:lang w:val="en-US"/>
        </w:rPr>
        <w:t xml:space="preserve">Participant </w:t>
      </w:r>
      <w:r>
        <w:rPr>
          <w:rFonts w:ascii="Times New Roman" w:hAnsi="Times New Roman"/>
          <w:sz w:val="28"/>
          <w:szCs w:val="28"/>
          <w:u w:val="single"/>
          <w:shd w:val="clear" w:color="auto" w:fill="ffffff"/>
          <w:rtl w:val="0"/>
          <w:lang w:val="en-US"/>
        </w:rPr>
        <w:t xml:space="preserve">                   </w:t>
      </w:r>
      <w:r>
        <w:rPr>
          <w:rFonts w:ascii="Times New Roman" w:cs="Times New Roman" w:hAnsi="Times New Roman" w:eastAsia="Times New Roman"/>
          <w:sz w:val="28"/>
          <w:szCs w:val="28"/>
          <w:shd w:val="clear" w:color="auto" w:fill="ffffff"/>
          <w:rtl w:val="0"/>
          <w:lang w:val="en-US"/>
        </w:rPr>
        <w:tab/>
        <w:tab/>
        <w:t>Date:</w:t>
      </w:r>
      <w:r>
        <w:rPr>
          <w:rFonts w:ascii="Times New Roman" w:hAnsi="Times New Roman"/>
          <w:sz w:val="28"/>
          <w:szCs w:val="28"/>
          <w:u w:val="single"/>
          <w:shd w:val="clear" w:color="auto" w:fill="ffffff"/>
          <w:rtl w:val="0"/>
          <w:lang w:val="en-US"/>
        </w:rPr>
        <w:t xml:space="preserve">               </w:t>
      </w:r>
      <w:r>
        <w:rPr>
          <w:rFonts w:ascii="Times New Roman" w:cs="Times New Roman" w:hAnsi="Times New Roman" w:eastAsia="Times New Roman"/>
          <w:sz w:val="28"/>
          <w:szCs w:val="28"/>
          <w:shd w:val="clear" w:color="auto" w:fill="ffffff"/>
          <w:rtl w:val="0"/>
          <w:lang w:val="en-US"/>
        </w:rPr>
        <w:tab/>
        <w:tab/>
        <w:t>Age:</w:t>
      </w:r>
      <w:r>
        <w:rPr>
          <w:rFonts w:ascii="Times New Roman" w:hAnsi="Times New Roman"/>
          <w:sz w:val="28"/>
          <w:szCs w:val="28"/>
          <w:u w:val="single"/>
          <w:shd w:val="clear" w:color="auto" w:fill="ffffff"/>
          <w:rtl w:val="0"/>
          <w:lang w:val="en-US"/>
        </w:rPr>
        <w:t xml:space="preserve">          </w:t>
      </w:r>
      <w:r>
        <w:rPr>
          <w:rFonts w:ascii="Times New Roman" w:cs="Times New Roman" w:hAnsi="Times New Roman" w:eastAsia="Times New Roman"/>
          <w:sz w:val="28"/>
          <w:szCs w:val="28"/>
          <w:shd w:val="clear" w:color="auto" w:fill="ffffff"/>
          <w:rtl w:val="0"/>
          <w:lang w:val="en-US"/>
        </w:rPr>
        <w:tab/>
        <w:tab/>
        <w:t>Sex:M/F</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6"/>
        <w:gridCol w:w="4816"/>
      </w:tblGrid>
      <w:tr>
        <w:tblPrEx>
          <w:shd w:val="clear" w:color="auto" w:fill="bdc0bf"/>
        </w:tblPrEx>
        <w:trPr>
          <w:trHeight w:val="295" w:hRule="atLeast"/>
          <w:tblHeader/>
        </w:trPr>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Sprint</w:t>
            </w:r>
          </w:p>
        </w:tc>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Sprint time (s)</w:t>
            </w:r>
          </w:p>
        </w:tc>
      </w:tr>
      <w:tr>
        <w:tblPrEx>
          <w:shd w:val="clear" w:color="auto" w:fill="auto"/>
        </w:tblPrEx>
        <w:trPr>
          <w:trHeight w:val="295" w:hRule="atLeast"/>
        </w:trPr>
        <w:tc>
          <w:tcPr>
            <w:tcW w:type="dxa" w:w="4816"/>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1</w:t>
            </w:r>
          </w:p>
        </w:tc>
        <w:tc>
          <w:tcPr>
            <w:tcW w:type="dxa" w:w="4816"/>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ed220b"/>
                <w:spacing w:val="0"/>
                <w:kern w:val="0"/>
                <w:position w:val="0"/>
                <w:sz w:val="20"/>
                <w:szCs w:val="20"/>
                <w:u w:val="none"/>
                <w:shd w:val="nil" w:color="auto" w:fill="auto"/>
                <w:vertAlign w:val="baseline"/>
                <w:rtl w:val="0"/>
                <w14:textOutline>
                  <w14:noFill/>
                </w14:textOutline>
                <w14:textFill>
                  <w14:solidFill>
                    <w14:srgbClr w14:val="EE220C"/>
                  </w14:solidFill>
                </w14:textFill>
              </w:rPr>
              <w:t>3.12</w:t>
            </w:r>
          </w:p>
        </w:tc>
      </w:tr>
      <w:tr>
        <w:tblPrEx>
          <w:shd w:val="clear" w:color="auto" w:fill="auto"/>
        </w:tblPrEx>
        <w:trPr>
          <w:trHeight w:val="295" w:hRule="atLeast"/>
        </w:trPr>
        <w:tc>
          <w:tcPr>
            <w:tcW w:type="dxa" w:w="4816"/>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w:t>
            </w:r>
          </w:p>
        </w:tc>
        <w:tc>
          <w:tcPr>
            <w:tcW w:type="dxa" w:w="4816"/>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3.18</w:t>
            </w:r>
          </w:p>
        </w:tc>
      </w:tr>
      <w:tr>
        <w:tblPrEx>
          <w:shd w:val="clear" w:color="auto" w:fill="auto"/>
        </w:tblPrEx>
        <w:trPr>
          <w:trHeight w:val="295" w:hRule="atLeast"/>
        </w:trPr>
        <w:tc>
          <w:tcPr>
            <w:tcW w:type="dxa" w:w="4816"/>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w:t>
            </w:r>
          </w:p>
        </w:tc>
        <w:tc>
          <w:tcPr>
            <w:tcW w:type="dxa" w:w="4816"/>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3.24</w:t>
            </w:r>
          </w:p>
        </w:tc>
      </w:tr>
      <w:tr>
        <w:tblPrEx>
          <w:shd w:val="clear" w:color="auto" w:fill="auto"/>
        </w:tblPrEx>
        <w:trPr>
          <w:trHeight w:val="295" w:hRule="atLeast"/>
        </w:trPr>
        <w:tc>
          <w:tcPr>
            <w:tcW w:type="dxa" w:w="4816"/>
            <w:tcBorders>
              <w:top w:val="single" w:color="000000" w:sz="2" w:space="0" w:shadow="0" w:frame="0"/>
              <w:left w:val="single" w:color="000000" w:sz="2" w:space="0" w:shadow="0" w:frame="0"/>
              <w:bottom w:val="single" w:color="000000" w:sz="4"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4</w:t>
            </w:r>
          </w:p>
        </w:tc>
        <w:tc>
          <w:tcPr>
            <w:tcW w:type="dxa" w:w="4816"/>
            <w:tcBorders>
              <w:top w:val="single" w:color="000000" w:sz="2" w:space="0" w:shadow="0" w:frame="0"/>
              <w:left w:val="single" w:color="000000" w:sz="4"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3.21</w:t>
            </w:r>
          </w:p>
        </w:tc>
      </w:tr>
      <w:tr>
        <w:tblPrEx>
          <w:shd w:val="clear" w:color="auto" w:fill="auto"/>
        </w:tblPrEx>
        <w:trPr>
          <w:trHeight w:val="244" w:hRule="atLeast"/>
        </w:trPr>
        <w:tc>
          <w:tcPr>
            <w:tcW w:type="dxa" w:w="4816"/>
            <w:tcBorders>
              <w:top w:val="single" w:color="000000" w:sz="4"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5</w:t>
            </w:r>
          </w:p>
        </w:tc>
        <w:tc>
          <w:tcPr>
            <w:tcW w:type="dxa" w:w="4816"/>
            <w:tcBorders>
              <w:top w:val="single" w:color="000000" w:sz="4"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3.38</w:t>
            </w:r>
          </w:p>
        </w:tc>
      </w:tr>
      <w:tr>
        <w:tblPrEx>
          <w:shd w:val="clear" w:color="auto" w:fill="auto"/>
        </w:tblPrEx>
        <w:trPr>
          <w:trHeight w:val="242" w:hRule="atLeast"/>
        </w:trPr>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6</w:t>
            </w:r>
          </w:p>
        </w:tc>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3.37</w:t>
            </w:r>
          </w:p>
        </w:tc>
      </w:tr>
    </w:tbl>
    <w:p>
      <w:pPr>
        <w:pStyle w:val="Default"/>
        <w:bidi w:val="0"/>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1.3)</w:t>
        <w:tab/>
        <w:tab/>
        <w:tab/>
        <w:tab/>
        <w:tab/>
        <w:tab/>
        <w:tab/>
        <w:tab/>
        <w:tab/>
        <w:tab/>
        <w:t xml:space="preserve">      (ESSA, 2014)</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showing 6 bouts of sprint times, sprint time in red indicating best split time.</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Repeat sprint ability normative data</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cs="Times New Roman" w:hAnsi="Times New Roman" w:eastAsia="Times New Roman"/>
          <w:sz w:val="24"/>
          <w:szCs w:val="24"/>
          <w:shd w:val="clear" w:color="auto" w:fill="ffffff"/>
          <w:rtl w:val="0"/>
        </w:rPr>
        <w:tab/>
        <w:tab/>
        <w:tab/>
        <w:tab/>
        <w:tab/>
        <w:tab/>
      </w:r>
      <w:r>
        <w:rPr>
          <w:rFonts w:ascii="Times New Roman" w:hAnsi="Times New Roman"/>
          <w:sz w:val="24"/>
          <w:szCs w:val="24"/>
          <w:u w:val="single"/>
          <w:shd w:val="clear" w:color="auto" w:fill="ffffff"/>
          <w:rtl w:val="0"/>
          <w:lang w:val="en-US"/>
        </w:rPr>
        <w:t>Age 18-25 (Years)</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6"/>
        <w:gridCol w:w="4816"/>
      </w:tblGrid>
      <w:tr>
        <w:tblPrEx>
          <w:shd w:val="clear" w:color="auto" w:fill="bdc0bf"/>
        </w:tblPrEx>
        <w:trPr>
          <w:trHeight w:val="295" w:hRule="atLeast"/>
          <w:tblHeader/>
        </w:trPr>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Rating</w:t>
            </w:r>
          </w:p>
        </w:tc>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20m sprint times </w:t>
            </w:r>
          </w:p>
        </w:tc>
      </w:tr>
      <w:tr>
        <w:tblPrEx>
          <w:shd w:val="clear" w:color="auto" w:fill="auto"/>
        </w:tblPrEx>
        <w:trPr>
          <w:trHeight w:val="295" w:hRule="atLeast"/>
        </w:trPr>
        <w:tc>
          <w:tcPr>
            <w:tcW w:type="dxa" w:w="4816"/>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Very poor</w:t>
            </w:r>
          </w:p>
        </w:tc>
        <w:tc>
          <w:tcPr>
            <w:tcW w:type="dxa" w:w="4816"/>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&gt;3.29</w:t>
            </w:r>
          </w:p>
        </w:tc>
      </w:tr>
      <w:tr>
        <w:tblPrEx>
          <w:shd w:val="clear" w:color="auto" w:fill="auto"/>
        </w:tblPrEx>
        <w:trPr>
          <w:trHeight w:val="295" w:hRule="atLeast"/>
        </w:trPr>
        <w:tc>
          <w:tcPr>
            <w:tcW w:type="dxa" w:w="4816"/>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Poor</w:t>
            </w:r>
          </w:p>
        </w:tc>
        <w:tc>
          <w:tcPr>
            <w:tcW w:type="dxa" w:w="4816"/>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3.20-3.29</w:t>
            </w:r>
          </w:p>
        </w:tc>
      </w:tr>
      <w:tr>
        <w:tblPrEx>
          <w:shd w:val="clear" w:color="auto" w:fill="auto"/>
        </w:tblPrEx>
        <w:trPr>
          <w:trHeight w:val="295" w:hRule="atLeast"/>
        </w:trPr>
        <w:tc>
          <w:tcPr>
            <w:tcW w:type="dxa" w:w="4816"/>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Average</w:t>
            </w:r>
          </w:p>
        </w:tc>
        <w:tc>
          <w:tcPr>
            <w:tcW w:type="dxa" w:w="4816"/>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outline w:val="0"/>
                <w:color w:val="ed220b"/>
                <w:rtl w:val="0"/>
                <w14:textFill>
                  <w14:solidFill>
                    <w14:srgbClr w14:val="EE220C"/>
                  </w14:solidFill>
                </w14:textFill>
              </w:rPr>
              <w:t>3.11-3.19</w:t>
            </w:r>
          </w:p>
        </w:tc>
      </w:tr>
      <w:tr>
        <w:tblPrEx>
          <w:shd w:val="clear" w:color="auto" w:fill="auto"/>
        </w:tblPrEx>
        <w:trPr>
          <w:trHeight w:val="295" w:hRule="atLeast"/>
        </w:trPr>
        <w:tc>
          <w:tcPr>
            <w:tcW w:type="dxa" w:w="4816"/>
            <w:tcBorders>
              <w:top w:val="single" w:color="000000" w:sz="2" w:space="0" w:shadow="0" w:frame="0"/>
              <w:left w:val="single" w:color="000000" w:sz="2" w:space="0" w:shadow="0" w:frame="0"/>
              <w:bottom w:val="single" w:color="000000" w:sz="4"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Good</w:t>
            </w:r>
          </w:p>
        </w:tc>
        <w:tc>
          <w:tcPr>
            <w:tcW w:type="dxa" w:w="4816"/>
            <w:tcBorders>
              <w:top w:val="single" w:color="000000" w:sz="2" w:space="0" w:shadow="0" w:frame="0"/>
              <w:left w:val="single" w:color="000000" w:sz="4"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3.06-3.10</w:t>
            </w:r>
          </w:p>
        </w:tc>
      </w:tr>
      <w:tr>
        <w:tblPrEx>
          <w:shd w:val="clear" w:color="auto" w:fill="auto"/>
        </w:tblPrEx>
        <w:trPr>
          <w:trHeight w:val="242" w:hRule="atLeast"/>
        </w:trPr>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Excellent</w:t>
            </w:r>
          </w:p>
        </w:tc>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&lt;3.06</w:t>
            </w:r>
          </w:p>
        </w:tc>
      </w:tr>
    </w:tbl>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1.4)</w:t>
        <w:tab/>
        <w:tab/>
        <w:tab/>
        <w:tab/>
        <w:tab/>
        <w:tab/>
        <w:tab/>
        <w:tab/>
        <w:tab/>
        <w:tab/>
        <w:t xml:space="preserve">      (ESSA, 2014)</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*Values showing speed performance by rating of 20m sprint times. Sprint time in red indicating where my client is rated on their best sprint time.</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Vertical Jump and reach test</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295"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Protocol</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Attempt 1 (cm)</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Attempt 2 (cm)</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Attempt 3 (cm)</w:t>
            </w:r>
          </w:p>
        </w:tc>
      </w:tr>
      <w:tr>
        <w:tblPrEx>
          <w:shd w:val="clear" w:color="auto" w:fill="auto"/>
        </w:tblPrEx>
        <w:trPr>
          <w:trHeight w:val="295" w:hRule="atLeast"/>
        </w:trPr>
        <w:tc>
          <w:tcPr>
            <w:tcW w:type="dxa" w:w="2408"/>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Stand and reach</w:t>
            </w:r>
          </w:p>
        </w:tc>
        <w:tc>
          <w:tcPr>
            <w:tcW w:type="dxa" w:w="2408"/>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239</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239</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239</w:t>
            </w:r>
          </w:p>
        </w:tc>
      </w:tr>
      <w:tr>
        <w:tblPrEx>
          <w:shd w:val="clear" w:color="auto" w:fill="auto"/>
        </w:tblPrEx>
        <w:trPr>
          <w:trHeight w:val="2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Arm swing</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52</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54</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54</w:t>
            </w:r>
          </w:p>
        </w:tc>
      </w:tr>
      <w:tr>
        <w:tblPrEx>
          <w:shd w:val="clear" w:color="auto" w:fill="auto"/>
        </w:tblPrEx>
        <w:trPr>
          <w:trHeight w:val="2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 xml:space="preserve">No arm swing </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39</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41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41</w:t>
            </w:r>
          </w:p>
        </w:tc>
      </w:tr>
      <w:tr>
        <w:tblPrEx>
          <w:shd w:val="clear" w:color="auto" w:fill="auto"/>
        </w:tblPrEx>
        <w:trPr>
          <w:trHeight w:val="2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One step</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47</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51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53</w:t>
            </w:r>
          </w:p>
        </w:tc>
      </w:tr>
    </w:tbl>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(Table.1.5)</w:t>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Data showing 3 attempts of each protocol, effective height jumped for each protocol is the difference between standing height mark.</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Vertical Jump normative data</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295"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Arm Swing</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No arm swing</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Single step</w:t>
            </w:r>
          </w:p>
        </w:tc>
      </w:tr>
      <w:tr>
        <w:tblPrEx>
          <w:shd w:val="clear" w:color="auto" w:fill="auto"/>
        </w:tblPrEx>
        <w:trPr>
          <w:trHeight w:val="295" w:hRule="atLeast"/>
        </w:trPr>
        <w:tc>
          <w:tcPr>
            <w:tcW w:type="dxa" w:w="2408"/>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Very poor</w:t>
            </w:r>
          </w:p>
        </w:tc>
        <w:tc>
          <w:tcPr>
            <w:tcW w:type="dxa" w:w="2408"/>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&lt;34</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outline w:val="0"/>
                <w:color w:val="ed220b"/>
                <w:rtl w:val="0"/>
                <w14:textFill>
                  <w14:solidFill>
                    <w14:srgbClr w14:val="EE220C"/>
                  </w14:solidFill>
                </w14:textFill>
              </w:rPr>
              <w:t>&lt;44</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outline w:val="0"/>
                <w:color w:val="ed220b"/>
                <w:rtl w:val="0"/>
                <w14:textFill>
                  <w14:solidFill>
                    <w14:srgbClr w14:val="EE220C"/>
                  </w14:solidFill>
                </w14:textFill>
              </w:rPr>
              <w:t>&lt;54</w:t>
            </w:r>
          </w:p>
        </w:tc>
      </w:tr>
      <w:tr>
        <w:tblPrEx>
          <w:shd w:val="clear" w:color="auto" w:fill="auto"/>
        </w:tblPrEx>
        <w:trPr>
          <w:trHeight w:val="2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Poor</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34-38</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44-51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54-58</w:t>
            </w:r>
          </w:p>
        </w:tc>
      </w:tr>
      <w:tr>
        <w:tblPrEx>
          <w:shd w:val="clear" w:color="auto" w:fill="auto"/>
        </w:tblPrEx>
        <w:trPr>
          <w:trHeight w:val="2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Average</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39-41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52-56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59-69</w:t>
            </w:r>
          </w:p>
        </w:tc>
      </w:tr>
      <w:tr>
        <w:tblPrEx>
          <w:shd w:val="clear" w:color="auto" w:fill="auto"/>
        </w:tblPrEx>
        <w:trPr>
          <w:trHeight w:val="2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Good</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42-51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57-66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70-80</w:t>
            </w:r>
          </w:p>
        </w:tc>
      </w:tr>
      <w:tr>
        <w:tblPrEx>
          <w:shd w:val="clear" w:color="auto" w:fill="auto"/>
        </w:tblPrEx>
        <w:trPr>
          <w:trHeight w:val="2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Excellent</w:t>
            </w:r>
          </w:p>
        </w:tc>
        <w:tc>
          <w:tcPr>
            <w:tcW w:type="dxa" w:w="2408"/>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outline w:val="0"/>
                <w:color w:val="ed220b"/>
                <w:rtl w:val="0"/>
                <w14:textFill>
                  <w14:solidFill>
                    <w14:srgbClr w14:val="EE220C"/>
                  </w14:solidFill>
                </w14:textFill>
              </w:rPr>
              <w:t>&gt;51</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&gt;66</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&gt;80</w:t>
            </w:r>
          </w:p>
        </w:tc>
      </w:tr>
    </w:tbl>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1.6)</w:t>
        <w:tab/>
        <w:tab/>
        <w:tab/>
        <w:tab/>
        <w:tab/>
        <w:tab/>
        <w:tab/>
        <w:tab/>
        <w:tab/>
        <w:tab/>
        <w:t xml:space="preserve">      (ESSA, 2014)</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Blood pressure results</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210"/>
        <w:gridCol w:w="3211"/>
        <w:gridCol w:w="3211"/>
      </w:tblGrid>
      <w:tr>
        <w:tblPrEx>
          <w:shd w:val="clear" w:color="auto" w:fill="bdc0bf"/>
        </w:tblPrEx>
        <w:trPr>
          <w:trHeight w:val="295" w:hRule="atLeast"/>
          <w:tblHeader/>
        </w:trPr>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Reading</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BP</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HR</w:t>
            </w:r>
          </w:p>
        </w:tc>
      </w:tr>
      <w:tr>
        <w:tblPrEx>
          <w:shd w:val="clear" w:color="auto" w:fill="auto"/>
        </w:tblPrEx>
        <w:trPr>
          <w:trHeight w:val="295" w:hRule="atLeast"/>
        </w:trPr>
        <w:tc>
          <w:tcPr>
            <w:tcW w:type="dxa" w:w="3210"/>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1</w:t>
            </w:r>
          </w:p>
        </w:tc>
        <w:tc>
          <w:tcPr>
            <w:tcW w:type="dxa" w:w="3210"/>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132/76</w:t>
            </w:r>
          </w:p>
        </w:tc>
        <w:tc>
          <w:tcPr>
            <w:tcW w:type="dxa" w:w="3210"/>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60</w:t>
            </w:r>
          </w:p>
        </w:tc>
      </w:tr>
      <w:tr>
        <w:tblPrEx>
          <w:shd w:val="clear" w:color="auto" w:fill="auto"/>
        </w:tblPrEx>
        <w:trPr>
          <w:trHeight w:val="295" w:hRule="atLeast"/>
        </w:trPr>
        <w:tc>
          <w:tcPr>
            <w:tcW w:type="dxa" w:w="321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2</w:t>
            </w:r>
          </w:p>
        </w:tc>
        <w:tc>
          <w:tcPr>
            <w:tcW w:type="dxa" w:w="3210"/>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123/67</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59</w:t>
            </w:r>
          </w:p>
        </w:tc>
      </w:tr>
      <w:tr>
        <w:tblPrEx>
          <w:shd w:val="clear" w:color="auto" w:fill="auto"/>
        </w:tblPrEx>
        <w:trPr>
          <w:trHeight w:val="295" w:hRule="atLeast"/>
        </w:trPr>
        <w:tc>
          <w:tcPr>
            <w:tcW w:type="dxa" w:w="3210"/>
            <w:tcBorders>
              <w:top w:val="single" w:color="000000" w:sz="2"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3</w:t>
            </w:r>
          </w:p>
        </w:tc>
        <w:tc>
          <w:tcPr>
            <w:tcW w:type="dxa" w:w="3210"/>
            <w:tcBorders>
              <w:top w:val="single" w:color="000000" w:sz="2"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132/65</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rtl w:val="0"/>
                <w14:textOutline>
                  <w14:noFill/>
                </w14:textOutline>
                <w14:textFill>
                  <w14:solidFill>
                    <w14:srgbClr w14:val="000000"/>
                  </w14:solidFill>
                </w14:textFill>
              </w:rPr>
              <w:t>61</w:t>
            </w:r>
          </w:p>
        </w:tc>
      </w:tr>
    </w:tbl>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1.7)</w:t>
        <w:tab/>
        <w:tab/>
        <w:tab/>
        <w:tab/>
        <w:tab/>
        <w:tab/>
        <w:tab/>
        <w:tab/>
        <w:tab/>
        <w:tab/>
      </w: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*Three reading of my clients resting blood pressure and heart rate. </w:t>
      </w: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Blood Pressure classification for adults</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210"/>
        <w:gridCol w:w="3211"/>
        <w:gridCol w:w="3211"/>
      </w:tblGrid>
      <w:tr>
        <w:tblPrEx>
          <w:shd w:val="clear" w:color="auto" w:fill="bdc0bf"/>
        </w:tblPrEx>
        <w:trPr>
          <w:trHeight w:val="295" w:hRule="atLeast"/>
          <w:tblHeader/>
        </w:trPr>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Category</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Systolic BP (mmHg)</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Diastolic BP (mmHg)</w:t>
            </w:r>
          </w:p>
        </w:tc>
      </w:tr>
      <w:tr>
        <w:tblPrEx>
          <w:shd w:val="clear" w:color="auto" w:fill="auto"/>
        </w:tblPrEx>
        <w:trPr>
          <w:trHeight w:val="295" w:hRule="atLeast"/>
        </w:trPr>
        <w:tc>
          <w:tcPr>
            <w:tcW w:type="dxa" w:w="3210"/>
            <w:tcBorders>
              <w:top w:val="single" w:color="000000" w:sz="4" w:space="0" w:shadow="0" w:frame="0"/>
              <w:left w:val="single" w:color="000000" w:sz="2" w:space="0" w:shadow="0" w:frame="0"/>
              <w:bottom w:val="single" w:color="000000" w:sz="2"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Normal</w:t>
            </w:r>
          </w:p>
        </w:tc>
        <w:tc>
          <w:tcPr>
            <w:tcW w:type="dxa" w:w="3210"/>
            <w:tcBorders>
              <w:top w:val="single" w:color="000000" w:sz="4" w:space="0" w:shadow="0" w:frame="0"/>
              <w:left w:val="single" w:color="000000" w:sz="4"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&lt;120</w:t>
            </w:r>
          </w:p>
        </w:tc>
        <w:tc>
          <w:tcPr>
            <w:tcW w:type="dxa" w:w="3210"/>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&lt;80</w:t>
            </w:r>
          </w:p>
        </w:tc>
      </w:tr>
      <w:tr>
        <w:tblPrEx>
          <w:shd w:val="clear" w:color="auto" w:fill="auto"/>
        </w:tblPrEx>
        <w:trPr>
          <w:trHeight w:val="295" w:hRule="atLeast"/>
        </w:trPr>
        <w:tc>
          <w:tcPr>
            <w:tcW w:type="dxa" w:w="3210"/>
            <w:tcBorders>
              <w:top w:val="single" w:color="000000" w:sz="2" w:space="0" w:shadow="0" w:frame="0"/>
              <w:left w:val="single" w:color="000000" w:sz="2" w:space="0" w:shadow="0" w:frame="0"/>
              <w:bottom w:val="single" w:color="000000" w:sz="4" w:space="0" w:shadow="0" w:frame="0"/>
              <w:right w:val="single" w:color="000000" w:sz="4" w:space="0" w:shadow="0" w:frame="0"/>
            </w:tcBorders>
            <w:shd w:val="clear" w:color="auto" w:fill="e2e4e3"/>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Hypertension (stage 1)</w:t>
            </w:r>
          </w:p>
        </w:tc>
        <w:tc>
          <w:tcPr>
            <w:tcW w:type="dxa" w:w="3210"/>
            <w:tcBorders>
              <w:top w:val="single" w:color="000000" w:sz="2" w:space="0" w:shadow="0" w:frame="0"/>
              <w:left w:val="single" w:color="000000" w:sz="4"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&gt;130-139</w:t>
            </w:r>
          </w:p>
        </w:tc>
        <w:tc>
          <w:tcPr>
            <w:tcW w:type="dxa" w:w="3210"/>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80-89</w:t>
            </w:r>
          </w:p>
        </w:tc>
      </w:tr>
      <w:tr>
        <w:tblPrEx>
          <w:shd w:val="clear" w:color="auto" w:fill="auto"/>
        </w:tblPrEx>
        <w:trPr>
          <w:trHeight w:val="244" w:hRule="atLeast"/>
        </w:trPr>
        <w:tc>
          <w:tcPr>
            <w:tcW w:type="dxa" w:w="3210"/>
            <w:tcBorders>
              <w:top w:val="single" w:color="000000" w:sz="4"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Hypertension (stage 2)</w:t>
            </w:r>
          </w:p>
        </w:tc>
        <w:tc>
          <w:tcPr>
            <w:tcW w:type="dxa" w:w="3210"/>
            <w:tcBorders>
              <w:top w:val="single" w:color="000000" w:sz="4"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&gt;140</w:t>
            </w:r>
          </w:p>
        </w:tc>
        <w:tc>
          <w:tcPr>
            <w:tcW w:type="dxa" w:w="3210"/>
            <w:tcBorders>
              <w:top w:val="single" w:color="000000" w:sz="4" w:space="0" w:shadow="0" w:frame="0"/>
              <w:left w:val="single" w:color="000000" w:sz="2" w:space="0" w:shadow="0" w:frame="0"/>
              <w:bottom w:val="single" w:color="000000" w:sz="4"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&gt;90</w:t>
            </w:r>
          </w:p>
        </w:tc>
      </w:tr>
      <w:tr>
        <w:tblPrEx>
          <w:shd w:val="clear" w:color="auto" w:fill="auto"/>
        </w:tblPrEx>
        <w:trPr>
          <w:trHeight w:val="242" w:hRule="atLeast"/>
        </w:trPr>
        <w:tc>
          <w:tcPr>
            <w:tcW w:type="dxa" w:w="3210"/>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Hypertension (stage 3)</w:t>
            </w:r>
          </w:p>
        </w:tc>
        <w:tc>
          <w:tcPr>
            <w:tcW w:type="dxa" w:w="3210"/>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&gt;180</w:t>
            </w:r>
          </w:p>
        </w:tc>
        <w:tc>
          <w:tcPr>
            <w:tcW w:type="dxa" w:w="3210"/>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1"/>
            </w:pPr>
            <w:r>
              <w:rPr>
                <w:rFonts w:ascii="Helvetica Neue" w:hAnsi="Helvetica Neue"/>
                <w:b w:val="0"/>
                <w:bCs w:val="0"/>
                <w:rtl w:val="0"/>
              </w:rPr>
              <w:t>&gt;120</w:t>
            </w:r>
          </w:p>
        </w:tc>
      </w:tr>
    </w:tbl>
    <w:p>
      <w:pPr>
        <w:pStyle w:val="Default"/>
        <w:bidi w:val="0"/>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(Table 1.8)</w:t>
        <w:tab/>
        <w:tab/>
        <w:tab/>
        <w:tab/>
        <w:tab/>
        <w:tab/>
        <w:tab/>
        <w:tab/>
        <w:tab/>
        <w:tab/>
        <w:t xml:space="preserve">       (HMS, 2018)</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r>
        <w:rPr>
          <w:rFonts w:ascii="Times New Roman" w:hAnsi="Times New Roman"/>
          <w:sz w:val="28"/>
          <w:szCs w:val="28"/>
          <w:u w:val="single"/>
          <w:shd w:val="clear" w:color="auto" w:fill="ffffff"/>
          <w:rtl w:val="0"/>
          <w:lang w:val="en-US"/>
        </w:rPr>
        <w:t xml:space="preserve">Introduction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My client is a keen footballer who is driven to improve aspects of general health and particular attributes of his game. He is a 27 year old eager to</w:t>
      </w:r>
      <w:r>
        <w:rPr>
          <w:rFonts w:ascii="Times New Roman" w:hAnsi="Times New Roman"/>
          <w:sz w:val="24"/>
          <w:szCs w:val="24"/>
          <w:shd w:val="clear" w:color="auto" w:fill="ffffff"/>
          <w:rtl w:val="0"/>
        </w:rPr>
        <w:t xml:space="preserve"> </w:t>
      </w:r>
      <w:r>
        <w:rPr>
          <w:rFonts w:ascii="Times New Roman" w:hAnsi="Times New Roman"/>
          <w:sz w:val="24"/>
          <w:szCs w:val="24"/>
          <w:shd w:val="clear" w:color="auto" w:fill="ffffff"/>
          <w:rtl w:val="0"/>
          <w:lang w:val="en-US"/>
        </w:rPr>
        <w:t xml:space="preserve">reduce </w:t>
      </w:r>
      <w:r>
        <w:rPr>
          <w:rFonts w:ascii="Times New Roman" w:hAnsi="Times New Roman"/>
          <w:sz w:val="24"/>
          <w:szCs w:val="24"/>
          <w:shd w:val="clear" w:color="auto" w:fill="ffffff"/>
          <w:rtl w:val="0"/>
          <w:lang w:val="en-US"/>
        </w:rPr>
        <w:t>the risk of injury, improve fitness</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lang w:val="nl-NL"/>
        </w:rPr>
        <w:t xml:space="preserve"> sprint speed</w:t>
      </w:r>
      <w:r>
        <w:rPr>
          <w:rFonts w:ascii="Times New Roman" w:hAnsi="Times New Roman"/>
          <w:sz w:val="24"/>
          <w:szCs w:val="24"/>
          <w:shd w:val="clear" w:color="auto" w:fill="ffffff"/>
          <w:rtl w:val="0"/>
          <w:lang w:val="en-US"/>
        </w:rPr>
        <w:t xml:space="preserve"> and lower limb strength. I agreed with my client that our focus will be working his cardiovascular system with some anaerobic training for improvement on his general health and fitness. I will be conducting a flexibility assessment to determine how we can achieve enhanced flexibility therefore minimising the risk of injury. Furthermore, I will be conducting some strength training modalities to work different components of the lower limbs. By assessing my client with each fitness component I will then give recommendations and an overall evaluation which will hopefully achieve my clients goals.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In order to proceed with any health assessments a pre health screening was provided for my client to ensure that he did not have any contraindications. I provided a health history questionnaire to confirm there was no reason for the assessments to commence. Once I confirmed my client had no underlying health factors, I was able to continue with a variety of health assessments to specifically target my client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s goals. I also provided him with current information, benefits and risk factors of physical activities in order educate him. I specified, that, physical fitness is generally recognised to be the capability to execute daily tasks without excessive fatigue, and with adequate energy to enjoy leisure-time pursuits and meet unpredicted extremities </w:t>
      </w:r>
      <w:r>
        <w:rPr>
          <w:rFonts w:ascii="Times New Roman" w:hAnsi="Times New Roman"/>
          <w:sz w:val="24"/>
          <w:szCs w:val="24"/>
          <w:shd w:val="clear" w:color="auto" w:fill="ffffff"/>
          <w:rtl w:val="0"/>
          <w:lang w:val="en-US"/>
        </w:rPr>
        <w:t xml:space="preserve">(Powell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rPr>
        <w:t>., 2019)</w:t>
      </w:r>
      <w:r>
        <w:rPr>
          <w:rFonts w:ascii="Times New Roman" w:hAnsi="Times New Roman"/>
          <w:sz w:val="24"/>
          <w:szCs w:val="24"/>
          <w:shd w:val="clear" w:color="auto" w:fill="ffffff"/>
          <w:rtl w:val="0"/>
          <w:lang w:val="en-US"/>
        </w:rPr>
        <w:t>. After completing a variety of different fitness assessments there was a large amount of information gathered for each component of physical fitness as seen in the appendices. Regarding the health and skill related components of physical activity, a blood pressure, flexibility, vertical jump and speed assessments, were performed.</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r>
        <w:rPr>
          <w:rFonts w:ascii="Times New Roman" w:hAnsi="Times New Roman"/>
          <w:sz w:val="28"/>
          <w:szCs w:val="28"/>
          <w:u w:val="single"/>
          <w:shd w:val="clear" w:color="auto" w:fill="ffffff"/>
          <w:rtl w:val="0"/>
          <w:lang w:val="en-US"/>
        </w:rPr>
        <w:t>Summary and key findings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Once every </w:t>
      </w:r>
      <w:r>
        <w:rPr>
          <w:rFonts w:ascii="Times New Roman" w:hAnsi="Times New Roman"/>
          <w:sz w:val="24"/>
          <w:szCs w:val="24"/>
          <w:shd w:val="clear" w:color="auto" w:fill="ffffff"/>
          <w:rtl w:val="0"/>
          <w:lang w:val="en-US"/>
        </w:rPr>
        <w:t xml:space="preserve">component </w:t>
      </w:r>
      <w:r>
        <w:rPr>
          <w:rFonts w:ascii="Times New Roman" w:hAnsi="Times New Roman"/>
          <w:sz w:val="24"/>
          <w:szCs w:val="24"/>
          <w:shd w:val="clear" w:color="auto" w:fill="ffffff"/>
          <w:rtl w:val="0"/>
          <w:lang w:val="en-US"/>
        </w:rPr>
        <w:t xml:space="preserve">of physical activity was completed, I collated all of the information from each individual assessment and formed a range of tables with results. All results from the respective tests will be explained to my client and then individual components will be reviewed.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Once the results have been analysed and have been compared to normative data, I will be using them by focusing on my clients primary goals which were to improve fitness, speed, lower limb power and reduce the risk of injury. We will predominantly be looking at the sprint interval training for speed, sit and reach and vertical jump and strength in order to fulfil my clients goals. I have made these recommendations based on the information obtained from my clients fitness objectives.</w:t>
      </w: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u w:val="single"/>
          <w:shd w:val="clear" w:color="auto" w:fill="ffffff"/>
          <w:rtl w:val="0"/>
        </w:rPr>
      </w:pPr>
      <w:r>
        <w:rPr>
          <w:rFonts w:ascii="Times New Roman" w:hAnsi="Times New Roman"/>
          <w:sz w:val="24"/>
          <w:szCs w:val="24"/>
          <w:u w:val="single"/>
          <w:shd w:val="clear" w:color="auto" w:fill="ffffff"/>
          <w:rtl w:val="0"/>
          <w:lang w:val="en-US"/>
        </w:rPr>
        <w:t>Review all components and results</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The Anaerobic system is characterised as high intensity and intermittent bouts of exercise. It requires a far greater amount of effort than aerobic exercise. In order to participate in anaerobic exercise Adenosine triphosphate (ATP) is required at a faster rate than the aerobic system is capable of (</w:t>
      </w:r>
      <w:r>
        <w:rPr>
          <w:rFonts w:ascii="Times New Roman" w:hAnsi="Times New Roman"/>
          <w:sz w:val="24"/>
          <w:szCs w:val="24"/>
          <w:shd w:val="clear" w:color="auto" w:fill="ffffff"/>
          <w:rtl w:val="0"/>
        </w:rPr>
        <w:t>Zoladz</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2016). Consequently, the difference in energy requirements is made up by the anaerobic system, which works in the absence of oxygen and includes the creatine phosphate and the glycolytic system (</w:t>
      </w:r>
      <w:r>
        <w:rPr>
          <w:rFonts w:ascii="Times New Roman" w:hAnsi="Times New Roman"/>
          <w:sz w:val="24"/>
          <w:szCs w:val="24"/>
          <w:shd w:val="clear" w:color="auto" w:fill="ffffff"/>
          <w:rtl w:val="0"/>
          <w:lang w:val="en-US"/>
        </w:rPr>
        <w:t>Sandage and Smith, 2017</w:t>
      </w:r>
      <w:r>
        <w:rPr>
          <w:rFonts w:ascii="Times New Roman" w:hAnsi="Times New Roman"/>
          <w:sz w:val="24"/>
          <w:szCs w:val="24"/>
          <w:shd w:val="clear" w:color="auto" w:fill="ffffff"/>
          <w:rtl w:val="0"/>
          <w:lang w:val="en-US"/>
        </w:rPr>
        <w:t xml:space="preserve">). Long term adaptations that occur in response to anaerobic training are specifically related to the characteristics we have conducted in our physical assessments. As a result my client will see improvements in their speed, vertical jump and interval training performances. Exercises such as sprints predominantly stress the creatine phosphate system which usually last less than 10 seconds, and minimise fatigue. Longer duration interval type anaerobic modalities predominantly use energy from the glycolytic system, which use reduced rest periods (Hazard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2010). The combination of high intensity exercise with reduced periods of rest is considered an essential and popular anaerobic exercise. The reason for this is that individuals are required to perform near maximal effort under short rest periods, which will result in greater physiological adaptations that influences performance </w:t>
      </w:r>
      <w:r>
        <w:rPr>
          <w:rFonts w:ascii="Times New Roman" w:hAnsi="Times New Roman"/>
          <w:sz w:val="24"/>
          <w:szCs w:val="24"/>
          <w:shd w:val="clear" w:color="auto" w:fill="ffffff"/>
          <w:rtl w:val="0"/>
          <w:lang w:val="en-US"/>
        </w:rPr>
        <w:t xml:space="preserve">(Willoughby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rPr>
        <w:t>., 2016)</w:t>
      </w:r>
      <w:r>
        <w:rPr>
          <w:rFonts w:ascii="Times New Roman" w:hAnsi="Times New Roman"/>
          <w:sz w:val="24"/>
          <w:szCs w:val="24"/>
          <w:shd w:val="clear" w:color="auto" w:fill="ffffff"/>
          <w:rtl w:val="0"/>
          <w:lang w:val="en-US"/>
        </w:rPr>
        <w:t>. Interval training may also bring about some weight loss as it has some benefits similar</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to moderate-intensity continuous training, while requiring less time (Boucher, 2010). Interval training is an intermittent period of effort interspersed by recovery stage, the two most common types of interval training are high-intensity interval training (HIIT) and sprint interval training (SIT) (</w:t>
      </w:r>
      <w:r>
        <w:rPr>
          <w:rFonts w:ascii="Times New Roman" w:hAnsi="Times New Roman"/>
          <w:sz w:val="24"/>
          <w:szCs w:val="24"/>
          <w:shd w:val="clear" w:color="auto" w:fill="ffffff"/>
          <w:rtl w:val="0"/>
          <w:lang w:val="it-IT"/>
        </w:rPr>
        <w:t>Gibala</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2014). HIIT requires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near maximal</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effort performed at a heart rate (HR)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80% of the</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heart rate max. SIT is efforts performed at intensities equal or superior to the one that obtained a</w:t>
      </w:r>
      <w:r>
        <w:rPr>
          <w:rFonts w:ascii="Times New Roman" w:hAnsi="Times New Roman" w:hint="default"/>
          <w:sz w:val="24"/>
          <w:szCs w:val="24"/>
          <w:shd w:val="clear" w:color="auto" w:fill="ffffff"/>
          <w:rtl w:val="0"/>
          <w:lang w:val="en-US"/>
        </w:rPr>
        <w:t> </w:t>
      </w:r>
      <w:r>
        <w:rPr>
          <w:rFonts w:ascii="Times New Roman" w:hAnsi="Times New Roman"/>
          <w:sz w:val="24"/>
          <w:szCs w:val="24"/>
          <w:shd w:val="clear" w:color="auto" w:fill="ffffff"/>
          <w:rtl w:val="0"/>
          <w:lang w:val="en-US"/>
        </w:rPr>
        <w:t>peak VO2 on an incremental test (VO2peak), including maximum efforts (</w:t>
      </w:r>
      <w:r>
        <w:rPr>
          <w:rFonts w:ascii="Times New Roman" w:hAnsi="Times New Roman"/>
          <w:sz w:val="24"/>
          <w:szCs w:val="24"/>
          <w:shd w:val="clear" w:color="auto" w:fill="ffffff"/>
          <w:rtl w:val="0"/>
          <w:lang w:val="en-US"/>
        </w:rPr>
        <w:t>Weston</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2014) (</w:t>
      </w:r>
      <w:r>
        <w:rPr>
          <w:rFonts w:ascii="Times New Roman" w:hAnsi="Times New Roman"/>
          <w:sz w:val="24"/>
          <w:szCs w:val="24"/>
          <w:shd w:val="clear" w:color="auto" w:fill="ffffff"/>
          <w:rtl w:val="0"/>
          <w:lang w:val="da-DK"/>
        </w:rPr>
        <w:t>MacInnis</w:t>
      </w:r>
      <w:r>
        <w:rPr>
          <w:rFonts w:ascii="Times New Roman" w:hAnsi="Times New Roman"/>
          <w:sz w:val="24"/>
          <w:szCs w:val="24"/>
          <w:shd w:val="clear" w:color="auto" w:fill="ffffff"/>
          <w:rtl w:val="0"/>
          <w:lang w:val="en-US"/>
        </w:rPr>
        <w:t xml:space="preserve"> </w:t>
      </w:r>
      <w:r>
        <w:rPr>
          <w:rFonts w:ascii="Times New Roman" w:hAnsi="Times New Roman"/>
          <w:sz w:val="24"/>
          <w:szCs w:val="24"/>
          <w:shd w:val="clear" w:color="auto" w:fill="ffffff"/>
          <w:rtl w:val="0"/>
          <w:lang w:val="en-US"/>
        </w:rPr>
        <w:t>and Gibala</w:t>
      </w:r>
      <w:r>
        <w:rPr>
          <w:rFonts w:ascii="Times New Roman" w:hAnsi="Times New Roman"/>
          <w:sz w:val="24"/>
          <w:szCs w:val="24"/>
          <w:shd w:val="clear" w:color="auto" w:fill="ffffff"/>
          <w:rtl w:val="0"/>
          <w:lang w:val="en-US"/>
        </w:rPr>
        <w:t>, 2016).</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Physical fitness tests of muscular strength can provide valuable information on a clients baseline physical fitness level. Muscular fitness test results can be compared to establish standards and can be useful in identifying any weaknesses in certain muscle groups or muscle imbalances that could be targeted in exercise training programs (ACSM, 2017). The inclusion of strength and power can be crucial for active daily function. These elements can also improve confidence, stability, muscle mass, promote psychological well-being and reduce the risk of injury, which, as stated is a priority for my client. Information obtained during baseline muscular fitness assessments can also serve as a basis for designing an exercise strength training program. A</w:t>
      </w:r>
      <w:r>
        <w:rPr>
          <w:rFonts w:ascii="Times New Roman" w:hAnsi="Times New Roman"/>
          <w:sz w:val="24"/>
          <w:szCs w:val="24"/>
          <w:shd w:val="clear" w:color="auto" w:fill="ffffff"/>
          <w:rtl w:val="0"/>
          <w:lang w:val="en-US"/>
        </w:rPr>
        <w:t xml:space="preserve"> warm up</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lang w:val="en-US"/>
        </w:rPr>
        <w:t xml:space="preserve"> consisting of 5</w:t>
      </w:r>
      <w:r>
        <w:rPr>
          <w:rFonts w:ascii="Times New Roman" w:hAnsi="Times New Roman"/>
          <w:sz w:val="24"/>
          <w:szCs w:val="24"/>
          <w:shd w:val="clear" w:color="auto" w:fill="ffffff"/>
          <w:rtl w:val="0"/>
          <w:lang w:val="en-US"/>
        </w:rPr>
        <w:t xml:space="preserve"> to </w:t>
      </w:r>
      <w:r>
        <w:rPr>
          <w:rFonts w:ascii="Times New Roman" w:hAnsi="Times New Roman"/>
          <w:sz w:val="24"/>
          <w:szCs w:val="24"/>
          <w:shd w:val="clear" w:color="auto" w:fill="ffffff"/>
          <w:rtl w:val="0"/>
          <w:lang w:val="en-US"/>
        </w:rPr>
        <w:t>10 minutes of light aerobic exercise, dynamic stretching snd several light intensity repetitions of the specific testing exercise</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lang w:val="en-US"/>
        </w:rPr>
        <w:t xml:space="preserve"> should precede muscular fitness assessments.</w:t>
      </w:r>
      <w:r>
        <w:rPr>
          <w:rFonts w:ascii="Times New Roman" w:hAnsi="Times New Roman"/>
          <w:sz w:val="24"/>
          <w:szCs w:val="24"/>
          <w:shd w:val="clear" w:color="auto" w:fill="ffffff"/>
          <w:rtl w:val="0"/>
          <w:lang w:val="en-US"/>
        </w:rPr>
        <w:t xml:space="preserve"> Furthermore, providing encouragement and regular feedback is normally extremely advantageous in helping to raise and maintain long-term exercise adherence.</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Measurements of resting Blood Pressure (BP) is an essential component of the pre exercise assessment and is a good indicator to understand the condition of an individual. Subsequent decisions should be based on the average of two or three properly measured, seated BP readings. The definition of BP is the force exerted by blood on the wall of the blood vessel (Sturgeon, 2018). BP readings are categorised as systolic pressure and diastolic pressure, where systolic BP implicates the pressure of the heart when contracted, at a high force. Diastolic blood pressure is defined by the amount of pressure exerted by blood upon the walls of the blood vessels when the heart is relaxed, this is usually at a low force </w:t>
      </w:r>
      <w:r>
        <w:rPr>
          <w:rFonts w:ascii="Times New Roman" w:hAnsi="Times New Roman"/>
          <w:sz w:val="24"/>
          <w:szCs w:val="24"/>
          <w:shd w:val="clear" w:color="auto" w:fill="ffffff"/>
          <w:rtl w:val="0"/>
        </w:rPr>
        <w:t>(Sturgeon, 2018)</w:t>
      </w:r>
      <w:r>
        <w:rPr>
          <w:rFonts w:ascii="Times New Roman" w:hAnsi="Times New Roman"/>
          <w:sz w:val="24"/>
          <w:szCs w:val="24"/>
          <w:shd w:val="clear" w:color="auto" w:fill="ffffff"/>
          <w:rtl w:val="0"/>
          <w:lang w:val="en-US"/>
        </w:rPr>
        <w:t>. Hypertension can be modified by a blood pressure reading of 130-139 systolic and 80-89 diastolic (table 1.8), which is a result of pre hypertension and associates with increased risk of cardiovascular disease (</w:t>
      </w:r>
      <w:r>
        <w:rPr>
          <w:rFonts w:ascii="Times New Roman" w:hAnsi="Times New Roman"/>
          <w:sz w:val="24"/>
          <w:szCs w:val="24"/>
          <w:shd w:val="clear" w:color="auto" w:fill="ffffff"/>
          <w:rtl w:val="0"/>
        </w:rPr>
        <w:t>Gulec</w:t>
      </w:r>
      <w:r>
        <w:rPr>
          <w:rFonts w:ascii="Times New Roman" w:hAnsi="Times New Roman"/>
          <w:sz w:val="24"/>
          <w:szCs w:val="24"/>
          <w:shd w:val="clear" w:color="auto" w:fill="ffffff"/>
          <w:rtl w:val="0"/>
          <w:lang w:val="en-US"/>
        </w:rPr>
        <w:t xml:space="preserve"> </w:t>
      </w:r>
      <w:r>
        <w:rPr>
          <w:rFonts w:ascii="Times New Roman" w:hAnsi="Times New Roman"/>
          <w:sz w:val="24"/>
          <w:szCs w:val="24"/>
          <w:shd w:val="clear" w:color="auto" w:fill="ffffff"/>
          <w:rtl w:val="0"/>
          <w:lang w:val="de-DE"/>
        </w:rPr>
        <w:t>and Erol,</w:t>
      </w:r>
      <w:r>
        <w:rPr>
          <w:rFonts w:ascii="Times New Roman" w:hAnsi="Times New Roman"/>
          <w:sz w:val="24"/>
          <w:szCs w:val="24"/>
          <w:shd w:val="clear" w:color="auto" w:fill="ffffff"/>
          <w:rtl w:val="0"/>
          <w:lang w:val="en-US"/>
        </w:rPr>
        <w:t xml:space="preserve"> </w:t>
      </w:r>
      <w:r>
        <w:rPr>
          <w:rFonts w:ascii="Times New Roman" w:hAnsi="Times New Roman"/>
          <w:sz w:val="24"/>
          <w:szCs w:val="24"/>
          <w:shd w:val="clear" w:color="auto" w:fill="ffffff"/>
          <w:rtl w:val="0"/>
        </w:rPr>
        <w:t>2019)</w:t>
      </w:r>
      <w:r>
        <w:rPr>
          <w:rFonts w:ascii="Times New Roman" w:hAnsi="Times New Roman"/>
          <w:sz w:val="24"/>
          <w:szCs w:val="24"/>
          <w:shd w:val="clear" w:color="auto" w:fill="ffffff"/>
          <w:rtl w:val="0"/>
          <w:lang w:val="en-US"/>
        </w:rPr>
        <w:t xml:space="preserve">. This indicates that you require health promoting lifestyle modifications for instance </w:t>
      </w:r>
      <w:r>
        <w:rPr>
          <w:rFonts w:ascii="Times New Roman" w:hAnsi="Times New Roman"/>
          <w:sz w:val="24"/>
          <w:szCs w:val="24"/>
          <w:shd w:val="clear" w:color="auto" w:fill="ffffff"/>
          <w:rtl w:val="0"/>
          <w:lang w:val="en-US"/>
        </w:rPr>
        <w:t>physical activity, weight reduction and dietary approaches</w:t>
      </w:r>
      <w:r>
        <w:rPr>
          <w:rFonts w:ascii="Times New Roman" w:hAnsi="Times New Roman"/>
          <w:sz w:val="24"/>
          <w:szCs w:val="24"/>
          <w:shd w:val="clear" w:color="auto" w:fill="ffffff"/>
          <w:rtl w:val="0"/>
          <w:lang w:val="en-US"/>
        </w:rPr>
        <w:t xml:space="preserve"> to prevent the development of hypertension. Dietary recommendations include fruit, vegetables, low-fat dairy products with reduced content of saturated fat and no more than 2g of sodium a day (</w:t>
      </w:r>
      <w:r>
        <w:rPr>
          <w:rFonts w:ascii="Times New Roman" w:hAnsi="Times New Roman"/>
          <w:sz w:val="24"/>
          <w:szCs w:val="24"/>
          <w:shd w:val="clear" w:color="auto" w:fill="ffffff"/>
          <w:rtl w:val="0"/>
          <w:lang w:val="de-DE"/>
        </w:rPr>
        <w:t>Patel</w:t>
      </w:r>
      <w:r>
        <w:rPr>
          <w:rFonts w:ascii="Times New Roman" w:hAnsi="Times New Roman"/>
          <w:i w:val="1"/>
          <w:iCs w:val="1"/>
          <w:sz w:val="24"/>
          <w:szCs w:val="24"/>
          <w:shd w:val="clear" w:color="auto" w:fill="ffffff"/>
          <w:rtl w:val="0"/>
          <w:lang w:val="en-US"/>
        </w:rPr>
        <w:t xml:space="preserve"> et al</w:t>
      </w:r>
      <w:r>
        <w:rPr>
          <w:rFonts w:ascii="Times New Roman" w:hAnsi="Times New Roman"/>
          <w:sz w:val="24"/>
          <w:szCs w:val="24"/>
          <w:shd w:val="clear" w:color="auto" w:fill="ffffff"/>
          <w:rtl w:val="0"/>
          <w:lang w:val="en-US"/>
        </w:rPr>
        <w:t>., 2020).</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Flexibility is identified as the ability to move a joint through complete range of motion (ROM). It is significant in physical performance resulting in enhancing my clients footballing attributes. Studies suggest it is an important modality to include </w:t>
      </w:r>
      <w:r>
        <w:rPr>
          <w:rFonts w:ascii="Times New Roman" w:hAnsi="Times New Roman"/>
          <w:sz w:val="24"/>
          <w:szCs w:val="24"/>
          <w:shd w:val="clear" w:color="auto" w:fill="ffffff"/>
          <w:rtl w:val="0"/>
          <w:lang w:val="en-US"/>
        </w:rPr>
        <w:t>additional</w:t>
      </w:r>
      <w:r>
        <w:rPr>
          <w:rFonts w:ascii="Times New Roman" w:hAnsi="Times New Roman"/>
          <w:i w:val="1"/>
          <w:iCs w:val="1"/>
          <w:sz w:val="24"/>
          <w:szCs w:val="24"/>
          <w:shd w:val="clear" w:color="auto" w:fill="ffffff"/>
          <w:rtl w:val="0"/>
        </w:rPr>
        <w:t xml:space="preserve"> </w:t>
      </w:r>
      <w:r>
        <w:rPr>
          <w:rFonts w:ascii="Times New Roman" w:hAnsi="Times New Roman"/>
          <w:sz w:val="24"/>
          <w:szCs w:val="24"/>
          <w:shd w:val="clear" w:color="auto" w:fill="ffffff"/>
          <w:rtl w:val="0"/>
          <w:lang w:val="it-IT"/>
        </w:rPr>
        <w:t>post</w:t>
      </w:r>
      <w:r>
        <w:rPr>
          <w:rFonts w:ascii="Times New Roman" w:hAnsi="Times New Roman"/>
          <w:sz w:val="24"/>
          <w:szCs w:val="24"/>
          <w:shd w:val="clear" w:color="auto" w:fill="ffffff"/>
          <w:rtl w:val="0"/>
          <w:lang w:val="en-US"/>
        </w:rPr>
        <w:t xml:space="preserve"> s</w:t>
      </w:r>
      <w:r>
        <w:rPr>
          <w:rFonts w:ascii="Times New Roman" w:hAnsi="Times New Roman"/>
          <w:sz w:val="24"/>
          <w:szCs w:val="24"/>
          <w:shd w:val="clear" w:color="auto" w:fill="ffffff"/>
          <w:rtl w:val="0"/>
          <w:lang w:val="en-US"/>
        </w:rPr>
        <w:t xml:space="preserve">tretching dynamic activity </w:t>
      </w:r>
      <w:r>
        <w:rPr>
          <w:rFonts w:ascii="Times New Roman" w:hAnsi="Times New Roman"/>
          <w:sz w:val="24"/>
          <w:szCs w:val="24"/>
          <w:shd w:val="clear" w:color="auto" w:fill="ffffff"/>
          <w:rtl w:val="0"/>
          <w:lang w:val="en-US"/>
        </w:rPr>
        <w:t>to</w:t>
      </w:r>
      <w:r>
        <w:rPr>
          <w:rFonts w:ascii="Times New Roman" w:hAnsi="Times New Roman"/>
          <w:sz w:val="24"/>
          <w:szCs w:val="24"/>
          <w:shd w:val="clear" w:color="auto" w:fill="ffffff"/>
          <w:rtl w:val="0"/>
        </w:rPr>
        <w:t xml:space="preserve"> reduc</w:t>
      </w:r>
      <w:r>
        <w:rPr>
          <w:rFonts w:ascii="Times New Roman" w:hAnsi="Times New Roman"/>
          <w:sz w:val="24"/>
          <w:szCs w:val="24"/>
          <w:shd w:val="clear" w:color="auto" w:fill="ffffff"/>
          <w:rtl w:val="0"/>
          <w:lang w:val="en-US"/>
        </w:rPr>
        <w:t>e</w:t>
      </w:r>
      <w:r>
        <w:rPr>
          <w:rFonts w:ascii="Times New Roman" w:hAnsi="Times New Roman"/>
          <w:sz w:val="24"/>
          <w:szCs w:val="24"/>
          <w:shd w:val="clear" w:color="auto" w:fill="ffffff"/>
          <w:rtl w:val="0"/>
          <w:lang w:val="en-US"/>
        </w:rPr>
        <w:t xml:space="preserve"> muscle injuries and </w:t>
      </w:r>
      <w:r>
        <w:rPr>
          <w:rFonts w:ascii="Times New Roman" w:hAnsi="Times New Roman"/>
          <w:sz w:val="24"/>
          <w:szCs w:val="24"/>
          <w:shd w:val="clear" w:color="auto" w:fill="ffffff"/>
          <w:rtl w:val="0"/>
          <w:lang w:val="en-US"/>
        </w:rPr>
        <w:t>improve</w:t>
      </w:r>
      <w:r>
        <w:rPr>
          <w:rFonts w:ascii="Times New Roman" w:hAnsi="Times New Roman"/>
          <w:sz w:val="24"/>
          <w:szCs w:val="24"/>
          <w:shd w:val="clear" w:color="auto" w:fill="ffffff"/>
          <w:rtl w:val="0"/>
          <w:lang w:val="en-US"/>
        </w:rPr>
        <w:t xml:space="preserve"> joint ROM </w:t>
      </w:r>
      <w:r>
        <w:rPr>
          <w:rFonts w:ascii="Times New Roman" w:hAnsi="Times New Roman"/>
          <w:sz w:val="24"/>
          <w:szCs w:val="24"/>
          <w:shd w:val="clear" w:color="auto" w:fill="ffffff"/>
          <w:rtl w:val="0"/>
          <w:lang w:val="en-US"/>
        </w:rPr>
        <w:t xml:space="preserve">(Behm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2016). However when activity moves the structures of a joint beyond its full ROM, tissue damage can occur. The sit and reach test is a popular and simple test used to assess lower back, hip and hamstring flexibility. With this in mind I can potentially include some specific exercises to improve all round speed, power and flexibility in the hamstring, gluteus and quadriceps muscle groups. Superior to any other modalities the nordic hamstring curl is an excellent exercise to reduce the risk of injury (</w:t>
      </w:r>
      <w:r>
        <w:rPr>
          <w:rFonts w:ascii="Times New Roman" w:hAnsi="Times New Roman"/>
          <w:sz w:val="24"/>
          <w:szCs w:val="24"/>
          <w:shd w:val="clear" w:color="auto" w:fill="ffffff"/>
          <w:rtl w:val="0"/>
          <w:lang w:val="it-IT"/>
        </w:rPr>
        <w:t>Al Attar</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2017). This exercise concentrates on the eccentric phase of the exercise which is vital in improving force and increasing speed (</w:t>
      </w:r>
      <w:r>
        <w:rPr>
          <w:rFonts w:ascii="Times New Roman" w:hAnsi="Times New Roman"/>
          <w:sz w:val="24"/>
          <w:szCs w:val="24"/>
          <w:shd w:val="clear" w:color="auto" w:fill="ffffff"/>
          <w:rtl w:val="0"/>
          <w:lang w:val="it-IT"/>
        </w:rPr>
        <w:t>Macdonald</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2019). </w:t>
      </w:r>
    </w:p>
    <w:p>
      <w:pPr>
        <w:pStyle w:val="Body"/>
        <w:spacing w:line="360" w:lineRule="auto"/>
        <w:rPr>
          <w:rFonts w:ascii="Times New Roman" w:cs="Times New Roman" w:hAnsi="Times New Roman" w:eastAsia="Times New Roman"/>
          <w:sz w:val="28"/>
          <w:szCs w:val="28"/>
          <w:u w:val="single"/>
        </w:rPr>
      </w:pPr>
    </w:p>
    <w:p>
      <w:pPr>
        <w:pStyle w:val="Body"/>
        <w:spacing w:line="360" w:lineRule="auto"/>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 xml:space="preserve">Review of each assessment </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After conducting each test, and gathering the required data I came to the following conclusions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Repeat sprint ability (RSA)</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These results indicate that my client needs to work on increasing speed throughout the intervals as the last two split times are rated poor compared to norms, this can be done by targeting to beat previous time each set. R</w:t>
      </w:r>
      <w:r>
        <w:rPr>
          <w:rFonts w:ascii="Times New Roman" w:hAnsi="Times New Roman"/>
          <w:sz w:val="24"/>
          <w:szCs w:val="24"/>
          <w:rtl w:val="0"/>
          <w:lang w:val="en-US"/>
        </w:rPr>
        <w:t>esults must be interpreted with caution</w:t>
      </w:r>
      <w:r>
        <w:rPr>
          <w:rFonts w:ascii="Times New Roman" w:hAnsi="Times New Roman"/>
          <w:sz w:val="24"/>
          <w:szCs w:val="24"/>
          <w:rtl w:val="0"/>
          <w:lang w:val="en-US"/>
        </w:rPr>
        <w:t xml:space="preserve"> as my clients age is beyond the age category in the norms,</w:t>
      </w:r>
      <w:r>
        <w:rPr>
          <w:rFonts w:ascii="Times New Roman" w:hAnsi="Times New Roman"/>
          <w:sz w:val="24"/>
          <w:szCs w:val="24"/>
          <w:rtl w:val="0"/>
        </w:rPr>
        <w:t xml:space="preserve"> </w:t>
      </w:r>
      <w:r>
        <w:rPr>
          <w:rFonts w:ascii="Times New Roman" w:hAnsi="Times New Roman"/>
          <w:sz w:val="24"/>
          <w:szCs w:val="24"/>
          <w:rtl w:val="0"/>
          <w:lang w:val="en-US"/>
        </w:rPr>
        <w:t>h</w:t>
      </w:r>
      <w:r>
        <w:rPr>
          <w:rFonts w:ascii="Times New Roman" w:hAnsi="Times New Roman"/>
          <w:sz w:val="24"/>
          <w:szCs w:val="24"/>
          <w:rtl w:val="0"/>
          <w:lang w:val="en-US"/>
        </w:rPr>
        <w:t>owever</w:t>
      </w:r>
      <w:r>
        <w:rPr>
          <w:rFonts w:ascii="Times New Roman" w:hAnsi="Times New Roman"/>
          <w:sz w:val="24"/>
          <w:szCs w:val="24"/>
          <w:rtl w:val="0"/>
          <w:lang w:val="en-US"/>
        </w:rPr>
        <w:t xml:space="preserve"> compared to current finding my client has matched sprint scores. </w:t>
      </w:r>
      <w:r>
        <w:rPr>
          <w:rFonts w:ascii="Times New Roman" w:hAnsi="Times New Roman"/>
          <w:sz w:val="24"/>
          <w:szCs w:val="24"/>
          <w:rtl w:val="0"/>
          <w:lang w:val="en-US"/>
        </w:rPr>
        <w:t xml:space="preserve">In order to sustain maximal performance during each subsequent exercise interval, the recovery periods are required to be sufficiently long, for the muscles to restore to their pre-exercise status, whereas the work duration should be relatively short for optimally challenging the glycolytic energy system (Hazell et al., 2010). </w:t>
      </w:r>
      <w:r>
        <w:rPr>
          <w:rFonts w:ascii="Times New Roman" w:hAnsi="Times New Roman" w:hint="default"/>
          <w:sz w:val="24"/>
          <w:szCs w:val="24"/>
          <w:rtl w:val="0"/>
          <w:lang w:val="en-US"/>
        </w:rPr>
        <w:t>“</w:t>
      </w:r>
      <w:r>
        <w:rPr>
          <w:rFonts w:ascii="Times New Roman" w:hAnsi="Times New Roman"/>
          <w:sz w:val="24"/>
          <w:szCs w:val="24"/>
          <w:rtl w:val="0"/>
          <w:lang w:val="en-US"/>
        </w:rPr>
        <w:t>In sprinting, bicep femoris is subject to the largest strain, semitendinosus the greatest lengthening velocities, whereas semimembranosus acts predominantly as a force producer</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sz w:val="24"/>
          <w:szCs w:val="24"/>
          <w:rtl w:val="0"/>
          <w:lang w:val="nl-NL"/>
        </w:rPr>
        <w:t>Timmins</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et al</w:t>
      </w:r>
      <w:r>
        <w:rPr>
          <w:rFonts w:ascii="Times New Roman" w:hAnsi="Times New Roman"/>
          <w:sz w:val="24"/>
          <w:szCs w:val="24"/>
          <w:rtl w:val="0"/>
          <w:lang w:val="en-US"/>
        </w:rPr>
        <w:t>., 2016: 2). Furthermore, eccentric muscle function and power in the hamstrings is key throughout running for producing maximum velocity during sprinting (</w:t>
      </w:r>
      <w:r>
        <w:rPr>
          <w:rFonts w:ascii="Times New Roman" w:hAnsi="Times New Roman"/>
          <w:sz w:val="24"/>
          <w:szCs w:val="24"/>
          <w:rtl w:val="0"/>
          <w:lang w:val="it-IT"/>
        </w:rPr>
        <w:t>Macdonald</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et al</w:t>
      </w:r>
      <w:r>
        <w:rPr>
          <w:rFonts w:ascii="Times New Roman" w:hAnsi="Times New Roman"/>
          <w:sz w:val="24"/>
          <w:szCs w:val="24"/>
          <w:rtl w:val="0"/>
          <w:lang w:val="en-US"/>
        </w:rPr>
        <w:t>, 2019), associated</w:t>
      </w:r>
      <w:r>
        <w:rPr>
          <w:rFonts w:ascii="Times New Roman" w:hAnsi="Times New Roman"/>
          <w:sz w:val="24"/>
          <w:szCs w:val="24"/>
          <w:rtl w:val="0"/>
          <w:lang w:val="en-US"/>
        </w:rPr>
        <w:t xml:space="preserve"> to my clients goals. </w:t>
      </w:r>
      <w:r>
        <w:rPr>
          <w:rFonts w:ascii="Times New Roman" w:hAnsi="Times New Roman"/>
          <w:sz w:val="24"/>
          <w:szCs w:val="24"/>
          <w:rtl w:val="0"/>
          <w:lang w:val="en-US"/>
        </w:rPr>
        <w:t xml:space="preserve">I have recommended it is important to consider the extent to which the measure of high intensity exercise performed is relevant to their specific sport and how it will influence their sporting performance. High intensity, when compared with moderate intensity exercise promote greater increases in VO2 max (Matsuo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2014), blood pressure (Molmen-Hansen </w:t>
      </w:r>
      <w:r>
        <w:rPr>
          <w:rFonts w:ascii="Times New Roman" w:hAnsi="Times New Roman"/>
          <w:i w:val="1"/>
          <w:iCs w:val="1"/>
          <w:sz w:val="24"/>
          <w:szCs w:val="24"/>
          <w:rtl w:val="0"/>
          <w:lang w:val="en-US"/>
        </w:rPr>
        <w:t>et al</w:t>
      </w:r>
      <w:r>
        <w:rPr>
          <w:rFonts w:ascii="Times New Roman" w:hAnsi="Times New Roman"/>
          <w:sz w:val="24"/>
          <w:szCs w:val="24"/>
          <w:rtl w:val="0"/>
          <w:lang w:val="en-US"/>
        </w:rPr>
        <w:t>., 2012) and similar or higher levels of enjoyment (</w:t>
      </w:r>
      <w:r>
        <w:rPr>
          <w:rFonts w:ascii="Times New Roman" w:hAnsi="Times New Roman"/>
          <w:sz w:val="24"/>
          <w:szCs w:val="24"/>
          <w:rtl w:val="0"/>
        </w:rPr>
        <w:t>Kilpatrick</w:t>
      </w:r>
      <w:r>
        <w:rPr>
          <w:rFonts w:ascii="Times New Roman" w:hAnsi="Times New Roman"/>
          <w:sz w:val="24"/>
          <w:szCs w:val="24"/>
          <w:rtl w:val="0"/>
          <w:lang w:val="en-US"/>
        </w:rPr>
        <w:t>,</w:t>
      </w:r>
      <w:r>
        <w:rPr>
          <w:rFonts w:ascii="Times New Roman" w:hAnsi="Times New Roman"/>
          <w:i w:val="1"/>
          <w:iCs w:val="1"/>
          <w:sz w:val="24"/>
          <w:szCs w:val="24"/>
          <w:rtl w:val="0"/>
          <w:lang w:val="en-US"/>
        </w:rPr>
        <w:t xml:space="preserve"> et al</w:t>
      </w:r>
      <w:r>
        <w:rPr>
          <w:rFonts w:ascii="Times New Roman" w:hAnsi="Times New Roman"/>
          <w:sz w:val="24"/>
          <w:szCs w:val="24"/>
          <w:rtl w:val="0"/>
          <w:lang w:val="en-US"/>
        </w:rPr>
        <w:t>., 2015).</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w:t>
      </w:r>
      <w:r>
        <w:rPr>
          <w:rFonts w:ascii="Times New Roman" w:hAnsi="Times New Roman"/>
          <w:sz w:val="28"/>
          <w:szCs w:val="28"/>
          <w:u w:val="single"/>
          <w:rtl w:val="0"/>
          <w:lang w:val="en-US"/>
        </w:rPr>
        <w:t xml:space="preserve">Sit and reach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My conclusion from this assessment is that my client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 score is acceptable, but there is room for improvement. As one of my client</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s goals was to reduce injuries, I recommended that if flexibility is improved then risk of injury will decrease. If there is reduced range of motion (ROM) at joints in relation to normal range, the individual is considered to have reduced flexibility at the specific joint, in addition, the main cause of this is often muscular tendinous tightness (Palmer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2015). By improving flexibility I encouraged undertaking frequent stretching throughout the day. Stretching has long been used in many physical activities to increase ROM around a joint (Opplert and Babault, 2018). Dynamic stretching would be a better outcome for my client considering the amount of workload he currently undertakes, as it is a good method of stretching to reduce the risk of muscle soreness (</w:t>
      </w:r>
      <w:r>
        <w:rPr>
          <w:rFonts w:ascii="Times New Roman" w:hAnsi="Times New Roman"/>
          <w:sz w:val="24"/>
          <w:szCs w:val="24"/>
          <w:shd w:val="clear" w:color="auto" w:fill="ffffff"/>
          <w:rtl w:val="0"/>
          <w:lang w:val="de-DE"/>
        </w:rPr>
        <w:t>Henschke</w:t>
      </w:r>
      <w:r>
        <w:rPr>
          <w:rFonts w:ascii="Times New Roman" w:hAnsi="Times New Roman"/>
          <w:sz w:val="24"/>
          <w:szCs w:val="24"/>
          <w:shd w:val="clear" w:color="auto" w:fill="ffffff"/>
          <w:rtl w:val="0"/>
          <w:lang w:val="en-US"/>
        </w:rPr>
        <w:t xml:space="preserve"> </w:t>
      </w:r>
      <w:r>
        <w:rPr>
          <w:rFonts w:ascii="Times New Roman" w:hAnsi="Times New Roman"/>
          <w:sz w:val="24"/>
          <w:szCs w:val="24"/>
          <w:shd w:val="clear" w:color="auto" w:fill="ffffff"/>
          <w:rtl w:val="0"/>
          <w:lang w:val="en-US"/>
        </w:rPr>
        <w:t>and Lin</w:t>
      </w:r>
      <w:r>
        <w:rPr>
          <w:rFonts w:ascii="Times New Roman" w:hAnsi="Times New Roman"/>
          <w:sz w:val="24"/>
          <w:szCs w:val="24"/>
          <w:shd w:val="clear" w:color="auto" w:fill="ffffff"/>
          <w:rtl w:val="0"/>
          <w:lang w:val="en-US"/>
        </w:rPr>
        <w:t xml:space="preserve">, 2011). I informed my client he could be at risk of injury considering his whereabouts in comparison to normative data, and recommendation of increasing interval training and the addition of extra strength training. Encouraging him to improve ROM by performing a variety of dynamic stretching, predominantly on hamstrings and quadriceps muscle groups. By carrying out these tasks my client will see improvements in health, wellbeing and sporting performance (Silva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2018).</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r>
        <w:rPr>
          <w:rFonts w:ascii="Times New Roman" w:hAnsi="Times New Roman"/>
          <w:sz w:val="28"/>
          <w:szCs w:val="28"/>
          <w:u w:val="single"/>
          <w:shd w:val="clear" w:color="auto" w:fill="ffffff"/>
          <w:rtl w:val="0"/>
          <w:lang w:val="en-US"/>
        </w:rPr>
        <w:t>Vertical jump</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I discovered that</w:t>
      </w:r>
      <w:r>
        <w:rPr>
          <w:rFonts w:ascii="Times New Roman" w:hAnsi="Times New Roman"/>
          <w:sz w:val="24"/>
          <w:szCs w:val="24"/>
          <w:shd w:val="clear" w:color="auto" w:fill="ffffff"/>
          <w:rtl w:val="0"/>
          <w:lang w:val="en-US"/>
        </w:rPr>
        <w:t xml:space="preserve"> explosive power makes a significant contribution to </w:t>
      </w:r>
      <w:r>
        <w:rPr>
          <w:rFonts w:ascii="Times New Roman" w:hAnsi="Times New Roman"/>
          <w:sz w:val="24"/>
          <w:szCs w:val="24"/>
          <w:shd w:val="clear" w:color="auto" w:fill="ffffff"/>
          <w:rtl w:val="0"/>
          <w:lang w:val="en-US"/>
        </w:rPr>
        <w:t>performance</w:t>
      </w:r>
      <w:r>
        <w:rPr>
          <w:rFonts w:ascii="Times New Roman" w:hAnsi="Times New Roman"/>
          <w:sz w:val="24"/>
          <w:szCs w:val="24"/>
          <w:shd w:val="clear" w:color="auto" w:fill="ffffff"/>
          <w:rtl w:val="0"/>
        </w:rPr>
        <w:t xml:space="preserve">, </w:t>
      </w:r>
      <w:r>
        <w:rPr>
          <w:rFonts w:ascii="Times New Roman" w:hAnsi="Times New Roman"/>
          <w:sz w:val="24"/>
          <w:szCs w:val="24"/>
          <w:shd w:val="clear" w:color="auto" w:fill="ffffff"/>
          <w:rtl w:val="0"/>
          <w:lang w:val="en-US"/>
        </w:rPr>
        <w:t>consequently o</w:t>
      </w:r>
      <w:r>
        <w:rPr>
          <w:rFonts w:ascii="Times New Roman" w:hAnsi="Times New Roman"/>
          <w:sz w:val="24"/>
          <w:szCs w:val="24"/>
          <w:shd w:val="clear" w:color="auto" w:fill="ffffff"/>
          <w:rtl w:val="0"/>
          <w:lang w:val="en-US"/>
        </w:rPr>
        <w:t xml:space="preserve">lder, more powerful and less flexible </w:t>
      </w:r>
      <w:r>
        <w:rPr>
          <w:rFonts w:ascii="Times New Roman" w:hAnsi="Times New Roman"/>
          <w:sz w:val="24"/>
          <w:szCs w:val="24"/>
          <w:shd w:val="clear" w:color="auto" w:fill="ffffff"/>
          <w:rtl w:val="0"/>
          <w:lang w:val="en-US"/>
        </w:rPr>
        <w:t>football</w:t>
      </w:r>
      <w:r>
        <w:rPr>
          <w:rFonts w:ascii="Times New Roman" w:hAnsi="Times New Roman"/>
          <w:sz w:val="24"/>
          <w:szCs w:val="24"/>
          <w:shd w:val="clear" w:color="auto" w:fill="ffffff"/>
          <w:rtl w:val="0"/>
          <w:lang w:val="en-US"/>
        </w:rPr>
        <w:t xml:space="preserve"> players are at greater risk of sustaining hamstring </w:t>
      </w:r>
      <w:r>
        <w:rPr>
          <w:rFonts w:ascii="Times New Roman" w:hAnsi="Times New Roman"/>
          <w:sz w:val="24"/>
          <w:szCs w:val="24"/>
          <w:shd w:val="clear" w:color="auto" w:fill="ffffff"/>
          <w:rtl w:val="0"/>
          <w:lang w:val="en-US"/>
        </w:rPr>
        <w:t>injuries (</w:t>
      </w:r>
      <w:r>
        <w:rPr>
          <w:rFonts w:ascii="Times New Roman" w:hAnsi="Times New Roman"/>
          <w:sz w:val="24"/>
          <w:szCs w:val="24"/>
          <w:shd w:val="clear" w:color="auto" w:fill="ffffff"/>
          <w:rtl w:val="0"/>
          <w:lang w:val="da-DK"/>
        </w:rPr>
        <w:t>Henderson</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2010). On a practical level these results present a predicament in that explosive power is a necessary condition for successful performance in football, yet increases in power would also appear to increase tendency for hamstring injuries. I have recommended to my client in his strength training to prioritise working the hamstring muscle groups, to minimise risk of injury by strengthening these muscle groups. His score compared to norms tell us that lower limb power is poor therefore will need to raise efforts in order to see greater results. As mentioned eccentric nordic curls included in the strength program will boost leg power.</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r>
        <w:rPr>
          <w:rFonts w:ascii="Times New Roman" w:hAnsi="Times New Roman"/>
          <w:sz w:val="28"/>
          <w:szCs w:val="28"/>
          <w:u w:val="single"/>
          <w:shd w:val="clear" w:color="auto" w:fill="ffffff"/>
          <w:rtl w:val="0"/>
          <w:lang w:val="en-US"/>
        </w:rPr>
        <w:t>Overall evaluation</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r>
        <w:rPr>
          <w:rFonts w:ascii="Times New Roman" w:hAnsi="Times New Roman"/>
          <w:sz w:val="24"/>
          <w:szCs w:val="24"/>
          <w:u w:val="none"/>
          <w:shd w:val="clear" w:color="auto" w:fill="ffffff"/>
          <w:rtl w:val="0"/>
          <w:lang w:val="en-US"/>
        </w:rPr>
        <w:t xml:space="preserve">My overall evaluation of my client is that his assessment results are admirable. My client is a very active individual and his aim is to lower risk of injury, improvement of flexibility will need to be utilised as studies have shown that increased flexibility reduces the risk of injury. Whilst taking this into consideration he will see improvement with an additional interval training program and some strength training on the recommended muscle groups. </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Body"/>
        <w:spacing w:line="360" w:lineRule="auto"/>
        <w:rPr>
          <w:rFonts w:ascii="Times New Roman" w:cs="Times New Roman" w:hAnsi="Times New Roman" w:eastAsia="Times New Roman"/>
          <w:sz w:val="24"/>
          <w:szCs w:val="24"/>
        </w:rPr>
      </w:pPr>
      <w:r>
        <w:rPr>
          <w:rFonts w:ascii="Times New Roman" w:hAnsi="Times New Roman"/>
          <w:sz w:val="28"/>
          <w:szCs w:val="28"/>
          <w:u w:val="single"/>
          <w:rtl w:val="0"/>
          <w:lang w:val="en-US"/>
        </w:rPr>
        <w:t>Recommendations</w:t>
      </w:r>
      <w:r>
        <w:rPr>
          <w:rFonts w:ascii="Times New Roman" w:hAnsi="Times New Roman"/>
          <w:sz w:val="24"/>
          <w:szCs w:val="24"/>
          <w:rtl w:val="0"/>
          <w:lang w:val="en-US"/>
        </w:rPr>
        <w:t xml:space="preserve"> </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As mentioned previously, as my client wishes to reduce the risk of injury whilst improving speed and increasing lower limb strength my recommendations would be to perform a combination of interval training and sprint intervals for the improvement of the anaerobic system. I would recommend adding an extra interval session to work on the anaerobic system, this can be 8-10 minutes of near maximum efforts. As anaerobic training produces specific stress to different systems of the body, my client will need to include sufficient recovery between each workout, resulting in improved effort over time (Iaia et al., 2015). I would also suggest prioritising strength training during their gym sessions, predominantly including the nordic hamstring curls </w:t>
      </w:r>
      <w:r>
        <w:rPr>
          <w:rFonts w:ascii="Times New Roman" w:hAnsi="Times New Roman"/>
          <w:sz w:val="24"/>
          <w:szCs w:val="24"/>
          <w:rtl w:val="0"/>
          <w:lang w:val="en-US"/>
        </w:rPr>
        <w:t xml:space="preserve">utilised </w:t>
      </w:r>
      <w:r>
        <w:rPr>
          <w:rFonts w:ascii="Times New Roman" w:hAnsi="Times New Roman"/>
          <w:sz w:val="24"/>
          <w:szCs w:val="24"/>
          <w:rtl w:val="0"/>
          <w:lang w:val="en-US"/>
        </w:rPr>
        <w:t xml:space="preserve">for two sets of </w:t>
      </w:r>
      <w:r>
        <w:rPr>
          <w:rFonts w:ascii="Times New Roman" w:hAnsi="Times New Roman"/>
          <w:sz w:val="24"/>
          <w:szCs w:val="24"/>
          <w:rtl w:val="0"/>
          <w:lang w:val="en-US"/>
        </w:rPr>
        <w:t>four repetitions once a week</w:t>
      </w:r>
      <w:r>
        <w:rPr>
          <w:rFonts w:ascii="Times New Roman" w:hAnsi="Times New Roman"/>
          <w:sz w:val="24"/>
          <w:szCs w:val="24"/>
          <w:rtl w:val="0"/>
          <w:lang w:val="en-US"/>
        </w:rPr>
        <w:t xml:space="preserve"> (</w:t>
      </w:r>
      <w:r>
        <w:rPr>
          <w:rFonts w:ascii="Times New Roman" w:hAnsi="Times New Roman"/>
          <w:sz w:val="24"/>
          <w:szCs w:val="24"/>
          <w:rtl w:val="0"/>
          <w:lang w:val="nl-NL"/>
        </w:rPr>
        <w:t>Timmins</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et al.</w:t>
      </w:r>
      <w:r>
        <w:rPr>
          <w:rFonts w:ascii="Times New Roman" w:hAnsi="Times New Roman"/>
          <w:sz w:val="24"/>
          <w:szCs w:val="24"/>
          <w:rtl w:val="0"/>
          <w:lang w:val="en-US"/>
        </w:rPr>
        <w:t>, 2016)(</w:t>
      </w:r>
      <w:r>
        <w:rPr>
          <w:rFonts w:ascii="Times New Roman" w:hAnsi="Times New Roman"/>
          <w:sz w:val="24"/>
          <w:szCs w:val="24"/>
          <w:rtl w:val="0"/>
          <w:lang w:val="fr-FR"/>
        </w:rPr>
        <w:t>Bourne</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et al</w:t>
      </w:r>
      <w:r>
        <w:rPr>
          <w:rFonts w:ascii="Times New Roman" w:hAnsi="Times New Roman"/>
          <w:sz w:val="24"/>
          <w:szCs w:val="24"/>
          <w:rtl w:val="0"/>
          <w:lang w:val="en-US"/>
        </w:rPr>
        <w:t>., 2018)</w:t>
      </w:r>
      <w:r>
        <w:rPr>
          <w:rFonts w:ascii="Times New Roman" w:hAnsi="Times New Roman"/>
          <w:sz w:val="24"/>
          <w:szCs w:val="24"/>
          <w:rtl w:val="0"/>
          <w:lang w:val="fr-FR"/>
        </w:rPr>
        <w:t xml:space="preserve">(Bourne </w:t>
      </w:r>
      <w:r>
        <w:rPr>
          <w:rFonts w:ascii="Times New Roman" w:hAnsi="Times New Roman"/>
          <w:i w:val="1"/>
          <w:iCs w:val="1"/>
          <w:sz w:val="24"/>
          <w:szCs w:val="24"/>
          <w:rtl w:val="0"/>
          <w:lang w:val="nl-NL"/>
        </w:rPr>
        <w:t>et al</w:t>
      </w:r>
      <w:r>
        <w:rPr>
          <w:rFonts w:ascii="Times New Roman" w:hAnsi="Times New Roman"/>
          <w:sz w:val="24"/>
          <w:szCs w:val="24"/>
          <w:rtl w:val="0"/>
        </w:rPr>
        <w:t>., 2019)</w:t>
      </w:r>
      <w:r>
        <w:rPr>
          <w:rFonts w:ascii="Times New Roman" w:hAnsi="Times New Roman"/>
          <w:sz w:val="24"/>
          <w:szCs w:val="24"/>
          <w:rtl w:val="0"/>
          <w:lang w:val="en-US"/>
        </w:rPr>
        <w:t>.</w:t>
      </w:r>
      <w:r>
        <w:rPr>
          <w:rFonts w:ascii="Times New Roman" w:hAnsi="Times New Roman"/>
          <w:sz w:val="24"/>
          <w:szCs w:val="24"/>
          <w:rtl w:val="0"/>
          <w:lang w:val="en-US"/>
        </w:rPr>
        <w:t xml:space="preserve"> The ability to produce high eccentric force lowers the relative risk imposed by increasing age and previous injury histor</w:t>
      </w:r>
      <w:r>
        <w:rPr>
          <w:rFonts w:ascii="Times New Roman" w:hAnsi="Times New Roman"/>
          <w:sz w:val="24"/>
          <w:szCs w:val="24"/>
          <w:rtl w:val="0"/>
          <w:lang w:val="en-US"/>
        </w:rPr>
        <w:t>y (Bourne et al., 2015), resulting in</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achieving my client</w:t>
      </w:r>
      <w:r>
        <w:rPr>
          <w:rFonts w:ascii="Times New Roman" w:hAnsi="Times New Roman" w:hint="default"/>
          <w:sz w:val="24"/>
          <w:szCs w:val="24"/>
          <w:rtl w:val="0"/>
          <w:lang w:val="en-US"/>
        </w:rPr>
        <w:t>’</w:t>
      </w:r>
      <w:r>
        <w:rPr>
          <w:rFonts w:ascii="Times New Roman" w:hAnsi="Times New Roman"/>
          <w:sz w:val="24"/>
          <w:szCs w:val="24"/>
          <w:rtl w:val="0"/>
          <w:lang w:val="en-US"/>
        </w:rPr>
        <w:t>s initial goals. If all recommendations are met and my client keeps motivated then goals will can be achieved.</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Word Count - 2,192</w:t>
      </w: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8"/>
          <w:szCs w:val="28"/>
          <w:u w:val="single"/>
          <w:shd w:val="clear" w:color="auto" w:fill="ffffff"/>
          <w:rtl w:val="0"/>
        </w:rPr>
      </w:pPr>
      <w:r>
        <w:rPr>
          <w:rFonts w:ascii="Times New Roman" w:hAnsi="Times New Roman"/>
          <w:sz w:val="28"/>
          <w:szCs w:val="28"/>
          <w:u w:val="single"/>
          <w:shd w:val="clear" w:color="auto" w:fill="ffffff"/>
          <w:rtl w:val="0"/>
          <w:lang w:val="en-US"/>
        </w:rPr>
        <w:t>Reference List</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Al Attar, W.S.A., Soomro, N., Sinclair, P.J., Pappas, E. and Sanders, R.H</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2017</w:t>
      </w:r>
      <w:r>
        <w:rPr>
          <w:rFonts w:ascii="Times New Roman" w:hAnsi="Times New Roman"/>
          <w:sz w:val="24"/>
          <w:szCs w:val="24"/>
          <w:rtl w:val="0"/>
          <w:lang w:val="en-US"/>
        </w:rPr>
        <w:t>)</w:t>
      </w:r>
      <w:r>
        <w:rPr>
          <w:rFonts w:ascii="Times New Roman" w:hAnsi="Times New Roman"/>
          <w:sz w:val="24"/>
          <w:szCs w:val="24"/>
          <w:rtl w:val="0"/>
          <w:lang w:val="en-US"/>
        </w:rPr>
        <w:t xml:space="preserve"> Effect of injury prevention programs that include the nordic hamstring exercise on hamstring injury rates in soccer players: a systematic review and meta-analysis. </w:t>
      </w:r>
      <w:r>
        <w:rPr>
          <w:rFonts w:ascii="Times New Roman" w:hAnsi="Times New Roman"/>
          <w:i w:val="1"/>
          <w:iCs w:val="1"/>
          <w:sz w:val="24"/>
          <w:szCs w:val="24"/>
          <w:rtl w:val="0"/>
          <w:lang w:val="en-US"/>
        </w:rPr>
        <w:t>Sports medicine</w:t>
      </w:r>
      <w:r>
        <w:rPr>
          <w:rFonts w:ascii="Times New Roman" w:hAnsi="Times New Roman"/>
          <w:sz w:val="24"/>
          <w:szCs w:val="24"/>
          <w:rtl w:val="0"/>
        </w:rPr>
        <w:t>, 47</w:t>
      </w:r>
      <w:r>
        <w:rPr>
          <w:rFonts w:ascii="Times New Roman" w:hAnsi="Times New Roman"/>
          <w:sz w:val="24"/>
          <w:szCs w:val="24"/>
          <w:rtl w:val="0"/>
          <w:lang w:val="en-US"/>
        </w:rPr>
        <w:t xml:space="preserve"> </w:t>
      </w:r>
      <w:r>
        <w:rPr>
          <w:rFonts w:ascii="Times New Roman" w:hAnsi="Times New Roman"/>
          <w:sz w:val="24"/>
          <w:szCs w:val="24"/>
          <w:rtl w:val="0"/>
        </w:rPr>
        <w:t>(5) pp.</w:t>
      </w:r>
      <w:r>
        <w:rPr>
          <w:rFonts w:ascii="Times New Roman" w:hAnsi="Times New Roman"/>
          <w:sz w:val="24"/>
          <w:szCs w:val="24"/>
          <w:rtl w:val="0"/>
          <w:lang w:val="en-US"/>
        </w:rPr>
        <w:t xml:space="preserve"> </w:t>
      </w:r>
      <w:r>
        <w:rPr>
          <w:rFonts w:ascii="Times New Roman" w:hAnsi="Times New Roman"/>
          <w:sz w:val="24"/>
          <w:szCs w:val="24"/>
          <w:rtl w:val="0"/>
        </w:rPr>
        <w:t>907-916.</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"https://doi.org/10.1007/s40279-016-0638-2"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https://doi.org/10.1007/s40279-016-0638-2</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May 2017).</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American collage of sports medicine (ACSM). (2017) </w:t>
      </w:r>
      <w:r>
        <w:rPr>
          <w:rFonts w:ascii="Times New Roman" w:hAnsi="Times New Roman"/>
          <w:i w:val="1"/>
          <w:iCs w:val="1"/>
          <w:sz w:val="24"/>
          <w:szCs w:val="24"/>
          <w:rtl w:val="0"/>
          <w:lang w:val="en-US"/>
        </w:rPr>
        <w:t>Guidelines for exercise testing and prescription</w:t>
      </w:r>
      <w:r>
        <w:rPr>
          <w:rFonts w:ascii="Times New Roman" w:hAnsi="Times New Roman"/>
          <w:sz w:val="24"/>
          <w:szCs w:val="24"/>
          <w:rtl w:val="0"/>
          <w:lang w:val="en-US"/>
        </w:rPr>
        <w:t>. 10th Ed. London: Wolters Kluwer.</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American College of Sports Medicine </w:t>
      </w:r>
      <w:r>
        <w:rPr>
          <w:rFonts w:ascii="Times New Roman" w:hAnsi="Times New Roman"/>
          <w:sz w:val="24"/>
          <w:szCs w:val="24"/>
          <w:rtl w:val="0"/>
          <w:lang w:val="en-US"/>
        </w:rPr>
        <w:t>(</w:t>
      </w:r>
      <w:r>
        <w:rPr>
          <w:rFonts w:ascii="Times New Roman" w:hAnsi="Times New Roman"/>
          <w:sz w:val="24"/>
          <w:szCs w:val="24"/>
          <w:rtl w:val="0"/>
        </w:rPr>
        <w:t>2013</w:t>
      </w:r>
      <w:r>
        <w:rPr>
          <w:rFonts w:ascii="Times New Roman" w:hAnsi="Times New Roman"/>
          <w:sz w:val="24"/>
          <w:szCs w:val="24"/>
          <w:rtl w:val="0"/>
          <w:lang w:val="en-US"/>
        </w:rPr>
        <w:t>)</w:t>
      </w:r>
      <w:r>
        <w:rPr>
          <w:rFonts w:ascii="Times New Roman" w:hAnsi="Times New Roman"/>
          <w:sz w:val="24"/>
          <w:szCs w:val="24"/>
          <w:rtl w:val="0"/>
          <w:lang w:val="en-US"/>
        </w:rPr>
        <w:t>. ACSM's guidelines for exercise testing and prescription. Lippincott Williams &amp; Wilkins.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Behm, D.G., Blazevich, A.J., Kay, A.D. and McHugh, M</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2016</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Acute effects of muscle stretching on physical performance, range of motion, and injury incidence in healthy active individuals: a systematic review. </w:t>
      </w:r>
      <w:r>
        <w:rPr>
          <w:rFonts w:ascii="Times New Roman" w:hAnsi="Times New Roman"/>
          <w:i w:val="1"/>
          <w:iCs w:val="1"/>
          <w:sz w:val="24"/>
          <w:szCs w:val="24"/>
          <w:rtl w:val="0"/>
          <w:lang w:val="en-US"/>
        </w:rPr>
        <w:t>Applied physiology, nutrition, and metabolism</w:t>
      </w:r>
      <w:r>
        <w:rPr>
          <w:rFonts w:ascii="Times New Roman" w:hAnsi="Times New Roman"/>
          <w:i w:val="1"/>
          <w:iCs w:val="1"/>
          <w:sz w:val="24"/>
          <w:szCs w:val="24"/>
          <w:rtl w:val="0"/>
          <w:lang w:val="en-US"/>
        </w:rPr>
        <w:t>.</w:t>
      </w:r>
      <w:r>
        <w:rPr>
          <w:rFonts w:ascii="Times New Roman" w:hAnsi="Times New Roman"/>
          <w:sz w:val="24"/>
          <w:szCs w:val="24"/>
          <w:rtl w:val="0"/>
        </w:rPr>
        <w:t xml:space="preserve"> 41</w:t>
      </w:r>
      <w:r>
        <w:rPr>
          <w:rFonts w:ascii="Times New Roman" w:hAnsi="Times New Roman"/>
          <w:sz w:val="24"/>
          <w:szCs w:val="24"/>
          <w:rtl w:val="0"/>
          <w:lang w:val="en-US"/>
        </w:rPr>
        <w:t xml:space="preserve"> </w:t>
      </w:r>
      <w:r>
        <w:rPr>
          <w:rFonts w:ascii="Times New Roman" w:hAnsi="Times New Roman"/>
          <w:sz w:val="24"/>
          <w:szCs w:val="24"/>
          <w:rtl w:val="0"/>
        </w:rPr>
        <w:t>(1) pp.</w:t>
      </w:r>
      <w:r>
        <w:rPr>
          <w:rFonts w:ascii="Times New Roman" w:hAnsi="Times New Roman"/>
          <w:sz w:val="24"/>
          <w:szCs w:val="24"/>
          <w:rtl w:val="0"/>
          <w:lang w:val="en-US"/>
        </w:rPr>
        <w:t xml:space="preserve"> </w:t>
      </w:r>
      <w:r>
        <w:rPr>
          <w:rFonts w:ascii="Times New Roman" w:hAnsi="Times New Roman"/>
          <w:sz w:val="24"/>
          <w:szCs w:val="24"/>
          <w:rtl w:val="0"/>
        </w:rPr>
        <w:t>1-11.</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"https://doi.org/10.1139/apnm-2015-0235"</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https://doi.org/10.1139/apnm-2015-0235</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w:t>
      </w:r>
      <w:r>
        <w:rPr>
          <w:rFonts w:ascii="Times New Roman" w:hAnsi="Times New Roman"/>
          <w:sz w:val="24"/>
          <w:szCs w:val="24"/>
          <w:rtl w:val="0"/>
        </w:rPr>
        <w:t>8 December 2015</w:t>
      </w:r>
      <w:r>
        <w:rPr>
          <w:rFonts w:ascii="Times New Roman" w:hAnsi="Times New Roman"/>
          <w:sz w:val="24"/>
          <w:szCs w:val="24"/>
          <w:rtl w:val="0"/>
          <w:lang w:val="en-US"/>
        </w:rPr>
        <w:t>).</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de-DE"/>
        </w:rPr>
        <w:t>Bourne, M., Duhig, S., Timmins, R., Williams, M., Opar, D., Al Najjar, A., Kerr, G. and Shield, A</w:t>
      </w:r>
      <w:r>
        <w:rPr>
          <w:rFonts w:ascii="Times New Roman" w:hAnsi="Times New Roman"/>
          <w:sz w:val="24"/>
          <w:szCs w:val="24"/>
          <w:rtl w:val="0"/>
          <w:lang w:val="en-US"/>
        </w:rPr>
        <w:t>. (</w:t>
      </w:r>
      <w:r>
        <w:rPr>
          <w:rFonts w:ascii="Times New Roman" w:hAnsi="Times New Roman"/>
          <w:sz w:val="24"/>
          <w:szCs w:val="24"/>
          <w:rtl w:val="0"/>
        </w:rPr>
        <w:t>2019</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Correction: Impact Of The Nordic Hamstring And Hip Extension Exercises On Hamstring Architecture And Morphology: Implications For Injury Prevention. </w:t>
      </w:r>
      <w:r>
        <w:rPr>
          <w:rFonts w:ascii="Times New Roman" w:hAnsi="Times New Roman"/>
          <w:i w:val="1"/>
          <w:iCs w:val="1"/>
          <w:sz w:val="24"/>
          <w:szCs w:val="24"/>
          <w:rtl w:val="0"/>
          <w:lang w:val="en-US"/>
        </w:rPr>
        <w:t xml:space="preserve">British Journal of Sports Medicine. </w:t>
      </w:r>
      <w:r>
        <w:rPr>
          <w:rFonts w:ascii="Times New Roman" w:hAnsi="Times New Roman"/>
          <w:sz w:val="24"/>
          <w:szCs w:val="24"/>
          <w:rtl w:val="0"/>
          <w:lang w:val="en-US"/>
        </w:rPr>
        <w:t>(53) 6.</w:t>
      </w:r>
      <w:r>
        <w:rPr>
          <w:rFonts w:ascii="Times New Roman" w:hAnsi="Times New Roman"/>
          <w:sz w:val="24"/>
          <w:szCs w:val="24"/>
          <w:rtl w:val="0"/>
          <w:lang w:val="en-US"/>
        </w:rPr>
        <w:t xml:space="preserve"> Available at: &lt;http://dx.doi.org/10.1136/bjsports-2016-096130corr1&gt; </w:t>
      </w:r>
      <w:r>
        <w:rPr>
          <w:rFonts w:ascii="Times New Roman" w:hAnsi="Times New Roman"/>
          <w:sz w:val="24"/>
          <w:szCs w:val="24"/>
          <w:rtl w:val="0"/>
          <w:lang w:val="en-US"/>
        </w:rPr>
        <w:t>(</w:t>
      </w:r>
      <w:r>
        <w:rPr>
          <w:rFonts w:ascii="Times New Roman" w:hAnsi="Times New Roman"/>
          <w:sz w:val="24"/>
          <w:szCs w:val="24"/>
          <w:rtl w:val="0"/>
          <w:lang w:val="en-US"/>
        </w:rPr>
        <w:t>Accessed 2 March 2019</w:t>
      </w:r>
      <w:r>
        <w:rPr>
          <w:rFonts w:ascii="Times New Roman" w:hAnsi="Times New Roman"/>
          <w:sz w:val="24"/>
          <w:szCs w:val="24"/>
          <w:rtl w:val="0"/>
          <w:lang w:val="en-US"/>
        </w:rPr>
        <w:t>)</w:t>
      </w:r>
      <w:r>
        <w:rPr>
          <w:rFonts w:ascii="Times New Roman" w:hAnsi="Times New Roman"/>
          <w:sz w:val="24"/>
          <w:szCs w:val="24"/>
          <w:rtl w:val="0"/>
        </w:rPr>
        <w:t>.</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Bourne, M.N., Opar, D.A., Williams, M.D. and Shield, A.</w:t>
      </w:r>
      <w:r>
        <w:rPr>
          <w:rFonts w:ascii="Times New Roman" w:hAnsi="Times New Roman"/>
          <w:sz w:val="24"/>
          <w:szCs w:val="24"/>
          <w:rtl w:val="0"/>
          <w:lang w:val="en-US"/>
        </w:rPr>
        <w:t>J.</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2015</w:t>
      </w:r>
      <w:r>
        <w:rPr>
          <w:rFonts w:ascii="Times New Roman" w:hAnsi="Times New Roman"/>
          <w:sz w:val="24"/>
          <w:szCs w:val="24"/>
          <w:rtl w:val="0"/>
          <w:lang w:val="en-US"/>
        </w:rPr>
        <w:t>)</w:t>
      </w:r>
      <w:r>
        <w:rPr>
          <w:rFonts w:ascii="Times New Roman" w:hAnsi="Times New Roman"/>
          <w:sz w:val="24"/>
          <w:szCs w:val="24"/>
          <w:rtl w:val="0"/>
          <w:lang w:val="en-US"/>
        </w:rPr>
        <w:t xml:space="preserve"> Eccentric knee flexor strength and risk of hamstring injuries in rugby union: a prospective study. </w:t>
      </w:r>
      <w:r>
        <w:rPr>
          <w:rFonts w:ascii="Times New Roman" w:hAnsi="Times New Roman"/>
          <w:i w:val="1"/>
          <w:iCs w:val="1"/>
          <w:sz w:val="24"/>
          <w:szCs w:val="24"/>
          <w:rtl w:val="0"/>
          <w:lang w:val="en-US"/>
        </w:rPr>
        <w:t>The American journal of sports medicine</w:t>
      </w:r>
      <w:r>
        <w:rPr>
          <w:rFonts w:ascii="Times New Roman" w:hAnsi="Times New Roman"/>
          <w:i w:val="1"/>
          <w:iCs w:val="1"/>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rPr>
        <w:t>43</w:t>
      </w:r>
      <w:r>
        <w:rPr>
          <w:rFonts w:ascii="Times New Roman" w:hAnsi="Times New Roman"/>
          <w:i w:val="1"/>
          <w:iCs w:val="1"/>
          <w:sz w:val="24"/>
          <w:szCs w:val="24"/>
          <w:rtl w:val="0"/>
          <w:lang w:val="en-US"/>
        </w:rPr>
        <w:t xml:space="preserve"> </w:t>
      </w:r>
      <w:r>
        <w:rPr>
          <w:rFonts w:ascii="Times New Roman" w:hAnsi="Times New Roman"/>
          <w:sz w:val="24"/>
          <w:szCs w:val="24"/>
          <w:rtl w:val="0"/>
        </w:rPr>
        <w:t>(11) pp.</w:t>
      </w:r>
      <w:r>
        <w:rPr>
          <w:rFonts w:ascii="Times New Roman" w:hAnsi="Times New Roman"/>
          <w:sz w:val="24"/>
          <w:szCs w:val="24"/>
          <w:rtl w:val="0"/>
          <w:lang w:val="en-US"/>
        </w:rPr>
        <w:t xml:space="preserve"> </w:t>
      </w:r>
      <w:r>
        <w:rPr>
          <w:rFonts w:ascii="Times New Roman" w:hAnsi="Times New Roman"/>
          <w:sz w:val="24"/>
          <w:szCs w:val="24"/>
          <w:rtl w:val="0"/>
        </w:rPr>
        <w:t>2663-2670.</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"https://doi.org/10.1177/0363546515599633"</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https://doi.org/10.1177/0363546515599633</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2nd September 2015).</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Bourne, M.N., Timmins, R.G., Opar, D.A., Pizzari, T., Ruddy, J.D., Sims, C., Williams, M.D. and Shield, A.J</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2018</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An evidence-based framework for strengthening exercises to prevent hamstring injury. </w:t>
      </w:r>
      <w:r>
        <w:rPr>
          <w:rFonts w:ascii="Times New Roman" w:hAnsi="Times New Roman"/>
          <w:i w:val="1"/>
          <w:iCs w:val="1"/>
          <w:sz w:val="24"/>
          <w:szCs w:val="24"/>
          <w:rtl w:val="0"/>
          <w:lang w:val="en-US"/>
        </w:rPr>
        <w:t>Sports Medicine</w:t>
      </w:r>
      <w:r>
        <w:rPr>
          <w:rFonts w:ascii="Times New Roman" w:hAnsi="Times New Roman"/>
          <w:i w:val="1"/>
          <w:iCs w:val="1"/>
          <w:sz w:val="24"/>
          <w:szCs w:val="24"/>
          <w:rtl w:val="0"/>
          <w:lang w:val="en-US"/>
        </w:rPr>
        <w:t>.</w:t>
      </w:r>
      <w:r>
        <w:rPr>
          <w:rFonts w:ascii="Times New Roman" w:hAnsi="Times New Roman"/>
          <w:sz w:val="24"/>
          <w:szCs w:val="24"/>
          <w:rtl w:val="0"/>
        </w:rPr>
        <w:t xml:space="preserve"> 48</w:t>
      </w:r>
      <w:r>
        <w:rPr>
          <w:rFonts w:ascii="Times New Roman" w:hAnsi="Times New Roman"/>
          <w:sz w:val="24"/>
          <w:szCs w:val="24"/>
          <w:rtl w:val="0"/>
          <w:lang w:val="en-US"/>
        </w:rPr>
        <w:t xml:space="preserve"> </w:t>
      </w:r>
      <w:r>
        <w:rPr>
          <w:rFonts w:ascii="Times New Roman" w:hAnsi="Times New Roman"/>
          <w:sz w:val="24"/>
          <w:szCs w:val="24"/>
          <w:rtl w:val="0"/>
        </w:rPr>
        <w:t>(2), pp.</w:t>
      </w:r>
      <w:r>
        <w:rPr>
          <w:rFonts w:ascii="Times New Roman" w:hAnsi="Times New Roman"/>
          <w:sz w:val="24"/>
          <w:szCs w:val="24"/>
          <w:rtl w:val="0"/>
          <w:lang w:val="en-US"/>
        </w:rPr>
        <w:t xml:space="preserve"> </w:t>
      </w:r>
      <w:r>
        <w:rPr>
          <w:rFonts w:ascii="Times New Roman" w:hAnsi="Times New Roman"/>
          <w:sz w:val="24"/>
          <w:szCs w:val="24"/>
          <w:rtl w:val="0"/>
        </w:rPr>
        <w:t>251-267.</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"https://doi.org/10.1007/s40279-017-0796-x"</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https://doi.org/10.1007/s40279-017-0796-x</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February 2018).</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Boutcher, S.H. (2010) High-intensity intermittent exercise and fat loss. </w:t>
      </w:r>
      <w:r>
        <w:rPr>
          <w:rFonts w:ascii="Times New Roman" w:hAnsi="Times New Roman"/>
          <w:i w:val="1"/>
          <w:iCs w:val="1"/>
          <w:sz w:val="24"/>
          <w:szCs w:val="24"/>
          <w:rtl w:val="0"/>
          <w:lang w:val="en-US"/>
        </w:rPr>
        <w:t>Journal of obesity.</w:t>
      </w:r>
      <w:r>
        <w:rPr>
          <w:rFonts w:ascii="Times New Roman" w:hAnsi="Times New Roman"/>
          <w:sz w:val="24"/>
          <w:szCs w:val="24"/>
          <w:rtl w:val="0"/>
          <w:lang w:val="en-US"/>
        </w:rPr>
        <w:t xml:space="preserve"> pp. 1-10.  Available at: doi:10.1155/2011/868305 (Accessed 5th October 2010).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Coombes, J. and Skinner, T. </w:t>
      </w:r>
      <w:r>
        <w:rPr>
          <w:rFonts w:ascii="Times New Roman" w:hAnsi="Times New Roman"/>
          <w:sz w:val="24"/>
          <w:szCs w:val="24"/>
          <w:rtl w:val="0"/>
          <w:lang w:val="en-US"/>
        </w:rPr>
        <w:t>(</w:t>
      </w:r>
      <w:r>
        <w:rPr>
          <w:rFonts w:ascii="Times New Roman" w:hAnsi="Times New Roman"/>
          <w:sz w:val="24"/>
          <w:szCs w:val="24"/>
          <w:rtl w:val="0"/>
        </w:rPr>
        <w:t>2014</w:t>
      </w:r>
      <w:r>
        <w:rPr>
          <w:rFonts w:ascii="Times New Roman" w:hAnsi="Times New Roman"/>
          <w:sz w:val="24"/>
          <w:szCs w:val="24"/>
          <w:rtl w:val="0"/>
          <w:lang w:val="en-US"/>
        </w:rPr>
        <w:t>)</w:t>
      </w:r>
      <w:r>
        <w:rPr>
          <w:rFonts w:ascii="Times New Roman" w:hAnsi="Times New Roman"/>
          <w:sz w:val="24"/>
          <w:szCs w:val="24"/>
          <w:rtl w:val="0"/>
          <w:lang w:val="pt-PT"/>
        </w:rPr>
        <w:t xml:space="preserve"> ESSA</w:t>
      </w:r>
      <w:r>
        <w:rPr>
          <w:rFonts w:ascii="Times New Roman" w:hAnsi="Times New Roman" w:hint="default"/>
          <w:sz w:val="24"/>
          <w:szCs w:val="24"/>
          <w:rtl w:val="1"/>
        </w:rPr>
        <w:t>’</w:t>
      </w:r>
      <w:r>
        <w:rPr>
          <w:rFonts w:ascii="Times New Roman" w:hAnsi="Times New Roman"/>
          <w:sz w:val="24"/>
          <w:szCs w:val="24"/>
          <w:rtl w:val="0"/>
          <w:lang w:val="en-US"/>
        </w:rPr>
        <w:t>s Student Manual for Health, Exercise and Sport Assessment-eBook. Elsevier Health Sciences.</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Gibala, M.J., Gillen, J.B. and Percival, M.E</w:t>
      </w:r>
      <w:r>
        <w:rPr>
          <w:rFonts w:ascii="Times New Roman" w:hAnsi="Times New Roman"/>
          <w:sz w:val="24"/>
          <w:szCs w:val="24"/>
          <w:rtl w:val="0"/>
          <w:lang w:val="en-US"/>
        </w:rPr>
        <w:t>. (</w:t>
      </w:r>
      <w:r>
        <w:rPr>
          <w:rFonts w:ascii="Times New Roman" w:hAnsi="Times New Roman"/>
          <w:sz w:val="24"/>
          <w:szCs w:val="24"/>
          <w:rtl w:val="0"/>
        </w:rPr>
        <w:t>2014</w:t>
      </w:r>
      <w:r>
        <w:rPr>
          <w:rFonts w:ascii="Times New Roman" w:hAnsi="Times New Roman"/>
          <w:sz w:val="24"/>
          <w:szCs w:val="24"/>
          <w:rtl w:val="0"/>
          <w:lang w:val="en-US"/>
        </w:rPr>
        <w:t>)</w:t>
      </w:r>
      <w:r>
        <w:rPr>
          <w:rFonts w:ascii="Times New Roman" w:hAnsi="Times New Roman"/>
          <w:sz w:val="24"/>
          <w:szCs w:val="24"/>
          <w:rtl w:val="0"/>
          <w:lang w:val="en-US"/>
        </w:rPr>
        <w:t xml:space="preserve"> Physiological and health-related adaptations to low-volume interval training: influences of nutrition and sex. </w:t>
      </w:r>
      <w:r>
        <w:rPr>
          <w:rFonts w:ascii="Times New Roman" w:hAnsi="Times New Roman"/>
          <w:i w:val="1"/>
          <w:iCs w:val="1"/>
          <w:sz w:val="24"/>
          <w:szCs w:val="24"/>
          <w:rtl w:val="0"/>
          <w:lang w:val="en-US"/>
        </w:rPr>
        <w:t>Sports Medicine</w:t>
      </w:r>
      <w:r>
        <w:rPr>
          <w:rFonts w:ascii="Times New Roman" w:hAnsi="Times New Roman"/>
          <w:i w:val="1"/>
          <w:iCs w:val="1"/>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rPr>
        <w:t>44</w:t>
      </w:r>
      <w:r>
        <w:rPr>
          <w:rFonts w:ascii="Times New Roman" w:hAnsi="Times New Roman"/>
          <w:i w:val="1"/>
          <w:iCs w:val="1"/>
          <w:sz w:val="24"/>
          <w:szCs w:val="24"/>
          <w:rtl w:val="0"/>
          <w:lang w:val="en-US"/>
        </w:rPr>
        <w:t xml:space="preserve"> </w:t>
      </w:r>
      <w:r>
        <w:rPr>
          <w:rFonts w:ascii="Times New Roman" w:hAnsi="Times New Roman"/>
          <w:sz w:val="24"/>
          <w:szCs w:val="24"/>
          <w:rtl w:val="0"/>
        </w:rPr>
        <w:t>(2) pp.</w:t>
      </w:r>
      <w:r>
        <w:rPr>
          <w:rFonts w:ascii="Times New Roman" w:hAnsi="Times New Roman"/>
          <w:sz w:val="24"/>
          <w:szCs w:val="24"/>
          <w:rtl w:val="0"/>
          <w:lang w:val="en-US"/>
        </w:rPr>
        <w:t xml:space="preserve"> </w:t>
      </w:r>
      <w:r>
        <w:rPr>
          <w:rFonts w:ascii="Times New Roman" w:hAnsi="Times New Roman"/>
          <w:sz w:val="24"/>
          <w:szCs w:val="24"/>
          <w:rtl w:val="0"/>
          <w:lang w:val="it-IT"/>
        </w:rPr>
        <w:t>127-137.</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"https://doi.org/10.1007/s40279-014-0259-6"</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https://doi.org/10.1007/s40279-014-0259-6</w:t>
      </w:r>
      <w:r>
        <w:rPr>
          <w:rFonts w:ascii="Times New Roman" w:cs="Times New Roman" w:hAnsi="Times New Roman" w:eastAsia="Times New Roman"/>
          <w:sz w:val="24"/>
          <w:szCs w:val="24"/>
        </w:rPr>
        <w:fldChar w:fldCharType="end" w:fldLock="0"/>
      </w:r>
      <w:r>
        <w:rPr>
          <w:rFonts w:ascii="Times New Roman" w:hAnsi="Times New Roman"/>
          <w:sz w:val="24"/>
          <w:szCs w:val="24"/>
          <w:rtl w:val="0"/>
        </w:rPr>
        <w:t xml:space="preserve"> </w:t>
      </w:r>
      <w:r>
        <w:rPr>
          <w:rFonts w:ascii="Times New Roman" w:hAnsi="Times New Roman"/>
          <w:sz w:val="24"/>
          <w:szCs w:val="24"/>
          <w:rtl w:val="0"/>
          <w:lang w:val="en-US"/>
        </w:rPr>
        <w:t xml:space="preserve"> (Accessed 30th October 2013).</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Gulec, S. and Erol, C</w:t>
      </w:r>
      <w:r>
        <w:rPr>
          <w:rFonts w:ascii="Times New Roman" w:hAnsi="Times New Roman"/>
          <w:sz w:val="24"/>
          <w:szCs w:val="24"/>
          <w:rtl w:val="0"/>
          <w:lang w:val="en-US"/>
        </w:rPr>
        <w:t xml:space="preserve"> (</w:t>
      </w:r>
      <w:r>
        <w:rPr>
          <w:rFonts w:ascii="Times New Roman" w:hAnsi="Times New Roman"/>
          <w:sz w:val="24"/>
          <w:szCs w:val="24"/>
          <w:rtl w:val="0"/>
        </w:rPr>
        <w:t>2019</w:t>
      </w:r>
      <w:r>
        <w:rPr>
          <w:rFonts w:ascii="Times New Roman" w:hAnsi="Times New Roman"/>
          <w:sz w:val="24"/>
          <w:szCs w:val="24"/>
          <w:rtl w:val="0"/>
          <w:lang w:val="en-US"/>
        </w:rPr>
        <w:t>)</w:t>
      </w:r>
      <w:r>
        <w:rPr>
          <w:rFonts w:ascii="Times New Roman" w:hAnsi="Times New Roman"/>
          <w:sz w:val="24"/>
          <w:szCs w:val="24"/>
          <w:rtl w:val="0"/>
          <w:lang w:val="en-US"/>
        </w:rPr>
        <w:t xml:space="preserve">. Prehypertension: Definition and Epidemiology. In </w:t>
      </w:r>
      <w:r>
        <w:rPr>
          <w:rFonts w:ascii="Times New Roman" w:hAnsi="Times New Roman"/>
          <w:i w:val="1"/>
          <w:iCs w:val="1"/>
          <w:sz w:val="24"/>
          <w:szCs w:val="24"/>
          <w:rtl w:val="0"/>
          <w:lang w:val="en-US"/>
        </w:rPr>
        <w:t>Prehypertension and Cardiometabolic Syndrome</w:t>
      </w:r>
      <w:r>
        <w:rPr>
          <w:rFonts w:ascii="Times New Roman" w:hAnsi="Times New Roman"/>
          <w:i w:val="1"/>
          <w:iCs w:val="1"/>
          <w:sz w:val="24"/>
          <w:szCs w:val="24"/>
          <w:rtl w:val="0"/>
          <w:lang w:val="en-US"/>
        </w:rPr>
        <w:t>.</w:t>
      </w:r>
      <w:r>
        <w:rPr>
          <w:rFonts w:ascii="Times New Roman" w:hAnsi="Times New Roman"/>
          <w:sz w:val="24"/>
          <w:szCs w:val="24"/>
          <w:rtl w:val="0"/>
        </w:rPr>
        <w:t xml:space="preserve"> pp. 67-77</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"https://doi.org/10.1007/978-3-319-75310-2_6"</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https://doi.org/10.1007/978-3-319-75310-2_6</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7th December 2018).</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Harvard Medical School (HMS) (2018) </w:t>
      </w:r>
      <w:r>
        <w:rPr>
          <w:rFonts w:ascii="Times New Roman" w:hAnsi="Times New Roman"/>
          <w:i w:val="1"/>
          <w:iCs w:val="1"/>
          <w:sz w:val="24"/>
          <w:szCs w:val="24"/>
          <w:rtl w:val="0"/>
          <w:lang w:val="en-US"/>
        </w:rPr>
        <w:t>Reading the new blood pressure guidelines</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"https://www.health.harvard.edu/heart-health/reading-the-new-blood-pressure-guidelines"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https://www.health.harvard.edu/heart-health/reading-the-new-blood-pressure-guidelines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w:t>
      </w:r>
      <w:r>
        <w:rPr>
          <w:rFonts w:ascii="Times New Roman" w:hAnsi="Times New Roman"/>
          <w:sz w:val="24"/>
          <w:szCs w:val="24"/>
          <w:rtl w:val="0"/>
          <w:lang w:val="en-US"/>
        </w:rPr>
        <w:t>April, 2018</w:t>
      </w:r>
      <w:r>
        <w:rPr>
          <w:rFonts w:ascii="Times New Roman" w:hAnsi="Times New Roman"/>
          <w:sz w:val="24"/>
          <w:szCs w:val="24"/>
          <w:rtl w:val="0"/>
          <w:lang w:val="en-US"/>
        </w:rPr>
        <w:t>).</w:t>
      </w:r>
    </w:p>
    <w:p>
      <w:pPr>
        <w:pStyle w:val="Default"/>
        <w:bidi w:val="0"/>
        <w:ind w:left="0" w:right="0" w:firstLine="0"/>
        <w:jc w:val="left"/>
        <w:rPr>
          <w:rFonts w:ascii="Times New Roman" w:cs="Times New Roman" w:hAnsi="Times New Roman" w:eastAsia="Times New Roman"/>
          <w:sz w:val="24"/>
          <w:szCs w:val="24"/>
          <w:shd w:val="clear" w:color="auto" w:fill="ffffff"/>
          <w:rtl w:val="0"/>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Hazell, T.J., MacPherson, R.E., Gravelle, B.M. and Lemon, P.W</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2010</w:t>
      </w:r>
      <w:r>
        <w:rPr>
          <w:rFonts w:ascii="Times New Roman" w:hAnsi="Times New Roman"/>
          <w:sz w:val="24"/>
          <w:szCs w:val="24"/>
          <w:rtl w:val="0"/>
          <w:lang w:val="en-US"/>
        </w:rPr>
        <w:t>)</w:t>
      </w:r>
      <w:r>
        <w:rPr>
          <w:rFonts w:ascii="Times New Roman" w:hAnsi="Times New Roman"/>
          <w:sz w:val="24"/>
          <w:szCs w:val="24"/>
          <w:rtl w:val="0"/>
          <w:lang w:val="en-US"/>
        </w:rPr>
        <w:t xml:space="preserve"> 10 or 30-s sprint interval training bouts enhance both aerobic and anaerobic performance. </w:t>
      </w:r>
      <w:r>
        <w:rPr>
          <w:rFonts w:ascii="Times New Roman" w:hAnsi="Times New Roman"/>
          <w:i w:val="1"/>
          <w:iCs w:val="1"/>
          <w:sz w:val="24"/>
          <w:szCs w:val="24"/>
          <w:rtl w:val="0"/>
          <w:lang w:val="en-US"/>
        </w:rPr>
        <w:t>European journal of applied physiology</w:t>
      </w:r>
      <w:r>
        <w:rPr>
          <w:rFonts w:ascii="Times New Roman" w:hAnsi="Times New Roman"/>
          <w:i w:val="1"/>
          <w:iCs w:val="1"/>
          <w:sz w:val="24"/>
          <w:szCs w:val="24"/>
          <w:rtl w:val="0"/>
          <w:lang w:val="en-US"/>
        </w:rPr>
        <w:t>.</w:t>
      </w:r>
      <w:r>
        <w:rPr>
          <w:rFonts w:ascii="Times New Roman" w:hAnsi="Times New Roman"/>
          <w:sz w:val="24"/>
          <w:szCs w:val="24"/>
          <w:rtl w:val="0"/>
        </w:rPr>
        <w:t xml:space="preserve"> 110</w:t>
      </w:r>
      <w:r>
        <w:rPr>
          <w:rFonts w:ascii="Times New Roman" w:hAnsi="Times New Roman"/>
          <w:sz w:val="24"/>
          <w:szCs w:val="24"/>
          <w:rtl w:val="0"/>
          <w:lang w:val="en-US"/>
        </w:rPr>
        <w:t xml:space="preserve"> </w:t>
      </w:r>
      <w:r>
        <w:rPr>
          <w:rFonts w:ascii="Times New Roman" w:hAnsi="Times New Roman"/>
          <w:sz w:val="24"/>
          <w:szCs w:val="24"/>
          <w:rtl w:val="0"/>
        </w:rPr>
        <w:t>(1) pp.</w:t>
      </w:r>
      <w:r>
        <w:rPr>
          <w:rFonts w:ascii="Times New Roman" w:hAnsi="Times New Roman"/>
          <w:sz w:val="24"/>
          <w:szCs w:val="24"/>
          <w:rtl w:val="0"/>
          <w:lang w:val="en-US"/>
        </w:rPr>
        <w:t xml:space="preserve"> </w:t>
      </w:r>
      <w:r>
        <w:rPr>
          <w:rFonts w:ascii="Times New Roman" w:hAnsi="Times New Roman"/>
          <w:sz w:val="24"/>
          <w:szCs w:val="24"/>
          <w:rtl w:val="0"/>
        </w:rPr>
        <w:t>153-160.</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"https://doi.org/10.1007/s00421-010-1474-y"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https://doi.org/10.1007/s00421-010-1474-y</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September 2010).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pt-PT"/>
        </w:rPr>
        <w:t>Henderson, G., Barnes, C.A. and Portas, M.D</w:t>
      </w:r>
      <w:r>
        <w:rPr>
          <w:rFonts w:ascii="Times New Roman" w:hAnsi="Times New Roman"/>
          <w:sz w:val="24"/>
          <w:szCs w:val="24"/>
          <w:rtl w:val="0"/>
          <w:lang w:val="en-US"/>
        </w:rPr>
        <w:t>. (</w:t>
      </w:r>
      <w:r>
        <w:rPr>
          <w:rFonts w:ascii="Times New Roman" w:hAnsi="Times New Roman"/>
          <w:sz w:val="24"/>
          <w:szCs w:val="24"/>
          <w:rtl w:val="0"/>
        </w:rPr>
        <w:t>2010</w:t>
      </w:r>
      <w:r>
        <w:rPr>
          <w:rFonts w:ascii="Times New Roman" w:hAnsi="Times New Roman"/>
          <w:sz w:val="24"/>
          <w:szCs w:val="24"/>
          <w:rtl w:val="0"/>
          <w:lang w:val="en-US"/>
        </w:rPr>
        <w:t>)</w:t>
      </w:r>
      <w:r>
        <w:rPr>
          <w:rFonts w:ascii="Times New Roman" w:hAnsi="Times New Roman"/>
          <w:sz w:val="24"/>
          <w:szCs w:val="24"/>
          <w:rtl w:val="0"/>
          <w:lang w:val="en-US"/>
        </w:rPr>
        <w:t xml:space="preserve"> Factors associated with increased propensity for hamstring injury in English Premier League soccer players. </w:t>
      </w:r>
      <w:r>
        <w:rPr>
          <w:rFonts w:ascii="Times New Roman" w:hAnsi="Times New Roman"/>
          <w:i w:val="1"/>
          <w:iCs w:val="1"/>
          <w:sz w:val="24"/>
          <w:szCs w:val="24"/>
          <w:rtl w:val="0"/>
          <w:lang w:val="en-US"/>
        </w:rPr>
        <w:t>Journal of Science and Medicine in Sport</w:t>
      </w:r>
      <w:r>
        <w:rPr>
          <w:rFonts w:ascii="Times New Roman" w:hAnsi="Times New Roman"/>
          <w:i w:val="1"/>
          <w:iCs w:val="1"/>
          <w:sz w:val="24"/>
          <w:szCs w:val="24"/>
          <w:rtl w:val="0"/>
          <w:lang w:val="en-US"/>
        </w:rPr>
        <w:t>.</w:t>
      </w:r>
      <w:r>
        <w:rPr>
          <w:rFonts w:ascii="Times New Roman" w:hAnsi="Times New Roman"/>
          <w:sz w:val="24"/>
          <w:szCs w:val="24"/>
          <w:rtl w:val="0"/>
        </w:rPr>
        <w:t xml:space="preserve"> 13</w:t>
      </w:r>
      <w:r>
        <w:rPr>
          <w:rFonts w:ascii="Times New Roman" w:hAnsi="Times New Roman"/>
          <w:sz w:val="24"/>
          <w:szCs w:val="24"/>
          <w:rtl w:val="0"/>
          <w:lang w:val="en-US"/>
        </w:rPr>
        <w:t xml:space="preserve"> </w:t>
      </w:r>
      <w:r>
        <w:rPr>
          <w:rFonts w:ascii="Times New Roman" w:hAnsi="Times New Roman"/>
          <w:sz w:val="24"/>
          <w:szCs w:val="24"/>
          <w:rtl w:val="0"/>
        </w:rPr>
        <w:t>(4) pp.</w:t>
      </w:r>
      <w:r>
        <w:rPr>
          <w:rFonts w:ascii="Times New Roman" w:hAnsi="Times New Roman"/>
          <w:sz w:val="24"/>
          <w:szCs w:val="24"/>
          <w:rtl w:val="0"/>
          <w:lang w:val="en-US"/>
        </w:rPr>
        <w:t xml:space="preserve"> </w:t>
      </w:r>
      <w:r>
        <w:rPr>
          <w:rFonts w:ascii="Times New Roman" w:hAnsi="Times New Roman"/>
          <w:sz w:val="24"/>
          <w:szCs w:val="24"/>
          <w:rtl w:val="0"/>
        </w:rPr>
        <w:t>397-402.</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"https://doi.org/10.1016/j.jsams.2009.08.003"</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https://doi.org/10.1016/j.jsams.2009.08.003</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July 2010).</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de-DE"/>
        </w:rPr>
        <w:t>Henschke, N. and Lin, C.C</w:t>
      </w:r>
      <w:r>
        <w:rPr>
          <w:rFonts w:ascii="Times New Roman" w:hAnsi="Times New Roman"/>
          <w:sz w:val="24"/>
          <w:szCs w:val="24"/>
          <w:rtl w:val="0"/>
          <w:lang w:val="en-US"/>
        </w:rPr>
        <w:t>. (</w:t>
      </w:r>
      <w:r>
        <w:rPr>
          <w:rFonts w:ascii="Times New Roman" w:hAnsi="Times New Roman"/>
          <w:sz w:val="24"/>
          <w:szCs w:val="24"/>
          <w:rtl w:val="0"/>
        </w:rPr>
        <w:t>2011</w:t>
      </w:r>
      <w:r>
        <w:rPr>
          <w:rFonts w:ascii="Times New Roman" w:hAnsi="Times New Roman"/>
          <w:sz w:val="24"/>
          <w:szCs w:val="24"/>
          <w:rtl w:val="0"/>
          <w:lang w:val="en-US"/>
        </w:rPr>
        <w:t>)</w:t>
      </w:r>
      <w:r>
        <w:rPr>
          <w:rFonts w:ascii="Times New Roman" w:hAnsi="Times New Roman"/>
          <w:sz w:val="24"/>
          <w:szCs w:val="24"/>
          <w:rtl w:val="0"/>
          <w:lang w:val="en-US"/>
        </w:rPr>
        <w:t xml:space="preserve"> Stretching before or after exercise does not reduce delayed-onset muscle soreness. </w:t>
      </w:r>
      <w:r>
        <w:rPr>
          <w:rFonts w:ascii="Times New Roman" w:hAnsi="Times New Roman"/>
          <w:i w:val="1"/>
          <w:iCs w:val="1"/>
          <w:sz w:val="24"/>
          <w:szCs w:val="24"/>
          <w:rtl w:val="0"/>
        </w:rPr>
        <w:t>Br</w:t>
      </w:r>
      <w:r>
        <w:rPr>
          <w:rFonts w:ascii="Times New Roman" w:hAnsi="Times New Roman"/>
          <w:i w:val="1"/>
          <w:iCs w:val="1"/>
          <w:sz w:val="24"/>
          <w:szCs w:val="24"/>
          <w:rtl w:val="0"/>
          <w:lang w:val="en-US"/>
        </w:rPr>
        <w:t>itish</w:t>
      </w:r>
      <w:r>
        <w:rPr>
          <w:rFonts w:ascii="Times New Roman" w:hAnsi="Times New Roman"/>
          <w:i w:val="1"/>
          <w:iCs w:val="1"/>
          <w:sz w:val="24"/>
          <w:szCs w:val="24"/>
          <w:rtl w:val="0"/>
        </w:rPr>
        <w:t xml:space="preserve"> J</w:t>
      </w:r>
      <w:r>
        <w:rPr>
          <w:rFonts w:ascii="Times New Roman" w:hAnsi="Times New Roman"/>
          <w:i w:val="1"/>
          <w:iCs w:val="1"/>
          <w:sz w:val="24"/>
          <w:szCs w:val="24"/>
          <w:rtl w:val="0"/>
          <w:lang w:val="en-US"/>
        </w:rPr>
        <w:t>ournal of</w:t>
      </w:r>
      <w:r>
        <w:rPr>
          <w:rFonts w:ascii="Times New Roman" w:hAnsi="Times New Roman"/>
          <w:i w:val="1"/>
          <w:iCs w:val="1"/>
          <w:sz w:val="24"/>
          <w:szCs w:val="24"/>
          <w:rtl w:val="0"/>
          <w:lang w:val="en-US"/>
        </w:rPr>
        <w:t xml:space="preserve"> Sports Med</w:t>
      </w:r>
      <w:r>
        <w:rPr>
          <w:rFonts w:ascii="Times New Roman" w:hAnsi="Times New Roman"/>
          <w:i w:val="1"/>
          <w:iCs w:val="1"/>
          <w:sz w:val="24"/>
          <w:szCs w:val="24"/>
          <w:rtl w:val="0"/>
          <w:lang w:val="en-US"/>
        </w:rPr>
        <w:t>icine.</w:t>
      </w:r>
      <w:r>
        <w:rPr>
          <w:rFonts w:ascii="Times New Roman" w:hAnsi="Times New Roman"/>
          <w:sz w:val="24"/>
          <w:szCs w:val="24"/>
          <w:rtl w:val="0"/>
        </w:rPr>
        <w:t xml:space="preserve"> </w:t>
      </w:r>
      <w:r>
        <w:rPr>
          <w:rFonts w:ascii="Times New Roman" w:hAnsi="Times New Roman"/>
          <w:i w:val="1"/>
          <w:iCs w:val="1"/>
          <w:sz w:val="24"/>
          <w:szCs w:val="24"/>
          <w:rtl w:val="0"/>
        </w:rPr>
        <w:t>45</w:t>
      </w:r>
      <w:r>
        <w:rPr>
          <w:rFonts w:ascii="Times New Roman" w:hAnsi="Times New Roman"/>
          <w:i w:val="1"/>
          <w:iCs w:val="1"/>
          <w:sz w:val="24"/>
          <w:szCs w:val="24"/>
          <w:rtl w:val="0"/>
          <w:lang w:val="en-US"/>
        </w:rPr>
        <w:t xml:space="preserve"> </w:t>
      </w:r>
      <w:r>
        <w:rPr>
          <w:rFonts w:ascii="Times New Roman" w:hAnsi="Times New Roman"/>
          <w:sz w:val="24"/>
          <w:szCs w:val="24"/>
          <w:rtl w:val="0"/>
        </w:rPr>
        <w:t>(15) pp.</w:t>
      </w:r>
      <w:r>
        <w:rPr>
          <w:rFonts w:ascii="Times New Roman" w:hAnsi="Times New Roman"/>
          <w:sz w:val="24"/>
          <w:szCs w:val="24"/>
          <w:rtl w:val="0"/>
          <w:lang w:val="en-US"/>
        </w:rPr>
        <w:t xml:space="preserve"> </w:t>
      </w:r>
      <w:r>
        <w:rPr>
          <w:rFonts w:ascii="Times New Roman" w:hAnsi="Times New Roman"/>
          <w:sz w:val="24"/>
          <w:szCs w:val="24"/>
          <w:rtl w:val="0"/>
        </w:rPr>
        <w:t>1249-1250.</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"http://dx.doi.org/10.1136/bjsports-2011-090599"</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http://dx.doi.org/10.1136/bjsports-2011-090599</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December 2011).</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it-IT"/>
        </w:rPr>
        <w:t>Iaia, F.M., Fiorenza, M., Perri, E., Alberti, G., Millet, G.P. and Bangsbo</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rPr>
        <w:t xml:space="preserve"> J</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rPr>
        <w:t xml:space="preserve"> </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rPr>
        <w:t>2015</w:t>
      </w:r>
      <w:r>
        <w:rPr>
          <w:rFonts w:ascii="Times New Roman" w:hAnsi="Times New Roman"/>
          <w:sz w:val="24"/>
          <w:szCs w:val="24"/>
          <w:shd w:val="clear" w:color="auto" w:fill="ffffff"/>
          <w:rtl w:val="0"/>
          <w:lang w:val="en-US"/>
        </w:rPr>
        <w:t>)</w:t>
      </w:r>
      <w:r>
        <w:rPr>
          <w:rFonts w:ascii="Times New Roman" w:hAnsi="Times New Roman"/>
          <w:sz w:val="24"/>
          <w:szCs w:val="24"/>
          <w:shd w:val="clear" w:color="auto" w:fill="ffffff"/>
          <w:rtl w:val="0"/>
          <w:lang w:val="en-US"/>
        </w:rPr>
        <w:t xml:space="preserve"> The effect of two speed endurance training regimes on performance of soccer players. </w:t>
      </w:r>
      <w:r>
        <w:rPr>
          <w:rFonts w:ascii="Times New Roman" w:hAnsi="Times New Roman"/>
          <w:i w:val="1"/>
          <w:iCs w:val="1"/>
          <w:sz w:val="24"/>
          <w:szCs w:val="24"/>
          <w:shd w:val="clear" w:color="auto" w:fill="ffffff"/>
          <w:rtl w:val="0"/>
        </w:rPr>
        <w:t>PL</w:t>
      </w:r>
      <w:r>
        <w:rPr>
          <w:rFonts w:ascii="Times New Roman" w:hAnsi="Times New Roman"/>
          <w:i w:val="1"/>
          <w:iCs w:val="1"/>
          <w:sz w:val="24"/>
          <w:szCs w:val="24"/>
          <w:shd w:val="clear" w:color="auto" w:fill="ffffff"/>
          <w:rtl w:val="0"/>
          <w:lang w:val="en-US"/>
        </w:rPr>
        <w:t>O</w:t>
      </w:r>
      <w:r>
        <w:rPr>
          <w:rFonts w:ascii="Times New Roman" w:hAnsi="Times New Roman"/>
          <w:i w:val="1"/>
          <w:iCs w:val="1"/>
          <w:sz w:val="24"/>
          <w:szCs w:val="24"/>
          <w:shd w:val="clear" w:color="auto" w:fill="ffffff"/>
          <w:rtl w:val="0"/>
          <w:lang w:val="en-US"/>
        </w:rPr>
        <w:t>S One</w:t>
      </w:r>
      <w:r>
        <w:rPr>
          <w:rFonts w:ascii="Times New Roman" w:hAnsi="Times New Roman"/>
          <w:i w:val="1"/>
          <w:iCs w:val="1"/>
          <w:sz w:val="24"/>
          <w:szCs w:val="24"/>
          <w:shd w:val="clear" w:color="auto" w:fill="ffffff"/>
          <w:rtl w:val="0"/>
          <w:lang w:val="en-US"/>
        </w:rPr>
        <w:t>.</w:t>
      </w:r>
      <w:r>
        <w:rPr>
          <w:rFonts w:ascii="Times New Roman" w:hAnsi="Times New Roman"/>
          <w:sz w:val="24"/>
          <w:szCs w:val="24"/>
          <w:shd w:val="clear" w:color="auto" w:fill="ffffff"/>
          <w:rtl w:val="0"/>
        </w:rPr>
        <w:t xml:space="preserve"> 10</w:t>
      </w:r>
      <w:r>
        <w:rPr>
          <w:rFonts w:ascii="Times New Roman" w:hAnsi="Times New Roman"/>
          <w:sz w:val="24"/>
          <w:szCs w:val="24"/>
          <w:shd w:val="clear" w:color="auto" w:fill="ffffff"/>
          <w:rtl w:val="0"/>
          <w:lang w:val="en-US"/>
        </w:rPr>
        <w:t xml:space="preserve"> </w:t>
      </w:r>
      <w:r>
        <w:rPr>
          <w:rFonts w:ascii="Times New Roman" w:hAnsi="Times New Roman"/>
          <w:sz w:val="24"/>
          <w:szCs w:val="24"/>
          <w:shd w:val="clear" w:color="auto" w:fill="ffffff"/>
          <w:rtl w:val="0"/>
        </w:rPr>
        <w:t>(9)</w:t>
      </w:r>
      <w:r>
        <w:rPr>
          <w:rFonts w:ascii="Times New Roman" w:hAnsi="Times New Roman"/>
          <w:sz w:val="24"/>
          <w:szCs w:val="24"/>
          <w:shd w:val="clear" w:color="auto" w:fill="ffffff"/>
          <w:rtl w:val="0"/>
          <w:lang w:val="en-US"/>
        </w:rPr>
        <w:t xml:space="preserve"> Available at: </w:t>
      </w:r>
      <w:r>
        <w:rPr>
          <w:rFonts w:ascii="Times New Roman" w:hAnsi="Times New Roman"/>
          <w:sz w:val="24"/>
          <w:szCs w:val="24"/>
          <w:shd w:val="clear" w:color="auto" w:fill="ffffff"/>
          <w:rtl w:val="0"/>
          <w:lang w:val="pt-PT"/>
        </w:rPr>
        <w:t>doi:</w:t>
      </w:r>
      <w:r>
        <w:rPr>
          <w:rFonts w:ascii="Times New Roman" w:hAnsi="Times New Roman" w:hint="default"/>
          <w:sz w:val="24"/>
          <w:szCs w:val="24"/>
          <w:shd w:val="clear" w:color="auto" w:fill="ffffff"/>
          <w:rtl w:val="0"/>
        </w:rPr>
        <w:t> </w:t>
      </w:r>
      <w:r>
        <w:rPr>
          <w:rStyle w:val="Hyperlink.0"/>
          <w:rFonts w:ascii="Times New Roman" w:cs="Times New Roman" w:hAnsi="Times New Roman" w:eastAsia="Times New Roman"/>
          <w:sz w:val="24"/>
          <w:szCs w:val="24"/>
          <w:shd w:val="clear" w:color="auto" w:fill="ffffff"/>
          <w:rtl w:val="0"/>
        </w:rPr>
        <w:fldChar w:fldCharType="begin" w:fldLock="0"/>
      </w:r>
      <w:r>
        <w:rPr>
          <w:rStyle w:val="Hyperlink.0"/>
          <w:rFonts w:ascii="Times New Roman" w:cs="Times New Roman" w:hAnsi="Times New Roman" w:eastAsia="Times New Roman"/>
          <w:sz w:val="24"/>
          <w:szCs w:val="24"/>
          <w:shd w:val="clear" w:color="auto" w:fill="ffffff"/>
          <w:rtl w:val="0"/>
        </w:rPr>
        <w:instrText xml:space="preserve"> HYPERLINK "https://dx.doi.org/10.1371%2Fjournal.pone.0138096"</w:instrText>
      </w:r>
      <w:r>
        <w:rPr>
          <w:rStyle w:val="Hyperlink.0"/>
          <w:rFonts w:ascii="Times New Roman" w:cs="Times New Roman" w:hAnsi="Times New Roman" w:eastAsia="Times New Roman"/>
          <w:sz w:val="24"/>
          <w:szCs w:val="24"/>
          <w:shd w:val="clear" w:color="auto" w:fill="ffffff"/>
          <w:rtl w:val="0"/>
        </w:rPr>
        <w:fldChar w:fldCharType="separate" w:fldLock="0"/>
      </w:r>
      <w:r>
        <w:rPr>
          <w:rStyle w:val="Hyperlink.0"/>
          <w:rFonts w:ascii="Times New Roman" w:hAnsi="Times New Roman"/>
          <w:sz w:val="24"/>
          <w:szCs w:val="24"/>
          <w:shd w:val="clear" w:color="auto" w:fill="ffffff"/>
          <w:rtl w:val="0"/>
        </w:rPr>
        <w:t>10.1371/journal.pone.0138096</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(Accessed 22nd September 2015).</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Kilpatrick, M.W., Greeley, S.J. and Collins, L.H. (2015) The impact of continuous and interval cycle exercise on affect and enjoyment. </w:t>
      </w:r>
      <w:r>
        <w:rPr>
          <w:rFonts w:ascii="Times New Roman" w:hAnsi="Times New Roman"/>
          <w:i w:val="1"/>
          <w:iCs w:val="1"/>
          <w:sz w:val="24"/>
          <w:szCs w:val="24"/>
          <w:shd w:val="clear" w:color="auto" w:fill="ffffff"/>
          <w:rtl w:val="0"/>
          <w:lang w:val="en-US"/>
        </w:rPr>
        <w:t>Research quarterly for exercise and sport</w:t>
      </w:r>
      <w:r>
        <w:rPr>
          <w:rFonts w:ascii="Times New Roman" w:hAnsi="Times New Roman"/>
          <w:sz w:val="24"/>
          <w:szCs w:val="24"/>
          <w:shd w:val="clear" w:color="auto" w:fill="ffffff"/>
          <w:rtl w:val="0"/>
          <w:lang w:val="en-US"/>
        </w:rPr>
        <w:t>, 86</w:t>
      </w:r>
      <w:r>
        <w:rPr>
          <w:rFonts w:ascii="Times New Roman" w:hAnsi="Times New Roman"/>
          <w:i w:val="1"/>
          <w:iCs w:val="1"/>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(3) pp. 244-251. Available at: </w:t>
      </w:r>
      <w:r>
        <w:rPr>
          <w:rStyle w:val="Hyperlink.0"/>
          <w:rFonts w:ascii="Times New Roman" w:cs="Times New Roman" w:hAnsi="Times New Roman" w:eastAsia="Times New Roman"/>
          <w:sz w:val="24"/>
          <w:szCs w:val="24"/>
          <w:shd w:val="clear" w:color="auto" w:fill="ffffff"/>
          <w:rtl w:val="0"/>
        </w:rPr>
        <w:fldChar w:fldCharType="begin" w:fldLock="0"/>
      </w:r>
      <w:r>
        <w:rPr>
          <w:rStyle w:val="Hyperlink.0"/>
          <w:rFonts w:ascii="Times New Roman" w:cs="Times New Roman" w:hAnsi="Times New Roman" w:eastAsia="Times New Roman"/>
          <w:sz w:val="24"/>
          <w:szCs w:val="24"/>
          <w:shd w:val="clear" w:color="auto" w:fill="ffffff"/>
          <w:rtl w:val="0"/>
        </w:rPr>
        <w:instrText xml:space="preserve"> HYPERLINK "https://doi.org/10.1080/02701367.2015.1015673"</w:instrText>
      </w:r>
      <w:r>
        <w:rPr>
          <w:rStyle w:val="Hyperlink.0"/>
          <w:rFonts w:ascii="Times New Roman" w:cs="Times New Roman" w:hAnsi="Times New Roman" w:eastAsia="Times New Roman"/>
          <w:sz w:val="24"/>
          <w:szCs w:val="24"/>
          <w:shd w:val="clear" w:color="auto" w:fill="ffffff"/>
          <w:rtl w:val="0"/>
        </w:rPr>
        <w:fldChar w:fldCharType="separate" w:fldLock="0"/>
      </w:r>
      <w:r>
        <w:rPr>
          <w:rStyle w:val="Hyperlink.0"/>
          <w:rFonts w:ascii="Times New Roman" w:hAnsi="Times New Roman"/>
          <w:sz w:val="24"/>
          <w:szCs w:val="24"/>
          <w:shd w:val="clear" w:color="auto" w:fill="ffffff"/>
          <w:rtl w:val="0"/>
          <w:lang w:val="en-US"/>
        </w:rPr>
        <w:t>https://doi.org/10.1080/02701367.2015.1015673</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(Accessed 26th March 2015).</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Macdonald, B., McAleer, S., Kelly, S., Chakraverty, R., Johnston, M. and Pollock, N</w:t>
      </w:r>
      <w:r>
        <w:rPr>
          <w:rFonts w:ascii="Times New Roman" w:hAnsi="Times New Roman"/>
          <w:sz w:val="24"/>
          <w:szCs w:val="24"/>
          <w:rtl w:val="0"/>
          <w:lang w:val="en-US"/>
        </w:rPr>
        <w:t>. (</w:t>
      </w:r>
      <w:r>
        <w:rPr>
          <w:rFonts w:ascii="Times New Roman" w:hAnsi="Times New Roman"/>
          <w:sz w:val="24"/>
          <w:szCs w:val="24"/>
          <w:rtl w:val="0"/>
        </w:rPr>
        <w:t>2019</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Hamstring rehabilitation in elite track and field athletes: applying the British Athletics Muscle Injury Classification in clinical practice. </w:t>
      </w:r>
      <w:r>
        <w:rPr>
          <w:rFonts w:ascii="Times New Roman" w:hAnsi="Times New Roman"/>
          <w:i w:val="1"/>
          <w:iCs w:val="1"/>
          <w:sz w:val="24"/>
          <w:szCs w:val="24"/>
          <w:rtl w:val="0"/>
          <w:lang w:val="en-US"/>
        </w:rPr>
        <w:t>British journal of sports medicine</w:t>
      </w:r>
      <w:r>
        <w:rPr>
          <w:rFonts w:ascii="Times New Roman" w:hAnsi="Times New Roman"/>
          <w:i w:val="1"/>
          <w:iCs w:val="1"/>
          <w:sz w:val="24"/>
          <w:szCs w:val="24"/>
          <w:rtl w:val="0"/>
          <w:lang w:val="en-US"/>
        </w:rPr>
        <w:t>.</w:t>
      </w:r>
      <w:r>
        <w:rPr>
          <w:rFonts w:ascii="Times New Roman" w:hAnsi="Times New Roman"/>
          <w:sz w:val="24"/>
          <w:szCs w:val="24"/>
          <w:rtl w:val="0"/>
        </w:rPr>
        <w:t xml:space="preserve"> 53</w:t>
      </w:r>
      <w:r>
        <w:rPr>
          <w:rFonts w:ascii="Times New Roman" w:hAnsi="Times New Roman"/>
          <w:i w:val="1"/>
          <w:iCs w:val="1"/>
          <w:sz w:val="24"/>
          <w:szCs w:val="24"/>
          <w:rtl w:val="0"/>
          <w:lang w:val="en-US"/>
        </w:rPr>
        <w:t xml:space="preserve"> </w:t>
      </w:r>
      <w:r>
        <w:rPr>
          <w:rFonts w:ascii="Times New Roman" w:hAnsi="Times New Roman"/>
          <w:sz w:val="24"/>
          <w:szCs w:val="24"/>
          <w:rtl w:val="0"/>
        </w:rPr>
        <w:t>(23)</w:t>
      </w:r>
      <w:r>
        <w:rPr>
          <w:rFonts w:ascii="Times New Roman" w:hAnsi="Times New Roman"/>
          <w:sz w:val="24"/>
          <w:szCs w:val="24"/>
          <w:rtl w:val="0"/>
          <w:lang w:val="en-US"/>
        </w:rPr>
        <w:t xml:space="preserve"> </w:t>
      </w:r>
      <w:r>
        <w:rPr>
          <w:rFonts w:ascii="Times New Roman" w:hAnsi="Times New Roman"/>
          <w:sz w:val="24"/>
          <w:szCs w:val="24"/>
          <w:rtl w:val="0"/>
        </w:rPr>
        <w:t>pp.</w:t>
      </w:r>
      <w:r>
        <w:rPr>
          <w:rFonts w:ascii="Times New Roman" w:hAnsi="Times New Roman"/>
          <w:sz w:val="24"/>
          <w:szCs w:val="24"/>
          <w:rtl w:val="0"/>
          <w:lang w:val="en-US"/>
        </w:rPr>
        <w:t xml:space="preserve"> </w:t>
      </w:r>
      <w:r>
        <w:rPr>
          <w:rFonts w:ascii="Times New Roman" w:hAnsi="Times New Roman"/>
          <w:sz w:val="24"/>
          <w:szCs w:val="24"/>
          <w:rtl w:val="0"/>
        </w:rPr>
        <w:t>1464-1473.</w:t>
      </w:r>
      <w:r>
        <w:rPr>
          <w:rFonts w:ascii="Times New Roman" w:hAnsi="Times New Roman"/>
          <w:sz w:val="24"/>
          <w:szCs w:val="24"/>
          <w:rtl w:val="0"/>
          <w:lang w:val="en-US"/>
        </w:rPr>
        <w:t xml:space="preserve"> Available at: </w:t>
      </w:r>
      <w:r>
        <w:rPr>
          <w:rFonts w:ascii="Times New Roman" w:hAnsi="Times New Roman"/>
          <w:sz w:val="24"/>
          <w:szCs w:val="24"/>
          <w:rtl w:val="0"/>
        </w:rPr>
        <w:t>DOI:10.1136/bjsports-2017-098971</w:t>
      </w:r>
      <w:r>
        <w:rPr>
          <w:rFonts w:ascii="Times New Roman" w:hAnsi="Times New Roman"/>
          <w:sz w:val="24"/>
          <w:szCs w:val="24"/>
          <w:rtl w:val="0"/>
          <w:lang w:val="en-US"/>
        </w:rPr>
        <w:t xml:space="preserve"> (Accessed December 2019).</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Matsuo, T., Saotome, K., Seino, S., Shimojo, N., Matsushita, A., Iemitsu, M., Ohshima, H., Tanaka, K. and Mukai, C. (2014) Effects of a low-volume aerobic-type interval exercise on VO2max and cardiac mass. </w:t>
      </w:r>
      <w:r>
        <w:rPr>
          <w:rFonts w:ascii="Times New Roman" w:hAnsi="Times New Roman"/>
          <w:i w:val="1"/>
          <w:iCs w:val="1"/>
          <w:sz w:val="24"/>
          <w:szCs w:val="24"/>
          <w:rtl w:val="0"/>
          <w:lang w:val="en-US"/>
        </w:rPr>
        <w:t>Medicine &amp; Science in Sports &amp; Exercise.</w:t>
      </w:r>
      <w:r>
        <w:rPr>
          <w:rFonts w:ascii="Times New Roman" w:hAnsi="Times New Roman"/>
          <w:sz w:val="24"/>
          <w:szCs w:val="24"/>
          <w:rtl w:val="0"/>
          <w:lang w:val="en-US"/>
        </w:rPr>
        <w:t xml:space="preserve"> 46 (1) pp. 42-50. Available at: </w:t>
      </w:r>
      <w:r>
        <w:rPr>
          <w:rFonts w:ascii="Times New Roman" w:hAnsi="Times New Roman"/>
          <w:sz w:val="24"/>
          <w:szCs w:val="24"/>
          <w:rtl w:val="0"/>
        </w:rPr>
        <w:t>doi: 10.1249/MSS.0b013e3182a38da8</w:t>
      </w:r>
      <w:r>
        <w:rPr>
          <w:rFonts w:ascii="Times New Roman" w:hAnsi="Times New Roman"/>
          <w:sz w:val="24"/>
          <w:szCs w:val="24"/>
          <w:rtl w:val="0"/>
          <w:lang w:val="en-US"/>
        </w:rPr>
        <w:t xml:space="preserve"> (Accessed January 2014).</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Molmen-Hansen, H.E., Stolen, T., Tjonna, A.E., Aamot, I.L., Ekeberg, I.S., Tyldum, G.A., Wisloff, U., Ingul, C.B. and Stoylen, A. (2012) Aerobic interval training reduces blood pressure and improves myocardial function in hypertensive patients. </w:t>
      </w:r>
      <w:r>
        <w:rPr>
          <w:rFonts w:ascii="Times New Roman" w:hAnsi="Times New Roman"/>
          <w:i w:val="1"/>
          <w:iCs w:val="1"/>
          <w:sz w:val="24"/>
          <w:szCs w:val="24"/>
          <w:shd w:val="clear" w:color="auto" w:fill="ffffff"/>
          <w:rtl w:val="0"/>
          <w:lang w:val="en-US"/>
        </w:rPr>
        <w:t>European journal of preventive cardiology.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 xml:space="preserve">19 </w:t>
      </w:r>
      <w:r>
        <w:rPr>
          <w:rFonts w:ascii="Times New Roman" w:hAnsi="Times New Roman"/>
          <w:sz w:val="24"/>
          <w:szCs w:val="24"/>
          <w:shd w:val="clear" w:color="auto" w:fill="ffffff"/>
          <w:rtl w:val="0"/>
          <w:lang w:val="en-US"/>
        </w:rPr>
        <w:t xml:space="preserve">(2) pp. 151-160. Available at: </w:t>
      </w:r>
      <w:r>
        <w:rPr>
          <w:rStyle w:val="Hyperlink.0"/>
          <w:rFonts w:ascii="Times New Roman" w:cs="Times New Roman" w:hAnsi="Times New Roman" w:eastAsia="Times New Roman"/>
          <w:sz w:val="24"/>
          <w:szCs w:val="24"/>
          <w:shd w:val="clear" w:color="auto" w:fill="ffffff"/>
          <w:rtl w:val="0"/>
        </w:rPr>
        <w:fldChar w:fldCharType="begin" w:fldLock="0"/>
      </w:r>
      <w:r>
        <w:rPr>
          <w:rStyle w:val="Hyperlink.0"/>
          <w:rFonts w:ascii="Times New Roman" w:cs="Times New Roman" w:hAnsi="Times New Roman" w:eastAsia="Times New Roman"/>
          <w:sz w:val="24"/>
          <w:szCs w:val="24"/>
          <w:shd w:val="clear" w:color="auto" w:fill="ffffff"/>
          <w:rtl w:val="0"/>
        </w:rPr>
        <w:instrText xml:space="preserve"> HYPERLINK "https://doi.org/10.1177/1741826711400512"</w:instrText>
      </w:r>
      <w:r>
        <w:rPr>
          <w:rStyle w:val="Hyperlink.0"/>
          <w:rFonts w:ascii="Times New Roman" w:cs="Times New Roman" w:hAnsi="Times New Roman" w:eastAsia="Times New Roman"/>
          <w:sz w:val="24"/>
          <w:szCs w:val="24"/>
          <w:shd w:val="clear" w:color="auto" w:fill="ffffff"/>
          <w:rtl w:val="0"/>
        </w:rPr>
        <w:fldChar w:fldCharType="separate" w:fldLock="0"/>
      </w:r>
      <w:r>
        <w:rPr>
          <w:rStyle w:val="Hyperlink.0"/>
          <w:rFonts w:ascii="Times New Roman" w:hAnsi="Times New Roman"/>
          <w:sz w:val="24"/>
          <w:szCs w:val="24"/>
          <w:shd w:val="clear" w:color="auto" w:fill="ffffff"/>
          <w:rtl w:val="0"/>
          <w:lang w:val="en-US"/>
        </w:rPr>
        <w:t>https://doi.org/10.1177/1741826711400512</w:t>
      </w:r>
      <w:r>
        <w:rPr>
          <w:rFonts w:ascii="Times New Roman" w:cs="Times New Roman" w:hAnsi="Times New Roman" w:eastAsia="Times New Roman"/>
          <w:sz w:val="24"/>
          <w:szCs w:val="24"/>
          <w:shd w:val="clear" w:color="auto" w:fill="ffffff"/>
          <w:rtl w:val="0"/>
        </w:rPr>
        <w:fldChar w:fldCharType="end" w:fldLock="0"/>
      </w:r>
      <w:r>
        <w:rPr>
          <w:rFonts w:ascii="Times New Roman" w:hAnsi="Times New Roman"/>
          <w:sz w:val="24"/>
          <w:szCs w:val="24"/>
          <w:shd w:val="clear" w:color="auto" w:fill="ffffff"/>
          <w:rtl w:val="0"/>
          <w:lang w:val="en-US"/>
        </w:rPr>
        <w:t xml:space="preserve"> (Accessed 4th March 2012).</w:t>
      </w:r>
    </w:p>
    <w:p>
      <w:pPr>
        <w:pStyle w:val="Default"/>
        <w:bidi w:val="0"/>
        <w:spacing w:line="360" w:lineRule="auto"/>
        <w:ind w:left="0" w:right="0" w:firstLine="0"/>
        <w:jc w:val="left"/>
        <w:rPr>
          <w:rFonts w:ascii="Times New Roman" w:cs="Times New Roman" w:hAnsi="Times New Roman" w:eastAsia="Times New Roman"/>
          <w:outline w:val="0"/>
          <w:color w:val="212121"/>
          <w:sz w:val="24"/>
          <w:szCs w:val="24"/>
          <w:shd w:val="clear" w:color="auto" w:fill="ffffff"/>
          <w:rtl w:val="0"/>
          <w14:textFill>
            <w14:solidFill>
              <w14:srgbClr w14:val="222222"/>
            </w14:solidFill>
          </w14:textFill>
        </w:rPr>
      </w:pPr>
    </w:p>
    <w:p>
      <w:pPr>
        <w:pStyle w:val="Default"/>
        <w:bidi w:val="0"/>
        <w:spacing w:line="360" w:lineRule="auto"/>
        <w:ind w:left="0" w:right="0" w:firstLine="0"/>
        <w:jc w:val="left"/>
        <w:rPr>
          <w:rFonts w:ascii="Times New Roman" w:cs="Times New Roman" w:hAnsi="Times New Roman" w:eastAsia="Times New Roman"/>
          <w:outline w:val="0"/>
          <w:color w:val="212121"/>
          <w:sz w:val="24"/>
          <w:szCs w:val="24"/>
          <w:shd w:val="clear" w:color="auto" w:fill="ffffff"/>
          <w:rtl w:val="0"/>
          <w14:textFill>
            <w14:solidFill>
              <w14:srgbClr w14:val="222222"/>
            </w14:solidFill>
          </w14:textFill>
        </w:rPr>
      </w:pP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Opplert, J. and Babault, N (2018). Acute effects of dynamic stretching on muscle flexibility and performance: an analysis of the current literature. </w:t>
      </w:r>
      <w:r>
        <w:rPr>
          <w:rFonts w:ascii="Times New Roman" w:hAnsi="Times New Roman"/>
          <w:i w:val="1"/>
          <w:iCs w:val="1"/>
          <w:outline w:val="0"/>
          <w:color w:val="212121"/>
          <w:sz w:val="24"/>
          <w:szCs w:val="24"/>
          <w:shd w:val="clear" w:color="auto" w:fill="ffffff"/>
          <w:rtl w:val="0"/>
          <w:lang w:val="en-US"/>
          <w14:textFill>
            <w14:solidFill>
              <w14:srgbClr w14:val="222222"/>
            </w14:solidFill>
          </w14:textFill>
        </w:rPr>
        <w:t>Sports Medicine.</w:t>
      </w: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 48 (2) pp. 299-325. Available at: </w:t>
      </w:r>
      <w:r>
        <w:rPr>
          <w:rStyle w:val="Hyperlink.0"/>
          <w:rFonts w:ascii="Times New Roman" w:cs="Times New Roman" w:hAnsi="Times New Roman" w:eastAsia="Times New Roman"/>
          <w:outline w:val="0"/>
          <w:color w:val="212121"/>
          <w:sz w:val="24"/>
          <w:szCs w:val="24"/>
          <w:shd w:val="clear" w:color="auto" w:fill="ffffff"/>
          <w:rtl w:val="0"/>
          <w14:textFill>
            <w14:solidFill>
              <w14:srgbClr w14:val="222222"/>
            </w14:solidFill>
          </w14:textFill>
        </w:rPr>
        <w:fldChar w:fldCharType="begin" w:fldLock="0"/>
      </w:r>
      <w:r>
        <w:rPr>
          <w:rStyle w:val="Hyperlink.0"/>
          <w:rFonts w:ascii="Times New Roman" w:cs="Times New Roman" w:hAnsi="Times New Roman" w:eastAsia="Times New Roman"/>
          <w:outline w:val="0"/>
          <w:color w:val="212121"/>
          <w:sz w:val="24"/>
          <w:szCs w:val="24"/>
          <w:shd w:val="clear" w:color="auto" w:fill="ffffff"/>
          <w:rtl w:val="0"/>
          <w14:textFill>
            <w14:solidFill>
              <w14:srgbClr w14:val="222222"/>
            </w14:solidFill>
          </w14:textFill>
        </w:rPr>
        <w:instrText xml:space="preserve"> HYPERLINK "http://dx.doi.org/10.1007/s40279-017-0797-9"</w:instrText>
      </w:r>
      <w:r>
        <w:rPr>
          <w:rStyle w:val="Hyperlink.0"/>
          <w:rFonts w:ascii="Times New Roman" w:cs="Times New Roman" w:hAnsi="Times New Roman" w:eastAsia="Times New Roman"/>
          <w:outline w:val="0"/>
          <w:color w:val="212121"/>
          <w:sz w:val="24"/>
          <w:szCs w:val="24"/>
          <w:shd w:val="clear" w:color="auto" w:fill="ffffff"/>
          <w:rtl w:val="0"/>
          <w14:textFill>
            <w14:solidFill>
              <w14:srgbClr w14:val="222222"/>
            </w14:solidFill>
          </w14:textFill>
        </w:rPr>
        <w:fldChar w:fldCharType="separate" w:fldLock="0"/>
      </w:r>
      <w:r>
        <w:rPr>
          <w:rStyle w:val="Hyperlink.0"/>
          <w:rFonts w:ascii="Times New Roman" w:hAnsi="Times New Roman"/>
          <w:outline w:val="0"/>
          <w:color w:val="212121"/>
          <w:sz w:val="24"/>
          <w:szCs w:val="24"/>
          <w:shd w:val="clear" w:color="auto" w:fill="ffffff"/>
          <w:rtl w:val="0"/>
          <w:lang w:val="en-US"/>
          <w14:textFill>
            <w14:solidFill>
              <w14:srgbClr w14:val="222222"/>
            </w14:solidFill>
          </w14:textFill>
        </w:rPr>
        <w:t>http://dx.doi.org/10.1007/s40279-017-0797-9</w:t>
      </w:r>
      <w:r>
        <w:rPr>
          <w:rFonts w:ascii="Times New Roman" w:cs="Times New Roman" w:hAnsi="Times New Roman" w:eastAsia="Times New Roman"/>
          <w:outline w:val="0"/>
          <w:color w:val="212121"/>
          <w:sz w:val="24"/>
          <w:szCs w:val="24"/>
          <w:shd w:val="clear" w:color="auto" w:fill="ffffff"/>
          <w:rtl w:val="0"/>
          <w14:textFill>
            <w14:solidFill>
              <w14:srgbClr w14:val="222222"/>
            </w14:solidFill>
          </w14:textFill>
        </w:rPr>
        <w:fldChar w:fldCharType="end" w:fldLock="0"/>
      </w:r>
      <w:r>
        <w:rPr>
          <w:rFonts w:ascii="Times New Roman" w:hAnsi="Times New Roman"/>
          <w:outline w:val="0"/>
          <w:color w:val="212121"/>
          <w:sz w:val="24"/>
          <w:szCs w:val="24"/>
          <w:shd w:val="clear" w:color="auto" w:fill="ffffff"/>
          <w:rtl w:val="0"/>
          <w:lang w:val="en-US"/>
          <w14:textFill>
            <w14:solidFill>
              <w14:srgbClr w14:val="222222"/>
            </w14:solidFill>
          </w14:textFill>
        </w:rPr>
        <w:t>.</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Palmer, T.B., Akehi, K., Thiele, R.M., Smith, D.B., Warren, A.J. and Thompson, B.</w:t>
      </w:r>
      <w:r>
        <w:rPr>
          <w:rFonts w:ascii="Times New Roman" w:hAnsi="Times New Roman"/>
          <w:sz w:val="24"/>
          <w:szCs w:val="24"/>
          <w:rtl w:val="0"/>
          <w:lang w:val="en-US"/>
        </w:rPr>
        <w:t>J. (</w:t>
      </w:r>
      <w:r>
        <w:rPr>
          <w:rFonts w:ascii="Times New Roman" w:hAnsi="Times New Roman"/>
          <w:sz w:val="24"/>
          <w:szCs w:val="24"/>
          <w:rtl w:val="0"/>
        </w:rPr>
        <w:t>2015</w:t>
      </w:r>
      <w:r>
        <w:rPr>
          <w:rFonts w:ascii="Times New Roman" w:hAnsi="Times New Roman"/>
          <w:sz w:val="24"/>
          <w:szCs w:val="24"/>
          <w:rtl w:val="0"/>
          <w:lang w:val="en-US"/>
        </w:rPr>
        <w:t>)</w:t>
      </w:r>
      <w:r>
        <w:rPr>
          <w:rFonts w:ascii="Times New Roman" w:hAnsi="Times New Roman"/>
          <w:sz w:val="24"/>
          <w:szCs w:val="24"/>
          <w:rtl w:val="0"/>
          <w:lang w:val="en-US"/>
        </w:rPr>
        <w:t xml:space="preserve"> Dorsiflexion, plantar-flexion, and neutral ankle positions during passive resistance assessments of the posterior hip and thigh muscles. </w:t>
      </w:r>
      <w:r>
        <w:rPr>
          <w:rFonts w:ascii="Times New Roman" w:hAnsi="Times New Roman"/>
          <w:i w:val="1"/>
          <w:iCs w:val="1"/>
          <w:sz w:val="24"/>
          <w:szCs w:val="24"/>
          <w:rtl w:val="0"/>
          <w:lang w:val="en-US"/>
        </w:rPr>
        <w:t>Journal of athletic training</w:t>
      </w:r>
      <w:r>
        <w:rPr>
          <w:rFonts w:ascii="Times New Roman" w:hAnsi="Times New Roman"/>
          <w:i w:val="1"/>
          <w:iCs w:val="1"/>
          <w:sz w:val="24"/>
          <w:szCs w:val="24"/>
          <w:rtl w:val="0"/>
          <w:lang w:val="en-US"/>
        </w:rPr>
        <w:t>.</w:t>
      </w:r>
      <w:r>
        <w:rPr>
          <w:rFonts w:ascii="Times New Roman" w:hAnsi="Times New Roman"/>
          <w:sz w:val="24"/>
          <w:szCs w:val="24"/>
          <w:rtl w:val="0"/>
        </w:rPr>
        <w:t xml:space="preserve"> 50</w:t>
      </w:r>
      <w:r>
        <w:rPr>
          <w:rFonts w:ascii="Times New Roman" w:hAnsi="Times New Roman"/>
          <w:i w:val="1"/>
          <w:iCs w:val="1"/>
          <w:sz w:val="24"/>
          <w:szCs w:val="24"/>
          <w:rtl w:val="0"/>
          <w:lang w:val="en-US"/>
        </w:rPr>
        <w:t xml:space="preserve"> </w:t>
      </w:r>
      <w:r>
        <w:rPr>
          <w:rFonts w:ascii="Times New Roman" w:hAnsi="Times New Roman"/>
          <w:sz w:val="24"/>
          <w:szCs w:val="24"/>
          <w:rtl w:val="0"/>
        </w:rPr>
        <w:t>(5)</w:t>
      </w:r>
      <w:r>
        <w:rPr>
          <w:rFonts w:ascii="Times New Roman" w:hAnsi="Times New Roman"/>
          <w:sz w:val="24"/>
          <w:szCs w:val="24"/>
          <w:rtl w:val="0"/>
          <w:lang w:val="en-US"/>
        </w:rPr>
        <w:t>.</w:t>
      </w:r>
      <w:r>
        <w:rPr>
          <w:rFonts w:ascii="Times New Roman" w:hAnsi="Times New Roman"/>
          <w:sz w:val="24"/>
          <w:szCs w:val="24"/>
          <w:rtl w:val="0"/>
        </w:rPr>
        <w:t xml:space="preserve"> pp.</w:t>
      </w:r>
      <w:r>
        <w:rPr>
          <w:rFonts w:ascii="Times New Roman" w:hAnsi="Times New Roman"/>
          <w:sz w:val="24"/>
          <w:szCs w:val="24"/>
          <w:rtl w:val="0"/>
          <w:lang w:val="en-US"/>
        </w:rPr>
        <w:t xml:space="preserve"> </w:t>
      </w:r>
      <w:r>
        <w:rPr>
          <w:rFonts w:ascii="Times New Roman" w:hAnsi="Times New Roman"/>
          <w:sz w:val="24"/>
          <w:szCs w:val="24"/>
          <w:rtl w:val="0"/>
        </w:rPr>
        <w:t>467-474.</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"https://doi.org/10.4085/1062-6050-49.6.04"</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https://doi.org/10.4085/1062-6050-49.6.04</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May 2015).</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it-IT"/>
        </w:rPr>
        <w:t>Patel, L., Alicandro, G. and La Vecchia, C</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2020</w:t>
      </w:r>
      <w:r>
        <w:rPr>
          <w:rFonts w:ascii="Times New Roman" w:hAnsi="Times New Roman"/>
          <w:sz w:val="24"/>
          <w:szCs w:val="24"/>
          <w:rtl w:val="0"/>
          <w:lang w:val="en-US"/>
        </w:rPr>
        <w:t>)</w:t>
      </w:r>
      <w:r>
        <w:rPr>
          <w:rFonts w:ascii="Times New Roman" w:hAnsi="Times New Roman"/>
          <w:sz w:val="24"/>
          <w:szCs w:val="24"/>
          <w:rtl w:val="0"/>
          <w:lang w:val="en-US"/>
        </w:rPr>
        <w:t xml:space="preserve"> Dietary approach to stop hypertension (DASH) diet and associated socioeconomic inequalities in the United Kingdom. </w:t>
      </w:r>
      <w:r>
        <w:rPr>
          <w:rFonts w:ascii="Times New Roman" w:hAnsi="Times New Roman"/>
          <w:i w:val="1"/>
          <w:iCs w:val="1"/>
          <w:sz w:val="24"/>
          <w:szCs w:val="24"/>
          <w:rtl w:val="0"/>
          <w:lang w:val="en-US"/>
        </w:rPr>
        <w:t>British Journal of Nutrition</w:t>
      </w:r>
      <w:r>
        <w:rPr>
          <w:rFonts w:ascii="Times New Roman" w:hAnsi="Times New Roman"/>
          <w:i w:val="1"/>
          <w:iCs w:val="1"/>
          <w:sz w:val="24"/>
          <w:szCs w:val="24"/>
          <w:rtl w:val="0"/>
          <w:lang w:val="en-US"/>
        </w:rPr>
        <w:t>l.</w:t>
      </w:r>
      <w:r>
        <w:rPr>
          <w:rFonts w:ascii="Times New Roman" w:hAnsi="Times New Roman"/>
          <w:sz w:val="24"/>
          <w:szCs w:val="24"/>
          <w:rtl w:val="0"/>
        </w:rPr>
        <w:t xml:space="preserve"> pp.</w:t>
      </w:r>
      <w:r>
        <w:rPr>
          <w:rFonts w:ascii="Times New Roman" w:hAnsi="Times New Roman"/>
          <w:sz w:val="24"/>
          <w:szCs w:val="24"/>
          <w:rtl w:val="0"/>
          <w:lang w:val="en-US"/>
        </w:rPr>
        <w:t xml:space="preserve"> </w:t>
      </w:r>
      <w:r>
        <w:rPr>
          <w:rFonts w:ascii="Times New Roman" w:hAnsi="Times New Roman"/>
          <w:sz w:val="24"/>
          <w:szCs w:val="24"/>
          <w:rtl w:val="0"/>
        </w:rPr>
        <w:t>1-24.</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"https://doi.org/10.1017/S0007114520001087"</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https://doi.org/10.1017/S0007114520001087</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March 2020).</w:t>
      </w:r>
    </w:p>
    <w:p>
      <w:pPr>
        <w:pStyle w:val="Default"/>
        <w:bidi w:val="0"/>
        <w:spacing w:line="360" w:lineRule="auto"/>
        <w:ind w:left="0" w:right="0" w:firstLine="0"/>
        <w:jc w:val="left"/>
        <w:rPr>
          <w:rFonts w:ascii="Times New Roman" w:cs="Times New Roman" w:hAnsi="Times New Roman" w:eastAsia="Times New Roman"/>
          <w:outline w:val="0"/>
          <w:color w:val="212121"/>
          <w:sz w:val="24"/>
          <w:szCs w:val="24"/>
          <w:shd w:val="clear" w:color="auto" w:fill="ffffff"/>
          <w:rtl w:val="0"/>
          <w14:textFill>
            <w14:solidFill>
              <w14:srgbClr w14:val="222222"/>
            </w14:solidFill>
          </w14:textFill>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Powell, K.</w:t>
      </w:r>
      <w:r>
        <w:rPr>
          <w:rFonts w:ascii="Times New Roman" w:hAnsi="Times New Roman"/>
          <w:sz w:val="24"/>
          <w:szCs w:val="24"/>
          <w:rtl w:val="0"/>
          <w:lang w:val="en-US"/>
        </w:rPr>
        <w:t>E.</w:t>
      </w:r>
      <w:r>
        <w:rPr>
          <w:rFonts w:ascii="Times New Roman" w:hAnsi="Times New Roman"/>
          <w:sz w:val="24"/>
          <w:szCs w:val="24"/>
          <w:rtl w:val="0"/>
          <w:lang w:val="it-IT"/>
        </w:rPr>
        <w:t>, King, A., Buchner, D., Campbell, W., DiPietro, L., Erickson, K., Hillman, C., Jakicic, J., Janz, K., Katzmarzyk, P., Kraus, W., Macko, R., Marquez, D., McTiernan, A., Pate, R., Pescatello, L. and Whitt-Glover, M</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2019</w:t>
      </w:r>
      <w:r>
        <w:rPr>
          <w:rFonts w:ascii="Times New Roman" w:hAnsi="Times New Roman"/>
          <w:sz w:val="24"/>
          <w:szCs w:val="24"/>
          <w:rtl w:val="0"/>
          <w:lang w:val="en-US"/>
        </w:rPr>
        <w:t>)</w:t>
      </w:r>
      <w:r>
        <w:rPr>
          <w:rFonts w:ascii="Times New Roman" w:hAnsi="Times New Roman"/>
          <w:sz w:val="24"/>
          <w:szCs w:val="24"/>
          <w:rtl w:val="0"/>
          <w:lang w:val="en-US"/>
        </w:rPr>
        <w:t xml:space="preserve"> The Scientific Foundation for the Physical Activity Guidelines for Americans. </w:t>
      </w:r>
      <w:r>
        <w:rPr>
          <w:rFonts w:ascii="Times New Roman" w:hAnsi="Times New Roman"/>
          <w:i w:val="1"/>
          <w:iCs w:val="1"/>
          <w:sz w:val="24"/>
          <w:szCs w:val="24"/>
          <w:rtl w:val="0"/>
          <w:lang w:val="en-US"/>
        </w:rPr>
        <w:t>Journal of Physical Activity and Health</w:t>
      </w:r>
      <w:r>
        <w:rPr>
          <w:rFonts w:ascii="Times New Roman" w:hAnsi="Times New Roman"/>
          <w:i w:val="1"/>
          <w:iCs w:val="1"/>
          <w:sz w:val="24"/>
          <w:szCs w:val="24"/>
          <w:rtl w:val="0"/>
          <w:lang w:val="en-US"/>
        </w:rPr>
        <w:t>.</w:t>
      </w:r>
      <w:r>
        <w:rPr>
          <w:rFonts w:ascii="Times New Roman" w:hAnsi="Times New Roman"/>
          <w:sz w:val="24"/>
          <w:szCs w:val="24"/>
          <w:rtl w:val="0"/>
        </w:rPr>
        <w:t xml:space="preserve"> 16</w:t>
      </w:r>
      <w:r>
        <w:rPr>
          <w:rFonts w:ascii="Times New Roman" w:hAnsi="Times New Roman"/>
          <w:sz w:val="24"/>
          <w:szCs w:val="24"/>
          <w:rtl w:val="0"/>
          <w:lang w:val="en-US"/>
        </w:rPr>
        <w:t xml:space="preserve"> </w:t>
      </w:r>
      <w:r>
        <w:rPr>
          <w:rFonts w:ascii="Times New Roman" w:hAnsi="Times New Roman"/>
          <w:sz w:val="24"/>
          <w:szCs w:val="24"/>
          <w:rtl w:val="0"/>
        </w:rPr>
        <w:t>(1) pp.</w:t>
      </w:r>
      <w:r>
        <w:rPr>
          <w:rFonts w:ascii="Times New Roman" w:hAnsi="Times New Roman"/>
          <w:sz w:val="24"/>
          <w:szCs w:val="24"/>
          <w:rtl w:val="0"/>
          <w:lang w:val="en-US"/>
        </w:rPr>
        <w:t xml:space="preserve"> </w:t>
      </w:r>
      <w:r>
        <w:rPr>
          <w:rFonts w:ascii="Times New Roman" w:hAnsi="Times New Roman"/>
          <w:sz w:val="24"/>
          <w:szCs w:val="24"/>
          <w:rtl w:val="0"/>
          <w:lang w:val="ru-RU"/>
        </w:rPr>
        <w:t>1-1</w:t>
      </w:r>
      <w:r>
        <w:rPr>
          <w:rFonts w:ascii="Times New Roman" w:hAnsi="Times New Roman"/>
          <w:sz w:val="24"/>
          <w:szCs w:val="24"/>
          <w:rtl w:val="0"/>
          <w:lang w:val="en-US"/>
        </w:rPr>
        <w:t xml:space="preserve">1. Available at: </w:t>
      </w:r>
      <w:r>
        <w:rPr>
          <w:rFonts w:ascii="Times New Roman" w:hAnsi="Times New Roman"/>
          <w:sz w:val="24"/>
          <w:szCs w:val="24"/>
          <w:rtl w:val="0"/>
          <w:lang w:val="fr-FR"/>
        </w:rPr>
        <w:t xml:space="preserve">DOI: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"https://doi.org/10.1123/jpah.2018-0618"</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https://doi.org/10.1123/jpah.2018-0618</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Sandage, M.J. and Smith, A.G</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2017</w:t>
      </w:r>
      <w:r>
        <w:rPr>
          <w:rFonts w:ascii="Times New Roman" w:hAnsi="Times New Roman"/>
          <w:sz w:val="24"/>
          <w:szCs w:val="24"/>
          <w:rtl w:val="0"/>
          <w:lang w:val="en-US"/>
        </w:rPr>
        <w:t>)</w:t>
      </w:r>
      <w:r>
        <w:rPr>
          <w:rFonts w:ascii="Times New Roman" w:hAnsi="Times New Roman"/>
          <w:sz w:val="24"/>
          <w:szCs w:val="24"/>
          <w:rtl w:val="0"/>
          <w:lang w:val="en-US"/>
        </w:rPr>
        <w:t xml:space="preserve"> Muscle bioenergetic considerations for intrinsic laryngeal skeletal muscle physiology. </w:t>
      </w:r>
      <w:r>
        <w:rPr>
          <w:rFonts w:ascii="Times New Roman" w:hAnsi="Times New Roman"/>
          <w:i w:val="1"/>
          <w:iCs w:val="1"/>
          <w:sz w:val="24"/>
          <w:szCs w:val="24"/>
          <w:rtl w:val="0"/>
          <w:lang w:val="en-US"/>
        </w:rPr>
        <w:t>Journal of Speech, Language, and Hearing Research</w:t>
      </w:r>
      <w:r>
        <w:rPr>
          <w:rFonts w:ascii="Times New Roman" w:hAnsi="Times New Roman"/>
          <w:sz w:val="24"/>
          <w:szCs w:val="24"/>
          <w:rtl w:val="0"/>
        </w:rPr>
        <w:t xml:space="preserve">, </w:t>
      </w:r>
      <w:r>
        <w:rPr>
          <w:rFonts w:ascii="Times New Roman" w:hAnsi="Times New Roman"/>
          <w:i w:val="1"/>
          <w:iCs w:val="1"/>
          <w:sz w:val="24"/>
          <w:szCs w:val="24"/>
          <w:rtl w:val="0"/>
        </w:rPr>
        <w:t>60</w:t>
      </w:r>
      <w:r>
        <w:rPr>
          <w:rFonts w:ascii="Times New Roman" w:hAnsi="Times New Roman"/>
          <w:i w:val="1"/>
          <w:iCs w:val="1"/>
          <w:sz w:val="24"/>
          <w:szCs w:val="24"/>
          <w:rtl w:val="0"/>
          <w:lang w:val="en-US"/>
        </w:rPr>
        <w:t xml:space="preserve"> </w:t>
      </w:r>
      <w:r>
        <w:rPr>
          <w:rFonts w:ascii="Times New Roman" w:hAnsi="Times New Roman"/>
          <w:sz w:val="24"/>
          <w:szCs w:val="24"/>
          <w:rtl w:val="0"/>
        </w:rPr>
        <w:t>(5) pp.</w:t>
      </w:r>
      <w:r>
        <w:rPr>
          <w:rFonts w:ascii="Times New Roman" w:hAnsi="Times New Roman"/>
          <w:sz w:val="24"/>
          <w:szCs w:val="24"/>
          <w:rtl w:val="0"/>
          <w:lang w:val="en-US"/>
        </w:rPr>
        <w:t xml:space="preserve"> </w:t>
      </w:r>
      <w:r>
        <w:rPr>
          <w:rFonts w:ascii="Times New Roman" w:hAnsi="Times New Roman"/>
          <w:sz w:val="24"/>
          <w:szCs w:val="24"/>
          <w:rtl w:val="0"/>
        </w:rPr>
        <w:t>1254-1263.</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"https://doi.org/10.1044/2016_JSLHR-S-16-0192"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https://doi.org/10.1044/2016_JSLHR-S-16-0192</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24th May 2017).</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s-ES_tradnl"/>
        </w:rPr>
        <w:t>Silva, L.M., Neiva, H.P., Marques, M.C., Izquierdo, M. and Marinho, D.A</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2018</w:t>
      </w:r>
      <w:r>
        <w:rPr>
          <w:rFonts w:ascii="Times New Roman" w:hAnsi="Times New Roman"/>
          <w:sz w:val="24"/>
          <w:szCs w:val="24"/>
          <w:rtl w:val="0"/>
          <w:lang w:val="en-US"/>
        </w:rPr>
        <w:t>)</w:t>
      </w:r>
      <w:r>
        <w:rPr>
          <w:rFonts w:ascii="Times New Roman" w:hAnsi="Times New Roman"/>
          <w:sz w:val="24"/>
          <w:szCs w:val="24"/>
          <w:rtl w:val="0"/>
          <w:lang w:val="en-US"/>
        </w:rPr>
        <w:t xml:space="preserve"> Effects of warm-up, post-warm-up, and re-warm-up strategies on explosive efforts in team sports: A systematic review. </w:t>
      </w:r>
      <w:r>
        <w:rPr>
          <w:rFonts w:ascii="Times New Roman" w:hAnsi="Times New Roman"/>
          <w:i w:val="1"/>
          <w:iCs w:val="1"/>
          <w:sz w:val="24"/>
          <w:szCs w:val="24"/>
          <w:rtl w:val="0"/>
          <w:lang w:val="en-US"/>
        </w:rPr>
        <w:t>Sports Medicine</w:t>
      </w:r>
      <w:r>
        <w:rPr>
          <w:rFonts w:ascii="Times New Roman" w:hAnsi="Times New Roman"/>
          <w:i w:val="1"/>
          <w:iCs w:val="1"/>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rPr>
        <w:t>48</w:t>
      </w:r>
      <w:r>
        <w:rPr>
          <w:rFonts w:ascii="Times New Roman" w:hAnsi="Times New Roman"/>
          <w:i w:val="1"/>
          <w:iCs w:val="1"/>
          <w:sz w:val="24"/>
          <w:szCs w:val="24"/>
          <w:rtl w:val="0"/>
          <w:lang w:val="en-US"/>
        </w:rPr>
        <w:t xml:space="preserve"> </w:t>
      </w:r>
      <w:r>
        <w:rPr>
          <w:rFonts w:ascii="Times New Roman" w:hAnsi="Times New Roman"/>
          <w:sz w:val="24"/>
          <w:szCs w:val="24"/>
          <w:rtl w:val="0"/>
        </w:rPr>
        <w:t>(10)</w:t>
      </w:r>
      <w:r>
        <w:rPr>
          <w:rFonts w:ascii="Times New Roman" w:hAnsi="Times New Roman"/>
          <w:sz w:val="24"/>
          <w:szCs w:val="24"/>
          <w:rtl w:val="0"/>
          <w:lang w:val="en-US"/>
        </w:rPr>
        <w:t>.</w:t>
      </w:r>
      <w:r>
        <w:rPr>
          <w:rFonts w:ascii="Times New Roman" w:hAnsi="Times New Roman"/>
          <w:sz w:val="24"/>
          <w:szCs w:val="24"/>
          <w:rtl w:val="0"/>
        </w:rPr>
        <w:t xml:space="preserve"> pp.</w:t>
      </w:r>
      <w:r>
        <w:rPr>
          <w:rFonts w:ascii="Times New Roman" w:hAnsi="Times New Roman"/>
          <w:sz w:val="24"/>
          <w:szCs w:val="24"/>
          <w:rtl w:val="0"/>
          <w:lang w:val="en-US"/>
        </w:rPr>
        <w:t xml:space="preserve"> </w:t>
      </w:r>
      <w:r>
        <w:rPr>
          <w:rFonts w:ascii="Times New Roman" w:hAnsi="Times New Roman"/>
          <w:sz w:val="24"/>
          <w:szCs w:val="24"/>
          <w:rtl w:val="0"/>
        </w:rPr>
        <w:t>2285-2299.</w:t>
      </w:r>
      <w:r>
        <w:rPr>
          <w:rFonts w:ascii="Times New Roman" w:hAnsi="Times New Roman"/>
          <w:sz w:val="24"/>
          <w:szCs w:val="24"/>
          <w:rtl w:val="0"/>
          <w:lang w:val="en-US"/>
        </w:rPr>
        <w:t xml:space="preserve"> Available at: </w:t>
      </w:r>
      <w:r>
        <w:rPr>
          <w:rFonts w:ascii="Times New Roman" w:hAnsi="Times New Roman"/>
          <w:sz w:val="24"/>
          <w:szCs w:val="24"/>
          <w:rtl w:val="0"/>
          <w:lang w:val="en-US"/>
        </w:rPr>
        <w:t>https://doi.org/10.1007/s40279-018-0958-5</w:t>
      </w:r>
      <w:r>
        <w:rPr>
          <w:rFonts w:ascii="Times New Roman" w:hAnsi="Times New Roman"/>
          <w:sz w:val="24"/>
          <w:szCs w:val="24"/>
          <w:rtl w:val="0"/>
          <w:lang w:val="en-US"/>
        </w:rPr>
        <w:t>(Accessed 2nd July 2018).</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Sturgeon, D., </w:t>
      </w:r>
      <w:r>
        <w:rPr>
          <w:rFonts w:ascii="Times New Roman" w:hAnsi="Times New Roman"/>
          <w:sz w:val="24"/>
          <w:szCs w:val="24"/>
          <w:rtl w:val="0"/>
          <w:lang w:val="en-US"/>
        </w:rPr>
        <w:t>(</w:t>
      </w:r>
      <w:r>
        <w:rPr>
          <w:rFonts w:ascii="Times New Roman" w:hAnsi="Times New Roman"/>
          <w:sz w:val="24"/>
          <w:szCs w:val="24"/>
          <w:rtl w:val="0"/>
        </w:rPr>
        <w:t>2018</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lang w:val="en-US"/>
        </w:rPr>
        <w:t>Introduction to anatomy and physiology for healthcare students</w:t>
      </w:r>
      <w:r>
        <w:rPr>
          <w:rFonts w:ascii="Times New Roman" w:hAnsi="Times New Roman"/>
          <w:sz w:val="24"/>
          <w:szCs w:val="24"/>
          <w:rtl w:val="0"/>
        </w:rPr>
        <w:t>.</w:t>
      </w:r>
      <w:r>
        <w:rPr>
          <w:rFonts w:ascii="Times New Roman" w:hAnsi="Times New Roman"/>
          <w:sz w:val="24"/>
          <w:szCs w:val="24"/>
          <w:rtl w:val="0"/>
          <w:lang w:val="en-US"/>
        </w:rPr>
        <w:t xml:space="preserve"> Routledge</w:t>
      </w:r>
      <w:r>
        <w:rPr>
          <w:rFonts w:ascii="Times New Roman" w:hAnsi="Times New Roman"/>
          <w:sz w:val="24"/>
          <w:szCs w:val="24"/>
          <w:rtl w:val="0"/>
          <w:lang w:val="it-IT"/>
        </w:rPr>
        <w:t>: Taylor &amp; Francis Group.</w:t>
      </w:r>
      <w:r>
        <w:rPr>
          <w:rFonts w:ascii="Times New Roman" w:hAnsi="Times New Roman"/>
          <w:sz w:val="24"/>
          <w:szCs w:val="24"/>
          <w:rtl w:val="0"/>
          <w:lang w:val="en-US"/>
        </w:rPr>
        <w:t xml:space="preserve"> London and New York.</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nl-NL"/>
        </w:rPr>
        <w:t>Timmins, R.G., Bourne, M.N., Shield, A.J., Williams, M.D., Lorenzen, C. and Opar, D.A</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2016</w:t>
      </w:r>
      <w:r>
        <w:rPr>
          <w:rFonts w:ascii="Times New Roman" w:hAnsi="Times New Roman"/>
          <w:sz w:val="24"/>
          <w:szCs w:val="24"/>
          <w:rtl w:val="0"/>
          <w:lang w:val="en-US"/>
        </w:rPr>
        <w:t>)</w:t>
      </w:r>
      <w:r>
        <w:rPr>
          <w:rFonts w:ascii="Times New Roman" w:hAnsi="Times New Roman"/>
          <w:sz w:val="24"/>
          <w:szCs w:val="24"/>
          <w:rtl w:val="0"/>
          <w:lang w:val="en-US"/>
        </w:rPr>
        <w:t xml:space="preserve"> Short biceps femoris fascicles and eccentric knee flexor weakness increase the risk of hamstring injury in elite football (soccer): a prospective cohort study. </w:t>
      </w:r>
      <w:r>
        <w:rPr>
          <w:rFonts w:ascii="Times New Roman" w:hAnsi="Times New Roman"/>
          <w:i w:val="1"/>
          <w:iCs w:val="1"/>
          <w:sz w:val="24"/>
          <w:szCs w:val="24"/>
          <w:rtl w:val="0"/>
          <w:lang w:val="en-US"/>
        </w:rPr>
        <w:t>British Journal of Sports Medicine</w:t>
      </w:r>
      <w:r>
        <w:rPr>
          <w:rFonts w:ascii="Times New Roman" w:hAnsi="Times New Roman"/>
          <w:i w:val="1"/>
          <w:iCs w:val="1"/>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rPr>
        <w:t>50</w:t>
      </w:r>
      <w:r>
        <w:rPr>
          <w:rFonts w:ascii="Times New Roman" w:hAnsi="Times New Roman"/>
          <w:i w:val="1"/>
          <w:iCs w:val="1"/>
          <w:sz w:val="24"/>
          <w:szCs w:val="24"/>
          <w:rtl w:val="0"/>
          <w:lang w:val="en-US"/>
        </w:rPr>
        <w:t xml:space="preserve"> </w:t>
      </w:r>
      <w:r>
        <w:rPr>
          <w:rFonts w:ascii="Times New Roman" w:hAnsi="Times New Roman"/>
          <w:sz w:val="24"/>
          <w:szCs w:val="24"/>
          <w:rtl w:val="0"/>
        </w:rPr>
        <w:t>(24), pp.</w:t>
      </w:r>
      <w:r>
        <w:rPr>
          <w:rFonts w:ascii="Times New Roman" w:hAnsi="Times New Roman"/>
          <w:sz w:val="24"/>
          <w:szCs w:val="24"/>
          <w:rtl w:val="0"/>
          <w:lang w:val="en-US"/>
        </w:rPr>
        <w:t xml:space="preserve"> </w:t>
      </w:r>
      <w:r>
        <w:rPr>
          <w:rFonts w:ascii="Times New Roman" w:hAnsi="Times New Roman"/>
          <w:sz w:val="24"/>
          <w:szCs w:val="24"/>
          <w:rtl w:val="0"/>
        </w:rPr>
        <w:t>1524-1535.</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"http://dx.doi.org/10.1136/bjsports-2015-095362"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http://dx.doi.org/10.1136/bjsports-2015-095362</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28th November 2016).</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Timmins, R.G., Ruddy, J.D., Presland, J., Maniar, N., Shield, A.J., Williams, M.D. and Opar, D.A</w:t>
      </w:r>
      <w:r>
        <w:rPr>
          <w:rFonts w:ascii="Times New Roman" w:hAnsi="Times New Roman"/>
          <w:sz w:val="24"/>
          <w:szCs w:val="24"/>
          <w:rtl w:val="0"/>
          <w:lang w:val="en-US"/>
        </w:rPr>
        <w:t>. (</w:t>
      </w:r>
      <w:r>
        <w:rPr>
          <w:rFonts w:ascii="Times New Roman" w:hAnsi="Times New Roman"/>
          <w:sz w:val="24"/>
          <w:szCs w:val="24"/>
          <w:rtl w:val="0"/>
        </w:rPr>
        <w:t>2016</w:t>
      </w:r>
      <w:r>
        <w:rPr>
          <w:rFonts w:ascii="Times New Roman" w:hAnsi="Times New Roman"/>
          <w:sz w:val="24"/>
          <w:szCs w:val="24"/>
          <w:rtl w:val="0"/>
          <w:lang w:val="en-US"/>
        </w:rPr>
        <w:t>)</w:t>
      </w:r>
      <w:r>
        <w:rPr>
          <w:rFonts w:ascii="Times New Roman" w:hAnsi="Times New Roman"/>
          <w:sz w:val="24"/>
          <w:szCs w:val="24"/>
          <w:rtl w:val="0"/>
          <w:lang w:val="en-US"/>
        </w:rPr>
        <w:t xml:space="preserve"> Architectural changes of the biceps femoris long head after concentric or eccentric training. </w:t>
      </w:r>
      <w:r>
        <w:rPr>
          <w:rFonts w:ascii="Times New Roman" w:hAnsi="Times New Roman"/>
          <w:i w:val="1"/>
          <w:iCs w:val="1"/>
          <w:sz w:val="24"/>
          <w:szCs w:val="24"/>
          <w:rtl w:val="0"/>
          <w:lang w:val="en-US"/>
        </w:rPr>
        <w:t>Medicine &amp; Science in Sports &amp; Exercise</w:t>
      </w:r>
      <w:r>
        <w:rPr>
          <w:rFonts w:ascii="Times New Roman" w:hAnsi="Times New Roman"/>
          <w:i w:val="1"/>
          <w:iCs w:val="1"/>
          <w:sz w:val="24"/>
          <w:szCs w:val="24"/>
          <w:rtl w:val="0"/>
          <w:lang w:val="en-US"/>
        </w:rPr>
        <w:t>.</w:t>
      </w:r>
      <w:r>
        <w:rPr>
          <w:rFonts w:ascii="Times New Roman" w:hAnsi="Times New Roman"/>
          <w:sz w:val="24"/>
          <w:szCs w:val="24"/>
          <w:rtl w:val="0"/>
        </w:rPr>
        <w:t xml:space="preserve"> 48</w:t>
      </w:r>
      <w:r>
        <w:rPr>
          <w:rFonts w:ascii="Times New Roman" w:hAnsi="Times New Roman"/>
          <w:i w:val="1"/>
          <w:iCs w:val="1"/>
          <w:sz w:val="24"/>
          <w:szCs w:val="24"/>
          <w:rtl w:val="0"/>
          <w:lang w:val="en-US"/>
        </w:rPr>
        <w:t xml:space="preserve"> </w:t>
      </w:r>
      <w:r>
        <w:rPr>
          <w:rFonts w:ascii="Times New Roman" w:hAnsi="Times New Roman"/>
          <w:sz w:val="24"/>
          <w:szCs w:val="24"/>
          <w:rtl w:val="0"/>
        </w:rPr>
        <w:t>(3), pp.</w:t>
      </w:r>
      <w:r>
        <w:rPr>
          <w:rFonts w:ascii="Times New Roman" w:hAnsi="Times New Roman"/>
          <w:sz w:val="24"/>
          <w:szCs w:val="24"/>
          <w:rtl w:val="0"/>
          <w:lang w:val="en-US"/>
        </w:rPr>
        <w:t xml:space="preserve"> </w:t>
      </w:r>
      <w:r>
        <w:rPr>
          <w:rFonts w:ascii="Times New Roman" w:hAnsi="Times New Roman"/>
          <w:sz w:val="24"/>
          <w:szCs w:val="24"/>
          <w:rtl w:val="0"/>
        </w:rPr>
        <w:t>499-508.</w:t>
      </w:r>
      <w:r>
        <w:rPr>
          <w:rFonts w:ascii="Times New Roman" w:hAnsi="Times New Roman"/>
          <w:sz w:val="24"/>
          <w:szCs w:val="24"/>
          <w:rtl w:val="0"/>
          <w:lang w:val="en-US"/>
        </w:rPr>
        <w:t xml:space="preserve"> Available at: </w:t>
      </w:r>
      <w:r>
        <w:rPr>
          <w:rFonts w:ascii="Times New Roman" w:hAnsi="Times New Roman"/>
          <w:sz w:val="24"/>
          <w:szCs w:val="24"/>
          <w:rtl w:val="0"/>
        </w:rPr>
        <w:t>doi: 10.1249/MSS.0000000000000795</w:t>
      </w:r>
      <w:r>
        <w:rPr>
          <w:rFonts w:ascii="Times New Roman" w:hAnsi="Times New Roman"/>
          <w:sz w:val="24"/>
          <w:szCs w:val="24"/>
          <w:rtl w:val="0"/>
          <w:lang w:val="en-US"/>
        </w:rPr>
        <w:t xml:space="preserve"> (Accessed March 2016).</w:t>
      </w:r>
    </w:p>
    <w:p>
      <w:pPr>
        <w:pStyle w:val="Default"/>
        <w:bidi w:val="0"/>
        <w:ind w:left="0" w:right="0" w:firstLine="0"/>
        <w:jc w:val="left"/>
        <w:rPr>
          <w:rFonts w:ascii="Times New Roman" w:cs="Times New Roman" w:hAnsi="Times New Roman" w:eastAsia="Times New Roman"/>
          <w:b w:val="1"/>
          <w:bCs w:val="1"/>
          <w:sz w:val="24"/>
          <w:szCs w:val="24"/>
          <w:shd w:val="clear" w:color="auto" w:fill="ffffff"/>
          <w:rtl w:val="0"/>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Weston, K.S., Wisl</w:t>
      </w:r>
      <w:r>
        <w:rPr>
          <w:rFonts w:ascii="Times New Roman" w:hAnsi="Times New Roman" w:hint="default"/>
          <w:sz w:val="24"/>
          <w:szCs w:val="24"/>
          <w:rtl w:val="0"/>
          <w:lang w:val="en-US"/>
        </w:rPr>
        <w:t>ø</w:t>
      </w:r>
      <w:r>
        <w:rPr>
          <w:rFonts w:ascii="Times New Roman" w:hAnsi="Times New Roman"/>
          <w:sz w:val="24"/>
          <w:szCs w:val="24"/>
          <w:rtl w:val="0"/>
          <w:lang w:val="en-US"/>
        </w:rPr>
        <w:t xml:space="preserve">ff, U and Coombes, J.S. (2014) High-intensity interval training in patients with lifestyle-induced cardio metabolic disease: a systematic review and meta-analysis. </w:t>
      </w:r>
      <w:r>
        <w:rPr>
          <w:rFonts w:ascii="Times New Roman" w:hAnsi="Times New Roman"/>
          <w:i w:val="1"/>
          <w:iCs w:val="1"/>
          <w:sz w:val="24"/>
          <w:szCs w:val="24"/>
          <w:rtl w:val="0"/>
          <w:lang w:val="en-US"/>
        </w:rPr>
        <w:t xml:space="preserve">British Journal Sports Medicine. </w:t>
      </w:r>
      <w:r>
        <w:rPr>
          <w:rFonts w:ascii="Times New Roman" w:hAnsi="Times New Roman"/>
          <w:sz w:val="24"/>
          <w:szCs w:val="24"/>
          <w:rtl w:val="0"/>
          <w:lang w:val="en-US"/>
        </w:rPr>
        <w:t>48 (16) pp. 1227</w:t>
      </w:r>
      <w:r>
        <w:rPr>
          <w:rFonts w:ascii="Times New Roman" w:hAnsi="Times New Roman" w:hint="default"/>
          <w:sz w:val="24"/>
          <w:szCs w:val="24"/>
          <w:rtl w:val="0"/>
          <w:lang w:val="en-US"/>
        </w:rPr>
        <w:t>–</w:t>
      </w:r>
      <w:r>
        <w:rPr>
          <w:rFonts w:ascii="Times New Roman" w:hAnsi="Times New Roman"/>
          <w:sz w:val="24"/>
          <w:szCs w:val="24"/>
          <w:rtl w:val="0"/>
          <w:lang w:val="en-US"/>
        </w:rPr>
        <w:t>1234. Available at: doi:10.1136/bjsports-2013-092576 (Accessed at 24th July 2014).</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Willoughby, T.N., Thomas, M.P., Schmale, M.S., Copeland, J.L. and Hazell, T.J</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w:t>
      </w:r>
      <w:r>
        <w:rPr>
          <w:rFonts w:ascii="Times New Roman" w:hAnsi="Times New Roman"/>
          <w:sz w:val="24"/>
          <w:szCs w:val="24"/>
          <w:rtl w:val="0"/>
        </w:rPr>
        <w:t>2016</w:t>
      </w:r>
      <w:r>
        <w:rPr>
          <w:rFonts w:ascii="Times New Roman" w:hAnsi="Times New Roman"/>
          <w:sz w:val="24"/>
          <w:szCs w:val="24"/>
          <w:rtl w:val="0"/>
          <w:lang w:val="en-US"/>
        </w:rPr>
        <w:t>)</w:t>
      </w:r>
      <w:r>
        <w:rPr>
          <w:rFonts w:ascii="Times New Roman" w:hAnsi="Times New Roman"/>
          <w:sz w:val="24"/>
          <w:szCs w:val="24"/>
          <w:rtl w:val="0"/>
          <w:lang w:val="en-US"/>
        </w:rPr>
        <w:t xml:space="preserve"> Four weeks of running sprint interval training improves cardiorespiratory fitness in young and middle-aged adults. </w:t>
      </w:r>
      <w:r>
        <w:rPr>
          <w:rFonts w:ascii="Times New Roman" w:hAnsi="Times New Roman"/>
          <w:i w:val="1"/>
          <w:iCs w:val="1"/>
          <w:sz w:val="24"/>
          <w:szCs w:val="24"/>
          <w:rtl w:val="0"/>
          <w:lang w:val="en-US"/>
        </w:rPr>
        <w:t>Journal of sports sciences</w:t>
      </w:r>
      <w:r>
        <w:rPr>
          <w:rFonts w:ascii="Times New Roman" w:hAnsi="Times New Roman"/>
          <w:i w:val="1"/>
          <w:iCs w:val="1"/>
          <w:sz w:val="24"/>
          <w:szCs w:val="24"/>
          <w:rtl w:val="0"/>
          <w:lang w:val="en-US"/>
        </w:rPr>
        <w:t>.</w:t>
      </w:r>
      <w:r>
        <w:rPr>
          <w:rFonts w:ascii="Times New Roman" w:hAnsi="Times New Roman"/>
          <w:sz w:val="24"/>
          <w:szCs w:val="24"/>
          <w:rtl w:val="0"/>
        </w:rPr>
        <w:t xml:space="preserve"> </w:t>
      </w:r>
      <w:r>
        <w:rPr>
          <w:rFonts w:ascii="Times New Roman" w:hAnsi="Times New Roman"/>
          <w:i w:val="1"/>
          <w:iCs w:val="1"/>
          <w:sz w:val="24"/>
          <w:szCs w:val="24"/>
          <w:rtl w:val="0"/>
          <w:lang w:val="ru-RU"/>
        </w:rPr>
        <w:t>34</w:t>
      </w:r>
      <w:r>
        <w:rPr>
          <w:rFonts w:ascii="Times New Roman" w:hAnsi="Times New Roman"/>
          <w:i w:val="1"/>
          <w:iCs w:val="1"/>
          <w:sz w:val="24"/>
          <w:szCs w:val="24"/>
          <w:rtl w:val="0"/>
          <w:lang w:val="en-US"/>
        </w:rPr>
        <w:t xml:space="preserve"> </w:t>
      </w:r>
      <w:r>
        <w:rPr>
          <w:rFonts w:ascii="Times New Roman" w:hAnsi="Times New Roman"/>
          <w:sz w:val="24"/>
          <w:szCs w:val="24"/>
          <w:rtl w:val="0"/>
        </w:rPr>
        <w:t>(13) pp.</w:t>
      </w:r>
      <w:r>
        <w:rPr>
          <w:rFonts w:ascii="Times New Roman" w:hAnsi="Times New Roman"/>
          <w:sz w:val="24"/>
          <w:szCs w:val="24"/>
          <w:rtl w:val="0"/>
          <w:lang w:val="en-US"/>
        </w:rPr>
        <w:t xml:space="preserve"> </w:t>
      </w:r>
      <w:r>
        <w:rPr>
          <w:rFonts w:ascii="Times New Roman" w:hAnsi="Times New Roman"/>
          <w:sz w:val="24"/>
          <w:szCs w:val="24"/>
          <w:rtl w:val="0"/>
        </w:rPr>
        <w:t>1207-1214.</w:t>
      </w:r>
      <w:r>
        <w:rPr>
          <w:rFonts w:ascii="Times New Roman" w:hAnsi="Times New Roman"/>
          <w:sz w:val="24"/>
          <w:szCs w:val="24"/>
          <w:rtl w:val="0"/>
          <w:lang w:val="en-US"/>
        </w:rPr>
        <w:t xml:space="preserv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"https://doi.org/10.1080/02640414.2015.1102316"</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pt-PT"/>
        </w:rPr>
        <w:t>https://doi.org/10.1080/02640414.2015.1102316</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30th October 2015).</w:t>
      </w:r>
    </w:p>
    <w:p>
      <w:pPr>
        <w:pStyle w:val="Body"/>
        <w:spacing w:line="360" w:lineRule="auto"/>
        <w:rPr>
          <w:rFonts w:ascii="Times New Roman" w:cs="Times New Roman" w:hAnsi="Times New Roman" w:eastAsia="Times New Roman"/>
          <w:sz w:val="24"/>
          <w:szCs w:val="24"/>
        </w:rPr>
      </w:pPr>
    </w:p>
    <w:p>
      <w:pPr>
        <w:pStyle w:val="Default"/>
        <w:bidi w:val="0"/>
        <w:spacing w:line="360" w:lineRule="auto"/>
        <w:ind w:left="0" w:right="0" w:firstLine="0"/>
        <w:jc w:val="left"/>
        <w:rPr>
          <w:rtl w:val="0"/>
        </w:rPr>
      </w:pPr>
      <w:r>
        <w:rPr>
          <w:rFonts w:ascii="Times New Roman" w:hAnsi="Times New Roman"/>
          <w:outline w:val="0"/>
          <w:color w:val="212121"/>
          <w:sz w:val="24"/>
          <w:szCs w:val="24"/>
          <w:shd w:val="clear" w:color="auto" w:fill="ffffff"/>
          <w:rtl w:val="0"/>
          <w14:textFill>
            <w14:solidFill>
              <w14:srgbClr w14:val="222222"/>
            </w14:solidFill>
          </w14:textFill>
        </w:rPr>
        <w:t>Zoladz, J.A., Majerczak, J., Grassi, B., Szkutnik, Z., Korosty</w:t>
      </w:r>
      <w:r>
        <w:rPr>
          <w:rFonts w:ascii="Times New Roman" w:hAnsi="Times New Roman" w:hint="default"/>
          <w:outline w:val="0"/>
          <w:color w:val="212121"/>
          <w:sz w:val="24"/>
          <w:szCs w:val="24"/>
          <w:shd w:val="clear" w:color="auto" w:fill="ffffff"/>
          <w:rtl w:val="0"/>
          <w14:textFill>
            <w14:solidFill>
              <w14:srgbClr w14:val="222222"/>
            </w14:solidFill>
          </w14:textFill>
        </w:rPr>
        <w:t>ń</w:t>
      </w:r>
      <w:r>
        <w:rPr>
          <w:rFonts w:ascii="Times New Roman" w:hAnsi="Times New Roman"/>
          <w:outline w:val="0"/>
          <w:color w:val="212121"/>
          <w:sz w:val="24"/>
          <w:szCs w:val="24"/>
          <w:shd w:val="clear" w:color="auto" w:fill="ffffff"/>
          <w:rtl w:val="0"/>
          <w14:textFill>
            <w14:solidFill>
              <w14:srgbClr w14:val="222222"/>
            </w14:solidFill>
          </w14:textFill>
        </w:rPr>
        <w:t>ski, M., Go</w:t>
      </w:r>
      <w:r>
        <w:rPr>
          <w:rFonts w:ascii="Times New Roman" w:hAnsi="Times New Roman" w:hint="default"/>
          <w:outline w:val="0"/>
          <w:color w:val="212121"/>
          <w:sz w:val="24"/>
          <w:szCs w:val="24"/>
          <w:shd w:val="clear" w:color="auto" w:fill="ffffff"/>
          <w:rtl w:val="0"/>
          <w14:textFill>
            <w14:solidFill>
              <w14:srgbClr w14:val="222222"/>
            </w14:solidFill>
          </w14:textFill>
        </w:rPr>
        <w:t>ł</w:t>
      </w:r>
      <w:r>
        <w:rPr>
          <w:rFonts w:ascii="Times New Roman" w:hAnsi="Times New Roman"/>
          <w:outline w:val="0"/>
          <w:color w:val="212121"/>
          <w:sz w:val="24"/>
          <w:szCs w:val="24"/>
          <w:shd w:val="clear" w:color="auto" w:fill="ffffff"/>
          <w:rtl w:val="0"/>
          <w14:textFill>
            <w14:solidFill>
              <w14:srgbClr w14:val="222222"/>
            </w14:solidFill>
          </w14:textFill>
        </w:rPr>
        <w:t>da, S., Grandys, M., Jarmuszkiewicz, W., Kilarski, W., Karasi</w:t>
      </w:r>
      <w:r>
        <w:rPr>
          <w:rFonts w:ascii="Times New Roman" w:hAnsi="Times New Roman" w:hint="default"/>
          <w:outline w:val="0"/>
          <w:color w:val="212121"/>
          <w:sz w:val="24"/>
          <w:szCs w:val="24"/>
          <w:shd w:val="clear" w:color="auto" w:fill="ffffff"/>
          <w:rtl w:val="0"/>
          <w14:textFill>
            <w14:solidFill>
              <w14:srgbClr w14:val="222222"/>
            </w14:solidFill>
          </w14:textFill>
        </w:rPr>
        <w:t>ń</w:t>
      </w:r>
      <w:r>
        <w:rPr>
          <w:rFonts w:ascii="Times New Roman" w:hAnsi="Times New Roman"/>
          <w:outline w:val="0"/>
          <w:color w:val="212121"/>
          <w:sz w:val="24"/>
          <w:szCs w:val="24"/>
          <w:shd w:val="clear" w:color="auto" w:fill="ffffff"/>
          <w:rtl w:val="0"/>
          <w14:textFill>
            <w14:solidFill>
              <w14:srgbClr w14:val="222222"/>
            </w14:solidFill>
          </w14:textFill>
        </w:rPr>
        <w:t>ski, J. and Korzeniewski, B</w:t>
      </w:r>
      <w:r>
        <w:rPr>
          <w:rFonts w:ascii="Times New Roman" w:hAnsi="Times New Roman"/>
          <w:outline w:val="0"/>
          <w:color w:val="212121"/>
          <w:sz w:val="24"/>
          <w:szCs w:val="24"/>
          <w:shd w:val="clear" w:color="auto" w:fill="ffffff"/>
          <w:rtl w:val="0"/>
          <w:lang w:val="en-US"/>
          <w14:textFill>
            <w14:solidFill>
              <w14:srgbClr w14:val="222222"/>
            </w14:solidFill>
          </w14:textFill>
        </w:rPr>
        <w:t>. (</w:t>
      </w:r>
      <w:r>
        <w:rPr>
          <w:rFonts w:ascii="Times New Roman" w:hAnsi="Times New Roman"/>
          <w:outline w:val="0"/>
          <w:color w:val="212121"/>
          <w:sz w:val="24"/>
          <w:szCs w:val="24"/>
          <w:shd w:val="clear" w:color="auto" w:fill="ffffff"/>
          <w:rtl w:val="0"/>
          <w14:textFill>
            <w14:solidFill>
              <w14:srgbClr w14:val="222222"/>
            </w14:solidFill>
          </w14:textFill>
        </w:rPr>
        <w:t>2016</w:t>
      </w:r>
      <w:r>
        <w:rPr>
          <w:rFonts w:ascii="Times New Roman" w:hAnsi="Times New Roman"/>
          <w:outline w:val="0"/>
          <w:color w:val="212121"/>
          <w:sz w:val="24"/>
          <w:szCs w:val="24"/>
          <w:shd w:val="clear" w:color="auto" w:fill="ffffff"/>
          <w:rtl w:val="0"/>
          <w:lang w:val="en-US"/>
          <w14:textFill>
            <w14:solidFill>
              <w14:srgbClr w14:val="222222"/>
            </w14:solidFill>
          </w14:textFill>
        </w:rPr>
        <w:t>)</w:t>
      </w: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 Mechanisms of attenuation of pulmonary V</w:t>
      </w:r>
      <w:r>
        <w:rPr>
          <w:rFonts w:ascii="Times New Roman" w:hAnsi="Times New Roman"/>
          <w:outline w:val="0"/>
          <w:color w:val="212121"/>
          <w:sz w:val="24"/>
          <w:szCs w:val="24"/>
          <w:shd w:val="clear" w:color="auto" w:fill="ffffff"/>
          <w:rtl w:val="0"/>
          <w:lang w:val="en-US"/>
          <w14:textFill>
            <w14:solidFill>
              <w14:srgbClr w14:val="222222"/>
            </w14:solidFill>
          </w14:textFill>
        </w:rPr>
        <w:t>O2</w:t>
      </w: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 slow component in humans after prolonged endurance training. </w:t>
      </w:r>
      <w:r>
        <w:rPr>
          <w:rFonts w:ascii="Times New Roman" w:hAnsi="Times New Roman"/>
          <w:i w:val="1"/>
          <w:iCs w:val="1"/>
          <w:outline w:val="0"/>
          <w:color w:val="212121"/>
          <w:sz w:val="24"/>
          <w:szCs w:val="24"/>
          <w:shd w:val="clear" w:color="auto" w:fill="ffffff"/>
          <w:rtl w:val="0"/>
          <w:lang w:val="en-US"/>
          <w14:textFill>
            <w14:solidFill>
              <w14:srgbClr w14:val="222222"/>
            </w14:solidFill>
          </w14:textFill>
        </w:rPr>
        <w:t>PLO</w:t>
      </w:r>
      <w:r>
        <w:rPr>
          <w:rFonts w:ascii="Times New Roman" w:hAnsi="Times New Roman"/>
          <w:i w:val="1"/>
          <w:iCs w:val="1"/>
          <w:outline w:val="0"/>
          <w:color w:val="212121"/>
          <w:sz w:val="24"/>
          <w:szCs w:val="24"/>
          <w:shd w:val="clear" w:color="auto" w:fill="ffffff"/>
          <w:rtl w:val="0"/>
          <w14:textFill>
            <w14:solidFill>
              <w14:srgbClr w14:val="222222"/>
            </w14:solidFill>
          </w14:textFill>
        </w:rPr>
        <w:t xml:space="preserve">S </w:t>
      </w:r>
      <w:r>
        <w:rPr>
          <w:rFonts w:ascii="Times New Roman" w:hAnsi="Times New Roman"/>
          <w:i w:val="1"/>
          <w:iCs w:val="1"/>
          <w:outline w:val="0"/>
          <w:color w:val="212121"/>
          <w:sz w:val="24"/>
          <w:szCs w:val="24"/>
          <w:shd w:val="clear" w:color="auto" w:fill="ffffff"/>
          <w:rtl w:val="0"/>
          <w:lang w:val="en-US"/>
          <w14:textFill>
            <w14:solidFill>
              <w14:srgbClr w14:val="222222"/>
            </w14:solidFill>
          </w14:textFill>
        </w:rPr>
        <w:t>O</w:t>
      </w:r>
      <w:r>
        <w:rPr>
          <w:rFonts w:ascii="Times New Roman" w:hAnsi="Times New Roman"/>
          <w:i w:val="1"/>
          <w:iCs w:val="1"/>
          <w:outline w:val="0"/>
          <w:color w:val="212121"/>
          <w:sz w:val="24"/>
          <w:szCs w:val="24"/>
          <w:shd w:val="clear" w:color="auto" w:fill="ffffff"/>
          <w:rtl w:val="0"/>
          <w14:textFill>
            <w14:solidFill>
              <w14:srgbClr w14:val="222222"/>
            </w14:solidFill>
          </w14:textFill>
        </w:rPr>
        <w:t>ne</w:t>
      </w:r>
      <w:r>
        <w:rPr>
          <w:rFonts w:ascii="Times New Roman" w:hAnsi="Times New Roman"/>
          <w:i w:val="1"/>
          <w:iCs w:val="1"/>
          <w:outline w:val="0"/>
          <w:color w:val="212121"/>
          <w:sz w:val="24"/>
          <w:szCs w:val="24"/>
          <w:shd w:val="clear" w:color="auto" w:fill="ffffff"/>
          <w:rtl w:val="0"/>
          <w:lang w:val="en-US"/>
          <w14:textFill>
            <w14:solidFill>
              <w14:srgbClr w14:val="222222"/>
            </w14:solidFill>
          </w14:textFill>
        </w:rPr>
        <w:t>.</w:t>
      </w:r>
      <w:r>
        <w:rPr>
          <w:rFonts w:ascii="Times New Roman" w:hAnsi="Times New Roman"/>
          <w:outline w:val="0"/>
          <w:color w:val="212121"/>
          <w:sz w:val="24"/>
          <w:szCs w:val="24"/>
          <w:shd w:val="clear" w:color="auto" w:fill="ffffff"/>
          <w:rtl w:val="0"/>
          <w14:textFill>
            <w14:solidFill>
              <w14:srgbClr w14:val="222222"/>
            </w14:solidFill>
          </w14:textFill>
        </w:rPr>
        <w:t xml:space="preserve"> 11</w:t>
      </w: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 </w:t>
      </w:r>
      <w:r>
        <w:rPr>
          <w:rFonts w:ascii="Times New Roman" w:hAnsi="Times New Roman"/>
          <w:outline w:val="0"/>
          <w:color w:val="212121"/>
          <w:sz w:val="24"/>
          <w:szCs w:val="24"/>
          <w:shd w:val="clear" w:color="auto" w:fill="ffffff"/>
          <w:rtl w:val="0"/>
          <w14:textFill>
            <w14:solidFill>
              <w14:srgbClr w14:val="222222"/>
            </w14:solidFill>
          </w14:textFill>
        </w:rPr>
        <w:t>(4)</w:t>
      </w: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 pp. 1-25. Available at: </w:t>
      </w:r>
      <w:r>
        <w:rPr>
          <w:rFonts w:ascii="Times New Roman" w:hAnsi="Times New Roman"/>
          <w:outline w:val="0"/>
          <w:color w:val="212121"/>
          <w:sz w:val="24"/>
          <w:szCs w:val="24"/>
          <w:shd w:val="clear" w:color="auto" w:fill="ffffff"/>
          <w:rtl w:val="0"/>
          <w:lang w:val="it-IT"/>
          <w14:textFill>
            <w14:solidFill>
              <w14:srgbClr w14:val="222222"/>
            </w14:solidFill>
          </w14:textFill>
        </w:rPr>
        <w:t>doi:10.1371/journal. pone.0154135</w:t>
      </w: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 (Accessed 22nd </w:t>
      </w:r>
      <w:r>
        <w:rPr>
          <w:rFonts w:ascii="Times New Roman" w:hAnsi="Times New Roman"/>
          <w:outline w:val="0"/>
          <w:color w:val="212121"/>
          <w:sz w:val="24"/>
          <w:szCs w:val="24"/>
          <w:shd w:val="clear" w:color="auto" w:fill="ffffff"/>
          <w:rtl w:val="0"/>
          <w:lang w:val="en-US"/>
          <w14:textFill>
            <w14:solidFill>
              <w14:srgbClr w14:val="222222"/>
            </w14:solidFill>
          </w14:textFill>
        </w:rPr>
        <w:t>April</w:t>
      </w:r>
      <w:r>
        <w:rPr>
          <w:rFonts w:ascii="Times New Roman" w:hAnsi="Times New Roman"/>
          <w:outline w:val="0"/>
          <w:color w:val="212121"/>
          <w:sz w:val="24"/>
          <w:szCs w:val="24"/>
          <w:shd w:val="clear" w:color="auto" w:fill="ffffff"/>
          <w:rtl w:val="0"/>
          <w:lang w:val="en-US"/>
          <w14:textFill>
            <w14:solidFill>
              <w14:srgbClr w14:val="222222"/>
            </w14:solidFill>
          </w14:textFill>
        </w:rPr>
        <w:t xml:space="preserve"> </w:t>
      </w:r>
      <w:r>
        <w:rPr>
          <w:rFonts w:ascii="Times New Roman" w:hAnsi="Times New Roman"/>
          <w:outline w:val="0"/>
          <w:color w:val="212121"/>
          <w:sz w:val="24"/>
          <w:szCs w:val="24"/>
          <w:shd w:val="clear" w:color="auto" w:fill="ffffff"/>
          <w:rtl w:val="0"/>
          <w14:textFill>
            <w14:solidFill>
              <w14:srgbClr w14:val="222222"/>
            </w14:solidFill>
          </w14:textFill>
        </w:rPr>
        <w:t>2016</w:t>
      </w:r>
      <w:r>
        <w:rPr>
          <w:rFonts w:ascii="Times New Roman" w:hAnsi="Times New Roman"/>
          <w:outline w:val="0"/>
          <w:color w:val="212121"/>
          <w:sz w:val="24"/>
          <w:szCs w:val="24"/>
          <w:shd w:val="clear" w:color="auto" w:fill="ffffff"/>
          <w:rtl w:val="0"/>
          <w:lang w:val="en-US"/>
          <w14:textFill>
            <w14:solidFill>
              <w14:srgbClr w14:val="222222"/>
            </w14:solidFill>
          </w14:textFill>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