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21393934" w14:textId="253BDD0F" w:rsidR="00286CB7" w:rsidRDefault="00B7312A" w:rsidP="00631A83">
      <w:pPr>
        <w:pStyle w:val="Heading1"/>
        <w:spacing w:line="240" w:lineRule="auto"/>
        <w:jc w:val="both"/>
      </w:pPr>
      <w:r w:rsidRPr="001927BD">
        <w:t>Introduction</w:t>
      </w:r>
      <w:r w:rsidR="009E56A1">
        <w:t xml:space="preserve"> </w:t>
      </w:r>
    </w:p>
    <w:p w14:paraId="4DB2D80A" w14:textId="43186045" w:rsidR="00F67ADA" w:rsidRDefault="00540348" w:rsidP="00631A83">
      <w:pPr>
        <w:spacing w:line="240" w:lineRule="auto"/>
        <w:jc w:val="both"/>
        <w:rPr>
          <w:rFonts w:cs="Times New Roman"/>
        </w:rPr>
      </w:pPr>
      <w:r>
        <w:rPr>
          <w:rFonts w:cs="Times New Roman"/>
        </w:rPr>
        <w:t>Widening participation in the UK has evolved over the years (</w:t>
      </w:r>
      <w:r w:rsidR="00580D52">
        <w:rPr>
          <w:rFonts w:cs="Times New Roman"/>
        </w:rPr>
        <w:t>Thompson, 2017</w:t>
      </w:r>
      <w:r>
        <w:rPr>
          <w:rFonts w:cs="Times New Roman"/>
        </w:rPr>
        <w:t xml:space="preserve">). </w:t>
      </w:r>
      <w:r w:rsidR="00C14B3E">
        <w:rPr>
          <w:rFonts w:cs="Times New Roman"/>
        </w:rPr>
        <w:t>The i</w:t>
      </w:r>
      <w:r>
        <w:rPr>
          <w:rFonts w:cs="Times New Roman"/>
        </w:rPr>
        <w:t xml:space="preserve">nitial focus of widening participation </w:t>
      </w:r>
      <w:r w:rsidR="00C14B3E">
        <w:rPr>
          <w:rFonts w:cs="Times New Roman"/>
        </w:rPr>
        <w:t xml:space="preserve">was to increase the </w:t>
      </w:r>
      <w:r w:rsidR="00665EA6">
        <w:rPr>
          <w:rFonts w:cs="Times New Roman"/>
        </w:rPr>
        <w:t xml:space="preserve">representation of high-performing students from economically </w:t>
      </w:r>
      <w:r w:rsidR="00D34E5F">
        <w:rPr>
          <w:rFonts w:cs="Times New Roman"/>
        </w:rPr>
        <w:t xml:space="preserve">disadvantaged and ethnic minority communities. </w:t>
      </w:r>
      <w:r w:rsidR="0000004C">
        <w:rPr>
          <w:rFonts w:cs="Times New Roman"/>
        </w:rPr>
        <w:t xml:space="preserve">However, this was evolved to include students who could </w:t>
      </w:r>
      <w:r w:rsidR="005731C0">
        <w:rPr>
          <w:rFonts w:cs="Times New Roman"/>
        </w:rPr>
        <w:t xml:space="preserve">benefit </w:t>
      </w:r>
      <w:r w:rsidR="004100D3">
        <w:rPr>
          <w:rFonts w:cs="Times New Roman"/>
        </w:rPr>
        <w:t xml:space="preserve">from higher education to </w:t>
      </w:r>
      <w:r w:rsidR="008B6D1C">
        <w:rPr>
          <w:rFonts w:cs="Times New Roman"/>
        </w:rPr>
        <w:t>include</w:t>
      </w:r>
      <w:r w:rsidR="004100D3">
        <w:rPr>
          <w:rFonts w:cs="Times New Roman"/>
        </w:rPr>
        <w:t xml:space="preserve"> a more </w:t>
      </w:r>
      <w:r w:rsidR="008B6D1C">
        <w:rPr>
          <w:rFonts w:cs="Times New Roman"/>
        </w:rPr>
        <w:t xml:space="preserve">comprehensive vision of inclusivity </w:t>
      </w:r>
      <w:r w:rsidR="00157C8A">
        <w:rPr>
          <w:rFonts w:cs="Times New Roman"/>
        </w:rPr>
        <w:t>and accessibility in higher education (Vignoles &amp; Murray, 2016)</w:t>
      </w:r>
      <w:r w:rsidR="00F06036">
        <w:rPr>
          <w:rFonts w:cs="Times New Roman"/>
        </w:rPr>
        <w:t xml:space="preserve">. </w:t>
      </w:r>
      <w:r w:rsidR="00681E94">
        <w:rPr>
          <w:rFonts w:cs="Times New Roman"/>
        </w:rPr>
        <w:t>Student retention is one of the major challenges faced by</w:t>
      </w:r>
      <w:r w:rsidR="00186244">
        <w:rPr>
          <w:rFonts w:cs="Times New Roman"/>
        </w:rPr>
        <w:t xml:space="preserve"> the</w:t>
      </w:r>
      <w:r w:rsidR="00681E94">
        <w:rPr>
          <w:rFonts w:cs="Times New Roman"/>
        </w:rPr>
        <w:t xml:space="preserve"> higher education</w:t>
      </w:r>
      <w:r w:rsidR="00186244">
        <w:rPr>
          <w:rFonts w:cs="Times New Roman"/>
        </w:rPr>
        <w:t xml:space="preserve"> sector</w:t>
      </w:r>
      <w:r w:rsidR="00681E94">
        <w:rPr>
          <w:rFonts w:cs="Times New Roman"/>
        </w:rPr>
        <w:t xml:space="preserve"> in the UK</w:t>
      </w:r>
      <w:r w:rsidR="00384C38">
        <w:rPr>
          <w:rFonts w:cs="Times New Roman"/>
        </w:rPr>
        <w:t xml:space="preserve"> (</w:t>
      </w:r>
      <w:proofErr w:type="spellStart"/>
      <w:r w:rsidR="009A0C23">
        <w:rPr>
          <w:rFonts w:cs="Times New Roman"/>
        </w:rPr>
        <w:t>Mckendry</w:t>
      </w:r>
      <w:proofErr w:type="spellEnd"/>
      <w:r w:rsidR="009A0C23">
        <w:rPr>
          <w:rFonts w:cs="Times New Roman"/>
        </w:rPr>
        <w:t>, Wright &amp; Stevenson, 2013</w:t>
      </w:r>
      <w:r w:rsidR="00384C38">
        <w:rPr>
          <w:rFonts w:cs="Times New Roman"/>
        </w:rPr>
        <w:t>)</w:t>
      </w:r>
      <w:r w:rsidR="00681E94">
        <w:rPr>
          <w:rFonts w:cs="Times New Roman"/>
        </w:rPr>
        <w:t xml:space="preserve">. </w:t>
      </w:r>
      <w:r w:rsidR="00F06036">
        <w:rPr>
          <w:rFonts w:cs="Times New Roman"/>
        </w:rPr>
        <w:t>Universities with widening participation</w:t>
      </w:r>
      <w:r w:rsidR="00384C38">
        <w:rPr>
          <w:rFonts w:cs="Times New Roman"/>
        </w:rPr>
        <w:t xml:space="preserve"> also</w:t>
      </w:r>
      <w:r w:rsidR="00F06036">
        <w:rPr>
          <w:rFonts w:cs="Times New Roman"/>
        </w:rPr>
        <w:t xml:space="preserve"> face many challenges</w:t>
      </w:r>
      <w:r w:rsidR="00384C38">
        <w:rPr>
          <w:rFonts w:cs="Times New Roman"/>
        </w:rPr>
        <w:t xml:space="preserve"> including low retention, low attainment and low progression rates (Moore, Sanders &amp; Higham, 2013). </w:t>
      </w:r>
    </w:p>
    <w:p w14:paraId="030AF0E0" w14:textId="73965EE1" w:rsidR="00222198" w:rsidRDefault="007E1713" w:rsidP="00631A83">
      <w:pPr>
        <w:spacing w:line="240" w:lineRule="auto"/>
        <w:jc w:val="both"/>
        <w:rPr>
          <w:rFonts w:cs="Times New Roman"/>
          <w:lang w:val="en-US"/>
        </w:rPr>
      </w:pPr>
      <w:r w:rsidRPr="007E1713">
        <w:rPr>
          <w:rFonts w:cs="Times New Roman"/>
          <w:lang w:val="en-US"/>
        </w:rPr>
        <w:t>At the heart of successful student retention and success is building a strong sense of belonging (Thomas, 2012)​</w:t>
      </w:r>
      <w:r w:rsidR="00570760">
        <w:rPr>
          <w:rFonts w:cs="Times New Roman"/>
          <w:lang w:val="en-US"/>
        </w:rPr>
        <w:t xml:space="preserve">. The word ‘belonging’ is deeply rooted in relationships that we establish </w:t>
      </w:r>
      <w:r w:rsidR="00222198">
        <w:rPr>
          <w:rFonts w:cs="Times New Roman"/>
          <w:lang w:val="en-US"/>
        </w:rPr>
        <w:t xml:space="preserve">and hence explored in educational settings (Foster et al., 2011). </w:t>
      </w:r>
      <w:r w:rsidR="00D66054">
        <w:rPr>
          <w:rFonts w:cs="Times New Roman"/>
          <w:lang w:val="en-US"/>
        </w:rPr>
        <w:t xml:space="preserve">Previous research suggests that maturity, socioeconomic status, </w:t>
      </w:r>
      <w:r w:rsidR="00E85F89">
        <w:rPr>
          <w:rFonts w:cs="Times New Roman"/>
          <w:lang w:val="en-US"/>
        </w:rPr>
        <w:t xml:space="preserve">and </w:t>
      </w:r>
      <w:r w:rsidR="00D66054">
        <w:rPr>
          <w:rFonts w:cs="Times New Roman"/>
          <w:lang w:val="en-US"/>
        </w:rPr>
        <w:t xml:space="preserve">ethnicity all have </w:t>
      </w:r>
      <w:r w:rsidR="00E85F89">
        <w:rPr>
          <w:rFonts w:cs="Times New Roman"/>
          <w:lang w:val="en-US"/>
        </w:rPr>
        <w:t xml:space="preserve">a </w:t>
      </w:r>
      <w:r w:rsidR="00D66054">
        <w:rPr>
          <w:rFonts w:cs="Times New Roman"/>
          <w:lang w:val="en-US"/>
        </w:rPr>
        <w:t>significant impact on</w:t>
      </w:r>
      <w:r w:rsidR="00E85F89">
        <w:rPr>
          <w:rFonts w:cs="Times New Roman"/>
          <w:lang w:val="en-US"/>
        </w:rPr>
        <w:t xml:space="preserve"> student’s sense of belonging (</w:t>
      </w:r>
      <w:r w:rsidR="00363C4F">
        <w:rPr>
          <w:rFonts w:cs="Times New Roman"/>
          <w:lang w:val="en-US"/>
        </w:rPr>
        <w:t>Rubin &amp; wright, 2017; St</w:t>
      </w:r>
      <w:r w:rsidR="00E13659">
        <w:rPr>
          <w:rFonts w:cs="Times New Roman"/>
          <w:lang w:val="en-US"/>
        </w:rPr>
        <w:t>r</w:t>
      </w:r>
      <w:r w:rsidR="00363C4F">
        <w:rPr>
          <w:rFonts w:cs="Times New Roman"/>
          <w:lang w:val="en-US"/>
        </w:rPr>
        <w:t>ayhorn, 201</w:t>
      </w:r>
      <w:r w:rsidR="00465955">
        <w:rPr>
          <w:rFonts w:cs="Times New Roman"/>
          <w:lang w:val="en-US"/>
        </w:rPr>
        <w:t>8</w:t>
      </w:r>
      <w:r w:rsidR="00363C4F">
        <w:rPr>
          <w:rFonts w:cs="Times New Roman"/>
          <w:lang w:val="en-US"/>
        </w:rPr>
        <w:t xml:space="preserve">). </w:t>
      </w:r>
      <w:r w:rsidR="00D66054">
        <w:rPr>
          <w:rFonts w:cs="Times New Roman"/>
          <w:lang w:val="en-US"/>
        </w:rPr>
        <w:t xml:space="preserve"> </w:t>
      </w:r>
      <w:r w:rsidR="009D5E10">
        <w:rPr>
          <w:rFonts w:cs="Times New Roman"/>
          <w:lang w:val="en-US"/>
        </w:rPr>
        <w:t xml:space="preserve">Therefore, it is important to understand the sense of belonging of widening participation students. </w:t>
      </w:r>
    </w:p>
    <w:p w14:paraId="17AB1334" w14:textId="3AD7B0C0" w:rsidR="00A67E62" w:rsidRDefault="00A67E62" w:rsidP="00631A83">
      <w:pPr>
        <w:spacing w:line="240" w:lineRule="auto"/>
        <w:jc w:val="both"/>
        <w:rPr>
          <w:rFonts w:cs="Times New Roman"/>
          <w:lang w:val="en-US"/>
        </w:rPr>
      </w:pPr>
      <w:r>
        <w:rPr>
          <w:rFonts w:cs="Times New Roman"/>
          <w:lang w:val="en-US"/>
        </w:rPr>
        <w:t xml:space="preserve">Several studies have </w:t>
      </w:r>
      <w:r w:rsidR="004E2487">
        <w:rPr>
          <w:rFonts w:cs="Times New Roman"/>
          <w:lang w:val="en-US"/>
        </w:rPr>
        <w:t xml:space="preserve">been </w:t>
      </w:r>
      <w:r>
        <w:rPr>
          <w:rFonts w:cs="Times New Roman"/>
          <w:lang w:val="en-US"/>
        </w:rPr>
        <w:t xml:space="preserve">conducted in the UK </w:t>
      </w:r>
      <w:r w:rsidR="004E2487">
        <w:rPr>
          <w:rFonts w:cs="Times New Roman"/>
          <w:lang w:val="en-US"/>
        </w:rPr>
        <w:t>to understand the sense of belonging</w:t>
      </w:r>
      <w:r w:rsidR="006E4117">
        <w:rPr>
          <w:rFonts w:cs="Times New Roman"/>
          <w:lang w:val="en-US"/>
        </w:rPr>
        <w:t xml:space="preserve"> of the students </w:t>
      </w:r>
      <w:r w:rsidR="004E2487">
        <w:rPr>
          <w:rFonts w:cs="Times New Roman"/>
          <w:lang w:val="en-US"/>
        </w:rPr>
        <w:t>to univers</w:t>
      </w:r>
      <w:r w:rsidR="00445338">
        <w:rPr>
          <w:rFonts w:cs="Times New Roman"/>
          <w:lang w:val="en-US"/>
        </w:rPr>
        <w:t>ities</w:t>
      </w:r>
      <w:r w:rsidR="006E4117">
        <w:rPr>
          <w:rFonts w:cs="Times New Roman"/>
          <w:lang w:val="en-US"/>
        </w:rPr>
        <w:t xml:space="preserve"> (</w:t>
      </w:r>
      <w:r w:rsidR="006E4117" w:rsidRPr="006E4117">
        <w:rPr>
          <w:rFonts w:cs="Times New Roman"/>
        </w:rPr>
        <w:t xml:space="preserve">Read, Archer, and </w:t>
      </w:r>
      <w:proofErr w:type="spellStart"/>
      <w:r w:rsidR="006E4117" w:rsidRPr="006E4117">
        <w:rPr>
          <w:rFonts w:cs="Times New Roman"/>
        </w:rPr>
        <w:t>Leathwood</w:t>
      </w:r>
      <w:proofErr w:type="spellEnd"/>
      <w:r w:rsidR="006E4117" w:rsidRPr="006E4117">
        <w:rPr>
          <w:rFonts w:cs="Times New Roman"/>
        </w:rPr>
        <w:t xml:space="preserve"> 2003;</w:t>
      </w:r>
      <w:r w:rsidR="00750227">
        <w:rPr>
          <w:rFonts w:cs="Times New Roman"/>
        </w:rPr>
        <w:t xml:space="preserve"> </w:t>
      </w:r>
      <w:r w:rsidR="006E4117" w:rsidRPr="006E4117">
        <w:rPr>
          <w:rFonts w:cs="Times New Roman"/>
        </w:rPr>
        <w:t>Thomas 2012</w:t>
      </w:r>
      <w:r w:rsidR="006E4117">
        <w:rPr>
          <w:rFonts w:cs="Times New Roman"/>
          <w:lang w:val="en-US"/>
        </w:rPr>
        <w:t>)</w:t>
      </w:r>
      <w:r w:rsidR="00445338">
        <w:rPr>
          <w:rFonts w:cs="Times New Roman"/>
          <w:lang w:val="en-US"/>
        </w:rPr>
        <w:t xml:space="preserve">. </w:t>
      </w:r>
      <w:r w:rsidR="007C34B0">
        <w:rPr>
          <w:rFonts w:cs="Times New Roman"/>
          <w:lang w:val="en-US"/>
        </w:rPr>
        <w:t xml:space="preserve">A study conducted by Ahn &amp; </w:t>
      </w:r>
      <w:r w:rsidR="009B7441">
        <w:rPr>
          <w:rFonts w:cs="Times New Roman"/>
          <w:lang w:val="en-US"/>
        </w:rPr>
        <w:t>Davis</w:t>
      </w:r>
      <w:r w:rsidR="007C34B0">
        <w:rPr>
          <w:rFonts w:cs="Times New Roman"/>
          <w:lang w:val="en-US"/>
        </w:rPr>
        <w:t xml:space="preserve"> (</w:t>
      </w:r>
      <w:r w:rsidR="009B7441">
        <w:rPr>
          <w:rFonts w:cs="Times New Roman"/>
          <w:lang w:val="en-US"/>
        </w:rPr>
        <w:t>2020</w:t>
      </w:r>
      <w:r w:rsidR="007C34B0">
        <w:rPr>
          <w:rFonts w:cs="Times New Roman"/>
          <w:lang w:val="en-US"/>
        </w:rPr>
        <w:t xml:space="preserve">) </w:t>
      </w:r>
      <w:r w:rsidR="00964970">
        <w:rPr>
          <w:rFonts w:cs="Times New Roman"/>
          <w:lang w:val="en-US"/>
        </w:rPr>
        <w:t xml:space="preserve">identified </w:t>
      </w:r>
      <w:r w:rsidR="00694273">
        <w:rPr>
          <w:rFonts w:cs="Times New Roman"/>
          <w:lang w:val="en-US"/>
        </w:rPr>
        <w:t xml:space="preserve">the complex and multidimensional construct of </w:t>
      </w:r>
      <w:r w:rsidR="00651383">
        <w:rPr>
          <w:rFonts w:cs="Times New Roman"/>
          <w:lang w:val="en-US"/>
        </w:rPr>
        <w:t xml:space="preserve">a </w:t>
      </w:r>
      <w:r w:rsidR="00694273">
        <w:rPr>
          <w:rFonts w:cs="Times New Roman"/>
          <w:lang w:val="en-US"/>
        </w:rPr>
        <w:t xml:space="preserve">sense of belonging including </w:t>
      </w:r>
      <w:r w:rsidR="00651383">
        <w:rPr>
          <w:rFonts w:cs="Times New Roman"/>
          <w:lang w:val="en-US"/>
        </w:rPr>
        <w:t>physical space and personal space</w:t>
      </w:r>
      <w:r w:rsidR="00490B2D">
        <w:rPr>
          <w:rFonts w:cs="Times New Roman"/>
          <w:lang w:val="en-US"/>
        </w:rPr>
        <w:t xml:space="preserve"> as main contributors to </w:t>
      </w:r>
      <w:r w:rsidR="00314BAF">
        <w:rPr>
          <w:rFonts w:cs="Times New Roman"/>
          <w:lang w:val="en-US"/>
        </w:rPr>
        <w:t>establishing a sense of belonging in students</w:t>
      </w:r>
      <w:r w:rsidR="00651383">
        <w:rPr>
          <w:rFonts w:cs="Times New Roman"/>
          <w:lang w:val="en-US"/>
        </w:rPr>
        <w:t xml:space="preserve">. </w:t>
      </w:r>
      <w:r w:rsidR="0004029F">
        <w:rPr>
          <w:rFonts w:cs="Times New Roman"/>
          <w:lang w:val="en-US"/>
        </w:rPr>
        <w:t>Physical space includ</w:t>
      </w:r>
      <w:r w:rsidR="007D4D09">
        <w:rPr>
          <w:rFonts w:cs="Times New Roman"/>
          <w:lang w:val="en-US"/>
        </w:rPr>
        <w:t>es</w:t>
      </w:r>
      <w:r w:rsidR="0004029F">
        <w:rPr>
          <w:rFonts w:cs="Times New Roman"/>
          <w:lang w:val="en-US"/>
        </w:rPr>
        <w:t xml:space="preserve"> geographical </w:t>
      </w:r>
      <w:r w:rsidR="0075000F">
        <w:rPr>
          <w:rFonts w:cs="Times New Roman"/>
          <w:lang w:val="en-US"/>
        </w:rPr>
        <w:t xml:space="preserve">and cultural space whereas personal space </w:t>
      </w:r>
      <w:r w:rsidR="00CF488A">
        <w:rPr>
          <w:rFonts w:cs="Times New Roman"/>
          <w:lang w:val="en-US"/>
        </w:rPr>
        <w:t>implies</w:t>
      </w:r>
      <w:r w:rsidR="00880418">
        <w:rPr>
          <w:rFonts w:cs="Times New Roman"/>
          <w:lang w:val="en-US"/>
        </w:rPr>
        <w:t xml:space="preserve"> identity, life satisfaction and personal interests</w:t>
      </w:r>
      <w:r w:rsidR="007D4D09">
        <w:rPr>
          <w:rFonts w:cs="Times New Roman"/>
          <w:lang w:val="en-US"/>
        </w:rPr>
        <w:t xml:space="preserve">. </w:t>
      </w:r>
      <w:r w:rsidR="00773322">
        <w:rPr>
          <w:rFonts w:cs="Times New Roman"/>
          <w:lang w:val="en-US"/>
        </w:rPr>
        <w:t>This indicates that</w:t>
      </w:r>
      <w:r w:rsidR="001E5A85">
        <w:rPr>
          <w:rFonts w:cs="Times New Roman"/>
          <w:lang w:val="en-US"/>
        </w:rPr>
        <w:t xml:space="preserve"> a</w:t>
      </w:r>
      <w:r w:rsidR="00773322">
        <w:rPr>
          <w:rFonts w:cs="Times New Roman"/>
          <w:lang w:val="en-US"/>
        </w:rPr>
        <w:t xml:space="preserve"> sense of belonging is very personal to the student population and hence </w:t>
      </w:r>
      <w:r w:rsidR="001E5A85">
        <w:rPr>
          <w:rFonts w:cs="Times New Roman"/>
          <w:lang w:val="en-US"/>
        </w:rPr>
        <w:t xml:space="preserve">investigating </w:t>
      </w:r>
      <w:r w:rsidR="00CF488A">
        <w:rPr>
          <w:rFonts w:cs="Times New Roman"/>
          <w:lang w:val="en-US"/>
        </w:rPr>
        <w:t xml:space="preserve">how students perceive </w:t>
      </w:r>
      <w:r w:rsidR="00BD68B9">
        <w:rPr>
          <w:rFonts w:cs="Times New Roman"/>
          <w:lang w:val="en-US"/>
        </w:rPr>
        <w:t xml:space="preserve">the </w:t>
      </w:r>
      <w:r w:rsidR="00CF488A">
        <w:rPr>
          <w:rFonts w:cs="Times New Roman"/>
          <w:lang w:val="en-US"/>
        </w:rPr>
        <w:t xml:space="preserve">sense of belonging </w:t>
      </w:r>
      <w:r w:rsidR="001E5A85">
        <w:rPr>
          <w:rFonts w:cs="Times New Roman"/>
          <w:lang w:val="en-US"/>
        </w:rPr>
        <w:t xml:space="preserve">in different settings is important. </w:t>
      </w:r>
      <w:r w:rsidR="00DD1E34">
        <w:rPr>
          <w:rFonts w:cs="Times New Roman"/>
          <w:lang w:val="en-US"/>
        </w:rPr>
        <w:t>Another study by Masika &amp; Jones (2016)</w:t>
      </w:r>
      <w:r w:rsidR="00691065">
        <w:rPr>
          <w:rFonts w:cs="Times New Roman"/>
          <w:lang w:val="en-US"/>
        </w:rPr>
        <w:t xml:space="preserve"> identified that creating a community of practice aids the belonging of students to the institution. </w:t>
      </w:r>
      <w:r w:rsidR="004E6EB3">
        <w:rPr>
          <w:rFonts w:cs="Times New Roman"/>
          <w:lang w:val="en-US"/>
        </w:rPr>
        <w:t xml:space="preserve">When students feel valued </w:t>
      </w:r>
      <w:r w:rsidR="0014398D">
        <w:rPr>
          <w:rFonts w:cs="Times New Roman"/>
          <w:lang w:val="en-US"/>
        </w:rPr>
        <w:t>and connected</w:t>
      </w:r>
      <w:r w:rsidR="00CA4CA0">
        <w:rPr>
          <w:rFonts w:cs="Times New Roman"/>
          <w:lang w:val="en-US"/>
        </w:rPr>
        <w:t xml:space="preserve">, </w:t>
      </w:r>
      <w:r w:rsidR="0014398D">
        <w:rPr>
          <w:rFonts w:cs="Times New Roman"/>
          <w:lang w:val="en-US"/>
        </w:rPr>
        <w:t xml:space="preserve"> interest</w:t>
      </w:r>
      <w:r w:rsidR="00CA4CA0">
        <w:rPr>
          <w:rFonts w:cs="Times New Roman"/>
          <w:lang w:val="en-US"/>
        </w:rPr>
        <w:t>ed</w:t>
      </w:r>
      <w:r w:rsidR="0014398D">
        <w:rPr>
          <w:rFonts w:cs="Times New Roman"/>
          <w:lang w:val="en-US"/>
        </w:rPr>
        <w:t xml:space="preserve"> in their subject area, </w:t>
      </w:r>
      <w:r w:rsidR="00CA4CA0">
        <w:rPr>
          <w:rFonts w:cs="Times New Roman"/>
          <w:lang w:val="en-US"/>
        </w:rPr>
        <w:t xml:space="preserve">it is more likely that </w:t>
      </w:r>
      <w:r w:rsidR="00BD68B9">
        <w:rPr>
          <w:rFonts w:cs="Times New Roman"/>
          <w:lang w:val="en-US"/>
        </w:rPr>
        <w:t xml:space="preserve">they </w:t>
      </w:r>
      <w:r w:rsidR="005A0E06">
        <w:rPr>
          <w:rFonts w:cs="Times New Roman"/>
          <w:lang w:val="en-US"/>
        </w:rPr>
        <w:t>engage more deeply with their studies</w:t>
      </w:r>
      <w:r w:rsidR="00CA4CA0">
        <w:rPr>
          <w:rFonts w:cs="Times New Roman"/>
          <w:lang w:val="en-US"/>
        </w:rPr>
        <w:t xml:space="preserve">. So understanding what </w:t>
      </w:r>
      <w:r w:rsidR="00312CCF">
        <w:rPr>
          <w:rFonts w:cs="Times New Roman"/>
          <w:lang w:val="en-US"/>
        </w:rPr>
        <w:t xml:space="preserve">the </w:t>
      </w:r>
      <w:r w:rsidR="00CA4CA0">
        <w:rPr>
          <w:rFonts w:cs="Times New Roman"/>
          <w:lang w:val="en-US"/>
        </w:rPr>
        <w:t xml:space="preserve">sense of belonging </w:t>
      </w:r>
      <w:r w:rsidR="00312CCF">
        <w:rPr>
          <w:rFonts w:cs="Times New Roman"/>
          <w:lang w:val="en-US"/>
        </w:rPr>
        <w:t xml:space="preserve">means to </w:t>
      </w:r>
      <w:r w:rsidR="008D309E">
        <w:rPr>
          <w:rFonts w:cs="Times New Roman"/>
          <w:lang w:val="en-US"/>
        </w:rPr>
        <w:t xml:space="preserve">the </w:t>
      </w:r>
      <w:r w:rsidR="00312CCF">
        <w:rPr>
          <w:rFonts w:cs="Times New Roman"/>
          <w:lang w:val="en-US"/>
        </w:rPr>
        <w:t>student</w:t>
      </w:r>
      <w:r w:rsidR="008D309E">
        <w:rPr>
          <w:rFonts w:cs="Times New Roman"/>
          <w:lang w:val="en-US"/>
        </w:rPr>
        <w:t xml:space="preserve"> population of each institution</w:t>
      </w:r>
      <w:r w:rsidR="00312CCF">
        <w:rPr>
          <w:rFonts w:cs="Times New Roman"/>
          <w:lang w:val="en-US"/>
        </w:rPr>
        <w:t xml:space="preserve"> is important for </w:t>
      </w:r>
      <w:r w:rsidR="00A17126">
        <w:rPr>
          <w:rFonts w:cs="Times New Roman"/>
          <w:lang w:val="en-US"/>
        </w:rPr>
        <w:t xml:space="preserve">designing interventions that support the sense of belonging </w:t>
      </w:r>
      <w:r w:rsidR="00D75681">
        <w:rPr>
          <w:rFonts w:cs="Times New Roman"/>
          <w:lang w:val="en-US"/>
        </w:rPr>
        <w:t>in</w:t>
      </w:r>
      <w:r w:rsidR="00A17126">
        <w:rPr>
          <w:rFonts w:cs="Times New Roman"/>
          <w:lang w:val="en-US"/>
        </w:rPr>
        <w:t xml:space="preserve"> students. </w:t>
      </w:r>
    </w:p>
    <w:p w14:paraId="74B18645" w14:textId="44170668" w:rsidR="00BD55B3" w:rsidRDefault="00BD55B3" w:rsidP="00631A83">
      <w:pPr>
        <w:pStyle w:val="Heading2"/>
        <w:spacing w:line="240" w:lineRule="auto"/>
        <w:jc w:val="both"/>
        <w:rPr>
          <w:lang w:val="en-US"/>
        </w:rPr>
      </w:pPr>
      <w:r>
        <w:rPr>
          <w:lang w:val="en-US"/>
        </w:rPr>
        <w:t>Building belonging Framework</w:t>
      </w:r>
    </w:p>
    <w:p w14:paraId="53960398" w14:textId="67A291AF" w:rsidR="00BD55B3" w:rsidRDefault="00DE4AE5" w:rsidP="00631A83">
      <w:pPr>
        <w:spacing w:line="240" w:lineRule="auto"/>
        <w:jc w:val="both"/>
        <w:rPr>
          <w:lang w:val="en-US"/>
        </w:rPr>
      </w:pPr>
      <w:r>
        <w:rPr>
          <w:lang w:val="en-US"/>
        </w:rPr>
        <w:t xml:space="preserve">Despite of enormous focus on belonging in the HE sector, </w:t>
      </w:r>
      <w:r w:rsidR="00913BE8">
        <w:rPr>
          <w:lang w:val="en-US"/>
        </w:rPr>
        <w:t xml:space="preserve">belonging can be seen as a complex concept. Therefore, Wonkhe &amp; </w:t>
      </w:r>
      <w:r w:rsidR="0065346A">
        <w:rPr>
          <w:lang w:val="en-US"/>
        </w:rPr>
        <w:t xml:space="preserve">Pearson researched the concept of belonging and developed a framework for belonging. </w:t>
      </w:r>
      <w:r w:rsidR="00F64545">
        <w:rPr>
          <w:lang w:val="en-US"/>
        </w:rPr>
        <w:t xml:space="preserve">Connection, inclusion, support and autonomy </w:t>
      </w:r>
      <w:r w:rsidR="00C112DC">
        <w:rPr>
          <w:lang w:val="en-US"/>
        </w:rPr>
        <w:t>are the four key areas of the framework (Blake, Capper &amp; Jackson, 2022).</w:t>
      </w:r>
    </w:p>
    <w:p w14:paraId="6072E59F" w14:textId="11FEA641" w:rsidR="007D79A9" w:rsidRDefault="007A1DB3" w:rsidP="00631A83">
      <w:pPr>
        <w:spacing w:line="240" w:lineRule="auto"/>
        <w:jc w:val="both"/>
        <w:rPr>
          <w:lang w:val="en-US"/>
        </w:rPr>
      </w:pPr>
      <w:r w:rsidRPr="007A1DB3">
        <w:rPr>
          <w:lang w:val="en-US"/>
        </w:rPr>
        <w:lastRenderedPageBreak/>
        <w:drawing>
          <wp:inline distT="0" distB="0" distL="0" distR="0" wp14:anchorId="713CBCEA" wp14:editId="1EC9922E">
            <wp:extent cx="3734321" cy="3048425"/>
            <wp:effectExtent l="0" t="0" r="0" b="0"/>
            <wp:docPr id="380558547" name="Picture 1" descr="A yellow square with blue and black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80558547" name="Picture 1" descr="A yellow square with blue and black text&#10;&#10;Description automatically generated"/>
                    <pic:cNvPicPr/>
                  </pic:nvPicPr>
                  <pic:blipFill>
                    <a:blip r:embed="rId5"/>
                    <a:stretch>
                      <a:fillRect/>
                    </a:stretch>
                  </pic:blipFill>
                  <pic:spPr>
                    <a:xfrm>
                      <a:off x="0" y="0"/>
                      <a:ext cx="3734321" cy="30484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83C95AA" w14:textId="66627B1B" w:rsidR="007A1DB3" w:rsidRPr="00BD55B3" w:rsidRDefault="007A1DB3" w:rsidP="00631A83">
      <w:pPr>
        <w:spacing w:line="240" w:lineRule="auto"/>
        <w:jc w:val="both"/>
        <w:rPr>
          <w:lang w:val="en-US"/>
        </w:rPr>
      </w:pPr>
      <w:r>
        <w:rPr>
          <w:lang w:val="en-US"/>
        </w:rPr>
        <w:t xml:space="preserve">                  (Source: </w:t>
      </w:r>
      <w:r>
        <w:rPr>
          <w:lang w:val="en-US"/>
        </w:rPr>
        <w:t>Blake, Capper &amp; Jackson, 2022</w:t>
      </w:r>
      <w:r>
        <w:rPr>
          <w:lang w:val="en-US"/>
        </w:rPr>
        <w:t>)</w:t>
      </w:r>
      <w:r>
        <w:rPr>
          <w:lang w:val="en-US"/>
        </w:rPr>
        <w:tab/>
      </w:r>
    </w:p>
    <w:p w14:paraId="1991EFAC" w14:textId="45C0CF0C" w:rsidR="00BD55B3" w:rsidRDefault="003A6B8A" w:rsidP="00631A83">
      <w:pPr>
        <w:spacing w:line="240" w:lineRule="auto"/>
        <w:jc w:val="both"/>
        <w:rPr>
          <w:lang w:val="en-US"/>
        </w:rPr>
      </w:pPr>
      <w:r>
        <w:rPr>
          <w:lang w:val="en-US"/>
        </w:rPr>
        <w:t>Establishing a strong connection at</w:t>
      </w:r>
      <w:r w:rsidR="009334C8">
        <w:rPr>
          <w:lang w:val="en-US"/>
        </w:rPr>
        <w:t xml:space="preserve"> the</w:t>
      </w:r>
      <w:r>
        <w:rPr>
          <w:lang w:val="en-US"/>
        </w:rPr>
        <w:t xml:space="preserve"> course level or University level is key to </w:t>
      </w:r>
      <w:r w:rsidR="00D050DB">
        <w:rPr>
          <w:lang w:val="en-US"/>
        </w:rPr>
        <w:t xml:space="preserve">building a sense of belonging. This has been identified in previous studies for example, </w:t>
      </w:r>
      <w:r w:rsidR="00F65F33">
        <w:rPr>
          <w:lang w:val="en-US"/>
        </w:rPr>
        <w:t xml:space="preserve">the study by Hardy &amp; Bryson (2016) identified that supportive networks </w:t>
      </w:r>
      <w:r w:rsidR="00B30A03">
        <w:rPr>
          <w:lang w:val="en-US"/>
        </w:rPr>
        <w:t xml:space="preserve">with peers and staff enormously support student engagement and success. </w:t>
      </w:r>
      <w:r w:rsidR="00325A69">
        <w:rPr>
          <w:lang w:val="en-US"/>
        </w:rPr>
        <w:t xml:space="preserve">Thomas (2012), </w:t>
      </w:r>
      <w:r w:rsidR="00FA1F76">
        <w:rPr>
          <w:lang w:val="en-US"/>
        </w:rPr>
        <w:t xml:space="preserve">and </w:t>
      </w:r>
      <w:r w:rsidR="00325A69">
        <w:rPr>
          <w:lang w:val="en-US"/>
        </w:rPr>
        <w:t xml:space="preserve">Masika &amp; Jones (2016) also identified the link between social connections and </w:t>
      </w:r>
      <w:r w:rsidR="00121F86">
        <w:rPr>
          <w:lang w:val="en-US"/>
        </w:rPr>
        <w:t xml:space="preserve">the </w:t>
      </w:r>
      <w:r w:rsidR="00325A69">
        <w:rPr>
          <w:lang w:val="en-US"/>
        </w:rPr>
        <w:t>sense of belonging</w:t>
      </w:r>
      <w:r w:rsidR="00FA1F76">
        <w:rPr>
          <w:lang w:val="en-US"/>
        </w:rPr>
        <w:t xml:space="preserve"> in their studies</w:t>
      </w:r>
      <w:r w:rsidR="00325A69">
        <w:rPr>
          <w:lang w:val="en-US"/>
        </w:rPr>
        <w:t xml:space="preserve">. </w:t>
      </w:r>
    </w:p>
    <w:p w14:paraId="2A1AECE2" w14:textId="4BE3111D" w:rsidR="00FA1F76" w:rsidRDefault="00353930" w:rsidP="00631A83">
      <w:pPr>
        <w:spacing w:line="240" w:lineRule="auto"/>
        <w:jc w:val="both"/>
        <w:rPr>
          <w:lang w:val="en-US"/>
        </w:rPr>
      </w:pPr>
      <w:r>
        <w:rPr>
          <w:lang w:val="en-US"/>
        </w:rPr>
        <w:t>The s</w:t>
      </w:r>
      <w:r w:rsidR="000B358C">
        <w:rPr>
          <w:lang w:val="en-US"/>
        </w:rPr>
        <w:t>econd important factor of the framework is inclusion which includes accessibility, neurodiversity, access to course materials</w:t>
      </w:r>
      <w:r>
        <w:rPr>
          <w:lang w:val="en-US"/>
        </w:rPr>
        <w:t>, inclusive course contents and representation of staff (</w:t>
      </w:r>
      <w:r>
        <w:rPr>
          <w:lang w:val="en-US"/>
        </w:rPr>
        <w:t>Blake, Capper &amp; Jackson, 2022</w:t>
      </w:r>
      <w:r>
        <w:rPr>
          <w:lang w:val="en-US"/>
        </w:rPr>
        <w:t xml:space="preserve">). Thomas (2012) affirms that an inclusive </w:t>
      </w:r>
      <w:r w:rsidR="00C07F5D">
        <w:rPr>
          <w:lang w:val="en-US"/>
        </w:rPr>
        <w:t xml:space="preserve">learning environment will ensure that students engage and feel like they belong to their course or institution. </w:t>
      </w:r>
    </w:p>
    <w:p w14:paraId="640669C8" w14:textId="22A51D14" w:rsidR="00C07F5D" w:rsidRDefault="00F41021" w:rsidP="00631A83">
      <w:pPr>
        <w:spacing w:line="240" w:lineRule="auto"/>
        <w:jc w:val="both"/>
        <w:rPr>
          <w:lang w:val="en-US"/>
        </w:rPr>
      </w:pPr>
      <w:r>
        <w:rPr>
          <w:lang w:val="en-US"/>
        </w:rPr>
        <w:t>The third main factor of the framework is support. Well defined</w:t>
      </w:r>
      <w:r w:rsidR="008E7955">
        <w:rPr>
          <w:lang w:val="en-US"/>
        </w:rPr>
        <w:t xml:space="preserve">, inclusive support system is integral </w:t>
      </w:r>
      <w:r w:rsidR="007D63E9">
        <w:rPr>
          <w:lang w:val="en-US"/>
        </w:rPr>
        <w:t>to</w:t>
      </w:r>
      <w:r w:rsidR="008E7955">
        <w:rPr>
          <w:lang w:val="en-US"/>
        </w:rPr>
        <w:t xml:space="preserve"> building a sense of belonging in students (</w:t>
      </w:r>
      <w:r w:rsidR="008E7955">
        <w:rPr>
          <w:lang w:val="en-US"/>
        </w:rPr>
        <w:t>Blake, Capper &amp; Jackson, 2022</w:t>
      </w:r>
      <w:r w:rsidR="008E7955">
        <w:rPr>
          <w:lang w:val="en-US"/>
        </w:rPr>
        <w:t>).</w:t>
      </w:r>
      <w:r w:rsidR="007D63E9">
        <w:rPr>
          <w:lang w:val="en-US"/>
        </w:rPr>
        <w:t xml:space="preserve"> This has been identified by previous studies </w:t>
      </w:r>
      <w:r w:rsidR="00654AA3">
        <w:rPr>
          <w:lang w:val="en-US"/>
        </w:rPr>
        <w:t>(Means &amp; Py</w:t>
      </w:r>
      <w:r w:rsidR="00F22F00">
        <w:rPr>
          <w:lang w:val="en-US"/>
        </w:rPr>
        <w:t>n</w:t>
      </w:r>
      <w:r w:rsidR="00654AA3">
        <w:rPr>
          <w:lang w:val="en-US"/>
        </w:rPr>
        <w:t>e, 2017; Ahn &amp; Davis, 2020)</w:t>
      </w:r>
      <w:r w:rsidR="00F22F00">
        <w:rPr>
          <w:lang w:val="en-US"/>
        </w:rPr>
        <w:t xml:space="preserve">. The final factor of the framework is autonomy which makes students feel empowered </w:t>
      </w:r>
      <w:r w:rsidR="007E2144">
        <w:rPr>
          <w:lang w:val="en-US"/>
        </w:rPr>
        <w:t xml:space="preserve">to </w:t>
      </w:r>
      <w:r w:rsidR="00F22F00">
        <w:rPr>
          <w:lang w:val="en-US"/>
        </w:rPr>
        <w:t>make choices and control</w:t>
      </w:r>
      <w:r w:rsidR="007E2144">
        <w:rPr>
          <w:lang w:val="en-US"/>
        </w:rPr>
        <w:t xml:space="preserve"> of</w:t>
      </w:r>
      <w:r w:rsidR="00F22F00">
        <w:rPr>
          <w:lang w:val="en-US"/>
        </w:rPr>
        <w:t xml:space="preserve"> their learning. </w:t>
      </w:r>
      <w:r w:rsidR="006A2A50">
        <w:rPr>
          <w:lang w:val="en-US"/>
        </w:rPr>
        <w:t xml:space="preserve">A positive relationship with sense of belonging and autonomy in students was affirmed by other studies including </w:t>
      </w:r>
      <w:r w:rsidR="005531CC">
        <w:rPr>
          <w:lang w:val="en-US"/>
        </w:rPr>
        <w:t xml:space="preserve"> Tian</w:t>
      </w:r>
      <w:r w:rsidR="00D211B7">
        <w:rPr>
          <w:lang w:val="en-US"/>
        </w:rPr>
        <w:t xml:space="preserve"> et al.</w:t>
      </w:r>
      <w:r w:rsidR="00C417DA">
        <w:rPr>
          <w:lang w:val="en-US"/>
        </w:rPr>
        <w:t xml:space="preserve"> </w:t>
      </w:r>
      <w:r w:rsidR="005531CC">
        <w:rPr>
          <w:lang w:val="en-US"/>
        </w:rPr>
        <w:t xml:space="preserve">(2023), </w:t>
      </w:r>
      <w:r w:rsidR="00AE416D">
        <w:rPr>
          <w:lang w:val="en-US"/>
        </w:rPr>
        <w:t xml:space="preserve">and </w:t>
      </w:r>
      <w:r w:rsidR="000A3814">
        <w:rPr>
          <w:lang w:val="en-US"/>
        </w:rPr>
        <w:t xml:space="preserve">Vekkaila et al. (2024). </w:t>
      </w:r>
    </w:p>
    <w:p w14:paraId="201DF869" w14:textId="77777777" w:rsidR="00FD36F0" w:rsidRDefault="00827A1E" w:rsidP="00631A83">
      <w:pPr>
        <w:spacing w:line="240" w:lineRule="auto"/>
        <w:jc w:val="both"/>
        <w:rPr>
          <w:lang w:val="en-US"/>
        </w:rPr>
      </w:pPr>
      <w:r>
        <w:rPr>
          <w:lang w:val="en-US"/>
        </w:rPr>
        <w:t xml:space="preserve">However, there are many barriers to </w:t>
      </w:r>
      <w:r w:rsidR="00A00DC6">
        <w:rPr>
          <w:lang w:val="en-US"/>
        </w:rPr>
        <w:t>establishing a sense of belonging in students. This includes</w:t>
      </w:r>
      <w:r w:rsidR="00B570E5">
        <w:rPr>
          <w:lang w:val="en-US"/>
        </w:rPr>
        <w:t xml:space="preserve"> a </w:t>
      </w:r>
      <w:r w:rsidR="002465D4">
        <w:rPr>
          <w:lang w:val="en-US"/>
        </w:rPr>
        <w:t>lack of integration of course</w:t>
      </w:r>
      <w:r w:rsidR="00B570E5">
        <w:rPr>
          <w:lang w:val="en-US"/>
        </w:rPr>
        <w:t>, curriculum, wider experience and future goals</w:t>
      </w:r>
      <w:r w:rsidR="00B92428">
        <w:rPr>
          <w:lang w:val="en-US"/>
        </w:rPr>
        <w:t>, mental health, culture and systemic barriers</w:t>
      </w:r>
      <w:r w:rsidR="0083484D">
        <w:rPr>
          <w:lang w:val="en-US"/>
        </w:rPr>
        <w:t xml:space="preserve">, </w:t>
      </w:r>
      <w:r w:rsidR="00542079">
        <w:rPr>
          <w:lang w:val="en-US"/>
        </w:rPr>
        <w:t xml:space="preserve">lack of connections, </w:t>
      </w:r>
      <w:r w:rsidR="0083484D">
        <w:rPr>
          <w:lang w:val="en-US"/>
        </w:rPr>
        <w:t>conflicting priorities,</w:t>
      </w:r>
      <w:r w:rsidR="00A00898">
        <w:rPr>
          <w:lang w:val="en-US"/>
        </w:rPr>
        <w:t xml:space="preserve"> and</w:t>
      </w:r>
      <w:r w:rsidR="0083484D">
        <w:rPr>
          <w:lang w:val="en-US"/>
        </w:rPr>
        <w:t xml:space="preserve"> personal issues</w:t>
      </w:r>
      <w:r w:rsidR="00A00898">
        <w:rPr>
          <w:lang w:val="en-US"/>
        </w:rPr>
        <w:t xml:space="preserve"> a few to name (</w:t>
      </w:r>
      <w:r w:rsidR="00A00898">
        <w:rPr>
          <w:lang w:val="en-US"/>
        </w:rPr>
        <w:t>Blake, Capper &amp; Jackson, 2022</w:t>
      </w:r>
      <w:r w:rsidR="00A00898">
        <w:rPr>
          <w:lang w:val="en-US"/>
        </w:rPr>
        <w:t xml:space="preserve">; </w:t>
      </w:r>
      <w:r w:rsidR="00BF5070">
        <w:rPr>
          <w:lang w:val="en-US"/>
        </w:rPr>
        <w:t>Meehan &amp; Howells, 2019</w:t>
      </w:r>
      <w:r w:rsidR="00A00898">
        <w:rPr>
          <w:lang w:val="en-US"/>
        </w:rPr>
        <w:t>)</w:t>
      </w:r>
      <w:r w:rsidR="0003437F">
        <w:rPr>
          <w:lang w:val="en-US"/>
        </w:rPr>
        <w:t xml:space="preserve">. </w:t>
      </w:r>
      <w:r w:rsidR="002B1AAB">
        <w:rPr>
          <w:lang w:val="en-US"/>
        </w:rPr>
        <w:t>The study by Wonkhe &amp; Pearson concludes that when each of the</w:t>
      </w:r>
      <w:r w:rsidR="00537B27">
        <w:rPr>
          <w:lang w:val="en-US"/>
        </w:rPr>
        <w:t xml:space="preserve"> four</w:t>
      </w:r>
      <w:r w:rsidR="002B1AAB">
        <w:rPr>
          <w:lang w:val="en-US"/>
        </w:rPr>
        <w:t xml:space="preserve"> factors was facilitated well, it improved the sense of belonging in students (Blake, Capper &amp; Jackson, 2022). </w:t>
      </w:r>
      <w:r w:rsidR="002B1AAB">
        <w:rPr>
          <w:lang w:val="en-US"/>
        </w:rPr>
        <w:t xml:space="preserve">Therefore, </w:t>
      </w:r>
      <w:r w:rsidR="00537B27">
        <w:rPr>
          <w:lang w:val="en-US"/>
        </w:rPr>
        <w:t xml:space="preserve">our study aims </w:t>
      </w:r>
      <w:r w:rsidR="007032EE">
        <w:rPr>
          <w:lang w:val="en-US"/>
        </w:rPr>
        <w:t xml:space="preserve">to </w:t>
      </w:r>
      <w:r w:rsidR="002C7B8D">
        <w:rPr>
          <w:lang w:val="en-US"/>
        </w:rPr>
        <w:t xml:space="preserve">evaluate the effectiveness of the four factors </w:t>
      </w:r>
      <w:r w:rsidR="009C2A42">
        <w:rPr>
          <w:lang w:val="en-US"/>
        </w:rPr>
        <w:t xml:space="preserve">for widening participation students. </w:t>
      </w:r>
      <w:r w:rsidR="00B30341">
        <w:rPr>
          <w:lang w:val="en-US"/>
        </w:rPr>
        <w:t xml:space="preserve">We will be identifying </w:t>
      </w:r>
      <w:r w:rsidR="00B30341" w:rsidRPr="00B30341">
        <w:rPr>
          <w:lang w:val="en-US"/>
        </w:rPr>
        <w:t>how our students build their sense of belonging through developing connection,</w:t>
      </w:r>
      <w:r w:rsidR="00B30341">
        <w:rPr>
          <w:lang w:val="en-US"/>
        </w:rPr>
        <w:t xml:space="preserve"> </w:t>
      </w:r>
      <w:r w:rsidR="00B30341" w:rsidRPr="00B30341">
        <w:rPr>
          <w:lang w:val="en-US"/>
        </w:rPr>
        <w:t>accessing support, accessing an inclusive curriculum and building their autonomy</w:t>
      </w:r>
      <w:r w:rsidR="00B30341">
        <w:rPr>
          <w:lang w:val="en-US"/>
        </w:rPr>
        <w:t xml:space="preserve">. </w:t>
      </w:r>
    </w:p>
    <w:p w14:paraId="79D3258F" w14:textId="229097D8" w:rsidR="00B7312A" w:rsidRDefault="001B56C7" w:rsidP="00631A83">
      <w:pPr>
        <w:pStyle w:val="Heading1"/>
        <w:jc w:val="both"/>
      </w:pPr>
      <w:r>
        <w:lastRenderedPageBreak/>
        <w:t>Methodology</w:t>
      </w:r>
    </w:p>
    <w:p w14:paraId="77A555D6" w14:textId="1E196931" w:rsidR="00393C87" w:rsidRDefault="006A4062" w:rsidP="00631A83">
      <w:pPr>
        <w:spacing w:line="240" w:lineRule="auto"/>
        <w:jc w:val="both"/>
      </w:pPr>
      <w:r>
        <w:t xml:space="preserve">This study comprises </w:t>
      </w:r>
      <w:r w:rsidR="00EF693A">
        <w:t xml:space="preserve">three phases, each designed to capture different dimensions of student belonging throughout the </w:t>
      </w:r>
      <w:r w:rsidR="001B18A4">
        <w:t>academic year. University of Wales Trinity Saint David</w:t>
      </w:r>
      <w:r w:rsidR="0007559C">
        <w:t xml:space="preserve"> ethics committee approval was obtained for this study. </w:t>
      </w:r>
      <w:r w:rsidR="006C5DF3">
        <w:t xml:space="preserve">This study adopts a mixed methods approach to evaluate the effectiveness </w:t>
      </w:r>
      <w:r w:rsidR="0053401C">
        <w:t xml:space="preserve">of the Wonkhe framework. </w:t>
      </w:r>
      <w:r w:rsidR="006D70D6">
        <w:t xml:space="preserve">This approach </w:t>
      </w:r>
      <w:r w:rsidR="004F61AA">
        <w:t xml:space="preserve">uses both quantitative and qualitative data to provide a comprehensive </w:t>
      </w:r>
      <w:r w:rsidR="009D07A2">
        <w:t>understanding of the research problem (Creswell &amp; Creswell, 20</w:t>
      </w:r>
      <w:r w:rsidR="00E71127">
        <w:t>05</w:t>
      </w:r>
      <w:r w:rsidR="009D07A2">
        <w:t xml:space="preserve">). </w:t>
      </w:r>
      <w:r w:rsidR="00176460">
        <w:t xml:space="preserve">This approach enables us to </w:t>
      </w:r>
      <w:r w:rsidR="001A7908">
        <w:t xml:space="preserve">gain insights into the complex sense of belonging concept and identify the crucial factors affecting </w:t>
      </w:r>
      <w:r w:rsidR="005C5168">
        <w:t xml:space="preserve">students’ belonging. </w:t>
      </w:r>
      <w:r w:rsidR="005B1906">
        <w:t xml:space="preserve">This study is </w:t>
      </w:r>
      <w:r w:rsidR="003E2E0A">
        <w:t xml:space="preserve">conducted in three phases each </w:t>
      </w:r>
      <w:r w:rsidR="00A43561">
        <w:t xml:space="preserve">phase </w:t>
      </w:r>
      <w:r w:rsidR="003E2E0A">
        <w:t xml:space="preserve">employing </w:t>
      </w:r>
      <w:r w:rsidR="000B64AF">
        <w:t xml:space="preserve">online surveys, reflective logs and focus group discussions. </w:t>
      </w:r>
    </w:p>
    <w:p w14:paraId="6A0E89FB" w14:textId="453404B4" w:rsidR="00FD36F0" w:rsidRDefault="00CA6F54" w:rsidP="00631A83">
      <w:pPr>
        <w:spacing w:line="240" w:lineRule="auto"/>
        <w:jc w:val="both"/>
      </w:pPr>
      <w:r>
        <w:t>Online surveys are</w:t>
      </w:r>
      <w:r w:rsidR="00CD324A">
        <w:t xml:space="preserve"> </w:t>
      </w:r>
      <w:r>
        <w:t xml:space="preserve">widely used method </w:t>
      </w:r>
      <w:r w:rsidR="00CD324A">
        <w:t xml:space="preserve">to collect data from a broad audience </w:t>
      </w:r>
      <w:r w:rsidR="00952D26">
        <w:t>and offer advantages such as ease of data collection, entry and follow-up administration (</w:t>
      </w:r>
      <w:r w:rsidR="00E71959">
        <w:t>Evans &amp; Mathur, 2005</w:t>
      </w:r>
      <w:r w:rsidR="00952D26">
        <w:t xml:space="preserve">). </w:t>
      </w:r>
      <w:r w:rsidR="00CF1744">
        <w:t xml:space="preserve">The reflective logs are used to capture </w:t>
      </w:r>
      <w:r w:rsidR="001F58AD">
        <w:t xml:space="preserve">rich qualitative data providing in-depth </w:t>
      </w:r>
      <w:r w:rsidR="00947267">
        <w:t>insights into participants' thoughts, experiences and reflections (</w:t>
      </w:r>
      <w:proofErr w:type="spellStart"/>
      <w:r w:rsidR="00B77A2C">
        <w:t>Ort</w:t>
      </w:r>
      <w:r w:rsidR="00E70C00">
        <w:t>lipp</w:t>
      </w:r>
      <w:proofErr w:type="spellEnd"/>
      <w:r w:rsidR="00E70C00">
        <w:t>, 2008</w:t>
      </w:r>
      <w:r w:rsidR="00947267">
        <w:t xml:space="preserve">). </w:t>
      </w:r>
      <w:r w:rsidR="00632713">
        <w:t xml:space="preserve">Focus groups </w:t>
      </w:r>
      <w:r w:rsidR="00F648D8">
        <w:t>allow participants to convey their views</w:t>
      </w:r>
      <w:r w:rsidR="008602B9">
        <w:t>, opinions, and experiences allowing them to discuss in a group</w:t>
      </w:r>
      <w:r w:rsidR="007F3BDB">
        <w:t xml:space="preserve"> that also generate data through interactions and group dynamics (</w:t>
      </w:r>
      <w:r w:rsidR="00F63880" w:rsidRPr="00F63880">
        <w:t>Krueger</w:t>
      </w:r>
      <w:r w:rsidR="00F63880">
        <w:t>, 1998</w:t>
      </w:r>
      <w:r w:rsidR="007F3BDB">
        <w:t xml:space="preserve">). </w:t>
      </w:r>
      <w:r w:rsidR="00C4797A">
        <w:t xml:space="preserve">Although, each method has its own limitations, </w:t>
      </w:r>
      <w:r w:rsidR="004A105E">
        <w:t xml:space="preserve">using the three methods will help to generate a rich data set for this study. </w:t>
      </w:r>
    </w:p>
    <w:p w14:paraId="54BA39B1" w14:textId="0FB8AC4A" w:rsidR="001B56C7" w:rsidRDefault="00A87129" w:rsidP="00631A83">
      <w:pPr>
        <w:pStyle w:val="Heading1"/>
        <w:jc w:val="both"/>
      </w:pPr>
      <w:r>
        <w:t>Findings</w:t>
      </w:r>
      <w:r w:rsidR="00A419E9">
        <w:t xml:space="preserve"> </w:t>
      </w:r>
    </w:p>
    <w:p w14:paraId="00CF6567" w14:textId="50EF4E10" w:rsidR="00A419E9" w:rsidRDefault="00A419E9" w:rsidP="00631A83">
      <w:pPr>
        <w:pStyle w:val="Heading2"/>
        <w:jc w:val="both"/>
      </w:pPr>
      <w:r>
        <w:t>Phase one:</w:t>
      </w:r>
    </w:p>
    <w:p w14:paraId="04F32BEB" w14:textId="53BAF17E" w:rsidR="00A419E9" w:rsidRDefault="00A419E9" w:rsidP="00631A83">
      <w:pPr>
        <w:pStyle w:val="Heading2"/>
        <w:jc w:val="both"/>
        <w:rPr>
          <w:lang w:val="fr-FR"/>
        </w:rPr>
      </w:pPr>
      <w:r w:rsidRPr="00A419E9">
        <w:rPr>
          <w:lang w:val="fr-FR"/>
        </w:rPr>
        <w:t xml:space="preserve">Questionnaire </w:t>
      </w:r>
      <w:r w:rsidR="007B4B9C">
        <w:rPr>
          <w:lang w:val="fr-FR"/>
        </w:rPr>
        <w:t>results</w:t>
      </w:r>
    </w:p>
    <w:p w14:paraId="3E970463" w14:textId="6E014D31" w:rsidR="007B4B9C" w:rsidRDefault="00C50862" w:rsidP="00631A83">
      <w:pPr>
        <w:pStyle w:val="Heading2"/>
        <w:jc w:val="both"/>
        <w:rPr>
          <w:lang w:val="fr-FR"/>
        </w:rPr>
      </w:pPr>
      <w:r>
        <w:rPr>
          <w:lang w:val="fr-FR"/>
        </w:rPr>
        <w:t xml:space="preserve">Reflective Journal </w:t>
      </w:r>
    </w:p>
    <w:p w14:paraId="20AAEEF1" w14:textId="2B84FA91" w:rsidR="001927BD" w:rsidRDefault="001927BD" w:rsidP="00631A83">
      <w:pPr>
        <w:pStyle w:val="Heading2"/>
        <w:jc w:val="both"/>
        <w:rPr>
          <w:lang w:val="fr-FR"/>
        </w:rPr>
      </w:pPr>
      <w:r>
        <w:rPr>
          <w:lang w:val="fr-FR"/>
        </w:rPr>
        <w:t xml:space="preserve">Focus group </w:t>
      </w:r>
    </w:p>
    <w:p w14:paraId="66D168DE" w14:textId="16F9D27D" w:rsidR="007D499F" w:rsidRPr="00A419E9" w:rsidRDefault="00A87129" w:rsidP="00631A83">
      <w:pPr>
        <w:pStyle w:val="Heading1"/>
        <w:jc w:val="both"/>
        <w:rPr>
          <w:lang w:val="fr-FR"/>
        </w:rPr>
      </w:pPr>
      <w:r w:rsidRPr="00A419E9">
        <w:rPr>
          <w:lang w:val="fr-FR"/>
        </w:rPr>
        <w:t>Imp</w:t>
      </w:r>
      <w:r w:rsidR="007D499F" w:rsidRPr="00A419E9">
        <w:rPr>
          <w:lang w:val="fr-FR"/>
        </w:rPr>
        <w:t xml:space="preserve">lications &amp; Future </w:t>
      </w:r>
      <w:r w:rsidR="00A419E9" w:rsidRPr="00A419E9">
        <w:rPr>
          <w:lang w:val="fr-FR"/>
        </w:rPr>
        <w:t>Research</w:t>
      </w:r>
    </w:p>
    <w:p w14:paraId="5632E319" w14:textId="7A122AB8" w:rsidR="00A419E9" w:rsidRDefault="00A419E9" w:rsidP="00631A83">
      <w:pPr>
        <w:pStyle w:val="Heading1"/>
        <w:jc w:val="both"/>
      </w:pPr>
      <w:r>
        <w:t xml:space="preserve">Conclusion </w:t>
      </w:r>
    </w:p>
    <w:p w14:paraId="783B5BBC" w14:textId="46578CB5" w:rsidR="001927BD" w:rsidRDefault="001927BD" w:rsidP="00631A83">
      <w:pPr>
        <w:pStyle w:val="Heading1"/>
        <w:jc w:val="both"/>
      </w:pPr>
      <w:r>
        <w:t>References</w:t>
      </w:r>
    </w:p>
    <w:p w14:paraId="7F98EB32" w14:textId="77777777" w:rsidR="00631A83" w:rsidRDefault="00631A83" w:rsidP="00631A83">
      <w:pPr>
        <w:jc w:val="both"/>
      </w:pPr>
      <w:r w:rsidRPr="00920BB7">
        <w:rPr>
          <w:lang w:val="de-DE"/>
        </w:rPr>
        <w:t xml:space="preserve">Ahn, M. Y., &amp; Davis, H. H. (2020). </w:t>
      </w:r>
      <w:r w:rsidRPr="00920BB7">
        <w:t>Four domains of students’ sense of belonging to university. </w:t>
      </w:r>
      <w:r w:rsidRPr="00920BB7">
        <w:rPr>
          <w:i/>
          <w:iCs/>
        </w:rPr>
        <w:t>Studies in Higher Education</w:t>
      </w:r>
      <w:r w:rsidRPr="00920BB7">
        <w:t>, </w:t>
      </w:r>
      <w:r w:rsidRPr="00920BB7">
        <w:rPr>
          <w:i/>
          <w:iCs/>
        </w:rPr>
        <w:t>45</w:t>
      </w:r>
      <w:r w:rsidRPr="00920BB7">
        <w:t>(3), 622-634.</w:t>
      </w:r>
    </w:p>
    <w:p w14:paraId="2883E6D0" w14:textId="77777777" w:rsidR="00631A83" w:rsidRDefault="00631A83" w:rsidP="00631A83">
      <w:pPr>
        <w:jc w:val="both"/>
      </w:pPr>
      <w:r w:rsidRPr="00920BB7">
        <w:t>Blake, S., Capper, G. and Jackson, A. (2022) Building Belonging in Higher Education: Recommendations for developing an integrated institutional approach (wonkhe.com)</w:t>
      </w:r>
    </w:p>
    <w:p w14:paraId="673A7787" w14:textId="77777777" w:rsidR="00631A83" w:rsidRDefault="00631A83" w:rsidP="00631A83">
      <w:pPr>
        <w:jc w:val="both"/>
      </w:pPr>
      <w:r w:rsidRPr="00920BB7">
        <w:lastRenderedPageBreak/>
        <w:t>Creswell, J. W., &amp; Creswell, J. D. (2005). Mixed methods research: Developments, debates, and dilemmas. </w:t>
      </w:r>
      <w:r w:rsidRPr="00920BB7">
        <w:rPr>
          <w:i/>
          <w:iCs/>
        </w:rPr>
        <w:t>Research in organizations: Foundations and methods of inquiry</w:t>
      </w:r>
      <w:r w:rsidRPr="00920BB7">
        <w:t>, </w:t>
      </w:r>
      <w:r w:rsidRPr="00920BB7">
        <w:rPr>
          <w:i/>
          <w:iCs/>
        </w:rPr>
        <w:t>2</w:t>
      </w:r>
      <w:r w:rsidRPr="00920BB7">
        <w:t>, 315-326.</w:t>
      </w:r>
    </w:p>
    <w:p w14:paraId="49085833" w14:textId="77777777" w:rsidR="00631A83" w:rsidRDefault="00631A83" w:rsidP="00631A83">
      <w:pPr>
        <w:jc w:val="both"/>
      </w:pPr>
      <w:r w:rsidRPr="00920BB7">
        <w:t>Evans, J. R., &amp; Mathur, A. (2005). The value of online surveys. </w:t>
      </w:r>
      <w:r w:rsidRPr="00920BB7">
        <w:rPr>
          <w:i/>
          <w:iCs/>
        </w:rPr>
        <w:t>Internet research</w:t>
      </w:r>
      <w:r w:rsidRPr="00920BB7">
        <w:t>, </w:t>
      </w:r>
      <w:r w:rsidRPr="00920BB7">
        <w:rPr>
          <w:i/>
          <w:iCs/>
        </w:rPr>
        <w:t>15</w:t>
      </w:r>
      <w:r w:rsidRPr="00920BB7">
        <w:t>(2), 195-219.</w:t>
      </w:r>
    </w:p>
    <w:p w14:paraId="602C746B" w14:textId="77777777" w:rsidR="00631A83" w:rsidRDefault="00631A83" w:rsidP="00631A83">
      <w:pPr>
        <w:jc w:val="both"/>
      </w:pPr>
      <w:r w:rsidRPr="00A253DF">
        <w:t>Hardy, C., &amp; Bryson, C. (2016). The salience of social relationships and networks in enabling student engagement and success. </w:t>
      </w:r>
      <w:r w:rsidRPr="00A253DF">
        <w:rPr>
          <w:i/>
          <w:iCs/>
        </w:rPr>
        <w:t>Student Engagement in Higher Education Journal</w:t>
      </w:r>
      <w:r w:rsidRPr="00A253DF">
        <w:t>, </w:t>
      </w:r>
      <w:r w:rsidRPr="00A253DF">
        <w:rPr>
          <w:i/>
          <w:iCs/>
        </w:rPr>
        <w:t>1</w:t>
      </w:r>
      <w:r w:rsidRPr="00A253DF">
        <w:t>(1).</w:t>
      </w:r>
    </w:p>
    <w:p w14:paraId="247B092F" w14:textId="77777777" w:rsidR="00631A83" w:rsidRDefault="00631A83" w:rsidP="00631A83">
      <w:pPr>
        <w:jc w:val="both"/>
      </w:pPr>
      <w:r w:rsidRPr="00F63880">
        <w:t>Krueger, R. A. (1998). </w:t>
      </w:r>
      <w:proofErr w:type="spellStart"/>
      <w:r w:rsidRPr="00F63880">
        <w:rPr>
          <w:i/>
          <w:iCs/>
        </w:rPr>
        <w:t>Analyzing</w:t>
      </w:r>
      <w:proofErr w:type="spellEnd"/>
      <w:r w:rsidRPr="00F63880">
        <w:rPr>
          <w:i/>
          <w:iCs/>
        </w:rPr>
        <w:t xml:space="preserve"> and reporting focus group results</w:t>
      </w:r>
      <w:r w:rsidRPr="00F63880">
        <w:t>. Sage.</w:t>
      </w:r>
    </w:p>
    <w:p w14:paraId="1F1C2186" w14:textId="77777777" w:rsidR="00631A83" w:rsidRDefault="00631A83" w:rsidP="00631A83">
      <w:pPr>
        <w:jc w:val="both"/>
      </w:pPr>
      <w:r w:rsidRPr="00A253DF">
        <w:t>Masika, R., &amp; Jones, J. (2016). Building student belonging and engagement: Insights into higher education students’ experiences of participating and learning together. </w:t>
      </w:r>
      <w:r w:rsidRPr="00A253DF">
        <w:rPr>
          <w:i/>
          <w:iCs/>
        </w:rPr>
        <w:t>Teaching in higher education</w:t>
      </w:r>
      <w:r w:rsidRPr="00A253DF">
        <w:t>, </w:t>
      </w:r>
      <w:r w:rsidRPr="00A253DF">
        <w:rPr>
          <w:i/>
          <w:iCs/>
        </w:rPr>
        <w:t>21</w:t>
      </w:r>
      <w:r w:rsidRPr="00A253DF">
        <w:t>(2), 138-150.</w:t>
      </w:r>
    </w:p>
    <w:p w14:paraId="153ED62B" w14:textId="77777777" w:rsidR="00631A83" w:rsidRDefault="00631A83" w:rsidP="00631A83">
      <w:pPr>
        <w:jc w:val="both"/>
      </w:pPr>
      <w:proofErr w:type="spellStart"/>
      <w:r w:rsidRPr="00384ED9">
        <w:t>Mckendry</w:t>
      </w:r>
      <w:proofErr w:type="spellEnd"/>
      <w:r w:rsidRPr="00384ED9">
        <w:t>, S., Wright, M., &amp; Stevenson, K. (2014). Why here and why stay? Students' voices on the retention strategies of a widening participation university. </w:t>
      </w:r>
      <w:r w:rsidRPr="00384ED9">
        <w:rPr>
          <w:i/>
          <w:iCs/>
        </w:rPr>
        <w:t>Nurse education today</w:t>
      </w:r>
      <w:r w:rsidRPr="00384ED9">
        <w:t>, </w:t>
      </w:r>
      <w:r w:rsidRPr="00384ED9">
        <w:rPr>
          <w:i/>
          <w:iCs/>
        </w:rPr>
        <w:t>34</w:t>
      </w:r>
      <w:r w:rsidRPr="00384ED9">
        <w:t>(5), 872-877.</w:t>
      </w:r>
    </w:p>
    <w:p w14:paraId="26AAE3D9" w14:textId="77777777" w:rsidR="00631A83" w:rsidRDefault="00631A83" w:rsidP="00631A83">
      <w:pPr>
        <w:jc w:val="both"/>
      </w:pPr>
      <w:r w:rsidRPr="00A253DF">
        <w:t>Means, D. R., &amp; Pyne, K. B. (2017). Finding my way: Perceptions of institutional support and belonging in low-income, first-generation, first-year college students. </w:t>
      </w:r>
      <w:r w:rsidRPr="00A253DF">
        <w:rPr>
          <w:i/>
          <w:iCs/>
        </w:rPr>
        <w:t>Journal of College Student Development</w:t>
      </w:r>
      <w:r w:rsidRPr="00A253DF">
        <w:t>, </w:t>
      </w:r>
      <w:r w:rsidRPr="00A253DF">
        <w:rPr>
          <w:i/>
          <w:iCs/>
        </w:rPr>
        <w:t>58</w:t>
      </w:r>
      <w:r w:rsidRPr="00A253DF">
        <w:t>(6), 907-924.</w:t>
      </w:r>
    </w:p>
    <w:p w14:paraId="04F3C677" w14:textId="77777777" w:rsidR="00631A83" w:rsidRDefault="00631A83" w:rsidP="00631A83">
      <w:pPr>
        <w:jc w:val="both"/>
      </w:pPr>
      <w:r w:rsidRPr="00920BB7">
        <w:t>Meehan, C., &amp; Howells, K. (2019). In search of the feeling of ‘</w:t>
      </w:r>
      <w:proofErr w:type="spellStart"/>
      <w:r w:rsidRPr="00920BB7">
        <w:t>belonging’in</w:t>
      </w:r>
      <w:proofErr w:type="spellEnd"/>
      <w:r w:rsidRPr="00920BB7">
        <w:t xml:space="preserve"> higher education: Undergraduate students transition into higher education. </w:t>
      </w:r>
      <w:r w:rsidRPr="00920BB7">
        <w:rPr>
          <w:i/>
          <w:iCs/>
        </w:rPr>
        <w:t>Journal of Further and Higher Education</w:t>
      </w:r>
      <w:r w:rsidRPr="00920BB7">
        <w:t>, </w:t>
      </w:r>
      <w:r w:rsidRPr="00920BB7">
        <w:rPr>
          <w:i/>
          <w:iCs/>
        </w:rPr>
        <w:t>43</w:t>
      </w:r>
      <w:r w:rsidRPr="00920BB7">
        <w:t>(10), 1376-1390.</w:t>
      </w:r>
    </w:p>
    <w:p w14:paraId="1711736A" w14:textId="77777777" w:rsidR="00631A83" w:rsidRDefault="00631A83" w:rsidP="00631A83">
      <w:pPr>
        <w:jc w:val="both"/>
      </w:pPr>
      <w:r w:rsidRPr="00B223BA">
        <w:t>Moore, J., Sanders, J., &amp; Higham, L. (2013). Literature review of research into widening participation to higher education. </w:t>
      </w:r>
      <w:r w:rsidRPr="00B223BA">
        <w:rPr>
          <w:i/>
          <w:iCs/>
        </w:rPr>
        <w:t xml:space="preserve">Report to HEFCE and OFFA. </w:t>
      </w:r>
      <w:proofErr w:type="spellStart"/>
      <w:r w:rsidRPr="00B223BA">
        <w:rPr>
          <w:i/>
          <w:iCs/>
        </w:rPr>
        <w:t>AimHigher</w:t>
      </w:r>
      <w:proofErr w:type="spellEnd"/>
      <w:r w:rsidRPr="00B223BA">
        <w:rPr>
          <w:i/>
          <w:iCs/>
        </w:rPr>
        <w:t xml:space="preserve"> Research &amp; Consultancy Network</w:t>
      </w:r>
      <w:r w:rsidRPr="00B223BA">
        <w:t>.</w:t>
      </w:r>
    </w:p>
    <w:p w14:paraId="1385551E" w14:textId="77777777" w:rsidR="00631A83" w:rsidRDefault="00631A83" w:rsidP="00631A83">
      <w:pPr>
        <w:jc w:val="both"/>
      </w:pPr>
      <w:proofErr w:type="spellStart"/>
      <w:r w:rsidRPr="00E70C00">
        <w:t>Ortlipp</w:t>
      </w:r>
      <w:proofErr w:type="spellEnd"/>
      <w:r w:rsidRPr="00E70C00">
        <w:t>, M. (2008). Keeping and using reflective journals in the qualitative research process. </w:t>
      </w:r>
      <w:r w:rsidRPr="00E70C00">
        <w:rPr>
          <w:i/>
          <w:iCs/>
        </w:rPr>
        <w:t>The qualitative report</w:t>
      </w:r>
      <w:r w:rsidRPr="00E70C00">
        <w:t>, </w:t>
      </w:r>
      <w:r w:rsidRPr="00E70C00">
        <w:rPr>
          <w:i/>
          <w:iCs/>
        </w:rPr>
        <w:t>13</w:t>
      </w:r>
      <w:r w:rsidRPr="00E70C00">
        <w:t>(4), 695-705.</w:t>
      </w:r>
    </w:p>
    <w:p w14:paraId="7D1F2ECB" w14:textId="77777777" w:rsidR="00631A83" w:rsidRDefault="00631A83" w:rsidP="00631A83">
      <w:pPr>
        <w:jc w:val="both"/>
      </w:pPr>
      <w:r w:rsidRPr="00A253DF">
        <w:t xml:space="preserve">Read, B., Archer, L., &amp; </w:t>
      </w:r>
      <w:proofErr w:type="spellStart"/>
      <w:r w:rsidRPr="00A253DF">
        <w:t>Leathwood</w:t>
      </w:r>
      <w:proofErr w:type="spellEnd"/>
      <w:r w:rsidRPr="00A253DF">
        <w:t xml:space="preserve">, C. (2003). Challenging cultures? Student conceptions </w:t>
      </w:r>
      <w:r>
        <w:t>of belonging and isolation at</w:t>
      </w:r>
      <w:r w:rsidRPr="00A253DF">
        <w:t xml:space="preserve"> a post-1992 university. </w:t>
      </w:r>
      <w:r w:rsidRPr="00A253DF">
        <w:rPr>
          <w:i/>
          <w:iCs/>
        </w:rPr>
        <w:t>Studies in higher education</w:t>
      </w:r>
      <w:r w:rsidRPr="00A253DF">
        <w:t>, </w:t>
      </w:r>
      <w:r w:rsidRPr="00A253DF">
        <w:rPr>
          <w:i/>
          <w:iCs/>
        </w:rPr>
        <w:t>28</w:t>
      </w:r>
      <w:r w:rsidRPr="00A253DF">
        <w:t>(3), 261-277.</w:t>
      </w:r>
    </w:p>
    <w:p w14:paraId="30532C37" w14:textId="77777777" w:rsidR="00631A83" w:rsidRDefault="00631A83" w:rsidP="00631A83">
      <w:pPr>
        <w:jc w:val="both"/>
      </w:pPr>
      <w:r w:rsidRPr="00A253DF">
        <w:t>Rubin, M., &amp; Wright, C. L. (2017). Time and money explain social class differences in students’ social integration at university. </w:t>
      </w:r>
      <w:r w:rsidRPr="00A253DF">
        <w:rPr>
          <w:i/>
          <w:iCs/>
        </w:rPr>
        <w:t>Studies in Higher Education</w:t>
      </w:r>
      <w:r w:rsidRPr="00A253DF">
        <w:t>, </w:t>
      </w:r>
      <w:r w:rsidRPr="00A253DF">
        <w:rPr>
          <w:i/>
          <w:iCs/>
        </w:rPr>
        <w:t>42</w:t>
      </w:r>
      <w:r w:rsidRPr="00A253DF">
        <w:t>(2), 315-330.</w:t>
      </w:r>
    </w:p>
    <w:p w14:paraId="01D4073C" w14:textId="77777777" w:rsidR="00631A83" w:rsidRDefault="00631A83" w:rsidP="00631A83">
      <w:pPr>
        <w:jc w:val="both"/>
      </w:pPr>
      <w:r w:rsidRPr="00A253DF">
        <w:lastRenderedPageBreak/>
        <w:t>Strayhorn, T. L. (2018). </w:t>
      </w:r>
      <w:r w:rsidRPr="00A253DF">
        <w:rPr>
          <w:i/>
          <w:iCs/>
        </w:rPr>
        <w:t>College students' sense of belonging: A key to educational success for all students</w:t>
      </w:r>
      <w:r w:rsidRPr="00A253DF">
        <w:t>. Routledge.</w:t>
      </w:r>
    </w:p>
    <w:p w14:paraId="3E2646B0" w14:textId="77777777" w:rsidR="00631A83" w:rsidRDefault="00631A83" w:rsidP="00631A83">
      <w:pPr>
        <w:jc w:val="both"/>
      </w:pPr>
      <w:r w:rsidRPr="00DF303B">
        <w:t xml:space="preserve">Thomas, L. (2013) ‘What works? Facilitating an effective transition into higher education’, </w:t>
      </w:r>
      <w:r w:rsidRPr="00DF303B">
        <w:rPr>
          <w:i/>
          <w:iCs/>
        </w:rPr>
        <w:t>Widening participation and lifelong learning</w:t>
      </w:r>
      <w:r w:rsidRPr="00DF303B">
        <w:t xml:space="preserve">, 14(1), pp. 4–24. Available at: </w:t>
      </w:r>
      <w:hyperlink r:id="rId6" w:tgtFrame="_blank" w:history="1">
        <w:r w:rsidRPr="00DF303B">
          <w:rPr>
            <w:rStyle w:val="Hyperlink"/>
          </w:rPr>
          <w:t>https://doi.org/10.5456/WPLL.14.S.4</w:t>
        </w:r>
      </w:hyperlink>
      <w:r w:rsidRPr="00DF303B">
        <w:t>.​</w:t>
      </w:r>
    </w:p>
    <w:p w14:paraId="5D72A920" w14:textId="77777777" w:rsidR="00631A83" w:rsidRDefault="00631A83" w:rsidP="00631A83">
      <w:pPr>
        <w:jc w:val="both"/>
      </w:pPr>
      <w:r w:rsidRPr="00A253DF">
        <w:t>Thomas, L. (2012). Building student engagement and belonging in Higher Education at a time of change. </w:t>
      </w:r>
      <w:r w:rsidRPr="00A253DF">
        <w:rPr>
          <w:i/>
          <w:iCs/>
        </w:rPr>
        <w:t>Paul Hamlyn Foundation</w:t>
      </w:r>
      <w:r w:rsidRPr="00A253DF">
        <w:t>, </w:t>
      </w:r>
      <w:r w:rsidRPr="00A253DF">
        <w:rPr>
          <w:i/>
          <w:iCs/>
        </w:rPr>
        <w:t>100</w:t>
      </w:r>
      <w:r w:rsidRPr="00A253DF">
        <w:t>(1-99), 1-102.</w:t>
      </w:r>
    </w:p>
    <w:p w14:paraId="12CF23A5" w14:textId="77777777" w:rsidR="00631A83" w:rsidRDefault="00631A83" w:rsidP="00631A83">
      <w:pPr>
        <w:jc w:val="both"/>
      </w:pPr>
      <w:r w:rsidRPr="00415C73">
        <w:t>Thompson, D. W. (2019). Widening participation research and practice in the United Kingdom on the twentieth anniversary of the Dearing report, reflections on a changing landscape. </w:t>
      </w:r>
      <w:r w:rsidRPr="00415C73">
        <w:rPr>
          <w:i/>
          <w:iCs/>
        </w:rPr>
        <w:t>Educational Review</w:t>
      </w:r>
      <w:r w:rsidRPr="00415C73">
        <w:t>, </w:t>
      </w:r>
      <w:r w:rsidRPr="00415C73">
        <w:rPr>
          <w:i/>
          <w:iCs/>
        </w:rPr>
        <w:t>71</w:t>
      </w:r>
      <w:r w:rsidRPr="00415C73">
        <w:t>(2), 182-197.</w:t>
      </w:r>
    </w:p>
    <w:p w14:paraId="2F971D73" w14:textId="77777777" w:rsidR="00631A83" w:rsidRDefault="00631A83" w:rsidP="00631A83">
      <w:pPr>
        <w:jc w:val="both"/>
      </w:pPr>
      <w:r w:rsidRPr="00631A83">
        <w:rPr>
          <w:lang w:val="fi-FI"/>
        </w:rPr>
        <w:t xml:space="preserve">Tian, X., Liu, X., </w:t>
      </w:r>
      <w:proofErr w:type="spellStart"/>
      <w:r w:rsidRPr="00631A83">
        <w:rPr>
          <w:lang w:val="fi-FI"/>
        </w:rPr>
        <w:t>Xiao</w:t>
      </w:r>
      <w:proofErr w:type="spellEnd"/>
      <w:r w:rsidRPr="00631A83">
        <w:rPr>
          <w:lang w:val="fi-FI"/>
        </w:rPr>
        <w:t xml:space="preserve">, Z., &amp; Lin, Q. (2023). </w:t>
      </w:r>
      <w:r w:rsidRPr="00920BB7">
        <w:t>Undergraduates’ Negative Emotion and Academic Procrastination During COVID-19: Life Autonomy as a Mediator and Sense of School Belonging as a Moderator. </w:t>
      </w:r>
      <w:r w:rsidRPr="00920BB7">
        <w:rPr>
          <w:i/>
          <w:iCs/>
        </w:rPr>
        <w:t xml:space="preserve">Psychology Research and </w:t>
      </w:r>
      <w:proofErr w:type="spellStart"/>
      <w:r w:rsidRPr="00920BB7">
        <w:rPr>
          <w:i/>
          <w:iCs/>
        </w:rPr>
        <w:t>Behavior</w:t>
      </w:r>
      <w:proofErr w:type="spellEnd"/>
      <w:r w:rsidRPr="00920BB7">
        <w:rPr>
          <w:i/>
          <w:iCs/>
        </w:rPr>
        <w:t xml:space="preserve"> Management</w:t>
      </w:r>
      <w:r w:rsidRPr="00920BB7">
        <w:t>, 3151-3169.</w:t>
      </w:r>
    </w:p>
    <w:p w14:paraId="53519A92" w14:textId="77777777" w:rsidR="00631A83" w:rsidRDefault="00631A83" w:rsidP="00631A83">
      <w:pPr>
        <w:jc w:val="both"/>
      </w:pPr>
      <w:r w:rsidRPr="00631A83">
        <w:rPr>
          <w:lang w:val="fi-FI"/>
        </w:rPr>
        <w:t xml:space="preserve">Vekkaila, J., </w:t>
      </w:r>
      <w:proofErr w:type="spellStart"/>
      <w:r w:rsidRPr="00631A83">
        <w:rPr>
          <w:lang w:val="fi-FI"/>
        </w:rPr>
        <w:t>Pyhältö</w:t>
      </w:r>
      <w:proofErr w:type="spellEnd"/>
      <w:r w:rsidRPr="00631A83">
        <w:rPr>
          <w:lang w:val="fi-FI"/>
        </w:rPr>
        <w:t xml:space="preserve">, K., Hakkarainen, K., Keskinen, J., &amp; Lonka, K. (2012). </w:t>
      </w:r>
      <w:r w:rsidRPr="00920BB7">
        <w:t>Doctoral students' key learning experiences in the natural sciences. </w:t>
      </w:r>
      <w:r w:rsidRPr="00920BB7">
        <w:rPr>
          <w:i/>
          <w:iCs/>
        </w:rPr>
        <w:t>International Journal for Researcher Development</w:t>
      </w:r>
      <w:r w:rsidRPr="00920BB7">
        <w:t>, </w:t>
      </w:r>
      <w:r w:rsidRPr="00920BB7">
        <w:rPr>
          <w:i/>
          <w:iCs/>
        </w:rPr>
        <w:t>3</w:t>
      </w:r>
      <w:r w:rsidRPr="00920BB7">
        <w:t>(2), 154-183.</w:t>
      </w:r>
    </w:p>
    <w:p w14:paraId="7CA3AC0D" w14:textId="77777777" w:rsidR="00631A83" w:rsidRDefault="00631A83" w:rsidP="00631A83">
      <w:pPr>
        <w:jc w:val="both"/>
      </w:pPr>
      <w:r w:rsidRPr="0060586D">
        <w:t xml:space="preserve">Vignoles, A., &amp; Murray, N. (2016). Widening participation in higher education. </w:t>
      </w:r>
      <w:r w:rsidRPr="0060586D">
        <w:rPr>
          <w:i/>
          <w:iCs/>
        </w:rPr>
        <w:t>Education Sciences,</w:t>
      </w:r>
      <w:r w:rsidRPr="0060586D">
        <w:t xml:space="preserve"> 6(2), 13.</w:t>
      </w:r>
    </w:p>
    <w:p w14:paraId="2F598B60" w14:textId="77777777" w:rsidR="00631A83" w:rsidRDefault="00631A83" w:rsidP="00631A83">
      <w:pPr>
        <w:jc w:val="both"/>
      </w:pPr>
    </w:p>
    <w:p w14:paraId="1944B56C" w14:textId="77777777" w:rsidR="00631A83" w:rsidRDefault="00631A83" w:rsidP="00631A83">
      <w:pPr>
        <w:jc w:val="both"/>
      </w:pPr>
    </w:p>
    <w:p w14:paraId="7BF0B803" w14:textId="77777777" w:rsidR="00631A83" w:rsidRDefault="00631A83" w:rsidP="00631A83">
      <w:pPr>
        <w:jc w:val="both"/>
      </w:pPr>
    </w:p>
    <w:p w14:paraId="5CD04BBE" w14:textId="77777777" w:rsidR="00631A83" w:rsidRDefault="00631A83" w:rsidP="00631A83">
      <w:pPr>
        <w:jc w:val="both"/>
      </w:pPr>
    </w:p>
    <w:p w14:paraId="3DF68D38" w14:textId="77777777" w:rsidR="00631A83" w:rsidRDefault="00631A83" w:rsidP="00631A83">
      <w:pPr>
        <w:jc w:val="both"/>
      </w:pPr>
    </w:p>
    <w:p w14:paraId="369464FA" w14:textId="77777777" w:rsidR="00631A83" w:rsidRDefault="00631A83" w:rsidP="00631A83">
      <w:pPr>
        <w:jc w:val="both"/>
      </w:pPr>
    </w:p>
    <w:p w14:paraId="75F2972B" w14:textId="77777777" w:rsidR="00631A83" w:rsidRDefault="00631A83" w:rsidP="00631A83">
      <w:pPr>
        <w:jc w:val="both"/>
      </w:pPr>
    </w:p>
    <w:p w14:paraId="769E5058" w14:textId="77777777" w:rsidR="00631A83" w:rsidRDefault="00631A83" w:rsidP="00631A83">
      <w:pPr>
        <w:jc w:val="both"/>
      </w:pPr>
    </w:p>
    <w:p w14:paraId="07C8B42A" w14:textId="77777777" w:rsidR="00631A83" w:rsidRPr="00415C73" w:rsidRDefault="00631A83" w:rsidP="00631A83">
      <w:pPr>
        <w:jc w:val="both"/>
      </w:pPr>
    </w:p>
    <w:sectPr w:rsidR="00631A83" w:rsidRPr="00415C7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19A036DA"/>
    <w:multiLevelType w:val="multilevel"/>
    <w:tmpl w:val="28C0B15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num w:numId="1" w16cid:durableId="186459268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35C2B"/>
    <w:rsid w:val="0000004C"/>
    <w:rsid w:val="0003437F"/>
    <w:rsid w:val="0004029F"/>
    <w:rsid w:val="0007559C"/>
    <w:rsid w:val="000A3814"/>
    <w:rsid w:val="000B358C"/>
    <w:rsid w:val="000B64AF"/>
    <w:rsid w:val="00121F86"/>
    <w:rsid w:val="0014398D"/>
    <w:rsid w:val="00157C8A"/>
    <w:rsid w:val="00176460"/>
    <w:rsid w:val="00186244"/>
    <w:rsid w:val="001927BD"/>
    <w:rsid w:val="001A7908"/>
    <w:rsid w:val="001B18A4"/>
    <w:rsid w:val="001B56C7"/>
    <w:rsid w:val="001E5A85"/>
    <w:rsid w:val="001E67AD"/>
    <w:rsid w:val="001F58AD"/>
    <w:rsid w:val="00216BCC"/>
    <w:rsid w:val="00222198"/>
    <w:rsid w:val="002465D4"/>
    <w:rsid w:val="00286CB7"/>
    <w:rsid w:val="002A087C"/>
    <w:rsid w:val="002B1AAB"/>
    <w:rsid w:val="002C7B8D"/>
    <w:rsid w:val="002F767F"/>
    <w:rsid w:val="00312CCF"/>
    <w:rsid w:val="00314BAF"/>
    <w:rsid w:val="00325A69"/>
    <w:rsid w:val="00353930"/>
    <w:rsid w:val="00363C4F"/>
    <w:rsid w:val="00370F2E"/>
    <w:rsid w:val="00384C38"/>
    <w:rsid w:val="00384ED9"/>
    <w:rsid w:val="00393C87"/>
    <w:rsid w:val="003A6B8A"/>
    <w:rsid w:val="003E2E0A"/>
    <w:rsid w:val="004055CB"/>
    <w:rsid w:val="004100D3"/>
    <w:rsid w:val="00415C73"/>
    <w:rsid w:val="00445338"/>
    <w:rsid w:val="00465955"/>
    <w:rsid w:val="00490B2D"/>
    <w:rsid w:val="00493017"/>
    <w:rsid w:val="004A105E"/>
    <w:rsid w:val="004E2487"/>
    <w:rsid w:val="004E6EB3"/>
    <w:rsid w:val="004F4EDD"/>
    <w:rsid w:val="004F61AA"/>
    <w:rsid w:val="0053401C"/>
    <w:rsid w:val="00535C2B"/>
    <w:rsid w:val="00537B27"/>
    <w:rsid w:val="00540348"/>
    <w:rsid w:val="00542079"/>
    <w:rsid w:val="005531CC"/>
    <w:rsid w:val="00570760"/>
    <w:rsid w:val="005731C0"/>
    <w:rsid w:val="00580D52"/>
    <w:rsid w:val="00585AB5"/>
    <w:rsid w:val="005A0E06"/>
    <w:rsid w:val="005B1906"/>
    <w:rsid w:val="005C5168"/>
    <w:rsid w:val="0060586D"/>
    <w:rsid w:val="00606596"/>
    <w:rsid w:val="00631A83"/>
    <w:rsid w:val="00632713"/>
    <w:rsid w:val="00651383"/>
    <w:rsid w:val="0065346A"/>
    <w:rsid w:val="00654AA3"/>
    <w:rsid w:val="00665EA6"/>
    <w:rsid w:val="0067418F"/>
    <w:rsid w:val="00681E94"/>
    <w:rsid w:val="00691065"/>
    <w:rsid w:val="00694273"/>
    <w:rsid w:val="006A2A50"/>
    <w:rsid w:val="006A4062"/>
    <w:rsid w:val="006C5DF3"/>
    <w:rsid w:val="006D70D6"/>
    <w:rsid w:val="006E4117"/>
    <w:rsid w:val="007032EE"/>
    <w:rsid w:val="0075000F"/>
    <w:rsid w:val="00750227"/>
    <w:rsid w:val="00773322"/>
    <w:rsid w:val="007A1DB3"/>
    <w:rsid w:val="007B4B9C"/>
    <w:rsid w:val="007C34B0"/>
    <w:rsid w:val="007D499F"/>
    <w:rsid w:val="007D4D09"/>
    <w:rsid w:val="007D63E9"/>
    <w:rsid w:val="007D79A9"/>
    <w:rsid w:val="007E1713"/>
    <w:rsid w:val="007E2144"/>
    <w:rsid w:val="007F3BDB"/>
    <w:rsid w:val="00827A1E"/>
    <w:rsid w:val="0083484D"/>
    <w:rsid w:val="008602B9"/>
    <w:rsid w:val="00880418"/>
    <w:rsid w:val="008B6D1C"/>
    <w:rsid w:val="008D309E"/>
    <w:rsid w:val="008E7955"/>
    <w:rsid w:val="00913BE8"/>
    <w:rsid w:val="009334C8"/>
    <w:rsid w:val="00947267"/>
    <w:rsid w:val="00952D26"/>
    <w:rsid w:val="00964970"/>
    <w:rsid w:val="009A0C23"/>
    <w:rsid w:val="009B7441"/>
    <w:rsid w:val="009C2A42"/>
    <w:rsid w:val="009D07A2"/>
    <w:rsid w:val="009D5E10"/>
    <w:rsid w:val="009E56A1"/>
    <w:rsid w:val="00A00898"/>
    <w:rsid w:val="00A00DC6"/>
    <w:rsid w:val="00A02788"/>
    <w:rsid w:val="00A17126"/>
    <w:rsid w:val="00A419E9"/>
    <w:rsid w:val="00A43561"/>
    <w:rsid w:val="00A67E62"/>
    <w:rsid w:val="00A87129"/>
    <w:rsid w:val="00A967B9"/>
    <w:rsid w:val="00AE416D"/>
    <w:rsid w:val="00B223BA"/>
    <w:rsid w:val="00B30341"/>
    <w:rsid w:val="00B30A03"/>
    <w:rsid w:val="00B570E5"/>
    <w:rsid w:val="00B7312A"/>
    <w:rsid w:val="00B77A2C"/>
    <w:rsid w:val="00B92428"/>
    <w:rsid w:val="00BD55B3"/>
    <w:rsid w:val="00BD68B9"/>
    <w:rsid w:val="00BF5070"/>
    <w:rsid w:val="00C07F5D"/>
    <w:rsid w:val="00C112DC"/>
    <w:rsid w:val="00C14B3E"/>
    <w:rsid w:val="00C22C5E"/>
    <w:rsid w:val="00C417DA"/>
    <w:rsid w:val="00C42162"/>
    <w:rsid w:val="00C4797A"/>
    <w:rsid w:val="00C50862"/>
    <w:rsid w:val="00CA4CA0"/>
    <w:rsid w:val="00CA6F54"/>
    <w:rsid w:val="00CC07D2"/>
    <w:rsid w:val="00CD324A"/>
    <w:rsid w:val="00CF1744"/>
    <w:rsid w:val="00CF488A"/>
    <w:rsid w:val="00D050DB"/>
    <w:rsid w:val="00D211B7"/>
    <w:rsid w:val="00D34E5F"/>
    <w:rsid w:val="00D44233"/>
    <w:rsid w:val="00D66054"/>
    <w:rsid w:val="00D75681"/>
    <w:rsid w:val="00DD1E34"/>
    <w:rsid w:val="00DE4AE5"/>
    <w:rsid w:val="00DF303B"/>
    <w:rsid w:val="00E13659"/>
    <w:rsid w:val="00E70C00"/>
    <w:rsid w:val="00E71127"/>
    <w:rsid w:val="00E71959"/>
    <w:rsid w:val="00E85F89"/>
    <w:rsid w:val="00EF693A"/>
    <w:rsid w:val="00F06036"/>
    <w:rsid w:val="00F22F00"/>
    <w:rsid w:val="00F41021"/>
    <w:rsid w:val="00F63880"/>
    <w:rsid w:val="00F64545"/>
    <w:rsid w:val="00F648D8"/>
    <w:rsid w:val="00F65F33"/>
    <w:rsid w:val="00F67ADA"/>
    <w:rsid w:val="00FA1F76"/>
    <w:rsid w:val="00FD36F0"/>
    <w:rsid w:val="00FD7D4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4E21D4DA"/>
  <w15:chartTrackingRefBased/>
  <w15:docId w15:val="{7329452D-33FD-4E8F-B01C-81A25CF2053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C14B3E"/>
    <w:pPr>
      <w:spacing w:line="360" w:lineRule="auto"/>
    </w:pPr>
    <w:rPr>
      <w:rFonts w:ascii="Calibri" w:hAnsi="Calibri"/>
    </w:rPr>
  </w:style>
  <w:style w:type="paragraph" w:styleId="Heading1">
    <w:name w:val="heading 1"/>
    <w:basedOn w:val="Normal"/>
    <w:next w:val="Normal"/>
    <w:link w:val="Heading1Char"/>
    <w:uiPriority w:val="9"/>
    <w:qFormat/>
    <w:rsid w:val="00FD36F0"/>
    <w:pPr>
      <w:keepNext/>
      <w:keepLines/>
      <w:spacing w:before="240" w:after="0"/>
      <w:outlineLvl w:val="0"/>
    </w:pPr>
    <w:rPr>
      <w:rFonts w:asciiTheme="majorBidi" w:eastAsiaTheme="majorEastAsia" w:hAnsiTheme="majorBidi" w:cstheme="majorBidi"/>
      <w:b/>
      <w:sz w:val="32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1927BD"/>
    <w:pPr>
      <w:keepNext/>
      <w:keepLines/>
      <w:spacing w:before="160" w:after="80"/>
      <w:outlineLvl w:val="1"/>
    </w:pPr>
    <w:rPr>
      <w:rFonts w:asciiTheme="majorBidi" w:eastAsiaTheme="majorEastAsia" w:hAnsiTheme="majorBidi" w:cstheme="majorBidi"/>
      <w:b/>
      <w:color w:val="000000" w:themeColor="text1"/>
      <w:sz w:val="28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535C2B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35C2B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35C2B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35C2B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35C2B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35C2B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35C2B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FD36F0"/>
    <w:rPr>
      <w:rFonts w:asciiTheme="majorBidi" w:eastAsiaTheme="majorEastAsia" w:hAnsiTheme="majorBidi" w:cstheme="majorBidi"/>
      <w:b/>
      <w:sz w:val="32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1927BD"/>
    <w:rPr>
      <w:rFonts w:asciiTheme="majorBidi" w:eastAsiaTheme="majorEastAsia" w:hAnsiTheme="majorBidi" w:cstheme="majorBidi"/>
      <w:b/>
      <w:color w:val="000000" w:themeColor="text1"/>
      <w:sz w:val="28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535C2B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535C2B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535C2B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535C2B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535C2B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535C2B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535C2B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535C2B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535C2B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535C2B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535C2B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535C2B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535C2B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535C2B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535C2B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535C2B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535C2B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535C2B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DF303B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DF303B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919099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51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03136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27034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s://doi.org/10.5456/WPLL.14.S.4" TargetMode="External"/><Relationship Id="rId5" Type="http://schemas.openxmlformats.org/officeDocument/2006/relationships/image" Target="media/image1.pn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6</Pages>
  <Words>1501</Words>
  <Characters>8796</Characters>
  <Application>Microsoft Office Word</Application>
  <DocSecurity>0</DocSecurity>
  <Lines>146</Lines>
  <Paragraphs>43</Paragraphs>
  <ScaleCrop>false</ScaleCrop>
  <Company>University of Wales Trinity Saint David</Company>
  <LinksUpToDate>false</LinksUpToDate>
  <CharactersWithSpaces>10289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Besty Jose</dc:creator>
  <cp:keywords/>
  <dc:description/>
  <cp:lastModifiedBy>Besty Jose</cp:lastModifiedBy>
  <cp:revision>168</cp:revision>
  <dcterms:created xsi:type="dcterms:W3CDTF">2024-08-07T10:29:00Z</dcterms:created>
  <dcterms:modified xsi:type="dcterms:W3CDTF">2024-08-07T22:19:00Z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3c05d55e065b55c531f4c4f818479debe3ab66a2d59acf93564a8321abd6e055</vt:lpwstr>
  </property>
</Properties>
</file>