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C2FC6" w:rsidRPr="009C2FC6" w:rsidRDefault="009C2FC6" w:rsidP="009C2FC6">
      <w:pPr>
        <w:pStyle w:val="Heading1"/>
        <w:rPr>
          <w:rFonts w:eastAsia="Times New Roman"/>
          <w:kern w:val="36"/>
          <w:sz w:val="40"/>
          <w:szCs w:val="40"/>
          <w:lang w:eastAsia="en-GB"/>
        </w:rPr>
      </w:pPr>
      <w:r w:rsidRPr="009C2FC6">
        <w:rPr>
          <w:rFonts w:eastAsia="Times New Roman"/>
          <w:kern w:val="36"/>
          <w:sz w:val="40"/>
          <w:szCs w:val="40"/>
          <w:lang w:eastAsia="en-GB"/>
        </w:rPr>
        <w:t>1.0 Introduction</w:t>
      </w:r>
    </w:p>
    <w:p w:rsidR="009C2FC6" w:rsidRPr="009C2FC6" w:rsidRDefault="009C2FC6" w:rsidP="009C2FC6">
      <w:pPr>
        <w:spacing w:after="0" w:line="240" w:lineRule="auto"/>
        <w:rPr>
          <w:rFonts w:ascii="Times New Roman" w:eastAsia="Times New Roman" w:hAnsi="Times New Roman" w:cs="Times New Roman"/>
          <w:color w:val="0E101A"/>
          <w:sz w:val="24"/>
          <w:szCs w:val="24"/>
          <w:lang w:eastAsia="en-GB"/>
        </w:rPr>
      </w:pPr>
    </w:p>
    <w:p w:rsidR="009C2FC6" w:rsidRPr="009F59D3" w:rsidRDefault="009C2FC6"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This report highlights the importance of understanding and addressing diagnosed impairments in post-compulsory education and training (PCET) settings. It highlights the strategies to meet the needs of learners with additional learning needs in HE/FE settings. Recognizing regulatory and legal requirements and the importance of mental h</w:t>
      </w:r>
      <w:r w:rsidR="001754AE">
        <w:rPr>
          <w:rFonts w:eastAsia="Times New Roman" w:cstheme="minorHAnsi"/>
          <w:color w:val="0E101A"/>
          <w:sz w:val="24"/>
          <w:szCs w:val="24"/>
          <w:lang w:eastAsia="en-GB"/>
        </w:rPr>
        <w:t>ealth support (Wessely, 2019),</w:t>
      </w:r>
      <w:r w:rsidRPr="009C2FC6">
        <w:rPr>
          <w:rFonts w:eastAsia="Times New Roman" w:cstheme="minorHAnsi"/>
          <w:color w:val="0E101A"/>
          <w:sz w:val="24"/>
          <w:szCs w:val="24"/>
          <w:lang w:eastAsia="en-GB"/>
        </w:rPr>
        <w:t xml:space="preserve"> necessary for students in university settings due to the pressures and stresses they face while studying.</w:t>
      </w:r>
    </w:p>
    <w:p w:rsidR="009C2FC6" w:rsidRPr="009F59D3" w:rsidRDefault="009C2FC6" w:rsidP="009F59D3">
      <w:pPr>
        <w:jc w:val="both"/>
        <w:rPr>
          <w:rFonts w:eastAsia="Times New Roman" w:cstheme="minorHAnsi"/>
          <w:color w:val="0E101A"/>
          <w:sz w:val="24"/>
          <w:szCs w:val="24"/>
          <w:lang w:eastAsia="en-GB"/>
        </w:rPr>
      </w:pPr>
      <w:r w:rsidRPr="009F59D3">
        <w:rPr>
          <w:rFonts w:eastAsia="Times New Roman" w:cstheme="minorHAnsi"/>
          <w:color w:val="0E101A"/>
          <w:sz w:val="24"/>
          <w:szCs w:val="24"/>
          <w:lang w:eastAsia="en-GB"/>
        </w:rPr>
        <w:br w:type="page"/>
      </w:r>
    </w:p>
    <w:p w:rsidR="009C2FC6" w:rsidRPr="009C2FC6" w:rsidRDefault="009C2FC6" w:rsidP="009C2FC6">
      <w:pPr>
        <w:pStyle w:val="Heading1"/>
        <w:jc w:val="center"/>
        <w:rPr>
          <w:rFonts w:eastAsia="Times New Roman"/>
          <w:kern w:val="36"/>
          <w:sz w:val="40"/>
          <w:szCs w:val="40"/>
          <w:lang w:eastAsia="en-GB"/>
        </w:rPr>
      </w:pPr>
      <w:r w:rsidRPr="009C2FC6">
        <w:rPr>
          <w:rFonts w:eastAsia="Times New Roman"/>
          <w:kern w:val="36"/>
          <w:sz w:val="40"/>
          <w:szCs w:val="40"/>
          <w:lang w:eastAsia="en-GB"/>
        </w:rPr>
        <w:lastRenderedPageBreak/>
        <w:t>Part 1</w:t>
      </w:r>
    </w:p>
    <w:p w:rsidR="009C2FC6" w:rsidRPr="009C2FC6" w:rsidRDefault="009C2FC6" w:rsidP="009C2FC6">
      <w:pPr>
        <w:pStyle w:val="Heading1"/>
        <w:rPr>
          <w:rFonts w:eastAsia="Times New Roman"/>
          <w:kern w:val="36"/>
          <w:sz w:val="40"/>
          <w:szCs w:val="40"/>
          <w:lang w:eastAsia="en-GB"/>
        </w:rPr>
      </w:pPr>
      <w:r w:rsidRPr="009C2FC6">
        <w:rPr>
          <w:rFonts w:eastAsia="Times New Roman"/>
          <w:kern w:val="36"/>
          <w:sz w:val="40"/>
          <w:szCs w:val="40"/>
          <w:lang w:eastAsia="en-GB"/>
        </w:rPr>
        <w:t>2.0 Main Body</w:t>
      </w:r>
    </w:p>
    <w:p w:rsidR="009C2FC6" w:rsidRPr="009C2FC6" w:rsidRDefault="009C2FC6" w:rsidP="009C2FC6">
      <w:pPr>
        <w:spacing w:after="0" w:line="240" w:lineRule="auto"/>
        <w:rPr>
          <w:rFonts w:ascii="Times New Roman" w:eastAsia="Times New Roman" w:hAnsi="Times New Roman" w:cs="Times New Roman"/>
          <w:color w:val="0E101A"/>
          <w:sz w:val="24"/>
          <w:szCs w:val="24"/>
          <w:lang w:eastAsia="en-GB"/>
        </w:rPr>
      </w:pPr>
    </w:p>
    <w:p w:rsidR="009C2FC6" w:rsidRPr="009F59D3" w:rsidRDefault="009C2FC6" w:rsidP="00D55695">
      <w:pPr>
        <w:pStyle w:val="Heading3"/>
        <w:spacing w:line="360" w:lineRule="auto"/>
        <w:rPr>
          <w:rFonts w:eastAsia="Times New Roman"/>
          <w:sz w:val="24"/>
          <w:szCs w:val="24"/>
          <w:lang w:eastAsia="en-GB"/>
        </w:rPr>
      </w:pPr>
      <w:r w:rsidRPr="009F59D3">
        <w:rPr>
          <w:rFonts w:eastAsia="Times New Roman"/>
          <w:sz w:val="24"/>
          <w:szCs w:val="24"/>
          <w:lang w:eastAsia="en-GB"/>
        </w:rPr>
        <w:t>Key features and associated characteristics of a range of diagnosed impairments</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 xml:space="preserve">There are various impairments that individuals can be diagnosed </w:t>
      </w:r>
      <w:r w:rsidR="00325B7E" w:rsidRPr="009C2FC6">
        <w:rPr>
          <w:rFonts w:eastAsia="Times New Roman" w:cstheme="minorHAnsi"/>
          <w:color w:val="0E101A"/>
          <w:sz w:val="24"/>
          <w:szCs w:val="24"/>
          <w:lang w:eastAsia="en-GB"/>
        </w:rPr>
        <w:t>with</w:t>
      </w:r>
      <w:r w:rsidR="000B2D3E">
        <w:rPr>
          <w:rFonts w:eastAsia="Times New Roman" w:cstheme="minorHAnsi"/>
          <w:color w:val="0E101A"/>
          <w:sz w:val="24"/>
          <w:szCs w:val="24"/>
          <w:lang w:eastAsia="en-GB"/>
        </w:rPr>
        <w:t>,</w:t>
      </w:r>
      <w:r w:rsidR="00325B7E" w:rsidRPr="009C2FC6">
        <w:rPr>
          <w:rFonts w:eastAsia="Times New Roman" w:cstheme="minorHAnsi"/>
          <w:color w:val="0E101A"/>
          <w:sz w:val="24"/>
          <w:szCs w:val="24"/>
          <w:lang w:eastAsia="en-GB"/>
        </w:rPr>
        <w:t xml:space="preserve"> each</w:t>
      </w:r>
      <w:r w:rsidRPr="009C2FC6">
        <w:rPr>
          <w:rFonts w:eastAsia="Times New Roman" w:cstheme="minorHAnsi"/>
          <w:color w:val="0E101A"/>
          <w:sz w:val="24"/>
          <w:szCs w:val="24"/>
          <w:lang w:eastAsia="en-GB"/>
        </w:rPr>
        <w:t xml:space="preserve"> with unique key features and characteristics</w:t>
      </w:r>
      <w:r w:rsidR="00325B7E">
        <w:rPr>
          <w:rFonts w:eastAsia="Times New Roman" w:cstheme="minorHAnsi"/>
          <w:color w:val="0E101A"/>
          <w:sz w:val="24"/>
          <w:szCs w:val="24"/>
          <w:lang w:eastAsia="en-GB"/>
        </w:rPr>
        <w:t xml:space="preserve"> (CDC, 2020)</w:t>
      </w:r>
      <w:r w:rsidRPr="009C2FC6">
        <w:rPr>
          <w:rFonts w:eastAsia="Times New Roman" w:cstheme="minorHAnsi"/>
          <w:color w:val="0E101A"/>
          <w:sz w:val="24"/>
          <w:szCs w:val="24"/>
          <w:lang w:eastAsia="en-GB"/>
        </w:rPr>
        <w:t xml:space="preserve">. Common </w:t>
      </w:r>
      <w:r w:rsidR="005425BF" w:rsidRPr="009C2FC6">
        <w:rPr>
          <w:rFonts w:eastAsia="Times New Roman" w:cstheme="minorHAnsi"/>
          <w:color w:val="0E101A"/>
          <w:sz w:val="24"/>
          <w:szCs w:val="24"/>
          <w:lang w:eastAsia="en-GB"/>
        </w:rPr>
        <w:t>impairments include</w:t>
      </w:r>
      <w:r w:rsidRPr="009C2FC6">
        <w:rPr>
          <w:rFonts w:eastAsia="Times New Roman" w:cstheme="minorHAnsi"/>
          <w:color w:val="0E101A"/>
          <w:sz w:val="24"/>
          <w:szCs w:val="24"/>
          <w:lang w:eastAsia="en-GB"/>
        </w:rPr>
        <w:t xml:space="preserve"> physical disabilities affecting mobility, sensory impairments impacting sensory reception, learning disabilities involving information processing challenges, and mental health disorders affecting thoughts and behaviours</w:t>
      </w:r>
      <w:r w:rsidR="001754AE">
        <w:rPr>
          <w:rFonts w:eastAsia="Times New Roman" w:cstheme="minorHAnsi"/>
          <w:color w:val="0E101A"/>
          <w:sz w:val="24"/>
          <w:szCs w:val="24"/>
          <w:lang w:eastAsia="en-GB"/>
        </w:rPr>
        <w:t xml:space="preserve"> </w:t>
      </w:r>
      <w:r w:rsidR="00325B7E" w:rsidRPr="009C2FC6">
        <w:rPr>
          <w:rFonts w:eastAsia="Times New Roman" w:cstheme="minorHAnsi"/>
          <w:color w:val="0E101A"/>
          <w:sz w:val="24"/>
          <w:szCs w:val="24"/>
          <w:lang w:eastAsia="en-GB"/>
        </w:rPr>
        <w:t>(ODR)</w:t>
      </w:r>
      <w:r w:rsidRPr="009C2FC6">
        <w:rPr>
          <w:rFonts w:eastAsia="Times New Roman" w:cstheme="minorHAnsi"/>
          <w:color w:val="0E101A"/>
          <w:sz w:val="24"/>
          <w:szCs w:val="24"/>
          <w:lang w:eastAsia="en-GB"/>
        </w:rPr>
        <w:t>.</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 xml:space="preserve">Physical disabilities can include conditions like paralysis or cerebral palsy, leading to limited mobility and challenges with daily tasks. Sensory impairments affect communication and interaction, requiring specialized methods and assistive devices (Berg, 2024). Learning disabilities, such as dyslexia or ADHD, can result in difficulties with academic skills and organization, necessitating educational support by primary academic staff, including lecturers, teaching assistants and practice mentors, holding responsibility for teaching, learning and assessments not to mention pastoral work (Houghton, 2019). Mental health disorders like depression or anxiety can cause mood and behavioural changes, often requiring therapy or medication. </w:t>
      </w:r>
      <w:r w:rsidR="00325B7E">
        <w:rPr>
          <w:rFonts w:eastAsia="Times New Roman" w:cstheme="minorHAnsi"/>
          <w:color w:val="0E101A"/>
          <w:sz w:val="24"/>
          <w:szCs w:val="24"/>
          <w:lang w:eastAsia="en-GB"/>
        </w:rPr>
        <w:t>Thus, the post compulsory settings</w:t>
      </w:r>
      <w:r w:rsidRPr="009C2FC6">
        <w:rPr>
          <w:rFonts w:eastAsia="Times New Roman" w:cstheme="minorHAnsi"/>
          <w:color w:val="0E101A"/>
          <w:sz w:val="24"/>
          <w:szCs w:val="24"/>
          <w:lang w:eastAsia="en-GB"/>
        </w:rPr>
        <w:t xml:space="preserve"> provides many benefits to good mental health such as work (studying), accommodation, leisure facilities, social life, social support and professional support all in one place (Streatfield, 2019).</w:t>
      </w:r>
    </w:p>
    <w:p w:rsidR="009C2FC6" w:rsidRDefault="009C2FC6" w:rsidP="00D55695">
      <w:pPr>
        <w:pStyle w:val="Heading3"/>
        <w:spacing w:line="360" w:lineRule="auto"/>
        <w:rPr>
          <w:rFonts w:eastAsia="Times New Roman"/>
          <w:sz w:val="24"/>
          <w:szCs w:val="24"/>
          <w:lang w:eastAsia="en-GB"/>
        </w:rPr>
      </w:pPr>
      <w:r w:rsidRPr="009F59D3">
        <w:rPr>
          <w:rFonts w:eastAsia="Times New Roman"/>
          <w:sz w:val="24"/>
          <w:szCs w:val="24"/>
          <w:lang w:eastAsia="en-GB"/>
        </w:rPr>
        <w:t>Strategies to meet the needs of learners with additional learning needs</w:t>
      </w:r>
    </w:p>
    <w:p w:rsidR="00BC49B4" w:rsidRPr="009C2FC6" w:rsidRDefault="00BC49B4" w:rsidP="00BC49B4">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 xml:space="preserve">In higher education, supporting students with additional learning needs involves familiarizing them with institutional </w:t>
      </w:r>
      <w:r>
        <w:rPr>
          <w:rFonts w:eastAsia="Times New Roman" w:cstheme="minorHAnsi"/>
          <w:color w:val="0E101A"/>
          <w:sz w:val="24"/>
          <w:szCs w:val="24"/>
          <w:lang w:eastAsia="en-GB"/>
        </w:rPr>
        <w:t xml:space="preserve">strategic </w:t>
      </w:r>
      <w:r w:rsidRPr="009C2FC6">
        <w:rPr>
          <w:rFonts w:eastAsia="Times New Roman" w:cstheme="minorHAnsi"/>
          <w:color w:val="0E101A"/>
          <w:sz w:val="24"/>
          <w:szCs w:val="24"/>
          <w:lang w:eastAsia="en-GB"/>
        </w:rPr>
        <w:t>policies, using diverse teaching strategies, providing individualized support, staying informed on legislation, and seeking professional development (Government UK, 2013). By adhering to best practices, HE teachers can effectively support students while promoting inclusivity and a supportive learning environment (Lee, 2022; Sobel &amp; Alston).</w:t>
      </w:r>
    </w:p>
    <w:p w:rsidR="00BC49B4" w:rsidRPr="00BC49B4" w:rsidRDefault="00BC49B4" w:rsidP="00BC49B4">
      <w:pPr>
        <w:rPr>
          <w:lang w:eastAsia="en-GB"/>
        </w:rPr>
      </w:pPr>
    </w:p>
    <w:p w:rsidR="009C2FC6" w:rsidRPr="009C2FC6" w:rsidRDefault="009C2FC6"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lastRenderedPageBreak/>
        <w:t>Each</w:t>
      </w:r>
      <w:r w:rsidR="00325B7E">
        <w:rPr>
          <w:rFonts w:eastAsia="Times New Roman" w:cstheme="minorHAnsi"/>
          <w:color w:val="0E101A"/>
          <w:sz w:val="24"/>
          <w:szCs w:val="24"/>
          <w:lang w:eastAsia="en-GB"/>
        </w:rPr>
        <w:t xml:space="preserve"> </w:t>
      </w:r>
      <w:r w:rsidRPr="009C2FC6">
        <w:rPr>
          <w:rFonts w:eastAsia="Times New Roman" w:cstheme="minorHAnsi"/>
          <w:color w:val="0E101A"/>
          <w:sz w:val="24"/>
          <w:szCs w:val="24"/>
          <w:lang w:eastAsia="en-GB"/>
        </w:rPr>
        <w:t>diagnosed impairment has its own unique set of key features and associated characteristics that can impact an individual's daily life and functioning (Streatfield, 2019). Individuals with impairments need to receive appropriate support, accommodations, and resources (Welsh Government, 2016) to help them overcome barriers and thrive in their personal and professional lives. This may involve: </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F59D3">
        <w:rPr>
          <w:rFonts w:eastAsia="Times New Roman" w:cstheme="minorHAnsi"/>
          <w:b/>
          <w:bCs/>
          <w:color w:val="0E101A"/>
          <w:sz w:val="24"/>
          <w:szCs w:val="24"/>
          <w:lang w:eastAsia="en-GB"/>
        </w:rPr>
        <w:t>Differentiated Instruction:</w:t>
      </w:r>
      <w:r w:rsidRPr="009C2FC6">
        <w:rPr>
          <w:rFonts w:eastAsia="Times New Roman" w:cstheme="minorHAnsi"/>
          <w:color w:val="0E101A"/>
          <w:sz w:val="24"/>
          <w:szCs w:val="24"/>
          <w:lang w:eastAsia="en-GB"/>
        </w:rPr>
        <w:t>  Tailoring teaching methods, materials, and assessments to meet the diverse learning needs o</w:t>
      </w:r>
      <w:r w:rsidR="001754AE">
        <w:rPr>
          <w:rFonts w:eastAsia="Times New Roman" w:cstheme="minorHAnsi"/>
          <w:color w:val="0E101A"/>
          <w:sz w:val="24"/>
          <w:szCs w:val="24"/>
          <w:lang w:eastAsia="en-GB"/>
        </w:rPr>
        <w:t>f students</w:t>
      </w:r>
      <w:r w:rsidRPr="009C2FC6">
        <w:rPr>
          <w:rFonts w:eastAsia="Times New Roman" w:cstheme="minorHAnsi"/>
          <w:color w:val="0E101A"/>
          <w:sz w:val="24"/>
          <w:szCs w:val="24"/>
          <w:lang w:eastAsia="en-GB"/>
        </w:rPr>
        <w:t xml:space="preserve"> using a variety of instructional strategies (Somji, 2018), such as visual aids, hands-on activities, and technology-based tools, to accommodate different learning styles and abilities.</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F59D3">
        <w:rPr>
          <w:rFonts w:eastAsia="Times New Roman" w:cstheme="minorHAnsi"/>
          <w:b/>
          <w:bCs/>
          <w:color w:val="0E101A"/>
          <w:sz w:val="24"/>
          <w:szCs w:val="24"/>
          <w:lang w:eastAsia="en-GB"/>
        </w:rPr>
        <w:t> Individualized Education Plans (IEPs)</w:t>
      </w:r>
      <w:r w:rsidRPr="009C2FC6">
        <w:rPr>
          <w:rFonts w:eastAsia="Times New Roman" w:cstheme="minorHAnsi"/>
          <w:color w:val="0E101A"/>
          <w:sz w:val="24"/>
          <w:szCs w:val="24"/>
          <w:lang w:eastAsia="en-GB"/>
        </w:rPr>
        <w:t>: Developing personalized plans for learners with additional learning needs that outline specific goals, accommodations, and support strategies. IEPs (Gov.Wales, 2015) can help ensure that students receive the necessary support to succeed academically and socially.</w:t>
      </w:r>
    </w:p>
    <w:p w:rsidR="00647B5F" w:rsidRPr="009C2FC6" w:rsidRDefault="009C2FC6" w:rsidP="00647B5F">
      <w:pPr>
        <w:spacing w:after="0" w:line="360" w:lineRule="auto"/>
        <w:jc w:val="both"/>
        <w:rPr>
          <w:rFonts w:eastAsia="Times New Roman" w:cstheme="minorHAnsi"/>
          <w:color w:val="0E101A"/>
          <w:sz w:val="24"/>
          <w:szCs w:val="24"/>
          <w:lang w:eastAsia="en-GB"/>
        </w:rPr>
      </w:pPr>
      <w:r w:rsidRPr="009F59D3">
        <w:rPr>
          <w:rFonts w:eastAsia="Times New Roman" w:cstheme="minorHAnsi"/>
          <w:b/>
          <w:bCs/>
          <w:color w:val="0E101A"/>
          <w:sz w:val="24"/>
          <w:szCs w:val="24"/>
          <w:lang w:eastAsia="en-GB"/>
        </w:rPr>
        <w:t>Supportive Learning Environment:</w:t>
      </w:r>
      <w:r w:rsidRPr="009C2FC6">
        <w:rPr>
          <w:rFonts w:eastAsia="Times New Roman" w:cstheme="minorHAnsi"/>
          <w:color w:val="0E101A"/>
          <w:sz w:val="24"/>
          <w:szCs w:val="24"/>
          <w:lang w:eastAsia="en-GB"/>
        </w:rPr>
        <w:t> </w:t>
      </w:r>
      <w:r w:rsidR="00647B5F" w:rsidRPr="009C2FC6">
        <w:rPr>
          <w:rFonts w:eastAsia="Times New Roman" w:cstheme="minorHAnsi"/>
          <w:color w:val="0E101A"/>
          <w:sz w:val="24"/>
          <w:szCs w:val="24"/>
          <w:lang w:eastAsia="en-GB"/>
        </w:rPr>
        <w:t>Educators play a vital role in fostering inclusivity by promoting diversity and creating a supportive learning environment (Sobel &amp; Alston).</w:t>
      </w:r>
    </w:p>
    <w:p w:rsidR="00647B5F" w:rsidRDefault="009C2FC6"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Creating a welcoming and inclusive classroom environment (Frederickson &amp; Cline, 2002) where all students feel valued and supported. This can include promoting positive behaviour, providing clear expectations, and fostering a sense of belonging among students.</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F59D3">
        <w:rPr>
          <w:rFonts w:eastAsia="Times New Roman" w:cstheme="minorHAnsi"/>
          <w:b/>
          <w:bCs/>
          <w:color w:val="0E101A"/>
          <w:sz w:val="24"/>
          <w:szCs w:val="24"/>
          <w:lang w:eastAsia="en-GB"/>
        </w:rPr>
        <w:t> Accessibility and Accommodations:</w:t>
      </w:r>
      <w:r w:rsidRPr="009C2FC6">
        <w:rPr>
          <w:rFonts w:eastAsia="Times New Roman" w:cstheme="minorHAnsi"/>
          <w:color w:val="0E101A"/>
          <w:sz w:val="24"/>
          <w:szCs w:val="24"/>
          <w:lang w:eastAsia="en-GB"/>
        </w:rPr>
        <w:t> Ensuring that the physical space and materials are accessible to all learners, including those with disabilities. This may involve providing</w:t>
      </w:r>
      <w:r w:rsidR="00BC49B4">
        <w:rPr>
          <w:rFonts w:eastAsia="Times New Roman" w:cstheme="minorHAnsi"/>
          <w:color w:val="0E101A"/>
          <w:sz w:val="24"/>
          <w:szCs w:val="24"/>
          <w:lang w:eastAsia="en-GB"/>
        </w:rPr>
        <w:t xml:space="preserve"> </w:t>
      </w:r>
      <w:r w:rsidR="00BC49B4" w:rsidRPr="009C2FC6">
        <w:rPr>
          <w:rFonts w:eastAsia="Times New Roman" w:cstheme="minorHAnsi"/>
          <w:color w:val="0E101A"/>
          <w:sz w:val="24"/>
          <w:szCs w:val="24"/>
          <w:lang w:eastAsia="en-GB"/>
        </w:rPr>
        <w:t>specific forms of support</w:t>
      </w:r>
      <w:r w:rsidR="00BC49B4">
        <w:rPr>
          <w:rFonts w:eastAsia="Times New Roman" w:cstheme="minorHAnsi"/>
          <w:color w:val="0E101A"/>
          <w:sz w:val="24"/>
          <w:szCs w:val="24"/>
          <w:lang w:eastAsia="en-GB"/>
        </w:rPr>
        <w:t xml:space="preserve"> such as </w:t>
      </w:r>
      <w:r w:rsidRPr="009C2FC6">
        <w:rPr>
          <w:rFonts w:eastAsia="Times New Roman" w:cstheme="minorHAnsi"/>
          <w:color w:val="0E101A"/>
          <w:sz w:val="24"/>
          <w:szCs w:val="24"/>
          <w:lang w:eastAsia="en-GB"/>
        </w:rPr>
        <w:t>assistive technology</w:t>
      </w:r>
      <w:r w:rsidR="00647B5F">
        <w:rPr>
          <w:rFonts w:eastAsia="Times New Roman" w:cstheme="minorHAnsi"/>
          <w:color w:val="0E101A"/>
          <w:sz w:val="24"/>
          <w:szCs w:val="24"/>
          <w:lang w:eastAsia="en-GB"/>
        </w:rPr>
        <w:t xml:space="preserve"> </w:t>
      </w:r>
      <w:r w:rsidR="00647B5F" w:rsidRPr="009C2FC6">
        <w:rPr>
          <w:rFonts w:eastAsia="Times New Roman" w:cstheme="minorHAnsi"/>
          <w:color w:val="0E101A"/>
          <w:sz w:val="24"/>
          <w:szCs w:val="24"/>
          <w:lang w:eastAsia="en-GB"/>
        </w:rPr>
        <w:t>(AT)</w:t>
      </w:r>
      <w:r w:rsidR="00647B5F">
        <w:rPr>
          <w:rFonts w:eastAsia="Times New Roman" w:cstheme="minorHAnsi"/>
          <w:color w:val="0E101A"/>
          <w:sz w:val="24"/>
          <w:szCs w:val="24"/>
          <w:lang w:eastAsia="en-GB"/>
        </w:rPr>
        <w:t xml:space="preserve"> </w:t>
      </w:r>
      <w:r w:rsidR="00BC49B4">
        <w:rPr>
          <w:rFonts w:eastAsia="Times New Roman" w:cstheme="minorHAnsi"/>
          <w:color w:val="0E101A"/>
          <w:sz w:val="24"/>
          <w:szCs w:val="24"/>
          <w:lang w:eastAsia="en-GB"/>
        </w:rPr>
        <w:t xml:space="preserve">(IRIS Center; Martin, 2024), </w:t>
      </w:r>
      <w:r w:rsidRPr="009C2FC6">
        <w:rPr>
          <w:rFonts w:eastAsia="Times New Roman" w:cstheme="minorHAnsi"/>
          <w:color w:val="0E101A"/>
          <w:sz w:val="24"/>
          <w:szCs w:val="24"/>
          <w:lang w:eastAsia="en-GB"/>
        </w:rPr>
        <w:t>alternative formats for materials, and tailored accommodations based on individual needs (WHO, 2024).</w:t>
      </w:r>
      <w:r w:rsidR="00647B5F">
        <w:rPr>
          <w:rFonts w:eastAsia="Times New Roman" w:cstheme="minorHAnsi"/>
          <w:color w:val="0E101A"/>
          <w:sz w:val="24"/>
          <w:szCs w:val="24"/>
          <w:lang w:eastAsia="en-GB"/>
        </w:rPr>
        <w:t xml:space="preserve"> </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F59D3">
        <w:rPr>
          <w:rFonts w:eastAsia="Times New Roman" w:cstheme="minorHAnsi"/>
          <w:b/>
          <w:bCs/>
          <w:color w:val="0E101A"/>
          <w:sz w:val="24"/>
          <w:szCs w:val="24"/>
          <w:lang w:eastAsia="en-GB"/>
        </w:rPr>
        <w:t> Collaborative Approach: </w:t>
      </w:r>
      <w:r w:rsidRPr="009C2FC6">
        <w:rPr>
          <w:rFonts w:eastAsia="Times New Roman" w:cstheme="minorHAnsi"/>
          <w:color w:val="0E101A"/>
          <w:sz w:val="24"/>
          <w:szCs w:val="24"/>
          <w:lang w:eastAsia="en-GB"/>
        </w:rPr>
        <w:t>Working closely with other educators, support staff, and external agencies to provide comprehensive support for learners with additional learning needs. Collaboration (Hernandez, 2013) can help identify effective strategies, share resources, and coordinate services to meet the diverse needs of students.</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C2FC6">
        <w:rPr>
          <w:rFonts w:ascii="Times New Roman" w:eastAsia="Times New Roman" w:hAnsi="Times New Roman" w:cs="Times New Roman"/>
          <w:b/>
          <w:bCs/>
          <w:color w:val="0E101A"/>
          <w:sz w:val="24"/>
          <w:szCs w:val="24"/>
          <w:lang w:eastAsia="en-GB"/>
        </w:rPr>
        <w:t> </w:t>
      </w:r>
      <w:r w:rsidRPr="009F59D3">
        <w:rPr>
          <w:rFonts w:eastAsia="Times New Roman" w:cstheme="minorHAnsi"/>
          <w:b/>
          <w:bCs/>
          <w:color w:val="0E101A"/>
          <w:sz w:val="24"/>
          <w:szCs w:val="24"/>
          <w:lang w:eastAsia="en-GB"/>
        </w:rPr>
        <w:t>Regular Monitoring and Evaluation:</w:t>
      </w:r>
      <w:r w:rsidRPr="009C2FC6">
        <w:rPr>
          <w:rFonts w:eastAsia="Times New Roman" w:cstheme="minorHAnsi"/>
          <w:color w:val="0E101A"/>
          <w:sz w:val="24"/>
          <w:szCs w:val="24"/>
          <w:lang w:eastAsia="en-GB"/>
        </w:rPr>
        <w:t> Continuously assessing the progress of learners with additional learning needs and making adjustments to support strategies as needed</w:t>
      </w:r>
      <w:r w:rsidR="00004EB9" w:rsidRPr="00004EB9">
        <w:t xml:space="preserve"> </w:t>
      </w:r>
      <w:r w:rsidR="00004EB9">
        <w:t>(Nordengren, 2023)</w:t>
      </w:r>
      <w:r w:rsidR="00647B5F" w:rsidRPr="00647B5F">
        <w:rPr>
          <w:rFonts w:eastAsia="Times New Roman" w:cstheme="minorHAnsi"/>
          <w:color w:val="0E101A"/>
          <w:sz w:val="24"/>
          <w:szCs w:val="24"/>
          <w:lang w:eastAsia="en-GB"/>
        </w:rPr>
        <w:t xml:space="preserve"> </w:t>
      </w:r>
      <w:r w:rsidR="00647B5F" w:rsidRPr="009C2FC6">
        <w:rPr>
          <w:rFonts w:eastAsia="Times New Roman" w:cstheme="minorHAnsi"/>
          <w:color w:val="0E101A"/>
          <w:sz w:val="24"/>
          <w:szCs w:val="24"/>
          <w:lang w:eastAsia="en-GB"/>
        </w:rPr>
        <w:t>adhering to regulatory and legal requirements</w:t>
      </w:r>
      <w:r w:rsidRPr="009C2FC6">
        <w:rPr>
          <w:rFonts w:eastAsia="Times New Roman" w:cstheme="minorHAnsi"/>
          <w:color w:val="0E101A"/>
          <w:sz w:val="24"/>
          <w:szCs w:val="24"/>
          <w:lang w:eastAsia="en-GB"/>
        </w:rPr>
        <w:t xml:space="preserve">. This may involve </w:t>
      </w:r>
      <w:r w:rsidRPr="009C2FC6">
        <w:rPr>
          <w:rFonts w:eastAsia="Times New Roman" w:cstheme="minorHAnsi"/>
          <w:color w:val="0E101A"/>
          <w:sz w:val="24"/>
          <w:szCs w:val="24"/>
          <w:lang w:eastAsia="en-GB"/>
        </w:rPr>
        <w:lastRenderedPageBreak/>
        <w:t>collecting data, tracking performance, and seeking feedback from learners to ensure that their needs are being met effectively</w:t>
      </w:r>
      <w:r w:rsidR="00647B5F">
        <w:rPr>
          <w:rFonts w:eastAsia="Times New Roman" w:cstheme="minorHAnsi"/>
          <w:color w:val="0E101A"/>
          <w:sz w:val="24"/>
          <w:szCs w:val="24"/>
          <w:lang w:eastAsia="en-GB"/>
        </w:rPr>
        <w:t xml:space="preserve"> </w:t>
      </w:r>
      <w:r w:rsidR="001754AE" w:rsidRPr="009C2FC6">
        <w:rPr>
          <w:rFonts w:eastAsia="Times New Roman" w:cstheme="minorHAnsi"/>
          <w:color w:val="0E101A"/>
          <w:sz w:val="24"/>
          <w:szCs w:val="24"/>
          <w:lang w:eastAsia="en-GB"/>
        </w:rPr>
        <w:t>(Welsh Government, 2016)</w:t>
      </w:r>
      <w:r w:rsidRPr="009C2FC6">
        <w:rPr>
          <w:rFonts w:eastAsia="Times New Roman" w:cstheme="minorHAnsi"/>
          <w:color w:val="0E101A"/>
          <w:sz w:val="24"/>
          <w:szCs w:val="24"/>
          <w:lang w:eastAsia="en-GB"/>
        </w:rPr>
        <w:t>.</w:t>
      </w:r>
    </w:p>
    <w:p w:rsidR="009C2FC6" w:rsidRDefault="00AF70FD" w:rsidP="00D55695">
      <w:pPr>
        <w:pStyle w:val="Heading3"/>
        <w:spacing w:line="360" w:lineRule="auto"/>
        <w:rPr>
          <w:rFonts w:eastAsia="Times New Roman"/>
          <w:sz w:val="24"/>
          <w:szCs w:val="24"/>
          <w:lang w:eastAsia="en-GB"/>
        </w:rPr>
      </w:pPr>
      <w:r>
        <w:rPr>
          <w:rFonts w:eastAsia="Times New Roman"/>
          <w:sz w:val="24"/>
          <w:szCs w:val="24"/>
          <w:lang w:eastAsia="en-GB"/>
        </w:rPr>
        <w:t xml:space="preserve">The </w:t>
      </w:r>
      <w:r w:rsidR="009C2FC6" w:rsidRPr="009F59D3">
        <w:rPr>
          <w:rFonts w:eastAsia="Times New Roman"/>
          <w:sz w:val="24"/>
          <w:szCs w:val="24"/>
          <w:lang w:eastAsia="en-GB"/>
        </w:rPr>
        <w:t>Regulatory an</w:t>
      </w:r>
      <w:r>
        <w:rPr>
          <w:rFonts w:eastAsia="Times New Roman"/>
          <w:sz w:val="24"/>
          <w:szCs w:val="24"/>
          <w:lang w:eastAsia="en-GB"/>
        </w:rPr>
        <w:t>d L</w:t>
      </w:r>
      <w:r w:rsidR="009C2FC6" w:rsidRPr="009F59D3">
        <w:rPr>
          <w:rFonts w:eastAsia="Times New Roman"/>
          <w:sz w:val="24"/>
          <w:szCs w:val="24"/>
          <w:lang w:eastAsia="en-GB"/>
        </w:rPr>
        <w:t>egal requirements. </w:t>
      </w:r>
    </w:p>
    <w:p w:rsidR="009C2FC6" w:rsidRPr="009C2FC6" w:rsidRDefault="008C7C11"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 xml:space="preserve">In the post-compulsory education and training </w:t>
      </w:r>
      <w:r w:rsidR="00AF70FD" w:rsidRPr="009C2FC6">
        <w:rPr>
          <w:rFonts w:eastAsia="Times New Roman" w:cstheme="minorHAnsi"/>
          <w:color w:val="0E101A"/>
          <w:sz w:val="24"/>
          <w:szCs w:val="24"/>
          <w:lang w:eastAsia="en-GB"/>
        </w:rPr>
        <w:t>(PCET)</w:t>
      </w:r>
      <w:r w:rsidR="00AF70FD">
        <w:rPr>
          <w:rFonts w:eastAsia="Times New Roman" w:cstheme="minorHAnsi"/>
          <w:color w:val="0E101A"/>
          <w:sz w:val="24"/>
          <w:szCs w:val="24"/>
          <w:lang w:eastAsia="en-GB"/>
        </w:rPr>
        <w:t xml:space="preserve"> </w:t>
      </w:r>
      <w:r w:rsidRPr="009C2FC6">
        <w:rPr>
          <w:rFonts w:eastAsia="Times New Roman" w:cstheme="minorHAnsi"/>
          <w:color w:val="0E101A"/>
          <w:sz w:val="24"/>
          <w:szCs w:val="24"/>
          <w:lang w:eastAsia="en-GB"/>
        </w:rPr>
        <w:t>setting</w:t>
      </w:r>
      <w:r w:rsidR="009C693B" w:rsidRPr="009C693B">
        <w:t xml:space="preserve"> </w:t>
      </w:r>
      <w:r w:rsidR="009C693B">
        <w:t>(UWTSD, 2024)</w:t>
      </w:r>
      <w:r w:rsidRPr="009C2FC6">
        <w:rPr>
          <w:rFonts w:eastAsia="Times New Roman" w:cstheme="minorHAnsi"/>
          <w:color w:val="0E101A"/>
          <w:sz w:val="24"/>
          <w:szCs w:val="24"/>
          <w:lang w:eastAsia="en-GB"/>
        </w:rPr>
        <w:t>, meeting the needs of learners with additional learning needs requires following regulatory and legal requirements (Equality Act 2010, SEND Code of Practice, etc.) to ensure inclusive education and support (Barden &amp; Caleb, 2019). Adhering to these requirements promotes equal access to education and training opportunities for all students (Lee, 2022).</w:t>
      </w:r>
      <w:r w:rsidR="009C2FC6" w:rsidRPr="009C2FC6">
        <w:rPr>
          <w:rFonts w:eastAsia="Times New Roman" w:cstheme="minorHAnsi"/>
          <w:color w:val="0E101A"/>
          <w:sz w:val="24"/>
          <w:szCs w:val="24"/>
          <w:lang w:eastAsia="en-GB"/>
        </w:rPr>
        <w:t>These include the following:</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F59D3">
        <w:rPr>
          <w:rFonts w:eastAsia="Times New Roman" w:cstheme="minorHAnsi"/>
          <w:b/>
          <w:bCs/>
          <w:color w:val="0E101A"/>
          <w:sz w:val="24"/>
          <w:szCs w:val="24"/>
          <w:lang w:eastAsia="en-GB"/>
        </w:rPr>
        <w:t>The Equality Act 2010:</w:t>
      </w:r>
      <w:r w:rsidRPr="009C2FC6">
        <w:rPr>
          <w:rFonts w:eastAsia="Times New Roman" w:cstheme="minorHAnsi"/>
          <w:color w:val="0E101A"/>
          <w:sz w:val="24"/>
          <w:szCs w:val="24"/>
          <w:lang w:eastAsia="en-GB"/>
        </w:rPr>
        <w:t> This legislation prohibits discrimination against individuals with protected characteristics, including disability, race, gender, and age. Under the Equality Act, educational institutions are required to make reasonable adjustments to ensure that disabled students are not disadvantaged in accessing education and training.</w:t>
      </w:r>
    </w:p>
    <w:p w:rsidR="00975E2E" w:rsidRPr="009C2FC6" w:rsidRDefault="009C2FC6" w:rsidP="00D55695">
      <w:pPr>
        <w:spacing w:after="0" w:line="360" w:lineRule="auto"/>
        <w:jc w:val="both"/>
        <w:rPr>
          <w:rFonts w:eastAsia="Times New Roman" w:cstheme="minorHAnsi"/>
          <w:color w:val="0E101A"/>
          <w:sz w:val="24"/>
          <w:szCs w:val="24"/>
          <w:lang w:eastAsia="en-GB"/>
        </w:rPr>
      </w:pPr>
      <w:r w:rsidRPr="009F59D3">
        <w:rPr>
          <w:rFonts w:eastAsia="Times New Roman" w:cstheme="minorHAnsi"/>
          <w:b/>
          <w:bCs/>
          <w:color w:val="0E101A"/>
          <w:sz w:val="24"/>
          <w:szCs w:val="24"/>
          <w:lang w:eastAsia="en-GB"/>
        </w:rPr>
        <w:t>Special Educational Needs and Disability (SEND) Code of Practice:</w:t>
      </w:r>
      <w:r w:rsidRPr="009C2FC6">
        <w:rPr>
          <w:rFonts w:eastAsia="Times New Roman" w:cstheme="minorHAnsi"/>
          <w:color w:val="0E101A"/>
          <w:sz w:val="24"/>
          <w:szCs w:val="24"/>
          <w:lang w:eastAsia="en-GB"/>
        </w:rPr>
        <w:t> </w:t>
      </w:r>
      <w:r w:rsidR="00975E2E" w:rsidRPr="00B14729">
        <w:rPr>
          <w:rFonts w:cstheme="minorHAnsi"/>
          <w:sz w:val="24"/>
          <w:szCs w:val="24"/>
        </w:rPr>
        <w:t>This guidance sets out the legal requirements and outlines the process for assessing and meeting the needs to identify and support students with special educational needs and disabilities and any additional requirements, including the provision of support and accommodations.</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F59D3">
        <w:rPr>
          <w:rFonts w:eastAsia="Times New Roman" w:cstheme="minorHAnsi"/>
          <w:b/>
          <w:bCs/>
          <w:color w:val="0E101A"/>
          <w:sz w:val="24"/>
          <w:szCs w:val="24"/>
          <w:lang w:eastAsia="en-GB"/>
        </w:rPr>
        <w:t> </w:t>
      </w:r>
      <w:r w:rsidRPr="00B14729">
        <w:rPr>
          <w:rFonts w:eastAsia="Times New Roman" w:cstheme="minorHAnsi"/>
          <w:b/>
          <w:bCs/>
          <w:color w:val="0E101A"/>
          <w:sz w:val="24"/>
          <w:szCs w:val="24"/>
          <w:lang w:eastAsia="en-GB"/>
        </w:rPr>
        <w:t>The</w:t>
      </w:r>
      <w:r w:rsidRPr="009F59D3">
        <w:rPr>
          <w:rFonts w:eastAsia="Times New Roman" w:cstheme="minorHAnsi"/>
          <w:b/>
          <w:bCs/>
          <w:color w:val="0E101A"/>
          <w:sz w:val="24"/>
          <w:szCs w:val="24"/>
          <w:lang w:eastAsia="en-GB"/>
        </w:rPr>
        <w:t xml:space="preserve"> Disability Discrimination Act 1995 (DDA):</w:t>
      </w:r>
      <w:r w:rsidRPr="009C2FC6">
        <w:rPr>
          <w:rFonts w:eastAsia="Times New Roman" w:cstheme="minorHAnsi"/>
          <w:color w:val="0E101A"/>
          <w:sz w:val="24"/>
          <w:szCs w:val="24"/>
          <w:lang w:eastAsia="en-GB"/>
        </w:rPr>
        <w:t> This legislation requires educational institutions to avoid discrimination against individuals with disabilities and make reasonable adjustments to ensure access to education and training. The DDA covers physical access to buildings, services and facilities, as well as adjustments to teaching and assessment methods.</w:t>
      </w:r>
    </w:p>
    <w:p w:rsidR="009C2FC6" w:rsidRDefault="009C2FC6" w:rsidP="00D55695">
      <w:pPr>
        <w:spacing w:after="0" w:line="360" w:lineRule="auto"/>
        <w:jc w:val="both"/>
        <w:rPr>
          <w:rFonts w:eastAsia="Times New Roman" w:cstheme="minorHAnsi"/>
          <w:color w:val="0E101A"/>
          <w:sz w:val="24"/>
          <w:szCs w:val="24"/>
          <w:lang w:eastAsia="en-GB"/>
        </w:rPr>
      </w:pPr>
      <w:r w:rsidRPr="009F59D3">
        <w:rPr>
          <w:rFonts w:eastAsia="Times New Roman" w:cstheme="minorHAnsi"/>
          <w:b/>
          <w:bCs/>
          <w:color w:val="0E101A"/>
          <w:sz w:val="24"/>
          <w:szCs w:val="24"/>
          <w:lang w:eastAsia="en-GB"/>
        </w:rPr>
        <w:t> The Data Protection Act 2018: </w:t>
      </w:r>
      <w:r w:rsidRPr="009C2FC6">
        <w:rPr>
          <w:rFonts w:eastAsia="Times New Roman" w:cstheme="minorHAnsi"/>
          <w:color w:val="0E101A"/>
          <w:sz w:val="24"/>
          <w:szCs w:val="24"/>
          <w:lang w:eastAsia="en-GB"/>
        </w:rPr>
        <w:t>This legislation governs the use and protection of personal data, including information about students' additional learning needs. Educational institutions must comply with data protection laws when collecting, storing, and sharing information about students' needs and accommodations.</w:t>
      </w:r>
    </w:p>
    <w:p w:rsidR="00196ECD" w:rsidRPr="009C2FC6" w:rsidRDefault="00196ECD" w:rsidP="00D55695">
      <w:pPr>
        <w:spacing w:after="0" w:line="360" w:lineRule="auto"/>
        <w:jc w:val="both"/>
        <w:rPr>
          <w:rFonts w:eastAsia="Times New Roman" w:cstheme="minorHAnsi"/>
          <w:color w:val="0E101A"/>
          <w:sz w:val="24"/>
          <w:szCs w:val="24"/>
          <w:lang w:eastAsia="en-GB"/>
        </w:rPr>
      </w:pPr>
    </w:p>
    <w:p w:rsidR="00196ECD" w:rsidRDefault="009C2FC6" w:rsidP="00D55695">
      <w:pPr>
        <w:spacing w:after="0" w:line="360" w:lineRule="auto"/>
        <w:jc w:val="both"/>
        <w:rPr>
          <w:rFonts w:eastAsia="Times New Roman" w:cstheme="minorHAnsi"/>
          <w:color w:val="0E101A"/>
          <w:sz w:val="24"/>
          <w:szCs w:val="24"/>
          <w:lang w:eastAsia="en-GB"/>
        </w:rPr>
      </w:pPr>
      <w:r w:rsidRPr="009F59D3">
        <w:rPr>
          <w:rFonts w:eastAsia="Times New Roman" w:cstheme="minorHAnsi"/>
          <w:b/>
          <w:bCs/>
          <w:color w:val="0E101A"/>
          <w:sz w:val="24"/>
          <w:szCs w:val="24"/>
          <w:lang w:eastAsia="en-GB"/>
        </w:rPr>
        <w:t> </w:t>
      </w:r>
      <w:r w:rsidRPr="009F59D3">
        <w:rPr>
          <w:rStyle w:val="Heading3Char"/>
          <w:sz w:val="24"/>
          <w:szCs w:val="24"/>
          <w:lang w:eastAsia="en-GB"/>
        </w:rPr>
        <w:t>Institutional Policies and Procedures:</w:t>
      </w:r>
      <w:r w:rsidRPr="009C2FC6">
        <w:rPr>
          <w:rFonts w:eastAsia="Times New Roman" w:cstheme="minorHAnsi"/>
          <w:color w:val="0E101A"/>
          <w:sz w:val="24"/>
          <w:szCs w:val="24"/>
          <w:lang w:eastAsia="en-GB"/>
        </w:rPr>
        <w:t> </w:t>
      </w:r>
    </w:p>
    <w:p w:rsidR="00484E31" w:rsidRPr="00484E31" w:rsidRDefault="00484E31" w:rsidP="00D55695">
      <w:pPr>
        <w:spacing w:after="0" w:line="360" w:lineRule="auto"/>
        <w:jc w:val="both"/>
        <w:rPr>
          <w:rFonts w:eastAsia="Times New Roman" w:cstheme="minorHAnsi"/>
          <w:color w:val="0E101A"/>
          <w:sz w:val="24"/>
          <w:szCs w:val="24"/>
          <w:lang w:eastAsia="en-GB"/>
        </w:rPr>
      </w:pPr>
      <w:r w:rsidRPr="00484E31">
        <w:rPr>
          <w:rFonts w:eastAsia="Times New Roman" w:cstheme="minorHAnsi"/>
          <w:color w:val="0E101A"/>
          <w:sz w:val="24"/>
          <w:szCs w:val="24"/>
          <w:lang w:eastAsia="en-GB"/>
        </w:rPr>
        <w:t xml:space="preserve">Educational institutions must have policies and procedures in place to ensure compliance with regulatory and legal requirements related to accommodating additional requirements and promoting inclusivity. It is unlawful to discriminate because of factors such as sex, race, </w:t>
      </w:r>
      <w:r w:rsidRPr="00484E31">
        <w:rPr>
          <w:rFonts w:eastAsia="Times New Roman" w:cstheme="minorHAnsi"/>
          <w:color w:val="0E101A"/>
          <w:sz w:val="24"/>
          <w:szCs w:val="24"/>
          <w:lang w:eastAsia="en-GB"/>
        </w:rPr>
        <w:lastRenderedPageBreak/>
        <w:t>disability, religion or belief, sexual orientation, or gender reassi</w:t>
      </w:r>
      <w:r w:rsidR="00B14729">
        <w:rPr>
          <w:rFonts w:eastAsia="Times New Roman" w:cstheme="minorHAnsi"/>
          <w:color w:val="0E101A"/>
          <w:sz w:val="24"/>
          <w:szCs w:val="24"/>
          <w:lang w:eastAsia="en-GB"/>
        </w:rPr>
        <w:t>gnment f</w:t>
      </w:r>
      <w:r w:rsidRPr="00484E31">
        <w:rPr>
          <w:rFonts w:eastAsia="Times New Roman" w:cstheme="minorHAnsi"/>
          <w:color w:val="0E101A"/>
          <w:sz w:val="24"/>
          <w:szCs w:val="24"/>
          <w:lang w:eastAsia="en-GB"/>
        </w:rPr>
        <w:t xml:space="preserve">or </w:t>
      </w:r>
      <w:r w:rsidR="00B14729" w:rsidRPr="00484E31">
        <w:rPr>
          <w:rFonts w:eastAsia="Times New Roman" w:cstheme="minorHAnsi"/>
          <w:color w:val="0E101A"/>
          <w:sz w:val="24"/>
          <w:szCs w:val="24"/>
          <w:lang w:eastAsia="en-GB"/>
        </w:rPr>
        <w:t>example;</w:t>
      </w:r>
      <w:r w:rsidRPr="00484E31">
        <w:rPr>
          <w:rFonts w:eastAsia="Times New Roman" w:cstheme="minorHAnsi"/>
          <w:color w:val="0E101A"/>
          <w:sz w:val="24"/>
          <w:szCs w:val="24"/>
          <w:lang w:eastAsia="en-GB"/>
        </w:rPr>
        <w:t xml:space="preserve"> a school cannot discriminate against a student based on the</w:t>
      </w:r>
      <w:r>
        <w:rPr>
          <w:rFonts w:eastAsia="Times New Roman" w:cstheme="minorHAnsi"/>
          <w:color w:val="0E101A"/>
          <w:sz w:val="24"/>
          <w:szCs w:val="24"/>
          <w:lang w:eastAsia="en-GB"/>
        </w:rPr>
        <w:t>ir immigrant</w:t>
      </w:r>
      <w:r w:rsidR="00B14729">
        <w:rPr>
          <w:rFonts w:eastAsia="Times New Roman" w:cstheme="minorHAnsi"/>
          <w:color w:val="0E101A"/>
          <w:sz w:val="24"/>
          <w:szCs w:val="24"/>
          <w:lang w:eastAsia="en-GB"/>
        </w:rPr>
        <w:t xml:space="preserve"> status</w:t>
      </w:r>
      <w:r>
        <w:rPr>
          <w:rFonts w:eastAsia="Times New Roman" w:cstheme="minorHAnsi"/>
          <w:color w:val="0E101A"/>
          <w:sz w:val="24"/>
          <w:szCs w:val="24"/>
          <w:lang w:eastAsia="en-GB"/>
        </w:rPr>
        <w:t>.</w:t>
      </w:r>
    </w:p>
    <w:p w:rsidR="00484E31" w:rsidRDefault="00484E31" w:rsidP="00D55695">
      <w:pPr>
        <w:spacing w:after="0" w:line="360" w:lineRule="auto"/>
        <w:jc w:val="both"/>
        <w:rPr>
          <w:rFonts w:eastAsia="Times New Roman" w:cstheme="minorHAnsi"/>
          <w:color w:val="0E101A"/>
          <w:sz w:val="24"/>
          <w:szCs w:val="24"/>
          <w:lang w:eastAsia="en-GB"/>
        </w:rPr>
      </w:pPr>
      <w:r w:rsidRPr="00484E31">
        <w:rPr>
          <w:rFonts w:eastAsia="Times New Roman" w:cstheme="minorHAnsi"/>
          <w:color w:val="0E101A"/>
          <w:sz w:val="24"/>
          <w:szCs w:val="24"/>
          <w:lang w:eastAsia="en-GB"/>
        </w:rPr>
        <w:t>These policies should address issues related to equality and diversity, accessibility, and support services for students. Laws such as the Sex Discrimination Act 1975</w:t>
      </w:r>
      <w:r w:rsidR="00773E34" w:rsidRPr="00773E34">
        <w:t xml:space="preserve"> </w:t>
      </w:r>
      <w:r w:rsidR="00773E34">
        <w:t>(Hannett, 2001)</w:t>
      </w:r>
      <w:r w:rsidRPr="00484E31">
        <w:rPr>
          <w:rFonts w:eastAsia="Times New Roman" w:cstheme="minorHAnsi"/>
          <w:color w:val="0E101A"/>
          <w:sz w:val="24"/>
          <w:szCs w:val="24"/>
          <w:lang w:eastAsia="en-GB"/>
        </w:rPr>
        <w:t>, Race Relations Act 1976</w:t>
      </w:r>
      <w:r w:rsidR="00DF1620" w:rsidRPr="00DF1620">
        <w:t xml:space="preserve"> </w:t>
      </w:r>
      <w:r w:rsidR="00DF1620">
        <w:t>(RRA 1976, 1977)</w:t>
      </w:r>
      <w:r w:rsidRPr="00484E31">
        <w:rPr>
          <w:rFonts w:eastAsia="Times New Roman" w:cstheme="minorHAnsi"/>
          <w:color w:val="0E101A"/>
          <w:sz w:val="24"/>
          <w:szCs w:val="24"/>
          <w:lang w:eastAsia="en-GB"/>
        </w:rPr>
        <w:t>, and Disability Discrimination Act 1995</w:t>
      </w:r>
      <w:r w:rsidR="008618A6" w:rsidRPr="008618A6">
        <w:t xml:space="preserve"> </w:t>
      </w:r>
      <w:r w:rsidR="008618A6">
        <w:t>(Policy Division, 1997)</w:t>
      </w:r>
      <w:r w:rsidRPr="00484E31">
        <w:rPr>
          <w:rFonts w:eastAsia="Times New Roman" w:cstheme="minorHAnsi"/>
          <w:color w:val="0E101A"/>
          <w:sz w:val="24"/>
          <w:szCs w:val="24"/>
          <w:lang w:eastAsia="en-GB"/>
        </w:rPr>
        <w:t xml:space="preserve"> should be taken into consideration when developing these policies and procedures. It is important for educational institutions to have clear and well-defined strategies in place to ensure that all individuals are treated fairly and inclusively.</w:t>
      </w:r>
    </w:p>
    <w:p w:rsidR="009C2FC6" w:rsidRPr="009F59D3" w:rsidRDefault="00484E31" w:rsidP="00484E31">
      <w:pPr>
        <w:spacing w:after="0" w:line="24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 xml:space="preserve"> </w:t>
      </w:r>
    </w:p>
    <w:p w:rsidR="009C2FC6" w:rsidRDefault="009C2FC6">
      <w:pPr>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br w:type="page"/>
      </w:r>
    </w:p>
    <w:p w:rsidR="009C2FC6" w:rsidRPr="009C2FC6" w:rsidRDefault="009C2FC6" w:rsidP="009C2FC6">
      <w:pPr>
        <w:spacing w:after="0" w:line="240" w:lineRule="auto"/>
        <w:rPr>
          <w:rFonts w:ascii="Times New Roman" w:eastAsia="Times New Roman" w:hAnsi="Times New Roman" w:cs="Times New Roman"/>
          <w:color w:val="0E101A"/>
          <w:sz w:val="24"/>
          <w:szCs w:val="24"/>
          <w:lang w:eastAsia="en-GB"/>
        </w:rPr>
      </w:pPr>
    </w:p>
    <w:p w:rsidR="009C2FC6" w:rsidRPr="009C2FC6" w:rsidRDefault="009C2FC6" w:rsidP="009C2FC6">
      <w:pPr>
        <w:spacing w:after="0" w:line="240" w:lineRule="auto"/>
        <w:rPr>
          <w:rFonts w:ascii="Times New Roman" w:eastAsia="Times New Roman" w:hAnsi="Times New Roman" w:cs="Times New Roman"/>
          <w:color w:val="0E101A"/>
          <w:sz w:val="24"/>
          <w:szCs w:val="24"/>
          <w:lang w:eastAsia="en-GB"/>
        </w:rPr>
      </w:pPr>
    </w:p>
    <w:p w:rsidR="009C2FC6" w:rsidRPr="009C2FC6" w:rsidRDefault="009C2FC6" w:rsidP="009C2FC6">
      <w:pPr>
        <w:pStyle w:val="Heading1"/>
        <w:rPr>
          <w:rFonts w:eastAsia="Times New Roman"/>
          <w:kern w:val="36"/>
          <w:sz w:val="40"/>
          <w:szCs w:val="40"/>
          <w:lang w:eastAsia="en-GB"/>
        </w:rPr>
      </w:pPr>
      <w:r w:rsidRPr="009C2FC6">
        <w:rPr>
          <w:rFonts w:eastAsia="Times New Roman"/>
          <w:kern w:val="36"/>
          <w:sz w:val="40"/>
          <w:szCs w:val="40"/>
          <w:lang w:eastAsia="en-GB"/>
        </w:rPr>
        <w:t>3.0 Conclusion</w:t>
      </w:r>
    </w:p>
    <w:p w:rsidR="009C2FC6" w:rsidRPr="009C2FC6" w:rsidRDefault="009C2FC6" w:rsidP="009C2FC6">
      <w:pPr>
        <w:spacing w:after="0" w:line="240" w:lineRule="auto"/>
        <w:rPr>
          <w:rFonts w:ascii="Times New Roman" w:eastAsia="Times New Roman" w:hAnsi="Times New Roman" w:cs="Times New Roman"/>
          <w:color w:val="0E101A"/>
          <w:sz w:val="24"/>
          <w:szCs w:val="24"/>
          <w:lang w:eastAsia="en-GB"/>
        </w:rPr>
      </w:pPr>
    </w:p>
    <w:p w:rsidR="0061541B" w:rsidRPr="009F59D3" w:rsidRDefault="0061541B" w:rsidP="0061541B">
      <w:pPr>
        <w:spacing w:after="0" w:line="360" w:lineRule="auto"/>
        <w:jc w:val="both"/>
        <w:rPr>
          <w:rFonts w:eastAsia="Times New Roman" w:cstheme="minorHAnsi"/>
          <w:color w:val="0E101A"/>
          <w:sz w:val="24"/>
          <w:szCs w:val="24"/>
          <w:lang w:eastAsia="en-GB"/>
        </w:rPr>
      </w:pPr>
      <w:r w:rsidRPr="0061541B">
        <w:rPr>
          <w:rFonts w:eastAsia="Times New Roman" w:cstheme="minorHAnsi"/>
          <w:color w:val="0E101A"/>
          <w:sz w:val="24"/>
          <w:szCs w:val="24"/>
          <w:lang w:eastAsia="en-GB"/>
        </w:rPr>
        <w:t>In conclusion, it is evident that supporting individuals with additional learning needs in educational institutions entails a multifaceted approach that involves understanding the key features and characteristics of various diagnosed impairments, implementing effective strategies, and adhering to regulatory and legal requirements. By creating a supportive and inclusive learning environment, providing tailored support and accommodations, and fostering collaboration among educators and support staff, institutions can ensure that all students, regardless of their impairments, have equal access to education and the opportunity to succeed</w:t>
      </w:r>
      <w:r>
        <w:rPr>
          <w:rFonts w:eastAsia="Times New Roman" w:cstheme="minorHAnsi"/>
          <w:color w:val="0E101A"/>
          <w:sz w:val="24"/>
          <w:szCs w:val="24"/>
          <w:lang w:eastAsia="en-GB"/>
        </w:rPr>
        <w:t xml:space="preserve"> </w:t>
      </w:r>
      <w:r w:rsidRPr="009C2FC6">
        <w:rPr>
          <w:rFonts w:eastAsia="Times New Roman" w:cstheme="minorHAnsi"/>
          <w:color w:val="0E101A"/>
          <w:sz w:val="24"/>
          <w:szCs w:val="24"/>
          <w:lang w:eastAsia="en-GB"/>
        </w:rPr>
        <w:t>(IRIS Center; Schools and Academies Show, 2021).</w:t>
      </w:r>
      <w:r>
        <w:rPr>
          <w:rFonts w:eastAsia="Times New Roman" w:cstheme="minorHAnsi"/>
          <w:color w:val="0E101A"/>
          <w:sz w:val="24"/>
          <w:szCs w:val="24"/>
          <w:lang w:eastAsia="en-GB"/>
        </w:rPr>
        <w:t xml:space="preserve"> </w:t>
      </w:r>
      <w:r w:rsidRPr="0061541B">
        <w:rPr>
          <w:rFonts w:eastAsia="Times New Roman" w:cstheme="minorHAnsi"/>
          <w:color w:val="0E101A"/>
          <w:sz w:val="24"/>
          <w:szCs w:val="24"/>
          <w:lang w:eastAsia="en-GB"/>
        </w:rPr>
        <w:t>Ultimately, by embracing diversity and promoting inclusivity, educational institutions can empower individuals with additional learning needs to achieve their full potential and thrive in their academic and personal endeavours.</w:t>
      </w:r>
    </w:p>
    <w:p w:rsidR="0061541B" w:rsidRDefault="0061541B" w:rsidP="0061541B">
      <w:pPr>
        <w:spacing w:after="0" w:line="360" w:lineRule="auto"/>
        <w:jc w:val="both"/>
        <w:rPr>
          <w:rFonts w:eastAsia="Times New Roman" w:cstheme="minorHAnsi"/>
          <w:color w:val="0E101A"/>
          <w:sz w:val="24"/>
          <w:szCs w:val="24"/>
          <w:lang w:eastAsia="en-GB"/>
        </w:rPr>
      </w:pPr>
    </w:p>
    <w:p w:rsidR="0061541B" w:rsidRDefault="0061541B">
      <w:pPr>
        <w:rPr>
          <w:rFonts w:eastAsia="Times New Roman" w:cstheme="minorHAnsi"/>
          <w:color w:val="0E101A"/>
          <w:sz w:val="24"/>
          <w:szCs w:val="24"/>
          <w:lang w:eastAsia="en-GB"/>
        </w:rPr>
      </w:pPr>
      <w:r>
        <w:rPr>
          <w:rFonts w:eastAsia="Times New Roman" w:cstheme="minorHAnsi"/>
          <w:color w:val="0E101A"/>
          <w:sz w:val="24"/>
          <w:szCs w:val="24"/>
          <w:lang w:eastAsia="en-GB"/>
        </w:rPr>
        <w:br w:type="page"/>
      </w:r>
    </w:p>
    <w:p w:rsidR="009C2FC6" w:rsidRPr="009C2FC6" w:rsidRDefault="009C2FC6" w:rsidP="009C2FC6">
      <w:pPr>
        <w:pStyle w:val="Heading1"/>
        <w:jc w:val="center"/>
        <w:rPr>
          <w:rFonts w:eastAsia="Times New Roman"/>
          <w:kern w:val="36"/>
          <w:sz w:val="40"/>
          <w:szCs w:val="40"/>
          <w:lang w:eastAsia="en-GB"/>
        </w:rPr>
      </w:pPr>
      <w:r w:rsidRPr="009C2FC6">
        <w:rPr>
          <w:rFonts w:eastAsia="Times New Roman"/>
          <w:kern w:val="36"/>
          <w:sz w:val="40"/>
          <w:szCs w:val="40"/>
          <w:lang w:eastAsia="en-GB"/>
        </w:rPr>
        <w:lastRenderedPageBreak/>
        <w:t>Part 2</w:t>
      </w:r>
    </w:p>
    <w:p w:rsidR="009C2FC6" w:rsidRPr="009F59D3" w:rsidRDefault="009C2FC6" w:rsidP="009F59D3">
      <w:pPr>
        <w:pStyle w:val="Heading2"/>
        <w:rPr>
          <w:rFonts w:eastAsia="Times New Roman"/>
          <w:sz w:val="28"/>
          <w:szCs w:val="28"/>
          <w:lang w:eastAsia="en-GB"/>
        </w:rPr>
      </w:pPr>
      <w:r w:rsidRPr="009F59D3">
        <w:rPr>
          <w:rFonts w:eastAsia="Times New Roman"/>
          <w:sz w:val="28"/>
          <w:szCs w:val="28"/>
          <w:lang w:eastAsia="en-GB"/>
        </w:rPr>
        <w:t>Support Statement for Iwan:</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Iwan's journey towards obtaining a Certificate of Higher Education in Skills for the Workplace at the UWTSD Business Education setting is marked by admirable determination and resilience. Coming from a disadvantaged area in Wales and being the first in his family to pursue higher education, Iwan's academic pursuit is not without its challenges. His financial struggles have started to cast a shadow over his studies, causing him to worry and stress. As his teacher, it is evident that Iwan's financial concerns are more than just an inconvenience - they are significant barriers to his academic success and overall well-being.</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Iwan is burdened by significant financial worries that are disrupting his ability to fully engage with his studies. Addressing his financial challenges and providing appropriate support are crucial steps to help Iwan focus on his studies without financial strain.</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Leveraging the robust processes and policies at UWTSD</w:t>
      </w:r>
      <w:r w:rsidR="001D02FF">
        <w:rPr>
          <w:rFonts w:eastAsia="Times New Roman" w:cstheme="minorHAnsi"/>
          <w:color w:val="0E101A"/>
          <w:sz w:val="24"/>
          <w:szCs w:val="24"/>
          <w:lang w:eastAsia="en-GB"/>
        </w:rPr>
        <w:t xml:space="preserve"> </w:t>
      </w:r>
      <w:r w:rsidR="001D02FF">
        <w:t>(UWTSD's S &amp;P's , 2024)</w:t>
      </w:r>
      <w:r w:rsidRPr="009C2FC6">
        <w:rPr>
          <w:rFonts w:eastAsia="Times New Roman" w:cstheme="minorHAnsi"/>
          <w:color w:val="0E101A"/>
          <w:sz w:val="24"/>
          <w:szCs w:val="24"/>
          <w:lang w:eastAsia="en-GB"/>
        </w:rPr>
        <w:t>, including financial assistance programs, student funds, and welfare support services, can provide essential support to learners like Iwan. By implementing targeted measures and utilizing available resources, we can ensure that Iwan receives the assistance needed to navigate his academic journey successfully.</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As per my findings, one of the primary ways to alleviate Iwan's financial burdens is by connecting him with the university's student services department. Exploring available financial aid options, scholarships, grants, and bursaries can provide Iwan with the financial cushion needed to continue his studies without the added stress of financial worry.</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Access to welfare support services can provide Iwan with valuable advice on managing finances and tapping into external resources, empowering him to concentrate on his studies. Collaboration with university career services or part-time work coordinators to establish flexible work arrangements for Iwan can help him balance work responsibilities with academic requirements, preventing his job from hindering his academic progress.</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 xml:space="preserve">Providing Iwan with targeted academic support, including study skills, workshops and tutoring, along with access to counselling services for emotional support, stress management, and coping strategies, will equip him with the tools he needs to overcome setbacks caused by financial concerns and ensure his academic success. This holistic approach addresses both his academic needs and emotional well-being, empowering him to </w:t>
      </w:r>
      <w:r w:rsidRPr="009C2FC6">
        <w:rPr>
          <w:rFonts w:eastAsia="Times New Roman" w:cstheme="minorHAnsi"/>
          <w:color w:val="0E101A"/>
          <w:sz w:val="24"/>
          <w:szCs w:val="24"/>
          <w:lang w:eastAsia="en-GB"/>
        </w:rPr>
        <w:lastRenderedPageBreak/>
        <w:t>navigate challenges effectively and stay on track towards his educational goals</w:t>
      </w:r>
      <w:r w:rsidR="0030235F">
        <w:rPr>
          <w:rFonts w:eastAsia="Times New Roman" w:cstheme="minorHAnsi"/>
          <w:color w:val="0E101A"/>
          <w:sz w:val="24"/>
          <w:szCs w:val="24"/>
          <w:lang w:eastAsia="en-GB"/>
        </w:rPr>
        <w:t xml:space="preserve"> </w:t>
      </w:r>
      <w:r w:rsidR="0030235F">
        <w:t>(UWTSD's WBS, 2024)</w:t>
      </w:r>
      <w:r w:rsidRPr="009C2FC6">
        <w:rPr>
          <w:rFonts w:eastAsia="Times New Roman" w:cstheme="minorHAnsi"/>
          <w:color w:val="0E101A"/>
          <w:sz w:val="24"/>
          <w:szCs w:val="24"/>
          <w:lang w:eastAsia="en-GB"/>
        </w:rPr>
        <w:t>.</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By implementing these measures and harnessing the myriad support services available within the UWTSD Business Education setting, we can create a support network tailored to Iwan's unique needs. This comprehensive approach aims to empower Iwan to overcome his financial challenges, prioritize his academic success, and foster a sense of inclusion within the learning environment.</w:t>
      </w:r>
    </w:p>
    <w:p w:rsidR="009C2FC6" w:rsidRPr="009F59D3" w:rsidRDefault="009C2FC6"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We must rally around Iwan, providing him with the support and resources necessary to surmount his financial obstacles and achieve his educational goals. By nurturing a supportive environment and offering tailored assistance, we can propel Iwan towards success in his studies and instil in him the confidence to navigate future challenges with resilience and determination. Together, we can ensure that Iwan's academic journey is marked by triumphs and growth, setting the stage for a bright and promising future ahead.</w:t>
      </w:r>
    </w:p>
    <w:p w:rsidR="009C2FC6" w:rsidRPr="009F59D3" w:rsidRDefault="009C2FC6" w:rsidP="009F59D3">
      <w:pPr>
        <w:pStyle w:val="Heading2"/>
        <w:rPr>
          <w:rFonts w:eastAsia="Times New Roman"/>
          <w:sz w:val="28"/>
          <w:szCs w:val="28"/>
          <w:lang w:eastAsia="en-GB"/>
        </w:rPr>
      </w:pPr>
      <w:r>
        <w:rPr>
          <w:rFonts w:eastAsia="Times New Roman"/>
          <w:sz w:val="24"/>
          <w:szCs w:val="24"/>
          <w:lang w:eastAsia="en-GB"/>
        </w:rPr>
        <w:br w:type="page"/>
      </w:r>
      <w:r w:rsidRPr="009F59D3">
        <w:rPr>
          <w:rFonts w:eastAsia="Times New Roman"/>
          <w:sz w:val="28"/>
          <w:szCs w:val="28"/>
          <w:lang w:eastAsia="en-GB"/>
        </w:rPr>
        <w:lastRenderedPageBreak/>
        <w:t>Support Statement for Efa:</w:t>
      </w:r>
    </w:p>
    <w:p w:rsidR="009C2FC6" w:rsidRPr="009C2FC6" w:rsidRDefault="00AF5805" w:rsidP="00D55695">
      <w:pPr>
        <w:spacing w:after="0" w:line="360" w:lineRule="auto"/>
        <w:jc w:val="both"/>
        <w:rPr>
          <w:rFonts w:eastAsia="Times New Roman" w:cstheme="minorHAnsi"/>
          <w:color w:val="0E101A"/>
          <w:sz w:val="24"/>
          <w:szCs w:val="24"/>
          <w:lang w:eastAsia="en-GB"/>
        </w:rPr>
      </w:pPr>
      <w:r>
        <w:rPr>
          <w:rFonts w:eastAsia="Times New Roman" w:cstheme="minorHAnsi"/>
          <w:color w:val="0E101A"/>
          <w:sz w:val="24"/>
          <w:szCs w:val="24"/>
          <w:lang w:eastAsia="en-GB"/>
        </w:rPr>
        <w:t>As a</w:t>
      </w:r>
      <w:r w:rsidR="006C5F98">
        <w:rPr>
          <w:rFonts w:eastAsia="Times New Roman" w:cstheme="minorHAnsi"/>
          <w:color w:val="0E101A"/>
          <w:sz w:val="24"/>
          <w:szCs w:val="24"/>
          <w:lang w:eastAsia="en-GB"/>
        </w:rPr>
        <w:t xml:space="preserve"> teacher,</w:t>
      </w:r>
      <w:r>
        <w:rPr>
          <w:rFonts w:eastAsia="Times New Roman" w:cstheme="minorHAnsi"/>
          <w:color w:val="0E101A"/>
          <w:sz w:val="24"/>
          <w:szCs w:val="24"/>
          <w:lang w:eastAsia="en-GB"/>
        </w:rPr>
        <w:t xml:space="preserve"> I am writing this statement a</w:t>
      </w:r>
      <w:r w:rsidR="009C2FC6" w:rsidRPr="009C2FC6">
        <w:rPr>
          <w:rFonts w:eastAsia="Times New Roman" w:cstheme="minorHAnsi"/>
          <w:color w:val="0E101A"/>
          <w:sz w:val="24"/>
          <w:szCs w:val="24"/>
          <w:lang w:eastAsia="en-GB"/>
        </w:rPr>
        <w:t>ddressing issues of discrimination and creating an inclusive environment</w:t>
      </w:r>
      <w:r>
        <w:rPr>
          <w:rFonts w:eastAsia="Times New Roman" w:cstheme="minorHAnsi"/>
          <w:color w:val="0E101A"/>
          <w:sz w:val="24"/>
          <w:szCs w:val="24"/>
          <w:lang w:eastAsia="en-GB"/>
        </w:rPr>
        <w:t>. This</w:t>
      </w:r>
      <w:r w:rsidR="009C2FC6" w:rsidRPr="009C2FC6">
        <w:rPr>
          <w:rFonts w:eastAsia="Times New Roman" w:cstheme="minorHAnsi"/>
          <w:color w:val="0E101A"/>
          <w:sz w:val="24"/>
          <w:szCs w:val="24"/>
          <w:lang w:eastAsia="en-GB"/>
        </w:rPr>
        <w:t xml:space="preserve"> is crucial for the success and well-being of all students within higher education institutions. In the case of Efa, a first-year student in the Travel and Tourism program at the University of Wales Trinity Saint David (UWTSD), her experience of feeling ostracised and singled out due to her race is a significant concern </w:t>
      </w:r>
      <w:r>
        <w:rPr>
          <w:rFonts w:eastAsia="Times New Roman" w:cstheme="minorHAnsi"/>
          <w:color w:val="0E101A"/>
          <w:sz w:val="24"/>
          <w:szCs w:val="24"/>
          <w:lang w:eastAsia="en-GB"/>
        </w:rPr>
        <w:t>noted by me and some of her class fellows. These concerns need</w:t>
      </w:r>
      <w:r w:rsidR="009C2FC6" w:rsidRPr="009C2FC6">
        <w:rPr>
          <w:rFonts w:eastAsia="Times New Roman" w:cstheme="minorHAnsi"/>
          <w:color w:val="0E101A"/>
          <w:sz w:val="24"/>
          <w:szCs w:val="24"/>
          <w:lang w:eastAsia="en-GB"/>
        </w:rPr>
        <w:t xml:space="preserve"> to be addressed promptly and effectively to ensure her continued engagement and success in her studies.</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The University of Wales Trinity Saint David has established processes and policies in place to support learners with additional support requirements, including those related to issues of discrimination and inclusivity.</w:t>
      </w:r>
      <w:r w:rsidR="00AF5805">
        <w:rPr>
          <w:rFonts w:eastAsia="Times New Roman" w:cstheme="minorHAnsi"/>
          <w:color w:val="0E101A"/>
          <w:sz w:val="24"/>
          <w:szCs w:val="24"/>
          <w:lang w:eastAsia="en-GB"/>
        </w:rPr>
        <w:t xml:space="preserve"> An example of this is the UWTSD Race Equality Plan (2021-2024), which is a measure in place to remove barriers instilled by racial discrimination. S</w:t>
      </w:r>
      <w:r w:rsidRPr="009C2FC6">
        <w:rPr>
          <w:rFonts w:eastAsia="Times New Roman" w:cstheme="minorHAnsi"/>
          <w:color w:val="0E101A"/>
          <w:sz w:val="24"/>
          <w:szCs w:val="24"/>
          <w:lang w:eastAsia="en-GB"/>
        </w:rPr>
        <w:t>upport services can be accessed through the Student Support Services department, which plays a vital role in providing guidance, assistance, and resources to students facing various challenges in their academic journey.</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In Efa's case, she must be provided with a safe and inclusive space where her concerns are heard and addressed. One of the initial steps that can be taken is arranging a meeting with a student support advisor who can offer guidance on managing instances of discrimination and providing emotional support. This personalized support can help Efa navigate the challenges she is facing and feel empowered to voice her concerns and seek assistance when needed.</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Furthermore, the university could also consider implementing diversity training for both lecturers and students within the Travel and Tourism program. Such training can help promote understanding, respect, and appreciation for different cultures and backgrounds, fostering a more inclusive and welcoming learning environment for all students. By raising awareness about issues of discrimination and providing tools to address and prevent such behaviour, the university can create a more supportive and inclusive atmosphere where students like Efa feel valued and respected.</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 xml:space="preserve">In addition to these institutional measures, program-specific responses within the Travel and Tourism program can also play a pivotal role in supporting Efa and other students facing similar challenges. For instance, pairing Efa with a mentor or peer support group within her </w:t>
      </w:r>
      <w:r w:rsidRPr="009C2FC6">
        <w:rPr>
          <w:rFonts w:eastAsia="Times New Roman" w:cstheme="minorHAnsi"/>
          <w:color w:val="0E101A"/>
          <w:sz w:val="24"/>
          <w:szCs w:val="24"/>
          <w:lang w:eastAsia="en-GB"/>
        </w:rPr>
        <w:lastRenderedPageBreak/>
        <w:t>course can provide her with a sense of belonging and connection with fellow students. Group tasks can be structured to ensure equal opportunities for all students to contribute, and lecturers can actively promote an inclusive classroom environment by addressing and discouraging discriminatory behaviour.</w:t>
      </w:r>
      <w:r w:rsidR="00EF136D">
        <w:rPr>
          <w:rFonts w:eastAsia="Times New Roman" w:cstheme="minorHAnsi"/>
          <w:color w:val="0E101A"/>
          <w:sz w:val="24"/>
          <w:szCs w:val="24"/>
          <w:lang w:eastAsia="en-GB"/>
        </w:rPr>
        <w:t xml:space="preserve"> This collective approach will ensure students like Efa are protected.</w:t>
      </w:r>
    </w:p>
    <w:p w:rsidR="009C2FC6" w:rsidRPr="009F59D3" w:rsidRDefault="009C2FC6"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By implementing these measures and fostering a culture of inclusivity and diversity within the Travel and Tourism program at UWTSD, Efa can be supported in overcoming her challenges and fully engaging with her studies. Ultimately, this proactive approach to addressing issues of discrimination and promoting inclusivity not only benefits Efa</w:t>
      </w:r>
      <w:r w:rsidR="00EF136D">
        <w:rPr>
          <w:rFonts w:eastAsia="Times New Roman" w:cstheme="minorHAnsi"/>
          <w:color w:val="0E101A"/>
          <w:sz w:val="24"/>
          <w:szCs w:val="24"/>
          <w:lang w:eastAsia="en-GB"/>
        </w:rPr>
        <w:t>,</w:t>
      </w:r>
      <w:r w:rsidRPr="009C2FC6">
        <w:rPr>
          <w:rFonts w:eastAsia="Times New Roman" w:cstheme="minorHAnsi"/>
          <w:color w:val="0E101A"/>
          <w:sz w:val="24"/>
          <w:szCs w:val="24"/>
          <w:lang w:eastAsia="en-GB"/>
        </w:rPr>
        <w:t xml:space="preserve"> but also contributes to a more vibrant, supportive, and enriching academic community for all students within the university.</w:t>
      </w:r>
    </w:p>
    <w:p w:rsidR="009C2FC6" w:rsidRDefault="009C2FC6">
      <w:pPr>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br w:type="page"/>
      </w:r>
    </w:p>
    <w:p w:rsidR="009C2FC6" w:rsidRPr="009F59D3" w:rsidRDefault="009C2FC6" w:rsidP="009F59D3">
      <w:pPr>
        <w:pStyle w:val="Heading2"/>
        <w:rPr>
          <w:rFonts w:eastAsia="Times New Roman"/>
          <w:sz w:val="28"/>
          <w:szCs w:val="28"/>
          <w:lang w:eastAsia="en-GB"/>
        </w:rPr>
      </w:pPr>
      <w:r w:rsidRPr="009F59D3">
        <w:rPr>
          <w:rFonts w:eastAsia="Times New Roman"/>
          <w:sz w:val="28"/>
          <w:szCs w:val="28"/>
          <w:lang w:eastAsia="en-GB"/>
        </w:rPr>
        <w:lastRenderedPageBreak/>
        <w:t>Support Statement for Dafydd:</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As Dafydd prepares to embark on his academ</w:t>
      </w:r>
      <w:r w:rsidR="006C5F98">
        <w:rPr>
          <w:rFonts w:eastAsia="Times New Roman" w:cstheme="minorHAnsi"/>
          <w:color w:val="0E101A"/>
          <w:sz w:val="24"/>
          <w:szCs w:val="24"/>
          <w:lang w:eastAsia="en-GB"/>
        </w:rPr>
        <w:t>ic journey within the Business P</w:t>
      </w:r>
      <w:r w:rsidRPr="009C2FC6">
        <w:rPr>
          <w:rFonts w:eastAsia="Times New Roman" w:cstheme="minorHAnsi"/>
          <w:color w:val="0E101A"/>
          <w:sz w:val="24"/>
          <w:szCs w:val="24"/>
          <w:lang w:eastAsia="en-GB"/>
        </w:rPr>
        <w:t xml:space="preserve">rogram at the University </w:t>
      </w:r>
      <w:r w:rsidR="00124DE4" w:rsidRPr="009C2FC6">
        <w:rPr>
          <w:rFonts w:eastAsia="Times New Roman" w:cstheme="minorHAnsi"/>
          <w:color w:val="0E101A"/>
          <w:sz w:val="24"/>
          <w:szCs w:val="24"/>
          <w:lang w:eastAsia="en-GB"/>
        </w:rPr>
        <w:t>Of</w:t>
      </w:r>
      <w:r w:rsidRPr="009C2FC6">
        <w:rPr>
          <w:rFonts w:eastAsia="Times New Roman" w:cstheme="minorHAnsi"/>
          <w:color w:val="0E101A"/>
          <w:sz w:val="24"/>
          <w:szCs w:val="24"/>
          <w:lang w:eastAsia="en-GB"/>
        </w:rPr>
        <w:t xml:space="preserve"> Wales Trinity Saint David (UWTSD), it is essential to recognize and address his unique needs and challenges as a student with cerebral palsy and partial sight impairment. While Dafydd is not registered as blind and can walk independently with the aid of crutches, he faces difficulties with note</w:t>
      </w:r>
      <w:r w:rsidR="00EF136D">
        <w:rPr>
          <w:rFonts w:eastAsia="Times New Roman" w:cstheme="minorHAnsi"/>
          <w:color w:val="0E101A"/>
          <w:sz w:val="24"/>
          <w:szCs w:val="24"/>
          <w:lang w:eastAsia="en-GB"/>
        </w:rPr>
        <w:t>-</w:t>
      </w:r>
      <w:r w:rsidRPr="009C2FC6">
        <w:rPr>
          <w:rFonts w:eastAsia="Times New Roman" w:cstheme="minorHAnsi"/>
          <w:color w:val="0E101A"/>
          <w:sz w:val="24"/>
          <w:szCs w:val="24"/>
          <w:lang w:eastAsia="en-GB"/>
        </w:rPr>
        <w:t>taking due to typing speed and occasional limitations with the use of his left arm. However, Dafydd's determination to maintain independence in managing his education while transitioning to university life is commendable.</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 xml:space="preserve">At UWTSD, there are established processes and policies in place </w:t>
      </w:r>
      <w:r w:rsidR="00124DE4">
        <w:rPr>
          <w:rFonts w:eastAsia="Times New Roman" w:cstheme="minorHAnsi"/>
          <w:color w:val="0E101A"/>
          <w:sz w:val="24"/>
          <w:szCs w:val="24"/>
          <w:lang w:eastAsia="en-GB"/>
        </w:rPr>
        <w:t xml:space="preserve">( see part 1 ) </w:t>
      </w:r>
      <w:r w:rsidRPr="009C2FC6">
        <w:rPr>
          <w:rFonts w:eastAsia="Times New Roman" w:cstheme="minorHAnsi"/>
          <w:color w:val="0E101A"/>
          <w:sz w:val="24"/>
          <w:szCs w:val="24"/>
          <w:lang w:eastAsia="en-GB"/>
        </w:rPr>
        <w:t>to support learners with additional support requirements, ensuring that all students have equal access to education and are provided with the necessary accommodations to thrive in their chosen program. The Student Services department plays a crucial role in offering guidance, assistance, and resources to students like Dafydd who may require additional support to fully engage with their studies.</w:t>
      </w:r>
      <w:r w:rsidR="00386DFE">
        <w:rPr>
          <w:rFonts w:eastAsia="Times New Roman" w:cstheme="minorHAnsi"/>
          <w:color w:val="0E101A"/>
          <w:sz w:val="24"/>
          <w:szCs w:val="24"/>
          <w:lang w:eastAsia="en-GB"/>
        </w:rPr>
        <w:t xml:space="preserve"> Additionally, the Disability Student Allowance can help Dafydd afford specialist equipment, extra travel and non-medical help (such as a specialist note-taker).</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In Dafydd's case, it is important to consider how his support requirements may impact his abili</w:t>
      </w:r>
      <w:r w:rsidR="006C5F98">
        <w:rPr>
          <w:rFonts w:eastAsia="Times New Roman" w:cstheme="minorHAnsi"/>
          <w:color w:val="0E101A"/>
          <w:sz w:val="24"/>
          <w:szCs w:val="24"/>
          <w:lang w:eastAsia="en-GB"/>
        </w:rPr>
        <w:t>ty to engage with the Business P</w:t>
      </w:r>
      <w:r w:rsidRPr="009C2FC6">
        <w:rPr>
          <w:rFonts w:eastAsia="Times New Roman" w:cstheme="minorHAnsi"/>
          <w:color w:val="0E101A"/>
          <w:sz w:val="24"/>
          <w:szCs w:val="24"/>
          <w:lang w:eastAsia="en-GB"/>
        </w:rPr>
        <w:t>rogram. For instance, challenges with note</w:t>
      </w:r>
      <w:r w:rsidR="00386DFE">
        <w:rPr>
          <w:rFonts w:eastAsia="Times New Roman" w:cstheme="minorHAnsi"/>
          <w:color w:val="0E101A"/>
          <w:sz w:val="24"/>
          <w:szCs w:val="24"/>
          <w:lang w:eastAsia="en-GB"/>
        </w:rPr>
        <w:t>-</w:t>
      </w:r>
      <w:r w:rsidR="00662C62">
        <w:rPr>
          <w:rFonts w:eastAsia="Times New Roman" w:cstheme="minorHAnsi"/>
          <w:color w:val="0E101A"/>
          <w:sz w:val="24"/>
          <w:szCs w:val="24"/>
          <w:lang w:eastAsia="en-GB"/>
        </w:rPr>
        <w:t>taking and</w:t>
      </w:r>
      <w:r w:rsidRPr="009C2FC6">
        <w:rPr>
          <w:rFonts w:eastAsia="Times New Roman" w:cstheme="minorHAnsi"/>
          <w:color w:val="0E101A"/>
          <w:sz w:val="24"/>
          <w:szCs w:val="24"/>
          <w:lang w:eastAsia="en-GB"/>
        </w:rPr>
        <w:t xml:space="preserve"> using his left arm may require accommodations </w:t>
      </w:r>
      <w:r w:rsidR="006C5F98">
        <w:rPr>
          <w:rFonts w:eastAsia="Times New Roman" w:cstheme="minorHAnsi"/>
          <w:color w:val="0E101A"/>
          <w:sz w:val="24"/>
          <w:szCs w:val="24"/>
          <w:lang w:eastAsia="en-GB"/>
        </w:rPr>
        <w:t xml:space="preserve">as mentioned above </w:t>
      </w:r>
      <w:r w:rsidRPr="009C2FC6">
        <w:rPr>
          <w:rFonts w:eastAsia="Times New Roman" w:cstheme="minorHAnsi"/>
          <w:color w:val="0E101A"/>
          <w:sz w:val="24"/>
          <w:szCs w:val="24"/>
          <w:lang w:eastAsia="en-GB"/>
        </w:rPr>
        <w:t>to ensure that Dafydd can fully participate in lectures and coursework. To accommodate him within the identified setting, both institutional and program-specific responses must be considered.</w:t>
      </w:r>
      <w:r w:rsidR="00662C62">
        <w:rPr>
          <w:rFonts w:eastAsia="Times New Roman" w:cstheme="minorHAnsi"/>
          <w:color w:val="0E101A"/>
          <w:sz w:val="24"/>
          <w:szCs w:val="24"/>
          <w:lang w:eastAsia="en-GB"/>
        </w:rPr>
        <w:t xml:space="preserve"> After all, under the Equality Act 2010, disability is a protected characteristic, which the university must legally make reasonable adjustments to defend.</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Institutionally, UWTSD can offer a range of support measures to assist Dafydd in his academic journey. This may include providing access to assistive technology such as speech-to-text software or specialized keyboards to aid in note-taking and typing. Additionally, the university may arrange for extended exam time or alternative assessment methods to cater to Dafydd's needs.</w:t>
      </w:r>
    </w:p>
    <w:p w:rsidR="009C2FC6" w:rsidRDefault="009C2FC6"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 xml:space="preserve">Within the Business program specifically, adaptations can be made to ensure that Dafydd is included in the learning environment. For example, lecturers can provide lecture slides or notes in advance to allow Dafydd time to review and prepare. Group work and assignments can be structured to account for Dafydd's unique abilities and ensure equal participation. </w:t>
      </w:r>
      <w:r w:rsidRPr="009C2FC6">
        <w:rPr>
          <w:rFonts w:eastAsia="Times New Roman" w:cstheme="minorHAnsi"/>
          <w:color w:val="0E101A"/>
          <w:sz w:val="24"/>
          <w:szCs w:val="24"/>
          <w:lang w:eastAsia="en-GB"/>
        </w:rPr>
        <w:lastRenderedPageBreak/>
        <w:t>Moreover, mentorship or peer support programs can be established to provide Dafydd with additional guidance and assistance from fellow students within the program.</w:t>
      </w:r>
    </w:p>
    <w:p w:rsidR="00662C62" w:rsidRPr="009C2FC6" w:rsidRDefault="00662C62" w:rsidP="00D55695">
      <w:pPr>
        <w:spacing w:after="0" w:line="360" w:lineRule="auto"/>
        <w:jc w:val="both"/>
        <w:rPr>
          <w:rFonts w:eastAsia="Times New Roman" w:cstheme="minorHAnsi"/>
          <w:color w:val="0E101A"/>
          <w:sz w:val="24"/>
          <w:szCs w:val="24"/>
          <w:lang w:eastAsia="en-GB"/>
        </w:rPr>
      </w:pPr>
      <w:r>
        <w:rPr>
          <w:rFonts w:eastAsia="Times New Roman" w:cstheme="minorHAnsi"/>
          <w:color w:val="0E101A"/>
          <w:sz w:val="24"/>
          <w:szCs w:val="24"/>
          <w:lang w:eastAsia="en-GB"/>
        </w:rPr>
        <w:t xml:space="preserve">In relation to Dafydd leaving home to study at UWTSD, it is essential for the university to consider accessible accommodation for him, and prioritise his place-of-stay nearby the university. </w:t>
      </w:r>
    </w:p>
    <w:p w:rsidR="009C2FC6" w:rsidRPr="009C2FC6" w:rsidRDefault="009C2FC6" w:rsidP="00D55695">
      <w:pPr>
        <w:spacing w:after="0" w:line="360" w:lineRule="auto"/>
        <w:jc w:val="both"/>
        <w:rPr>
          <w:rFonts w:eastAsia="Times New Roman" w:cstheme="minorHAnsi"/>
          <w:color w:val="0E101A"/>
          <w:sz w:val="24"/>
          <w:szCs w:val="24"/>
          <w:lang w:eastAsia="en-GB"/>
        </w:rPr>
      </w:pPr>
      <w:r w:rsidRPr="009C2FC6">
        <w:rPr>
          <w:rFonts w:eastAsia="Times New Roman" w:cstheme="minorHAnsi"/>
          <w:color w:val="0E101A"/>
          <w:sz w:val="24"/>
          <w:szCs w:val="24"/>
          <w:lang w:eastAsia="en-GB"/>
        </w:rPr>
        <w:t>By implementing these measures and fostering a culture of inclusivity and accessibility within the Business program at UWTSD, Dafydd can be supported in overcoming his challenges and fully engaging with his studies. The university is committed to providing a supportive and inclusive environment for all students, and with the right accommodations and support in place, Dafydd can continue to pursue his academic goals while maintaining his independence and thriving within the learning community at UWTSD.</w:t>
      </w:r>
    </w:p>
    <w:p w:rsidR="004711CC" w:rsidRDefault="004711CC" w:rsidP="00D55695">
      <w:pPr>
        <w:spacing w:after="0" w:line="360" w:lineRule="auto"/>
        <w:rPr>
          <w:rFonts w:eastAsia="Times New Roman" w:cstheme="minorHAnsi"/>
          <w:color w:val="0E101A"/>
          <w:sz w:val="24"/>
          <w:szCs w:val="24"/>
          <w:lang w:eastAsia="en-GB"/>
        </w:rPr>
      </w:pPr>
    </w:p>
    <w:p w:rsidR="004711CC" w:rsidRPr="009F59D3" w:rsidRDefault="004711CC" w:rsidP="004711CC">
      <w:pPr>
        <w:spacing w:after="0" w:line="240" w:lineRule="auto"/>
        <w:jc w:val="both"/>
        <w:rPr>
          <w:rFonts w:eastAsia="Times New Roman" w:cstheme="minorHAnsi"/>
          <w:color w:val="0E101A"/>
          <w:sz w:val="24"/>
          <w:szCs w:val="24"/>
          <w:lang w:eastAsia="en-GB"/>
        </w:rPr>
      </w:pPr>
      <w:r>
        <w:rPr>
          <w:rFonts w:eastAsia="Times New Roman" w:cstheme="minorHAnsi"/>
          <w:color w:val="0E101A"/>
          <w:sz w:val="24"/>
          <w:szCs w:val="24"/>
          <w:lang w:eastAsia="en-GB"/>
        </w:rPr>
        <w:t>(</w:t>
      </w:r>
      <w:r w:rsidRPr="009C2FC6">
        <w:rPr>
          <w:rFonts w:eastAsia="Times New Roman" w:cstheme="minorHAnsi"/>
          <w:color w:val="0E101A"/>
          <w:sz w:val="24"/>
          <w:szCs w:val="24"/>
          <w:lang w:eastAsia="en-GB"/>
        </w:rPr>
        <w:t>Word</w:t>
      </w:r>
      <w:r>
        <w:rPr>
          <w:rFonts w:eastAsia="Times New Roman" w:cstheme="minorHAnsi"/>
          <w:color w:val="0E101A"/>
          <w:sz w:val="24"/>
          <w:szCs w:val="24"/>
          <w:lang w:eastAsia="en-GB"/>
        </w:rPr>
        <w:t xml:space="preserve"> count part </w:t>
      </w:r>
      <w:r w:rsidRPr="009C2FC6">
        <w:rPr>
          <w:rFonts w:eastAsia="Times New Roman" w:cstheme="minorHAnsi"/>
          <w:color w:val="0E101A"/>
          <w:sz w:val="24"/>
          <w:szCs w:val="24"/>
          <w:lang w:eastAsia="en-GB"/>
        </w:rPr>
        <w:t>1</w:t>
      </w:r>
      <w:r w:rsidR="00364EF6">
        <w:rPr>
          <w:rFonts w:eastAsia="Times New Roman" w:cstheme="minorHAnsi"/>
          <w:color w:val="0E101A"/>
          <w:sz w:val="24"/>
          <w:szCs w:val="24"/>
          <w:lang w:eastAsia="en-GB"/>
        </w:rPr>
        <w:t xml:space="preserve"> (</w:t>
      </w:r>
      <w:r>
        <w:rPr>
          <w:rFonts w:eastAsia="Times New Roman" w:cstheme="minorHAnsi"/>
          <w:color w:val="0E101A"/>
          <w:sz w:val="24"/>
          <w:szCs w:val="24"/>
          <w:lang w:eastAsia="en-GB"/>
        </w:rPr>
        <w:t>1</w:t>
      </w:r>
      <w:r w:rsidR="0072036D">
        <w:rPr>
          <w:rFonts w:eastAsia="Times New Roman" w:cstheme="minorHAnsi"/>
          <w:color w:val="0E101A"/>
          <w:sz w:val="24"/>
          <w:szCs w:val="24"/>
          <w:lang w:eastAsia="en-GB"/>
        </w:rPr>
        <w:t>099</w:t>
      </w:r>
      <w:r w:rsidRPr="009C2FC6">
        <w:rPr>
          <w:rFonts w:eastAsia="Times New Roman" w:cstheme="minorHAnsi"/>
          <w:color w:val="0E101A"/>
          <w:sz w:val="24"/>
          <w:szCs w:val="24"/>
          <w:lang w:eastAsia="en-GB"/>
        </w:rPr>
        <w:t>)</w:t>
      </w:r>
      <w:r>
        <w:rPr>
          <w:rFonts w:eastAsia="Times New Roman" w:cstheme="minorHAnsi"/>
          <w:color w:val="0E101A"/>
          <w:sz w:val="24"/>
          <w:szCs w:val="24"/>
          <w:lang w:eastAsia="en-GB"/>
        </w:rPr>
        <w:t>)</w:t>
      </w:r>
    </w:p>
    <w:p w:rsidR="009C2FC6" w:rsidRPr="009F59D3" w:rsidRDefault="009C2FC6" w:rsidP="009C2FC6">
      <w:pPr>
        <w:spacing w:after="0" w:line="240" w:lineRule="auto"/>
        <w:rPr>
          <w:rFonts w:eastAsia="Times New Roman" w:cstheme="minorHAnsi"/>
          <w:color w:val="0E101A"/>
          <w:sz w:val="24"/>
          <w:szCs w:val="24"/>
          <w:lang w:eastAsia="en-GB"/>
        </w:rPr>
      </w:pPr>
      <w:r w:rsidRPr="009C2FC6">
        <w:rPr>
          <w:rFonts w:eastAsia="Times New Roman" w:cstheme="minorHAnsi"/>
          <w:color w:val="0E101A"/>
          <w:sz w:val="24"/>
          <w:szCs w:val="24"/>
          <w:lang w:eastAsia="en-GB"/>
        </w:rPr>
        <w:t xml:space="preserve">(Word count part 2 </w:t>
      </w:r>
      <w:r w:rsidR="004711CC">
        <w:rPr>
          <w:rFonts w:eastAsia="Times New Roman" w:cstheme="minorHAnsi"/>
          <w:color w:val="0E101A"/>
          <w:sz w:val="24"/>
          <w:szCs w:val="24"/>
          <w:lang w:eastAsia="en-GB"/>
        </w:rPr>
        <w:t>(</w:t>
      </w:r>
      <w:r w:rsidR="00364EF6">
        <w:rPr>
          <w:rFonts w:eastAsia="Times New Roman" w:cstheme="minorHAnsi"/>
          <w:color w:val="0E101A"/>
          <w:sz w:val="24"/>
          <w:szCs w:val="24"/>
          <w:lang w:eastAsia="en-GB"/>
        </w:rPr>
        <w:t>1533</w:t>
      </w:r>
      <w:r w:rsidRPr="009C2FC6">
        <w:rPr>
          <w:rFonts w:eastAsia="Times New Roman" w:cstheme="minorHAnsi"/>
          <w:color w:val="0E101A"/>
          <w:sz w:val="24"/>
          <w:szCs w:val="24"/>
          <w:lang w:eastAsia="en-GB"/>
        </w:rPr>
        <w:t>)</w:t>
      </w:r>
      <w:r w:rsidR="004711CC">
        <w:rPr>
          <w:rFonts w:eastAsia="Times New Roman" w:cstheme="minorHAnsi"/>
          <w:color w:val="0E101A"/>
          <w:sz w:val="24"/>
          <w:szCs w:val="24"/>
          <w:lang w:eastAsia="en-GB"/>
        </w:rPr>
        <w:t>)</w:t>
      </w:r>
    </w:p>
    <w:p w:rsidR="009C2FC6" w:rsidRPr="009F59D3" w:rsidRDefault="009C2FC6">
      <w:pPr>
        <w:rPr>
          <w:rFonts w:eastAsia="Times New Roman" w:cstheme="minorHAnsi"/>
          <w:color w:val="0E101A"/>
          <w:sz w:val="24"/>
          <w:szCs w:val="24"/>
          <w:lang w:eastAsia="en-GB"/>
        </w:rPr>
      </w:pPr>
      <w:r w:rsidRPr="009F59D3">
        <w:rPr>
          <w:rFonts w:eastAsia="Times New Roman" w:cstheme="minorHAnsi"/>
          <w:color w:val="0E101A"/>
          <w:sz w:val="24"/>
          <w:szCs w:val="24"/>
          <w:lang w:eastAsia="en-GB"/>
        </w:rPr>
        <w:br w:type="page"/>
      </w:r>
    </w:p>
    <w:p w:rsidR="009C2FC6" w:rsidRPr="009C2FC6" w:rsidRDefault="009C2FC6" w:rsidP="009C2FC6">
      <w:pPr>
        <w:spacing w:after="0" w:line="240" w:lineRule="auto"/>
        <w:rPr>
          <w:rFonts w:ascii="Times New Roman" w:eastAsia="Times New Roman" w:hAnsi="Times New Roman" w:cs="Times New Roman"/>
          <w:color w:val="0E101A"/>
          <w:sz w:val="24"/>
          <w:szCs w:val="24"/>
          <w:lang w:eastAsia="en-GB"/>
        </w:rPr>
      </w:pPr>
    </w:p>
    <w:p w:rsidR="009C2FC6" w:rsidRPr="009C2FC6" w:rsidRDefault="009C2FC6" w:rsidP="009C2FC6">
      <w:pPr>
        <w:pStyle w:val="Heading1"/>
        <w:rPr>
          <w:rFonts w:eastAsia="Times New Roman"/>
          <w:kern w:val="36"/>
          <w:sz w:val="40"/>
          <w:szCs w:val="40"/>
          <w:lang w:eastAsia="en-GB"/>
        </w:rPr>
      </w:pPr>
      <w:r w:rsidRPr="009C2FC6">
        <w:rPr>
          <w:rFonts w:eastAsia="Times New Roman"/>
          <w:kern w:val="36"/>
          <w:sz w:val="40"/>
          <w:szCs w:val="40"/>
          <w:lang w:eastAsia="en-GB"/>
        </w:rPr>
        <w:t>4.0 References</w:t>
      </w:r>
    </w:p>
    <w:p w:rsidR="009C2FC6" w:rsidRPr="009C2FC6" w:rsidRDefault="009C2FC6" w:rsidP="009C2FC6">
      <w:pPr>
        <w:spacing w:after="0" w:line="240" w:lineRule="auto"/>
        <w:rPr>
          <w:rFonts w:ascii="Times New Roman" w:eastAsia="Times New Roman" w:hAnsi="Times New Roman" w:cs="Times New Roman"/>
          <w:color w:val="0E101A"/>
          <w:sz w:val="24"/>
          <w:szCs w:val="24"/>
          <w:lang w:eastAsia="en-GB"/>
        </w:rPr>
      </w:pPr>
    </w:p>
    <w:p w:rsidR="009C2FC6" w:rsidRDefault="009C2FC6" w:rsidP="009C2FC6"/>
    <w:p w:rsidR="009C2FC6" w:rsidRDefault="009C2FC6" w:rsidP="0018072B">
      <w:pPr>
        <w:pStyle w:val="NormalWeb"/>
        <w:numPr>
          <w:ilvl w:val="0"/>
          <w:numId w:val="2"/>
        </w:numPr>
        <w:spacing w:line="360" w:lineRule="auto"/>
      </w:pPr>
      <w:r>
        <w:t xml:space="preserve">Barden, N. and Caleb , R. (2019) ‘Change In The Student Cohort’, in </w:t>
      </w:r>
      <w:r>
        <w:rPr>
          <w:i/>
          <w:iCs/>
        </w:rPr>
        <w:t xml:space="preserve">Student Mental Health and Wellbeing In Higher Education. A practical guide </w:t>
      </w:r>
      <w:r>
        <w:t xml:space="preserve">. Los Angeles: Sage , p. 11. </w:t>
      </w:r>
    </w:p>
    <w:p w:rsidR="009C2FC6" w:rsidRDefault="009C2FC6" w:rsidP="0018072B">
      <w:pPr>
        <w:pStyle w:val="NormalWeb"/>
        <w:numPr>
          <w:ilvl w:val="0"/>
          <w:numId w:val="2"/>
        </w:numPr>
        <w:spacing w:line="360" w:lineRule="auto"/>
      </w:pPr>
      <w:r>
        <w:t xml:space="preserve">Berg, V. (2024) ‘Types of physical disabilities’, </w:t>
      </w:r>
      <w:r>
        <w:rPr>
          <w:i/>
          <w:iCs/>
        </w:rPr>
        <w:t>carehome.co.uk</w:t>
      </w:r>
      <w:r>
        <w:t xml:space="preserve"> [Preprint]. doi:https://www.carehome.co.uk/advice/types-of-physical-disabilities#:~:text=stroke%20and%20dementia.-,What%20are%20the%20types%20of%20physical%20disabilities%3F,fatigue%20or%20pain%20and%20seizures. </w:t>
      </w:r>
    </w:p>
    <w:p w:rsidR="009C2FC6" w:rsidRDefault="009C2FC6" w:rsidP="0018072B">
      <w:pPr>
        <w:pStyle w:val="NormalWeb"/>
        <w:numPr>
          <w:ilvl w:val="0"/>
          <w:numId w:val="2"/>
        </w:numPr>
        <w:spacing w:line="360" w:lineRule="auto"/>
      </w:pPr>
      <w:r>
        <w:t xml:space="preserve">CDC (2020) </w:t>
      </w:r>
      <w:r>
        <w:rPr>
          <w:i/>
          <w:iCs/>
        </w:rPr>
        <w:t>Disability and health overview</w:t>
      </w:r>
      <w:r>
        <w:t xml:space="preserve">, </w:t>
      </w:r>
      <w:r>
        <w:rPr>
          <w:i/>
          <w:iCs/>
        </w:rPr>
        <w:t>Centers for Disease Control and Prevention</w:t>
      </w:r>
      <w:r>
        <w:t xml:space="preserve">. Available at: https://www.cdc.gov/ncbddd/disabilityandhealth/disability.html#:~:text=Impairment%20in%20a%20person’s%20body,%2C%20walking%2C%20or%20problem%20solving. (Accessed: 20 March 2024). </w:t>
      </w:r>
    </w:p>
    <w:p w:rsidR="009C2FC6" w:rsidRDefault="009C2FC6" w:rsidP="0018072B">
      <w:pPr>
        <w:pStyle w:val="NormalWeb"/>
        <w:numPr>
          <w:ilvl w:val="0"/>
          <w:numId w:val="2"/>
        </w:numPr>
        <w:spacing w:line="360" w:lineRule="auto"/>
      </w:pPr>
      <w:r>
        <w:t xml:space="preserve">Frederickson, N. and Cline, T. (2002) ‘4 Inclusion’, in </w:t>
      </w:r>
      <w:r>
        <w:rPr>
          <w:i/>
          <w:iCs/>
        </w:rPr>
        <w:t>https://r1.vlereader.com/Reader?ean=9780335262915</w:t>
      </w:r>
      <w:r>
        <w:t xml:space="preserve">. 3rd edn. New York : Open University Press, pp. 88–92. </w:t>
      </w:r>
    </w:p>
    <w:p w:rsidR="009C2FC6" w:rsidRDefault="009C2FC6" w:rsidP="0018072B">
      <w:pPr>
        <w:pStyle w:val="NormalWeb"/>
        <w:numPr>
          <w:ilvl w:val="0"/>
          <w:numId w:val="2"/>
        </w:numPr>
        <w:spacing w:line="360" w:lineRule="auto"/>
      </w:pPr>
      <w:r>
        <w:t xml:space="preserve">Gov.UK27 (2013) </w:t>
      </w:r>
      <w:r>
        <w:rPr>
          <w:i/>
          <w:iCs/>
        </w:rPr>
        <w:t>Equality act 2010: Guidance</w:t>
      </w:r>
      <w:r>
        <w:t xml:space="preserve">, </w:t>
      </w:r>
      <w:r>
        <w:rPr>
          <w:i/>
          <w:iCs/>
        </w:rPr>
        <w:t>GOV.UK</w:t>
      </w:r>
      <w:r>
        <w:t xml:space="preserve">. Available at: https://www.gov.uk/guidance/equality-act-2010-guidance#:~:text=The%20Equality%20Act%202010%20legally,strengthening%20protection%20in%20some%20situations. (Accessed: 17 March 2024). </w:t>
      </w:r>
    </w:p>
    <w:p w:rsidR="009C2FC6" w:rsidRDefault="009C2FC6" w:rsidP="0018072B">
      <w:pPr>
        <w:pStyle w:val="NormalWeb"/>
        <w:numPr>
          <w:ilvl w:val="0"/>
          <w:numId w:val="2"/>
        </w:numPr>
        <w:spacing w:line="360" w:lineRule="auto"/>
      </w:pPr>
      <w:r>
        <w:t xml:space="preserve">Gov.Wales (2015) </w:t>
      </w:r>
      <w:r>
        <w:rPr>
          <w:i/>
          <w:iCs/>
        </w:rPr>
        <w:t>Developing as a person-centred organisation - gov.wales</w:t>
      </w:r>
      <w:r>
        <w:t xml:space="preserve">. Available at: https://www.gov.wales/sites/default/files/publications/2019-01/developing-as-a-person-centred-organisation.pdf (Accessed: 20 March 2024). </w:t>
      </w:r>
    </w:p>
    <w:p w:rsidR="009C2FC6" w:rsidRDefault="009C2FC6" w:rsidP="0018072B">
      <w:pPr>
        <w:pStyle w:val="NormalWeb"/>
        <w:numPr>
          <w:ilvl w:val="0"/>
          <w:numId w:val="2"/>
        </w:numPr>
        <w:spacing w:line="360" w:lineRule="auto"/>
      </w:pPr>
      <w:r>
        <w:t xml:space="preserve">Hernandez, S.J. (2013) </w:t>
      </w:r>
      <w:r>
        <w:rPr>
          <w:i/>
          <w:iCs/>
        </w:rPr>
        <w:t>Collaboration in Special Education: Its History, Evolution, and Critical Factors Necessary for Successful Implementation</w:t>
      </w:r>
      <w:r>
        <w:t xml:space="preserve">. Available at: https://files.eric.ed.gov/fulltext/ED544122.pdf (Accessed: 20 March 2024). </w:t>
      </w:r>
    </w:p>
    <w:p w:rsidR="00773E34" w:rsidRDefault="00773E34" w:rsidP="0018072B">
      <w:pPr>
        <w:pStyle w:val="NormalWeb"/>
        <w:numPr>
          <w:ilvl w:val="0"/>
          <w:numId w:val="2"/>
        </w:numPr>
        <w:spacing w:line="360" w:lineRule="auto"/>
      </w:pPr>
      <w:r>
        <w:lastRenderedPageBreak/>
        <w:t xml:space="preserve">Hannett, S. (2001) ‘Reconsidering sexual orientation and the Sex Discrimination Act 1975 in a human rights act age’, </w:t>
      </w:r>
      <w:r>
        <w:rPr>
          <w:i/>
          <w:iCs/>
        </w:rPr>
        <w:t>King’s Law Journal</w:t>
      </w:r>
      <w:r>
        <w:t xml:space="preserve">, 12(2), pp. 240–244. doi:10.1080/09615768.2001.11427541. </w:t>
      </w:r>
    </w:p>
    <w:p w:rsidR="009C2FC6" w:rsidRDefault="009C2FC6" w:rsidP="0018072B">
      <w:pPr>
        <w:pStyle w:val="NormalWeb"/>
        <w:numPr>
          <w:ilvl w:val="0"/>
          <w:numId w:val="2"/>
        </w:numPr>
        <w:spacing w:line="360" w:lineRule="auto"/>
      </w:pPr>
      <w:r>
        <w:t xml:space="preserve">Houghton, A.-M. (2019) ‘7 Academic and Departmental Support’, in </w:t>
      </w:r>
      <w:r>
        <w:rPr>
          <w:i/>
          <w:iCs/>
        </w:rPr>
        <w:t>Student Mental Health and Wellbeing in Higher Education : A Practical Guide</w:t>
      </w:r>
      <w:r>
        <w:t xml:space="preserve">. 1st edn. Los Angeles: SAGE, p. 126. Available at: https://web-p-ebscohost-com.ezproxy.uwtsd.ac.uk/ehost/detail/detail?vid=0&amp;sid=687d98dc-bf7f-42d1-a6ba-3fb2455223fb%40redis&amp;bdata=JnNpdGU9ZWhvc3QtbGl2ZQ%3d%3d#AN=3044915&amp;db=nlebk (Accessed: 20 March 2024). </w:t>
      </w:r>
    </w:p>
    <w:p w:rsidR="009C2FC6" w:rsidRDefault="009C2FC6" w:rsidP="0018072B">
      <w:pPr>
        <w:pStyle w:val="NormalWeb"/>
        <w:numPr>
          <w:ilvl w:val="0"/>
          <w:numId w:val="2"/>
        </w:numPr>
        <w:spacing w:line="360" w:lineRule="auto"/>
      </w:pPr>
      <w:r>
        <w:t xml:space="preserve">IRIS Center (no date) </w:t>
      </w:r>
      <w:r>
        <w:rPr>
          <w:i/>
          <w:iCs/>
        </w:rPr>
        <w:t>What types of accommodations are commonly used for students with disabilities?</w:t>
      </w:r>
      <w:r>
        <w:t xml:space="preserve">, </w:t>
      </w:r>
      <w:r>
        <w:rPr>
          <w:i/>
          <w:iCs/>
        </w:rPr>
        <w:t>IRIS Center</w:t>
      </w:r>
      <w:r>
        <w:t xml:space="preserve">. Available at: https://iris.peabody.vanderbilt.edu/module/acc/cresource/q2/p03/ (Accessed: 20 March 2024). </w:t>
      </w:r>
    </w:p>
    <w:p w:rsidR="009C2FC6" w:rsidRDefault="009C2FC6" w:rsidP="0018072B">
      <w:pPr>
        <w:pStyle w:val="NormalWeb"/>
        <w:numPr>
          <w:ilvl w:val="0"/>
          <w:numId w:val="2"/>
        </w:numPr>
        <w:spacing w:line="360" w:lineRule="auto"/>
      </w:pPr>
      <w:r>
        <w:t xml:space="preserve">Lee, E. (2022) </w:t>
      </w:r>
      <w:r>
        <w:rPr>
          <w:i/>
          <w:iCs/>
        </w:rPr>
        <w:t>What are the different types of disabilities?</w:t>
      </w:r>
      <w:r>
        <w:t xml:space="preserve">, </w:t>
      </w:r>
      <w:r>
        <w:rPr>
          <w:i/>
          <w:iCs/>
        </w:rPr>
        <w:t>CPD Online College</w:t>
      </w:r>
      <w:r>
        <w:t xml:space="preserve">. Available at: https://cpdonline.co.uk/knowledge-base/care/different-types-of-disabilities/ (Accessed: 20 March 2024). </w:t>
      </w:r>
    </w:p>
    <w:p w:rsidR="009C2FC6" w:rsidRDefault="009C2FC6" w:rsidP="0018072B">
      <w:pPr>
        <w:pStyle w:val="NormalWeb"/>
        <w:numPr>
          <w:ilvl w:val="0"/>
          <w:numId w:val="2"/>
        </w:numPr>
        <w:spacing w:line="360" w:lineRule="auto"/>
      </w:pPr>
      <w:r>
        <w:t xml:space="preserve">legislation.gov.uk (no date) </w:t>
      </w:r>
      <w:r>
        <w:rPr>
          <w:i/>
          <w:iCs/>
        </w:rPr>
        <w:t>Understanding legislation</w:t>
      </w:r>
      <w:r>
        <w:t xml:space="preserve">, </w:t>
      </w:r>
      <w:r>
        <w:rPr>
          <w:i/>
          <w:iCs/>
        </w:rPr>
        <w:t>Understanding Legislation</w:t>
      </w:r>
      <w:r>
        <w:t xml:space="preserve">. Available at: https://www.legislation.gov.uk/understanding-legislation#:~:text=UK%20Primary%20and%20Secondary%20legislation,Parliament%20and%20Northern%20Ireland%20Assembly. (Accessed: 17 March 2024). </w:t>
      </w:r>
    </w:p>
    <w:p w:rsidR="009C2FC6" w:rsidRDefault="009C2FC6" w:rsidP="0018072B">
      <w:pPr>
        <w:pStyle w:val="NormalWeb"/>
        <w:numPr>
          <w:ilvl w:val="0"/>
          <w:numId w:val="2"/>
        </w:numPr>
        <w:spacing w:line="360" w:lineRule="auto"/>
      </w:pPr>
      <w:r>
        <w:t xml:space="preserve">Martin, D.M. (2024) </w:t>
      </w:r>
      <w:r>
        <w:rPr>
          <w:i/>
          <w:iCs/>
        </w:rPr>
        <w:t>Supporting students with additional needs: Advice: Independent living</w:t>
      </w:r>
      <w:r>
        <w:t xml:space="preserve">, </w:t>
      </w:r>
      <w:r>
        <w:rPr>
          <w:i/>
          <w:iCs/>
        </w:rPr>
        <w:t>Advice | Independent Living</w:t>
      </w:r>
      <w:r>
        <w:t xml:space="preserve">. Available at: https://www.independentliving.co.uk/advice/supporting-students-with-additional-needs/# (Accessed: 17 March 2024). </w:t>
      </w:r>
    </w:p>
    <w:p w:rsidR="00004EB9" w:rsidRDefault="00004EB9" w:rsidP="0018072B">
      <w:pPr>
        <w:pStyle w:val="NormalWeb"/>
        <w:numPr>
          <w:ilvl w:val="0"/>
          <w:numId w:val="2"/>
        </w:numPr>
        <w:spacing w:line="360" w:lineRule="auto"/>
      </w:pPr>
      <w:r>
        <w:t xml:space="preserve">Nordengren, C. (2023) ‘10 ways to meet the learning needs of all students’, </w:t>
      </w:r>
      <w:r>
        <w:rPr>
          <w:i/>
          <w:iCs/>
        </w:rPr>
        <w:t>nwea</w:t>
      </w:r>
      <w:r>
        <w:t xml:space="preserve">, 20 June. Available at: https://www.nwea.org/blog/2023/10-ways-to-meet-the-learning-needs-of-all-students/ (Accessed: 21 March 2024). </w:t>
      </w:r>
    </w:p>
    <w:p w:rsidR="009C2FC6" w:rsidRDefault="009C2FC6" w:rsidP="0018072B">
      <w:pPr>
        <w:pStyle w:val="NormalWeb"/>
        <w:numPr>
          <w:ilvl w:val="0"/>
          <w:numId w:val="2"/>
        </w:numPr>
        <w:spacing w:line="360" w:lineRule="auto"/>
      </w:pPr>
      <w:r>
        <w:t xml:space="preserve">ODR (no date) </w:t>
      </w:r>
      <w:r>
        <w:rPr>
          <w:i/>
          <w:iCs/>
        </w:rPr>
        <w:t>Common disabilities</w:t>
      </w:r>
      <w:r>
        <w:t xml:space="preserve">, </w:t>
      </w:r>
      <w:r>
        <w:rPr>
          <w:i/>
          <w:iCs/>
        </w:rPr>
        <w:t>Common Disabilities : Faculty : Office of Disability Resources : University of Rochester</w:t>
      </w:r>
      <w:r>
        <w:t xml:space="preserve">. Available at: https://www.rochester.edu/college/disability/faculty/common-disabilities.html (Accessed: 20 March 2024). </w:t>
      </w:r>
    </w:p>
    <w:p w:rsidR="008618A6" w:rsidRDefault="008618A6" w:rsidP="0018072B">
      <w:pPr>
        <w:pStyle w:val="NormalWeb"/>
        <w:numPr>
          <w:ilvl w:val="0"/>
          <w:numId w:val="2"/>
        </w:numPr>
        <w:spacing w:line="360" w:lineRule="auto"/>
      </w:pPr>
      <w:r>
        <w:t xml:space="preserve">Policy Division, D. (1997) ‘The disability discrimination act 1995’, </w:t>
      </w:r>
      <w:r>
        <w:rPr>
          <w:i/>
          <w:iCs/>
        </w:rPr>
        <w:t>VINE</w:t>
      </w:r>
      <w:r>
        <w:t xml:space="preserve">, 27(2), pp. 48–50. doi:10.1108/eb040634. </w:t>
      </w:r>
    </w:p>
    <w:p w:rsidR="00DF1620" w:rsidRDefault="00DF1620" w:rsidP="0018072B">
      <w:pPr>
        <w:pStyle w:val="NormalWeb"/>
        <w:numPr>
          <w:ilvl w:val="0"/>
          <w:numId w:val="2"/>
        </w:numPr>
        <w:spacing w:line="360" w:lineRule="auto"/>
      </w:pPr>
      <w:r>
        <w:lastRenderedPageBreak/>
        <w:t xml:space="preserve">RRA 1976 (1977) ‘The Race Relations Act 1976’, </w:t>
      </w:r>
      <w:r>
        <w:rPr>
          <w:i/>
          <w:iCs/>
        </w:rPr>
        <w:t>Race &amp;amp; Class</w:t>
      </w:r>
      <w:r>
        <w:t xml:space="preserve">, 18(4), pp. 405–410. doi:10.1177/030639687701800407. </w:t>
      </w:r>
    </w:p>
    <w:p w:rsidR="009C2FC6" w:rsidRDefault="009C2FC6" w:rsidP="0018072B">
      <w:pPr>
        <w:pStyle w:val="NormalWeb"/>
        <w:numPr>
          <w:ilvl w:val="0"/>
          <w:numId w:val="2"/>
        </w:numPr>
        <w:spacing w:line="360" w:lineRule="auto"/>
      </w:pPr>
      <w:r>
        <w:t xml:space="preserve">Schools and Academies Show (2021) ‘What is the the SEND Code of Practice?’, </w:t>
      </w:r>
      <w:r>
        <w:rPr>
          <w:i/>
          <w:iCs/>
        </w:rPr>
        <w:t xml:space="preserve">SAAShow Community </w:t>
      </w:r>
      <w:r>
        <w:t xml:space="preserve">, 17 May. Available at: https://blog.schoolsandacademiesshow.co.uk/send-code-of-practice (Accessed: 17 March 2024). </w:t>
      </w:r>
    </w:p>
    <w:p w:rsidR="009C2FC6" w:rsidRDefault="009C2FC6" w:rsidP="0018072B">
      <w:pPr>
        <w:pStyle w:val="NormalWeb"/>
        <w:numPr>
          <w:ilvl w:val="0"/>
          <w:numId w:val="2"/>
        </w:numPr>
        <w:spacing w:line="360" w:lineRule="auto"/>
      </w:pPr>
      <w:r>
        <w:t xml:space="preserve">Sobel, D. and Alston, S. (no date) ‘A New Approach to Differentiation’, in </w:t>
      </w:r>
      <w:r>
        <w:rPr>
          <w:i/>
          <w:iCs/>
        </w:rPr>
        <w:t>The Inclusive Classroom : A New Approach to Differentiation</w:t>
      </w:r>
      <w:r>
        <w:t xml:space="preserve">. 1st edn. Bloomsbury Publishing Plc, pp. 2–2. </w:t>
      </w:r>
    </w:p>
    <w:p w:rsidR="009C2FC6" w:rsidRDefault="009C2FC6" w:rsidP="0018072B">
      <w:pPr>
        <w:pStyle w:val="NormalWeb"/>
        <w:numPr>
          <w:ilvl w:val="0"/>
          <w:numId w:val="2"/>
        </w:numPr>
        <w:spacing w:line="360" w:lineRule="auto"/>
      </w:pPr>
      <w:r>
        <w:t xml:space="preserve">Somji, R. (2018) ‘Teaching Strategies for the 8 Different Learning Styles’, </w:t>
      </w:r>
      <w:r>
        <w:rPr>
          <w:i/>
          <w:iCs/>
        </w:rPr>
        <w:t>VirtualSpeech</w:t>
      </w:r>
      <w:r>
        <w:t xml:space="preserve">, 17 April. Available at: https://virtualspeech.com/blog/teaching-strategies-different-learning-styles (Accessed: 20 March 2024). </w:t>
      </w:r>
    </w:p>
    <w:p w:rsidR="009C2FC6" w:rsidRDefault="009C2FC6" w:rsidP="0018072B">
      <w:pPr>
        <w:pStyle w:val="NormalWeb"/>
        <w:numPr>
          <w:ilvl w:val="0"/>
          <w:numId w:val="2"/>
        </w:numPr>
        <w:spacing w:line="360" w:lineRule="auto"/>
      </w:pPr>
      <w:r>
        <w:t xml:space="preserve">Streatfield, N. (2019) ‘8 Professional Support in Higher Education  ’, in </w:t>
      </w:r>
      <w:r>
        <w:rPr>
          <w:i/>
          <w:iCs/>
        </w:rPr>
        <w:t xml:space="preserve">Student Mental Health and Wellbeing In Higher Education A practical guide </w:t>
      </w:r>
      <w:r>
        <w:t xml:space="preserve">. 1st edn. Los Angeles: Sage Publication Ltd , p. 146. Available at: https://web-p-ebscohost-com.ezproxy.uwtsd.ac.uk/ehost/ebookviewer/ebook/bmxlYmtfXzMwNDQ5MTVfX0FO0?sid=687d98dc-bf7f-42d1-a6ba-3fb2455223fb@redis&amp;vid=0&amp;format=EB&amp;lpid=lp_145&amp;rid=0 (Accessed: 20 March 2024). </w:t>
      </w:r>
    </w:p>
    <w:p w:rsidR="009C2FC6" w:rsidRDefault="009C2FC6" w:rsidP="0018072B">
      <w:pPr>
        <w:pStyle w:val="NormalWeb"/>
        <w:numPr>
          <w:ilvl w:val="0"/>
          <w:numId w:val="2"/>
        </w:numPr>
        <w:spacing w:line="360" w:lineRule="auto"/>
      </w:pPr>
      <w:r>
        <w:t xml:space="preserve">Streatfield, N. (2019) ‘8 Professional Support in Higher Education  ’, in </w:t>
      </w:r>
      <w:r>
        <w:rPr>
          <w:i/>
          <w:iCs/>
        </w:rPr>
        <w:t xml:space="preserve">Student Mental Health and Wellbeing In Higher Education A practical guide </w:t>
      </w:r>
      <w:r>
        <w:t xml:space="preserve">. 1st edn. Los Angeles: Sage Publication Ltd , p. 148. Available at: https://web-p-ebscohost-com.ezproxy.uwtsd.ac.uk/ehost/ebookviewer/ebook/bmxlYmtfXzMwNDQ5MTVfX0FO0?sid=687d98dc-bf7f-42d1-a6ba-3fb2455223fb@redis&amp;vid=0&amp;format=EB&amp;lpid=lp_145&amp;rid=0 (Accessed: 20 March 2024). </w:t>
      </w:r>
    </w:p>
    <w:p w:rsidR="009C2FC6" w:rsidRDefault="009C2FC6" w:rsidP="0018072B">
      <w:pPr>
        <w:pStyle w:val="NormalWeb"/>
        <w:numPr>
          <w:ilvl w:val="0"/>
          <w:numId w:val="2"/>
        </w:numPr>
        <w:spacing w:line="360" w:lineRule="auto"/>
      </w:pPr>
      <w:r>
        <w:t xml:space="preserve">3fb2455223fb@redis&amp;vid=0&amp;format=EB&amp;lpid=lp_145&amp;rid=0. </w:t>
      </w:r>
    </w:p>
    <w:p w:rsidR="009C693B" w:rsidRDefault="009C693B" w:rsidP="0018072B">
      <w:pPr>
        <w:pStyle w:val="NormalWeb"/>
        <w:numPr>
          <w:ilvl w:val="0"/>
          <w:numId w:val="2"/>
        </w:numPr>
        <w:spacing w:line="360" w:lineRule="auto"/>
      </w:pPr>
      <w:r>
        <w:t xml:space="preserve">UWTSD (2024) </w:t>
      </w:r>
      <w:r>
        <w:rPr>
          <w:i/>
          <w:iCs/>
        </w:rPr>
        <w:t>Disability support</w:t>
      </w:r>
      <w:r>
        <w:t xml:space="preserve">, </w:t>
      </w:r>
      <w:r>
        <w:rPr>
          <w:i/>
          <w:iCs/>
        </w:rPr>
        <w:t>University of Wales Trinity Saint David</w:t>
      </w:r>
      <w:r>
        <w:t xml:space="preserve">. Available at: https://www.uwtsd.ac.uk/experience-facilities/student-support-wellbeing/disability-support (Accessed: 21 March 2024). </w:t>
      </w:r>
    </w:p>
    <w:p w:rsidR="00165BB8" w:rsidRDefault="00165BB8" w:rsidP="0018072B">
      <w:pPr>
        <w:pStyle w:val="NormalWeb"/>
        <w:numPr>
          <w:ilvl w:val="0"/>
          <w:numId w:val="2"/>
        </w:numPr>
        <w:spacing w:line="360" w:lineRule="auto"/>
      </w:pPr>
      <w:r>
        <w:t xml:space="preserve">UWTSD’s S &amp;P’s (2024) </w:t>
      </w:r>
      <w:r>
        <w:rPr>
          <w:i/>
          <w:iCs/>
        </w:rPr>
        <w:t>Strategies and policies</w:t>
      </w:r>
      <w:r>
        <w:t xml:space="preserve">, </w:t>
      </w:r>
      <w:r>
        <w:rPr>
          <w:i/>
          <w:iCs/>
        </w:rPr>
        <w:t>University of Wales Trinity Saint David</w:t>
      </w:r>
      <w:r>
        <w:t xml:space="preserve">. Available at: https://uwtsd.ac.uk/about/strategies-and-policies/ (Accessed: 21 March 2024). </w:t>
      </w:r>
    </w:p>
    <w:p w:rsidR="0030235F" w:rsidRDefault="0030235F" w:rsidP="0018072B">
      <w:pPr>
        <w:pStyle w:val="NormalWeb"/>
        <w:numPr>
          <w:ilvl w:val="0"/>
          <w:numId w:val="2"/>
        </w:numPr>
        <w:spacing w:line="360" w:lineRule="auto"/>
      </w:pPr>
      <w:r>
        <w:lastRenderedPageBreak/>
        <w:t xml:space="preserve">UWTSD’s WBS (2024) </w:t>
      </w:r>
      <w:r>
        <w:rPr>
          <w:i/>
          <w:iCs/>
        </w:rPr>
        <w:t>Wellbeing support</w:t>
      </w:r>
      <w:r>
        <w:t xml:space="preserve">, </w:t>
      </w:r>
      <w:r>
        <w:rPr>
          <w:i/>
          <w:iCs/>
        </w:rPr>
        <w:t>University of Wales Trinity Saint David</w:t>
      </w:r>
      <w:r>
        <w:t xml:space="preserve">. Available at: https://www.uwtsd.ac.uk/experience-facilities/student-support-wellbeing/wellbeing-support (Accessed: 21 March 2024). </w:t>
      </w:r>
    </w:p>
    <w:p w:rsidR="009C2FC6" w:rsidRDefault="009C2FC6" w:rsidP="0018072B">
      <w:pPr>
        <w:pStyle w:val="NormalWeb"/>
        <w:numPr>
          <w:ilvl w:val="0"/>
          <w:numId w:val="2"/>
        </w:numPr>
        <w:spacing w:line="360" w:lineRule="auto"/>
      </w:pPr>
      <w:r>
        <w:t xml:space="preserve">Welsh Government (ed.) (2016) </w:t>
      </w:r>
      <w:r>
        <w:rPr>
          <w:i/>
          <w:iCs/>
        </w:rPr>
        <w:t>Inclusion and pupil support</w:t>
      </w:r>
      <w:r>
        <w:t xml:space="preserve">, </w:t>
      </w:r>
      <w:r>
        <w:rPr>
          <w:i/>
          <w:iCs/>
        </w:rPr>
        <w:t>www.gov.wales</w:t>
      </w:r>
      <w:r>
        <w:t xml:space="preserve">. Available at: https://www.gov.wales/sites/default/files/publications/2018-05/guidance-inclusion-and-pupil-support_0.pdf (Accessed: 17 March 2024). </w:t>
      </w:r>
    </w:p>
    <w:p w:rsidR="009C2FC6" w:rsidRDefault="009C2FC6" w:rsidP="0018072B">
      <w:pPr>
        <w:pStyle w:val="NormalWeb"/>
        <w:numPr>
          <w:ilvl w:val="0"/>
          <w:numId w:val="2"/>
        </w:numPr>
        <w:spacing w:line="360" w:lineRule="auto"/>
      </w:pPr>
      <w:r>
        <w:t xml:space="preserve">Wessely, S. (2019) ‘Foreword’, in </w:t>
      </w:r>
      <w:r>
        <w:rPr>
          <w:i/>
          <w:iCs/>
        </w:rPr>
        <w:t xml:space="preserve">Student Mental Health and Wellbeing In Higher Education. A practical guide </w:t>
      </w:r>
      <w:r>
        <w:t xml:space="preserve">. Los Angeles: Sage , pp. xvii–xvii. </w:t>
      </w:r>
    </w:p>
    <w:p w:rsidR="009C2FC6" w:rsidRDefault="009C2FC6" w:rsidP="0018072B">
      <w:pPr>
        <w:pStyle w:val="NormalWeb"/>
        <w:numPr>
          <w:ilvl w:val="0"/>
          <w:numId w:val="2"/>
        </w:numPr>
        <w:spacing w:line="360" w:lineRule="auto"/>
      </w:pPr>
      <w:r>
        <w:t xml:space="preserve">WHO (2024) </w:t>
      </w:r>
      <w:r>
        <w:rPr>
          <w:i/>
          <w:iCs/>
        </w:rPr>
        <w:t>Assistive technology</w:t>
      </w:r>
      <w:r>
        <w:t xml:space="preserve">, </w:t>
      </w:r>
      <w:r>
        <w:rPr>
          <w:i/>
          <w:iCs/>
        </w:rPr>
        <w:t>World Health Organization</w:t>
      </w:r>
      <w:r>
        <w:t xml:space="preserve">. Available at: https://www.who.int/news-room/fact-sheets/detail/assistive-technology#:~:text=Assistive%20products%20can%20range%20from,time%20management%20software%20and%20captioning. (Accessed: 20 March 2024). </w:t>
      </w:r>
    </w:p>
    <w:p w:rsidR="009C2FC6" w:rsidRPr="009C2FC6" w:rsidRDefault="009C2FC6" w:rsidP="009C2FC6">
      <w:pPr>
        <w:spacing w:after="0" w:line="240" w:lineRule="auto"/>
        <w:rPr>
          <w:rFonts w:ascii="Times New Roman" w:eastAsia="Times New Roman" w:hAnsi="Times New Roman" w:cs="Times New Roman"/>
          <w:color w:val="0E101A"/>
          <w:sz w:val="24"/>
          <w:szCs w:val="24"/>
          <w:lang w:eastAsia="en-GB"/>
        </w:rPr>
      </w:pPr>
      <w:r w:rsidRPr="009C2FC6">
        <w:rPr>
          <w:rFonts w:ascii="Times New Roman" w:eastAsia="Times New Roman" w:hAnsi="Times New Roman" w:cs="Times New Roman"/>
          <w:color w:val="0E101A"/>
          <w:sz w:val="24"/>
          <w:szCs w:val="24"/>
          <w:lang w:eastAsia="en-GB"/>
        </w:rPr>
        <w:t> </w:t>
      </w:r>
    </w:p>
    <w:p w:rsidR="009C2FC6" w:rsidRPr="009C2FC6" w:rsidRDefault="009C2FC6" w:rsidP="009C2FC6">
      <w:pPr>
        <w:spacing w:after="0" w:line="240" w:lineRule="auto"/>
        <w:rPr>
          <w:rFonts w:ascii="Times New Roman" w:eastAsia="Times New Roman" w:hAnsi="Times New Roman" w:cs="Times New Roman"/>
          <w:color w:val="0E101A"/>
          <w:sz w:val="24"/>
          <w:szCs w:val="24"/>
          <w:lang w:eastAsia="en-GB"/>
        </w:rPr>
      </w:pPr>
      <w:r w:rsidRPr="009C2FC6">
        <w:rPr>
          <w:rFonts w:ascii="Times New Roman" w:eastAsia="Times New Roman" w:hAnsi="Times New Roman" w:cs="Times New Roman"/>
          <w:color w:val="0E101A"/>
          <w:sz w:val="24"/>
          <w:szCs w:val="24"/>
          <w:lang w:eastAsia="en-GB"/>
        </w:rPr>
        <w:t> </w:t>
      </w:r>
    </w:p>
    <w:p w:rsidR="009C2FC6" w:rsidRPr="009C2FC6" w:rsidRDefault="009C2FC6" w:rsidP="009C2FC6">
      <w:pPr>
        <w:spacing w:after="0" w:line="240" w:lineRule="auto"/>
        <w:rPr>
          <w:rFonts w:ascii="Times New Roman" w:eastAsia="Times New Roman" w:hAnsi="Times New Roman" w:cs="Times New Roman"/>
          <w:color w:val="0E101A"/>
          <w:sz w:val="24"/>
          <w:szCs w:val="24"/>
          <w:lang w:eastAsia="en-GB"/>
        </w:rPr>
      </w:pPr>
      <w:r w:rsidRPr="009C2FC6">
        <w:rPr>
          <w:rFonts w:ascii="Times New Roman" w:eastAsia="Times New Roman" w:hAnsi="Times New Roman" w:cs="Times New Roman"/>
          <w:color w:val="0E101A"/>
          <w:sz w:val="24"/>
          <w:szCs w:val="24"/>
          <w:lang w:eastAsia="en-GB"/>
        </w:rPr>
        <w:t> </w:t>
      </w:r>
    </w:p>
    <w:p w:rsidR="009C2FC6" w:rsidRPr="009C2FC6" w:rsidRDefault="009C2FC6" w:rsidP="009C2FC6">
      <w:pPr>
        <w:spacing w:after="0" w:line="240" w:lineRule="auto"/>
        <w:rPr>
          <w:rFonts w:ascii="Times New Roman" w:eastAsia="Times New Roman" w:hAnsi="Times New Roman" w:cs="Times New Roman"/>
          <w:color w:val="0E101A"/>
          <w:sz w:val="24"/>
          <w:szCs w:val="24"/>
          <w:lang w:eastAsia="en-GB"/>
        </w:rPr>
      </w:pPr>
      <w:r w:rsidRPr="009C2FC6">
        <w:rPr>
          <w:rFonts w:ascii="Times New Roman" w:eastAsia="Times New Roman" w:hAnsi="Times New Roman" w:cs="Times New Roman"/>
          <w:color w:val="0E101A"/>
          <w:sz w:val="24"/>
          <w:szCs w:val="24"/>
          <w:lang w:eastAsia="en-GB"/>
        </w:rPr>
        <w:t> </w:t>
      </w:r>
    </w:p>
    <w:p w:rsidR="009C2FC6" w:rsidRPr="009C2FC6" w:rsidRDefault="009C2FC6" w:rsidP="009C2FC6">
      <w:pPr>
        <w:spacing w:after="0" w:line="240" w:lineRule="auto"/>
        <w:rPr>
          <w:rFonts w:ascii="Times New Roman" w:eastAsia="Times New Roman" w:hAnsi="Times New Roman" w:cs="Times New Roman"/>
          <w:color w:val="0E101A"/>
          <w:sz w:val="24"/>
          <w:szCs w:val="24"/>
          <w:lang w:eastAsia="en-GB"/>
        </w:rPr>
      </w:pPr>
      <w:r w:rsidRPr="009C2FC6">
        <w:rPr>
          <w:rFonts w:ascii="Times New Roman" w:eastAsia="Times New Roman" w:hAnsi="Times New Roman" w:cs="Times New Roman"/>
          <w:color w:val="0E101A"/>
          <w:sz w:val="24"/>
          <w:szCs w:val="24"/>
          <w:lang w:eastAsia="en-GB"/>
        </w:rPr>
        <w:t> </w:t>
      </w:r>
    </w:p>
    <w:p w:rsidR="009C2FC6" w:rsidRPr="009C2FC6" w:rsidRDefault="009C2FC6" w:rsidP="009C2FC6">
      <w:pPr>
        <w:spacing w:after="0" w:line="240" w:lineRule="auto"/>
        <w:rPr>
          <w:rFonts w:ascii="Times New Roman" w:eastAsia="Times New Roman" w:hAnsi="Times New Roman" w:cs="Times New Roman"/>
          <w:color w:val="0E101A"/>
          <w:sz w:val="24"/>
          <w:szCs w:val="24"/>
          <w:lang w:eastAsia="en-GB"/>
        </w:rPr>
      </w:pPr>
      <w:r w:rsidRPr="009C2FC6">
        <w:rPr>
          <w:rFonts w:ascii="Times New Roman" w:eastAsia="Times New Roman" w:hAnsi="Times New Roman" w:cs="Times New Roman"/>
          <w:color w:val="0E101A"/>
          <w:sz w:val="24"/>
          <w:szCs w:val="24"/>
          <w:lang w:eastAsia="en-GB"/>
        </w:rPr>
        <w:t> </w:t>
      </w:r>
    </w:p>
    <w:p w:rsidR="005758DB" w:rsidRPr="009C2FC6" w:rsidRDefault="005758DB" w:rsidP="009C2FC6"/>
    <w:sectPr w:rsidR="005758DB" w:rsidRPr="009C2FC6" w:rsidSect="00015EDB">
      <w:head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72610" w:rsidRDefault="00872610" w:rsidP="00E85058">
      <w:pPr>
        <w:spacing w:after="0" w:line="240" w:lineRule="auto"/>
      </w:pPr>
      <w:r>
        <w:separator/>
      </w:r>
    </w:p>
  </w:endnote>
  <w:endnote w:type="continuationSeparator" w:id="0">
    <w:p w:rsidR="00872610" w:rsidRDefault="00872610" w:rsidP="00E8505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72610" w:rsidRDefault="00872610" w:rsidP="00E85058">
      <w:pPr>
        <w:spacing w:after="0" w:line="240" w:lineRule="auto"/>
      </w:pPr>
      <w:r>
        <w:separator/>
      </w:r>
    </w:p>
  </w:footnote>
  <w:footnote w:type="continuationSeparator" w:id="0">
    <w:p w:rsidR="00872610" w:rsidRDefault="00872610" w:rsidP="00E8505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Style w:val="TableGrid"/>
      <w:tblW w:w="5000" w:type="pct"/>
      <w:tblInd w:w="11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1E0"/>
    </w:tblPr>
    <w:tblGrid>
      <w:gridCol w:w="8090"/>
      <w:gridCol w:w="1152"/>
    </w:tblGrid>
    <w:tr w:rsidR="00E85058">
      <w:tc>
        <w:tcPr>
          <w:tcW w:w="0" w:type="auto"/>
          <w:tcBorders>
            <w:right w:val="single" w:sz="6" w:space="0" w:color="000000" w:themeColor="text1"/>
          </w:tcBorders>
        </w:tcPr>
        <w:sdt>
          <w:sdtPr>
            <w:alias w:val="Company"/>
            <w:id w:val="78735422"/>
            <w:placeholder>
              <w:docPart w:val="222B9EE0C91747CF9719817CE3D0C6BE"/>
            </w:placeholder>
            <w:dataBinding w:prefixMappings="xmlns:ns0='http://schemas.openxmlformats.org/officeDocument/2006/extended-properties'" w:xpath="/ns0:Properties[1]/ns0:Company[1]" w:storeItemID="{6668398D-A668-4E3E-A5EB-62B293D839F1}"/>
            <w:text/>
          </w:sdtPr>
          <w:sdtContent>
            <w:p w:rsidR="00E85058" w:rsidRDefault="00E85058">
              <w:pPr>
                <w:pStyle w:val="Header"/>
                <w:jc w:val="right"/>
              </w:pPr>
              <w:r>
                <w:t>Zujaja T Kharal</w:t>
              </w:r>
              <w:r w:rsidRPr="00E85058">
                <w:t>_</w:t>
              </w:r>
              <w:r>
                <w:t>1919419</w:t>
              </w:r>
              <w:r w:rsidRPr="00E85058">
                <w:t>_ECPT600</w:t>
              </w:r>
              <w:r>
                <w:t>4</w:t>
              </w:r>
              <w:r w:rsidRPr="00E85058">
                <w:t>_</w:t>
              </w:r>
              <w:r w:rsidR="004711CC">
                <w:t>Final</w:t>
              </w:r>
            </w:p>
          </w:sdtContent>
        </w:sdt>
        <w:sdt>
          <w:sdtPr>
            <w:rPr>
              <w:b/>
            </w:rPr>
            <w:alias w:val="Title"/>
            <w:id w:val="78735415"/>
            <w:placeholder>
              <w:docPart w:val="2AD0D5E05A414B1F8C8A6A5377621410"/>
            </w:placeholder>
            <w:dataBinding w:prefixMappings="xmlns:ns0='http://schemas.openxmlformats.org/package/2006/metadata/core-properties' xmlns:ns1='http://purl.org/dc/elements/1.1/'" w:xpath="/ns0:coreProperties[1]/ns1:title[1]" w:storeItemID="{6C3C8BC8-F283-45AE-878A-BAB7291924A1}"/>
            <w:text/>
          </w:sdtPr>
          <w:sdtContent>
            <w:p w:rsidR="00E85058" w:rsidRDefault="00E85058">
              <w:pPr>
                <w:pStyle w:val="Header"/>
                <w:jc w:val="right"/>
                <w:rPr>
                  <w:b/>
                  <w:bCs/>
                </w:rPr>
              </w:pPr>
              <w:r w:rsidRPr="00E85058">
                <w:rPr>
                  <w:b/>
                </w:rPr>
                <w:t>Learning support report</w:t>
              </w:r>
            </w:p>
          </w:sdtContent>
        </w:sdt>
      </w:tc>
      <w:tc>
        <w:tcPr>
          <w:tcW w:w="1152" w:type="dxa"/>
          <w:tcBorders>
            <w:left w:val="single" w:sz="6" w:space="0" w:color="000000" w:themeColor="text1"/>
          </w:tcBorders>
        </w:tcPr>
        <w:p w:rsidR="00E85058" w:rsidRDefault="00AC120F">
          <w:pPr>
            <w:pStyle w:val="Header"/>
            <w:rPr>
              <w:b/>
            </w:rPr>
          </w:pPr>
          <w:fldSimple w:instr=" PAGE   \* MERGEFORMAT ">
            <w:r w:rsidR="007179F8">
              <w:rPr>
                <w:noProof/>
              </w:rPr>
              <w:t>15</w:t>
            </w:r>
          </w:fldSimple>
        </w:p>
      </w:tc>
    </w:tr>
  </w:tbl>
  <w:p w:rsidR="00E85058" w:rsidRDefault="00E8505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BD5349C"/>
    <w:multiLevelType w:val="hybridMultilevel"/>
    <w:tmpl w:val="3F54E5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5163E64"/>
    <w:multiLevelType w:val="hybridMultilevel"/>
    <w:tmpl w:val="1EFABE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73049F3"/>
    <w:multiLevelType w:val="hybridMultilevel"/>
    <w:tmpl w:val="809C52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6CF6DA7"/>
    <w:multiLevelType w:val="multilevel"/>
    <w:tmpl w:val="0326158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3"/>
  </w:num>
  <w:num w:numId="2">
    <w:abstractNumId w:val="0"/>
  </w:num>
  <w:num w:numId="3">
    <w:abstractNumId w:val="2"/>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1"/>
    <w:footnote w:id="0"/>
  </w:footnotePr>
  <w:endnotePr>
    <w:endnote w:id="-1"/>
    <w:endnote w:id="0"/>
  </w:endnotePr>
  <w:compat/>
  <w:rsids>
    <w:rsidRoot w:val="007F76A2"/>
    <w:rsid w:val="00004EB9"/>
    <w:rsid w:val="00015EDB"/>
    <w:rsid w:val="000471E6"/>
    <w:rsid w:val="000663E9"/>
    <w:rsid w:val="000705EC"/>
    <w:rsid w:val="00082252"/>
    <w:rsid w:val="00092636"/>
    <w:rsid w:val="000B2D3E"/>
    <w:rsid w:val="00124DE4"/>
    <w:rsid w:val="001479D0"/>
    <w:rsid w:val="00165BB8"/>
    <w:rsid w:val="001754AE"/>
    <w:rsid w:val="0018072B"/>
    <w:rsid w:val="00196ECD"/>
    <w:rsid w:val="001D02FF"/>
    <w:rsid w:val="002621A8"/>
    <w:rsid w:val="0027342F"/>
    <w:rsid w:val="0027736A"/>
    <w:rsid w:val="00284886"/>
    <w:rsid w:val="002877F4"/>
    <w:rsid w:val="00296BC8"/>
    <w:rsid w:val="002A5757"/>
    <w:rsid w:val="002B6584"/>
    <w:rsid w:val="002B7AE7"/>
    <w:rsid w:val="002D2741"/>
    <w:rsid w:val="0030235F"/>
    <w:rsid w:val="00311BBC"/>
    <w:rsid w:val="00325B7E"/>
    <w:rsid w:val="00364EF6"/>
    <w:rsid w:val="00386DFE"/>
    <w:rsid w:val="003C6CD7"/>
    <w:rsid w:val="003E2A5B"/>
    <w:rsid w:val="00405061"/>
    <w:rsid w:val="00434F9E"/>
    <w:rsid w:val="00445578"/>
    <w:rsid w:val="004711CC"/>
    <w:rsid w:val="00477CA6"/>
    <w:rsid w:val="00484E31"/>
    <w:rsid w:val="00484E89"/>
    <w:rsid w:val="004858AC"/>
    <w:rsid w:val="00497AA5"/>
    <w:rsid w:val="00497AE2"/>
    <w:rsid w:val="004A50A9"/>
    <w:rsid w:val="004B5285"/>
    <w:rsid w:val="004D123C"/>
    <w:rsid w:val="004D2A87"/>
    <w:rsid w:val="004F1B88"/>
    <w:rsid w:val="004F7C18"/>
    <w:rsid w:val="005239A0"/>
    <w:rsid w:val="005425BF"/>
    <w:rsid w:val="005758DB"/>
    <w:rsid w:val="005A1B15"/>
    <w:rsid w:val="005C331A"/>
    <w:rsid w:val="005D1FF6"/>
    <w:rsid w:val="0061541B"/>
    <w:rsid w:val="00647B5F"/>
    <w:rsid w:val="00656B36"/>
    <w:rsid w:val="00662C62"/>
    <w:rsid w:val="00663012"/>
    <w:rsid w:val="00683DD9"/>
    <w:rsid w:val="00695C1D"/>
    <w:rsid w:val="006A713A"/>
    <w:rsid w:val="006C5F98"/>
    <w:rsid w:val="006F5DAE"/>
    <w:rsid w:val="007179F8"/>
    <w:rsid w:val="0072036D"/>
    <w:rsid w:val="00761082"/>
    <w:rsid w:val="00773E34"/>
    <w:rsid w:val="007A03E6"/>
    <w:rsid w:val="007B343B"/>
    <w:rsid w:val="007C0B16"/>
    <w:rsid w:val="007C6AEA"/>
    <w:rsid w:val="007E6D4B"/>
    <w:rsid w:val="007F76A2"/>
    <w:rsid w:val="008618A6"/>
    <w:rsid w:val="00872610"/>
    <w:rsid w:val="008800F1"/>
    <w:rsid w:val="008B5ABE"/>
    <w:rsid w:val="008C7C11"/>
    <w:rsid w:val="00975E2E"/>
    <w:rsid w:val="00992EFC"/>
    <w:rsid w:val="009B597A"/>
    <w:rsid w:val="009C03CD"/>
    <w:rsid w:val="009C2FC6"/>
    <w:rsid w:val="009C693B"/>
    <w:rsid w:val="009E6137"/>
    <w:rsid w:val="009F2D10"/>
    <w:rsid w:val="009F59D3"/>
    <w:rsid w:val="00A10D85"/>
    <w:rsid w:val="00A7793E"/>
    <w:rsid w:val="00A77DF5"/>
    <w:rsid w:val="00AB3D51"/>
    <w:rsid w:val="00AC120F"/>
    <w:rsid w:val="00AF15ED"/>
    <w:rsid w:val="00AF5805"/>
    <w:rsid w:val="00AF70FD"/>
    <w:rsid w:val="00B14729"/>
    <w:rsid w:val="00B209D7"/>
    <w:rsid w:val="00B630DA"/>
    <w:rsid w:val="00B77E4C"/>
    <w:rsid w:val="00BB7F43"/>
    <w:rsid w:val="00BC49B4"/>
    <w:rsid w:val="00BC78ED"/>
    <w:rsid w:val="00BD0211"/>
    <w:rsid w:val="00C32992"/>
    <w:rsid w:val="00C54D5D"/>
    <w:rsid w:val="00C56D1A"/>
    <w:rsid w:val="00C971B4"/>
    <w:rsid w:val="00CA324E"/>
    <w:rsid w:val="00CA387D"/>
    <w:rsid w:val="00D0507B"/>
    <w:rsid w:val="00D55695"/>
    <w:rsid w:val="00D57BE1"/>
    <w:rsid w:val="00D71B8C"/>
    <w:rsid w:val="00D80B77"/>
    <w:rsid w:val="00D81692"/>
    <w:rsid w:val="00DA06B1"/>
    <w:rsid w:val="00DA758C"/>
    <w:rsid w:val="00DB3DCB"/>
    <w:rsid w:val="00DF124C"/>
    <w:rsid w:val="00DF1620"/>
    <w:rsid w:val="00E05028"/>
    <w:rsid w:val="00E64D9B"/>
    <w:rsid w:val="00E83AB7"/>
    <w:rsid w:val="00E85058"/>
    <w:rsid w:val="00E95B95"/>
    <w:rsid w:val="00EC5AAF"/>
    <w:rsid w:val="00ED1890"/>
    <w:rsid w:val="00ED786E"/>
    <w:rsid w:val="00EF136D"/>
    <w:rsid w:val="00EF6C31"/>
    <w:rsid w:val="00F110DD"/>
    <w:rsid w:val="00F42225"/>
    <w:rsid w:val="00F9015D"/>
    <w:rsid w:val="00FF139E"/>
    <w:rsid w:val="00FF43D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1"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5EDB"/>
  </w:style>
  <w:style w:type="paragraph" w:styleId="Heading1">
    <w:name w:val="heading 1"/>
    <w:basedOn w:val="Normal"/>
    <w:next w:val="Normal"/>
    <w:link w:val="Heading1Char"/>
    <w:uiPriority w:val="9"/>
    <w:qFormat/>
    <w:rsid w:val="007F76A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B597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8225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76A2"/>
    <w:rPr>
      <w:rFonts w:asciiTheme="majorHAnsi" w:eastAsiaTheme="majorEastAsia" w:hAnsiTheme="majorHAnsi" w:cstheme="majorBidi"/>
      <w:b/>
      <w:bCs/>
      <w:color w:val="365F91" w:themeColor="accent1" w:themeShade="BF"/>
      <w:sz w:val="28"/>
      <w:szCs w:val="28"/>
    </w:rPr>
  </w:style>
  <w:style w:type="paragraph" w:styleId="DocumentMap">
    <w:name w:val="Document Map"/>
    <w:basedOn w:val="Normal"/>
    <w:link w:val="DocumentMapChar"/>
    <w:uiPriority w:val="99"/>
    <w:semiHidden/>
    <w:unhideWhenUsed/>
    <w:rsid w:val="007F76A2"/>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7F76A2"/>
    <w:rPr>
      <w:rFonts w:ascii="Tahoma" w:hAnsi="Tahoma" w:cs="Tahoma"/>
      <w:sz w:val="16"/>
      <w:szCs w:val="16"/>
    </w:rPr>
  </w:style>
  <w:style w:type="paragraph" w:styleId="ListParagraph">
    <w:name w:val="List Paragraph"/>
    <w:basedOn w:val="Normal"/>
    <w:uiPriority w:val="34"/>
    <w:qFormat/>
    <w:rsid w:val="00B630DA"/>
    <w:pPr>
      <w:ind w:left="720"/>
      <w:contextualSpacing/>
    </w:pPr>
  </w:style>
  <w:style w:type="paragraph" w:styleId="NormalWeb">
    <w:name w:val="Normal (Web)"/>
    <w:basedOn w:val="Normal"/>
    <w:uiPriority w:val="99"/>
    <w:semiHidden/>
    <w:unhideWhenUsed/>
    <w:rsid w:val="00DA06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9B597A"/>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82252"/>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9C2FC6"/>
    <w:rPr>
      <w:b/>
      <w:bCs/>
    </w:rPr>
  </w:style>
  <w:style w:type="character" w:styleId="Emphasis">
    <w:name w:val="Emphasis"/>
    <w:basedOn w:val="DefaultParagraphFont"/>
    <w:uiPriority w:val="20"/>
    <w:qFormat/>
    <w:rsid w:val="009C2FC6"/>
    <w:rPr>
      <w:i/>
      <w:iCs/>
    </w:rPr>
  </w:style>
  <w:style w:type="paragraph" w:styleId="Header">
    <w:name w:val="header"/>
    <w:basedOn w:val="Normal"/>
    <w:link w:val="HeaderChar"/>
    <w:uiPriority w:val="99"/>
    <w:unhideWhenUsed/>
    <w:rsid w:val="00E850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058"/>
  </w:style>
  <w:style w:type="paragraph" w:styleId="Footer">
    <w:name w:val="footer"/>
    <w:basedOn w:val="Normal"/>
    <w:link w:val="FooterChar"/>
    <w:uiPriority w:val="99"/>
    <w:semiHidden/>
    <w:unhideWhenUsed/>
    <w:rsid w:val="00E8505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85058"/>
  </w:style>
  <w:style w:type="table" w:styleId="TableGrid">
    <w:name w:val="Table Grid"/>
    <w:basedOn w:val="TableNormal"/>
    <w:uiPriority w:val="1"/>
    <w:rsid w:val="00E85058"/>
    <w:pPr>
      <w:spacing w:after="0" w:line="240" w:lineRule="auto"/>
    </w:pPr>
    <w:rPr>
      <w:rFonts w:eastAsiaTheme="minorEastAsia"/>
      <w:lang w:val="en-US" w:bidi="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E850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505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0328851">
      <w:bodyDiv w:val="1"/>
      <w:marLeft w:val="0"/>
      <w:marRight w:val="0"/>
      <w:marTop w:val="0"/>
      <w:marBottom w:val="0"/>
      <w:divBdr>
        <w:top w:val="none" w:sz="0" w:space="0" w:color="auto"/>
        <w:left w:val="none" w:sz="0" w:space="0" w:color="auto"/>
        <w:bottom w:val="none" w:sz="0" w:space="0" w:color="auto"/>
        <w:right w:val="none" w:sz="0" w:space="0" w:color="auto"/>
      </w:divBdr>
    </w:div>
    <w:div w:id="64304562">
      <w:bodyDiv w:val="1"/>
      <w:marLeft w:val="0"/>
      <w:marRight w:val="0"/>
      <w:marTop w:val="0"/>
      <w:marBottom w:val="0"/>
      <w:divBdr>
        <w:top w:val="none" w:sz="0" w:space="0" w:color="auto"/>
        <w:left w:val="none" w:sz="0" w:space="0" w:color="auto"/>
        <w:bottom w:val="none" w:sz="0" w:space="0" w:color="auto"/>
        <w:right w:val="none" w:sz="0" w:space="0" w:color="auto"/>
      </w:divBdr>
    </w:div>
    <w:div w:id="121384483">
      <w:bodyDiv w:val="1"/>
      <w:marLeft w:val="0"/>
      <w:marRight w:val="0"/>
      <w:marTop w:val="0"/>
      <w:marBottom w:val="0"/>
      <w:divBdr>
        <w:top w:val="none" w:sz="0" w:space="0" w:color="auto"/>
        <w:left w:val="none" w:sz="0" w:space="0" w:color="auto"/>
        <w:bottom w:val="none" w:sz="0" w:space="0" w:color="auto"/>
        <w:right w:val="none" w:sz="0" w:space="0" w:color="auto"/>
      </w:divBdr>
    </w:div>
    <w:div w:id="163060127">
      <w:bodyDiv w:val="1"/>
      <w:marLeft w:val="0"/>
      <w:marRight w:val="0"/>
      <w:marTop w:val="0"/>
      <w:marBottom w:val="0"/>
      <w:divBdr>
        <w:top w:val="none" w:sz="0" w:space="0" w:color="auto"/>
        <w:left w:val="none" w:sz="0" w:space="0" w:color="auto"/>
        <w:bottom w:val="none" w:sz="0" w:space="0" w:color="auto"/>
        <w:right w:val="none" w:sz="0" w:space="0" w:color="auto"/>
      </w:divBdr>
    </w:div>
    <w:div w:id="180357559">
      <w:bodyDiv w:val="1"/>
      <w:marLeft w:val="0"/>
      <w:marRight w:val="0"/>
      <w:marTop w:val="0"/>
      <w:marBottom w:val="0"/>
      <w:divBdr>
        <w:top w:val="none" w:sz="0" w:space="0" w:color="auto"/>
        <w:left w:val="none" w:sz="0" w:space="0" w:color="auto"/>
        <w:bottom w:val="none" w:sz="0" w:space="0" w:color="auto"/>
        <w:right w:val="none" w:sz="0" w:space="0" w:color="auto"/>
      </w:divBdr>
    </w:div>
    <w:div w:id="188179936">
      <w:bodyDiv w:val="1"/>
      <w:marLeft w:val="0"/>
      <w:marRight w:val="0"/>
      <w:marTop w:val="0"/>
      <w:marBottom w:val="0"/>
      <w:divBdr>
        <w:top w:val="none" w:sz="0" w:space="0" w:color="auto"/>
        <w:left w:val="none" w:sz="0" w:space="0" w:color="auto"/>
        <w:bottom w:val="none" w:sz="0" w:space="0" w:color="auto"/>
        <w:right w:val="none" w:sz="0" w:space="0" w:color="auto"/>
      </w:divBdr>
    </w:div>
    <w:div w:id="192233389">
      <w:bodyDiv w:val="1"/>
      <w:marLeft w:val="0"/>
      <w:marRight w:val="0"/>
      <w:marTop w:val="0"/>
      <w:marBottom w:val="0"/>
      <w:divBdr>
        <w:top w:val="none" w:sz="0" w:space="0" w:color="auto"/>
        <w:left w:val="none" w:sz="0" w:space="0" w:color="auto"/>
        <w:bottom w:val="none" w:sz="0" w:space="0" w:color="auto"/>
        <w:right w:val="none" w:sz="0" w:space="0" w:color="auto"/>
      </w:divBdr>
    </w:div>
    <w:div w:id="236135832">
      <w:bodyDiv w:val="1"/>
      <w:marLeft w:val="0"/>
      <w:marRight w:val="0"/>
      <w:marTop w:val="0"/>
      <w:marBottom w:val="0"/>
      <w:divBdr>
        <w:top w:val="none" w:sz="0" w:space="0" w:color="auto"/>
        <w:left w:val="none" w:sz="0" w:space="0" w:color="auto"/>
        <w:bottom w:val="none" w:sz="0" w:space="0" w:color="auto"/>
        <w:right w:val="none" w:sz="0" w:space="0" w:color="auto"/>
      </w:divBdr>
    </w:div>
    <w:div w:id="272985102">
      <w:bodyDiv w:val="1"/>
      <w:marLeft w:val="0"/>
      <w:marRight w:val="0"/>
      <w:marTop w:val="0"/>
      <w:marBottom w:val="0"/>
      <w:divBdr>
        <w:top w:val="none" w:sz="0" w:space="0" w:color="auto"/>
        <w:left w:val="none" w:sz="0" w:space="0" w:color="auto"/>
        <w:bottom w:val="none" w:sz="0" w:space="0" w:color="auto"/>
        <w:right w:val="none" w:sz="0" w:space="0" w:color="auto"/>
      </w:divBdr>
    </w:div>
    <w:div w:id="277102051">
      <w:bodyDiv w:val="1"/>
      <w:marLeft w:val="0"/>
      <w:marRight w:val="0"/>
      <w:marTop w:val="0"/>
      <w:marBottom w:val="0"/>
      <w:divBdr>
        <w:top w:val="none" w:sz="0" w:space="0" w:color="auto"/>
        <w:left w:val="none" w:sz="0" w:space="0" w:color="auto"/>
        <w:bottom w:val="none" w:sz="0" w:space="0" w:color="auto"/>
        <w:right w:val="none" w:sz="0" w:space="0" w:color="auto"/>
      </w:divBdr>
    </w:div>
    <w:div w:id="400562194">
      <w:bodyDiv w:val="1"/>
      <w:marLeft w:val="0"/>
      <w:marRight w:val="0"/>
      <w:marTop w:val="0"/>
      <w:marBottom w:val="0"/>
      <w:divBdr>
        <w:top w:val="none" w:sz="0" w:space="0" w:color="auto"/>
        <w:left w:val="none" w:sz="0" w:space="0" w:color="auto"/>
        <w:bottom w:val="none" w:sz="0" w:space="0" w:color="auto"/>
        <w:right w:val="none" w:sz="0" w:space="0" w:color="auto"/>
      </w:divBdr>
    </w:div>
    <w:div w:id="448819104">
      <w:bodyDiv w:val="1"/>
      <w:marLeft w:val="0"/>
      <w:marRight w:val="0"/>
      <w:marTop w:val="0"/>
      <w:marBottom w:val="0"/>
      <w:divBdr>
        <w:top w:val="none" w:sz="0" w:space="0" w:color="auto"/>
        <w:left w:val="none" w:sz="0" w:space="0" w:color="auto"/>
        <w:bottom w:val="none" w:sz="0" w:space="0" w:color="auto"/>
        <w:right w:val="none" w:sz="0" w:space="0" w:color="auto"/>
      </w:divBdr>
    </w:div>
    <w:div w:id="514881301">
      <w:bodyDiv w:val="1"/>
      <w:marLeft w:val="0"/>
      <w:marRight w:val="0"/>
      <w:marTop w:val="0"/>
      <w:marBottom w:val="0"/>
      <w:divBdr>
        <w:top w:val="none" w:sz="0" w:space="0" w:color="auto"/>
        <w:left w:val="none" w:sz="0" w:space="0" w:color="auto"/>
        <w:bottom w:val="none" w:sz="0" w:space="0" w:color="auto"/>
        <w:right w:val="none" w:sz="0" w:space="0" w:color="auto"/>
      </w:divBdr>
    </w:div>
    <w:div w:id="587424605">
      <w:bodyDiv w:val="1"/>
      <w:marLeft w:val="0"/>
      <w:marRight w:val="0"/>
      <w:marTop w:val="0"/>
      <w:marBottom w:val="0"/>
      <w:divBdr>
        <w:top w:val="none" w:sz="0" w:space="0" w:color="auto"/>
        <w:left w:val="none" w:sz="0" w:space="0" w:color="auto"/>
        <w:bottom w:val="none" w:sz="0" w:space="0" w:color="auto"/>
        <w:right w:val="none" w:sz="0" w:space="0" w:color="auto"/>
      </w:divBdr>
    </w:div>
    <w:div w:id="596209394">
      <w:bodyDiv w:val="1"/>
      <w:marLeft w:val="0"/>
      <w:marRight w:val="0"/>
      <w:marTop w:val="0"/>
      <w:marBottom w:val="0"/>
      <w:divBdr>
        <w:top w:val="none" w:sz="0" w:space="0" w:color="auto"/>
        <w:left w:val="none" w:sz="0" w:space="0" w:color="auto"/>
        <w:bottom w:val="none" w:sz="0" w:space="0" w:color="auto"/>
        <w:right w:val="none" w:sz="0" w:space="0" w:color="auto"/>
      </w:divBdr>
    </w:div>
    <w:div w:id="602423604">
      <w:bodyDiv w:val="1"/>
      <w:marLeft w:val="0"/>
      <w:marRight w:val="0"/>
      <w:marTop w:val="0"/>
      <w:marBottom w:val="0"/>
      <w:divBdr>
        <w:top w:val="none" w:sz="0" w:space="0" w:color="auto"/>
        <w:left w:val="none" w:sz="0" w:space="0" w:color="auto"/>
        <w:bottom w:val="none" w:sz="0" w:space="0" w:color="auto"/>
        <w:right w:val="none" w:sz="0" w:space="0" w:color="auto"/>
      </w:divBdr>
    </w:div>
    <w:div w:id="628584025">
      <w:bodyDiv w:val="1"/>
      <w:marLeft w:val="0"/>
      <w:marRight w:val="0"/>
      <w:marTop w:val="0"/>
      <w:marBottom w:val="0"/>
      <w:divBdr>
        <w:top w:val="none" w:sz="0" w:space="0" w:color="auto"/>
        <w:left w:val="none" w:sz="0" w:space="0" w:color="auto"/>
        <w:bottom w:val="none" w:sz="0" w:space="0" w:color="auto"/>
        <w:right w:val="none" w:sz="0" w:space="0" w:color="auto"/>
      </w:divBdr>
    </w:div>
    <w:div w:id="658773657">
      <w:bodyDiv w:val="1"/>
      <w:marLeft w:val="0"/>
      <w:marRight w:val="0"/>
      <w:marTop w:val="0"/>
      <w:marBottom w:val="0"/>
      <w:divBdr>
        <w:top w:val="none" w:sz="0" w:space="0" w:color="auto"/>
        <w:left w:val="none" w:sz="0" w:space="0" w:color="auto"/>
        <w:bottom w:val="none" w:sz="0" w:space="0" w:color="auto"/>
        <w:right w:val="none" w:sz="0" w:space="0" w:color="auto"/>
      </w:divBdr>
    </w:div>
    <w:div w:id="711225902">
      <w:bodyDiv w:val="1"/>
      <w:marLeft w:val="0"/>
      <w:marRight w:val="0"/>
      <w:marTop w:val="0"/>
      <w:marBottom w:val="0"/>
      <w:divBdr>
        <w:top w:val="none" w:sz="0" w:space="0" w:color="auto"/>
        <w:left w:val="none" w:sz="0" w:space="0" w:color="auto"/>
        <w:bottom w:val="none" w:sz="0" w:space="0" w:color="auto"/>
        <w:right w:val="none" w:sz="0" w:space="0" w:color="auto"/>
      </w:divBdr>
    </w:div>
    <w:div w:id="727190781">
      <w:bodyDiv w:val="1"/>
      <w:marLeft w:val="0"/>
      <w:marRight w:val="0"/>
      <w:marTop w:val="0"/>
      <w:marBottom w:val="0"/>
      <w:divBdr>
        <w:top w:val="none" w:sz="0" w:space="0" w:color="auto"/>
        <w:left w:val="none" w:sz="0" w:space="0" w:color="auto"/>
        <w:bottom w:val="none" w:sz="0" w:space="0" w:color="auto"/>
        <w:right w:val="none" w:sz="0" w:space="0" w:color="auto"/>
      </w:divBdr>
    </w:div>
    <w:div w:id="747195514">
      <w:bodyDiv w:val="1"/>
      <w:marLeft w:val="0"/>
      <w:marRight w:val="0"/>
      <w:marTop w:val="0"/>
      <w:marBottom w:val="0"/>
      <w:divBdr>
        <w:top w:val="none" w:sz="0" w:space="0" w:color="auto"/>
        <w:left w:val="none" w:sz="0" w:space="0" w:color="auto"/>
        <w:bottom w:val="none" w:sz="0" w:space="0" w:color="auto"/>
        <w:right w:val="none" w:sz="0" w:space="0" w:color="auto"/>
      </w:divBdr>
    </w:div>
    <w:div w:id="750393363">
      <w:bodyDiv w:val="1"/>
      <w:marLeft w:val="0"/>
      <w:marRight w:val="0"/>
      <w:marTop w:val="0"/>
      <w:marBottom w:val="0"/>
      <w:divBdr>
        <w:top w:val="none" w:sz="0" w:space="0" w:color="auto"/>
        <w:left w:val="none" w:sz="0" w:space="0" w:color="auto"/>
        <w:bottom w:val="none" w:sz="0" w:space="0" w:color="auto"/>
        <w:right w:val="none" w:sz="0" w:space="0" w:color="auto"/>
      </w:divBdr>
    </w:div>
    <w:div w:id="794714313">
      <w:bodyDiv w:val="1"/>
      <w:marLeft w:val="0"/>
      <w:marRight w:val="0"/>
      <w:marTop w:val="0"/>
      <w:marBottom w:val="0"/>
      <w:divBdr>
        <w:top w:val="none" w:sz="0" w:space="0" w:color="auto"/>
        <w:left w:val="none" w:sz="0" w:space="0" w:color="auto"/>
        <w:bottom w:val="none" w:sz="0" w:space="0" w:color="auto"/>
        <w:right w:val="none" w:sz="0" w:space="0" w:color="auto"/>
      </w:divBdr>
    </w:div>
    <w:div w:id="975797213">
      <w:bodyDiv w:val="1"/>
      <w:marLeft w:val="0"/>
      <w:marRight w:val="0"/>
      <w:marTop w:val="0"/>
      <w:marBottom w:val="0"/>
      <w:divBdr>
        <w:top w:val="none" w:sz="0" w:space="0" w:color="auto"/>
        <w:left w:val="none" w:sz="0" w:space="0" w:color="auto"/>
        <w:bottom w:val="none" w:sz="0" w:space="0" w:color="auto"/>
        <w:right w:val="none" w:sz="0" w:space="0" w:color="auto"/>
      </w:divBdr>
    </w:div>
    <w:div w:id="989865451">
      <w:bodyDiv w:val="1"/>
      <w:marLeft w:val="0"/>
      <w:marRight w:val="0"/>
      <w:marTop w:val="0"/>
      <w:marBottom w:val="0"/>
      <w:divBdr>
        <w:top w:val="none" w:sz="0" w:space="0" w:color="auto"/>
        <w:left w:val="none" w:sz="0" w:space="0" w:color="auto"/>
        <w:bottom w:val="none" w:sz="0" w:space="0" w:color="auto"/>
        <w:right w:val="none" w:sz="0" w:space="0" w:color="auto"/>
      </w:divBdr>
    </w:div>
    <w:div w:id="1297108438">
      <w:bodyDiv w:val="1"/>
      <w:marLeft w:val="0"/>
      <w:marRight w:val="0"/>
      <w:marTop w:val="0"/>
      <w:marBottom w:val="0"/>
      <w:divBdr>
        <w:top w:val="none" w:sz="0" w:space="0" w:color="auto"/>
        <w:left w:val="none" w:sz="0" w:space="0" w:color="auto"/>
        <w:bottom w:val="none" w:sz="0" w:space="0" w:color="auto"/>
        <w:right w:val="none" w:sz="0" w:space="0" w:color="auto"/>
      </w:divBdr>
    </w:div>
    <w:div w:id="1309676394">
      <w:bodyDiv w:val="1"/>
      <w:marLeft w:val="0"/>
      <w:marRight w:val="0"/>
      <w:marTop w:val="0"/>
      <w:marBottom w:val="0"/>
      <w:divBdr>
        <w:top w:val="none" w:sz="0" w:space="0" w:color="auto"/>
        <w:left w:val="none" w:sz="0" w:space="0" w:color="auto"/>
        <w:bottom w:val="none" w:sz="0" w:space="0" w:color="auto"/>
        <w:right w:val="none" w:sz="0" w:space="0" w:color="auto"/>
      </w:divBdr>
    </w:div>
    <w:div w:id="1390373477">
      <w:bodyDiv w:val="1"/>
      <w:marLeft w:val="0"/>
      <w:marRight w:val="0"/>
      <w:marTop w:val="0"/>
      <w:marBottom w:val="0"/>
      <w:divBdr>
        <w:top w:val="none" w:sz="0" w:space="0" w:color="auto"/>
        <w:left w:val="none" w:sz="0" w:space="0" w:color="auto"/>
        <w:bottom w:val="none" w:sz="0" w:space="0" w:color="auto"/>
        <w:right w:val="none" w:sz="0" w:space="0" w:color="auto"/>
      </w:divBdr>
    </w:div>
    <w:div w:id="1470511208">
      <w:bodyDiv w:val="1"/>
      <w:marLeft w:val="0"/>
      <w:marRight w:val="0"/>
      <w:marTop w:val="0"/>
      <w:marBottom w:val="0"/>
      <w:divBdr>
        <w:top w:val="none" w:sz="0" w:space="0" w:color="auto"/>
        <w:left w:val="none" w:sz="0" w:space="0" w:color="auto"/>
        <w:bottom w:val="none" w:sz="0" w:space="0" w:color="auto"/>
        <w:right w:val="none" w:sz="0" w:space="0" w:color="auto"/>
      </w:divBdr>
    </w:div>
    <w:div w:id="1493908425">
      <w:bodyDiv w:val="1"/>
      <w:marLeft w:val="0"/>
      <w:marRight w:val="0"/>
      <w:marTop w:val="0"/>
      <w:marBottom w:val="0"/>
      <w:divBdr>
        <w:top w:val="none" w:sz="0" w:space="0" w:color="auto"/>
        <w:left w:val="none" w:sz="0" w:space="0" w:color="auto"/>
        <w:bottom w:val="none" w:sz="0" w:space="0" w:color="auto"/>
        <w:right w:val="none" w:sz="0" w:space="0" w:color="auto"/>
      </w:divBdr>
      <w:divsChild>
        <w:div w:id="1099108726">
          <w:marLeft w:val="0"/>
          <w:marRight w:val="0"/>
          <w:marTop w:val="0"/>
          <w:marBottom w:val="225"/>
          <w:divBdr>
            <w:top w:val="none" w:sz="0" w:space="0" w:color="auto"/>
            <w:left w:val="none" w:sz="0" w:space="0" w:color="auto"/>
            <w:bottom w:val="none" w:sz="0" w:space="0" w:color="auto"/>
            <w:right w:val="none" w:sz="0" w:space="0" w:color="auto"/>
          </w:divBdr>
        </w:div>
      </w:divsChild>
    </w:div>
    <w:div w:id="1519811985">
      <w:bodyDiv w:val="1"/>
      <w:marLeft w:val="0"/>
      <w:marRight w:val="0"/>
      <w:marTop w:val="0"/>
      <w:marBottom w:val="0"/>
      <w:divBdr>
        <w:top w:val="none" w:sz="0" w:space="0" w:color="auto"/>
        <w:left w:val="none" w:sz="0" w:space="0" w:color="auto"/>
        <w:bottom w:val="none" w:sz="0" w:space="0" w:color="auto"/>
        <w:right w:val="none" w:sz="0" w:space="0" w:color="auto"/>
      </w:divBdr>
    </w:div>
    <w:div w:id="1593314252">
      <w:bodyDiv w:val="1"/>
      <w:marLeft w:val="0"/>
      <w:marRight w:val="0"/>
      <w:marTop w:val="0"/>
      <w:marBottom w:val="0"/>
      <w:divBdr>
        <w:top w:val="none" w:sz="0" w:space="0" w:color="auto"/>
        <w:left w:val="none" w:sz="0" w:space="0" w:color="auto"/>
        <w:bottom w:val="none" w:sz="0" w:space="0" w:color="auto"/>
        <w:right w:val="none" w:sz="0" w:space="0" w:color="auto"/>
      </w:divBdr>
    </w:div>
    <w:div w:id="1632051311">
      <w:bodyDiv w:val="1"/>
      <w:marLeft w:val="0"/>
      <w:marRight w:val="0"/>
      <w:marTop w:val="0"/>
      <w:marBottom w:val="0"/>
      <w:divBdr>
        <w:top w:val="none" w:sz="0" w:space="0" w:color="auto"/>
        <w:left w:val="none" w:sz="0" w:space="0" w:color="auto"/>
        <w:bottom w:val="none" w:sz="0" w:space="0" w:color="auto"/>
        <w:right w:val="none" w:sz="0" w:space="0" w:color="auto"/>
      </w:divBdr>
    </w:div>
    <w:div w:id="1650137442">
      <w:bodyDiv w:val="1"/>
      <w:marLeft w:val="0"/>
      <w:marRight w:val="0"/>
      <w:marTop w:val="0"/>
      <w:marBottom w:val="0"/>
      <w:divBdr>
        <w:top w:val="none" w:sz="0" w:space="0" w:color="auto"/>
        <w:left w:val="none" w:sz="0" w:space="0" w:color="auto"/>
        <w:bottom w:val="none" w:sz="0" w:space="0" w:color="auto"/>
        <w:right w:val="none" w:sz="0" w:space="0" w:color="auto"/>
      </w:divBdr>
    </w:div>
    <w:div w:id="1743874279">
      <w:bodyDiv w:val="1"/>
      <w:marLeft w:val="0"/>
      <w:marRight w:val="0"/>
      <w:marTop w:val="0"/>
      <w:marBottom w:val="0"/>
      <w:divBdr>
        <w:top w:val="none" w:sz="0" w:space="0" w:color="auto"/>
        <w:left w:val="none" w:sz="0" w:space="0" w:color="auto"/>
        <w:bottom w:val="none" w:sz="0" w:space="0" w:color="auto"/>
        <w:right w:val="none" w:sz="0" w:space="0" w:color="auto"/>
      </w:divBdr>
    </w:div>
    <w:div w:id="1851531105">
      <w:bodyDiv w:val="1"/>
      <w:marLeft w:val="0"/>
      <w:marRight w:val="0"/>
      <w:marTop w:val="0"/>
      <w:marBottom w:val="0"/>
      <w:divBdr>
        <w:top w:val="none" w:sz="0" w:space="0" w:color="auto"/>
        <w:left w:val="none" w:sz="0" w:space="0" w:color="auto"/>
        <w:bottom w:val="none" w:sz="0" w:space="0" w:color="auto"/>
        <w:right w:val="none" w:sz="0" w:space="0" w:color="auto"/>
      </w:divBdr>
    </w:div>
    <w:div w:id="1874608982">
      <w:bodyDiv w:val="1"/>
      <w:marLeft w:val="0"/>
      <w:marRight w:val="0"/>
      <w:marTop w:val="0"/>
      <w:marBottom w:val="0"/>
      <w:divBdr>
        <w:top w:val="none" w:sz="0" w:space="0" w:color="auto"/>
        <w:left w:val="none" w:sz="0" w:space="0" w:color="auto"/>
        <w:bottom w:val="none" w:sz="0" w:space="0" w:color="auto"/>
        <w:right w:val="none" w:sz="0" w:space="0" w:color="auto"/>
      </w:divBdr>
    </w:div>
    <w:div w:id="1935674163">
      <w:bodyDiv w:val="1"/>
      <w:marLeft w:val="0"/>
      <w:marRight w:val="0"/>
      <w:marTop w:val="0"/>
      <w:marBottom w:val="0"/>
      <w:divBdr>
        <w:top w:val="none" w:sz="0" w:space="0" w:color="auto"/>
        <w:left w:val="none" w:sz="0" w:space="0" w:color="auto"/>
        <w:bottom w:val="none" w:sz="0" w:space="0" w:color="auto"/>
        <w:right w:val="none" w:sz="0" w:space="0" w:color="auto"/>
      </w:divBdr>
    </w:div>
    <w:div w:id="2003200254">
      <w:bodyDiv w:val="1"/>
      <w:marLeft w:val="0"/>
      <w:marRight w:val="0"/>
      <w:marTop w:val="0"/>
      <w:marBottom w:val="0"/>
      <w:divBdr>
        <w:top w:val="none" w:sz="0" w:space="0" w:color="auto"/>
        <w:left w:val="none" w:sz="0" w:space="0" w:color="auto"/>
        <w:bottom w:val="none" w:sz="0" w:space="0" w:color="auto"/>
        <w:right w:val="none" w:sz="0" w:space="0" w:color="auto"/>
      </w:divBdr>
    </w:div>
    <w:div w:id="2118018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222B9EE0C91747CF9719817CE3D0C6BE"/>
        <w:category>
          <w:name w:val="General"/>
          <w:gallery w:val="placeholder"/>
        </w:category>
        <w:types>
          <w:type w:val="bbPlcHdr"/>
        </w:types>
        <w:behaviors>
          <w:behavior w:val="content"/>
        </w:behaviors>
        <w:guid w:val="{A70F05AD-702D-4A98-BFDF-2EEA5F295578}"/>
      </w:docPartPr>
      <w:docPartBody>
        <w:p w:rsidR="00596EB2" w:rsidRDefault="001F729A" w:rsidP="001F729A">
          <w:pPr>
            <w:pStyle w:val="222B9EE0C91747CF9719817CE3D0C6BE"/>
          </w:pPr>
          <w:r>
            <w:t>[Type the company name]</w:t>
          </w:r>
        </w:p>
      </w:docPartBody>
    </w:docPart>
    <w:docPart>
      <w:docPartPr>
        <w:name w:val="2AD0D5E05A414B1F8C8A6A5377621410"/>
        <w:category>
          <w:name w:val="General"/>
          <w:gallery w:val="placeholder"/>
        </w:category>
        <w:types>
          <w:type w:val="bbPlcHdr"/>
        </w:types>
        <w:behaviors>
          <w:behavior w:val="content"/>
        </w:behaviors>
        <w:guid w:val="{D0542C1E-3B77-4A75-A6E3-B5117CFE9AF8}"/>
      </w:docPartPr>
      <w:docPartBody>
        <w:p w:rsidR="00596EB2" w:rsidRDefault="001F729A" w:rsidP="001F729A">
          <w:pPr>
            <w:pStyle w:val="2AD0D5E05A414B1F8C8A6A5377621410"/>
          </w:pPr>
          <w:r>
            <w:rPr>
              <w:b/>
              <w:bCs/>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1F729A"/>
    <w:rsid w:val="00150FD5"/>
    <w:rsid w:val="001F729A"/>
    <w:rsid w:val="00200EB8"/>
    <w:rsid w:val="00236C9A"/>
    <w:rsid w:val="00466012"/>
    <w:rsid w:val="00596EB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6EB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22B9EE0C91747CF9719817CE3D0C6BE">
    <w:name w:val="222B9EE0C91747CF9719817CE3D0C6BE"/>
    <w:rsid w:val="001F729A"/>
  </w:style>
  <w:style w:type="paragraph" w:customStyle="1" w:styleId="2AD0D5E05A414B1F8C8A6A5377621410">
    <w:name w:val="2AD0D5E05A414B1F8C8A6A5377621410"/>
    <w:rsid w:val="001F729A"/>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6C993E-BBE2-4D9E-8DEC-AF2F7C1FC3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3874</Words>
  <Characters>22088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Learning support report</vt:lpstr>
    </vt:vector>
  </TitlesOfParts>
  <Company>Zujaja T Kharal_1919419_ECPT6004_Final</Company>
  <LinksUpToDate>false</LinksUpToDate>
  <CharactersWithSpaces>25911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support report</dc:title>
  <dc:creator>Zujaja</dc:creator>
  <cp:lastModifiedBy>Zujaja</cp:lastModifiedBy>
  <cp:revision>2</cp:revision>
  <dcterms:created xsi:type="dcterms:W3CDTF">2024-03-21T20:42:00Z</dcterms:created>
  <dcterms:modified xsi:type="dcterms:W3CDTF">2024-03-21T20:42:00Z</dcterms:modified>
</cp:coreProperties>
</file>