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5662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B6C492F"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027DD3">
        <w:rPr>
          <w:rFonts w:ascii="Arial" w:hAnsi="Arial" w:cs="Arial"/>
          <w:sz w:val="28"/>
          <w:szCs w:val="28"/>
          <w:lang w:val="nl-NL"/>
        </w:rPr>
        <w:t>Introduction to Health and Social Care</w:t>
      </w:r>
    </w:p>
    <w:p w14:paraId="537571AF" w14:textId="3784BD46"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B7DCF">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04DC4DC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AB7DCF">
        <w:rPr>
          <w:rFonts w:ascii="Arial" w:hAnsi="Arial" w:cs="Arial"/>
          <w:sz w:val="28"/>
          <w:szCs w:val="28"/>
          <w:lang w:val="nl-NL"/>
        </w:rPr>
        <w:t xml:space="preserve"> Lukasz Blechert</w:t>
      </w:r>
    </w:p>
    <w:p w14:paraId="39AA4413" w14:textId="5C379CC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1427FA">
        <w:rPr>
          <w:rFonts w:ascii="Arial" w:hAnsi="Arial" w:cs="Arial"/>
          <w:sz w:val="28"/>
          <w:szCs w:val="28"/>
          <w:lang w:val="nl-NL"/>
        </w:rPr>
        <w:t xml:space="preserve"> </w:t>
      </w:r>
      <w:r w:rsidR="00507EEE">
        <w:rPr>
          <w:rFonts w:ascii="Arial" w:hAnsi="Arial" w:cs="Arial"/>
          <w:sz w:val="28"/>
          <w:szCs w:val="28"/>
          <w:lang w:val="nl-NL"/>
        </w:rPr>
        <w:t>2513412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13E5A05A"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83266D">
        <w:rPr>
          <w:rFonts w:ascii="Arial" w:hAnsi="Arial" w:cs="Arial"/>
          <w:sz w:val="28"/>
          <w:szCs w:val="28"/>
        </w:rPr>
        <w:t xml:space="preserve">  </w:t>
      </w:r>
      <w:r w:rsidR="0083266D" w:rsidRPr="0083266D">
        <w:rPr>
          <w:rFonts w:ascii="Arial" w:hAnsi="Arial" w:cs="Arial"/>
          <w:sz w:val="28"/>
          <w:szCs w:val="28"/>
        </w:rPr>
        <w:t>Caroline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3C350A21" w:rsidR="00074402" w:rsidRPr="00CC4EDE" w:rsidRDefault="007577A0" w:rsidP="00CC4EDE">
      <w:pPr>
        <w:tabs>
          <w:tab w:val="left" w:pos="6540"/>
        </w:tabs>
        <w:spacing w:line="360" w:lineRule="auto"/>
        <w:jc w:val="both"/>
        <w:rPr>
          <w:rFonts w:asciiTheme="minorBidi" w:hAnsiTheme="minorBidi"/>
          <w:sz w:val="28"/>
          <w:szCs w:val="28"/>
        </w:rPr>
      </w:pPr>
      <w:r w:rsidRPr="00CC4EDE">
        <w:rPr>
          <w:rFonts w:asciiTheme="minorBidi" w:hAnsiTheme="minorBidi"/>
          <w:b/>
          <w:bCs/>
          <w:sz w:val="28"/>
          <w:szCs w:val="28"/>
        </w:rPr>
        <w:t>Assignment Title</w:t>
      </w:r>
      <w:r w:rsidRPr="00CC4EDE">
        <w:rPr>
          <w:rFonts w:asciiTheme="minorBidi" w:hAnsiTheme="minorBidi"/>
          <w:sz w:val="28"/>
          <w:szCs w:val="28"/>
        </w:rPr>
        <w:t xml:space="preserve">: Component 2: Written Assignment -A </w:t>
      </w:r>
      <w:r w:rsidR="00AE37EB" w:rsidRPr="00CC4EDE">
        <w:rPr>
          <w:rFonts w:asciiTheme="minorBidi" w:hAnsiTheme="minorBidi"/>
          <w:sz w:val="28"/>
          <w:szCs w:val="28"/>
        </w:rPr>
        <w:t>Report on Professional Practice, Communication, Record-Keeping and Multi</w:t>
      </w:r>
      <w:r w:rsidR="00374DA9" w:rsidRPr="00CC4EDE">
        <w:rPr>
          <w:rFonts w:asciiTheme="minorBidi" w:hAnsiTheme="minorBidi"/>
          <w:sz w:val="28"/>
          <w:szCs w:val="28"/>
        </w:rPr>
        <w:t xml:space="preserve"> -Agency Working in Health and Social Care: The Case of Mrs Thompson</w:t>
      </w:r>
    </w:p>
    <w:p w14:paraId="291524A2" w14:textId="2CBFF360" w:rsidR="00074402" w:rsidRPr="00CD33A8" w:rsidRDefault="00074402" w:rsidP="00A8524E">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color w:val="auto"/>
          <w:sz w:val="24"/>
          <w:szCs w:val="22"/>
          <w:lang w:val="en-GB"/>
        </w:rPr>
        <w:id w:val="-723749717"/>
        <w:docPartObj>
          <w:docPartGallery w:val="Table of Contents"/>
          <w:docPartUnique/>
        </w:docPartObj>
      </w:sdtPr>
      <w:sdtEndPr>
        <w:rPr>
          <w:b/>
          <w:bCs/>
          <w:noProof/>
        </w:rPr>
      </w:sdtEndPr>
      <w:sdtContent>
        <w:p w14:paraId="23CFEBF4" w14:textId="03B6E83B" w:rsidR="003E60CF" w:rsidRDefault="00215C7F" w:rsidP="000B7015">
          <w:pPr>
            <w:pStyle w:val="TOCHeading"/>
            <w:rPr>
              <w:rFonts w:ascii="Arial" w:hAnsi="Arial" w:cs="Arial"/>
            </w:rPr>
          </w:pPr>
          <w:r w:rsidRPr="003E60CF">
            <w:rPr>
              <w:rFonts w:ascii="Arial" w:hAnsi="Arial" w:cs="Arial"/>
            </w:rPr>
            <w:t>Contents</w:t>
          </w:r>
        </w:p>
        <w:p w14:paraId="2DC26494" w14:textId="77777777" w:rsidR="000B7015" w:rsidRPr="000B7015" w:rsidRDefault="000B7015" w:rsidP="000B7015">
          <w:pPr>
            <w:rPr>
              <w:lang w:val="en-US"/>
            </w:rPr>
          </w:pPr>
        </w:p>
        <w:p w14:paraId="7070FDDA" w14:textId="1F684C89" w:rsidR="00215C7F" w:rsidRPr="003E60CF" w:rsidRDefault="00215C7F" w:rsidP="003E60CF">
          <w:pPr>
            <w:pStyle w:val="TOC1"/>
            <w:tabs>
              <w:tab w:val="right" w:leader="dot" w:pos="9016"/>
            </w:tabs>
            <w:spacing w:line="360" w:lineRule="auto"/>
            <w:rPr>
              <w:rFonts w:ascii="Arial" w:hAnsi="Arial" w:cs="Arial"/>
              <w:noProof/>
              <w:sz w:val="22"/>
            </w:rPr>
          </w:pPr>
          <w:r w:rsidRPr="003E60CF">
            <w:rPr>
              <w:rFonts w:ascii="Arial" w:hAnsi="Arial" w:cs="Arial"/>
              <w:sz w:val="22"/>
            </w:rPr>
            <w:fldChar w:fldCharType="begin"/>
          </w:r>
          <w:r w:rsidRPr="003E60CF">
            <w:rPr>
              <w:rFonts w:ascii="Arial" w:hAnsi="Arial" w:cs="Arial"/>
              <w:sz w:val="22"/>
            </w:rPr>
            <w:instrText xml:space="preserve"> TOC \o "1-3" \h \z \u </w:instrText>
          </w:r>
          <w:r w:rsidRPr="003E60CF">
            <w:rPr>
              <w:rFonts w:ascii="Arial" w:hAnsi="Arial" w:cs="Arial"/>
              <w:sz w:val="22"/>
            </w:rPr>
            <w:fldChar w:fldCharType="separate"/>
          </w:r>
          <w:hyperlink w:anchor="_Toc237021607" w:history="1">
            <w:r w:rsidRPr="003E60CF">
              <w:rPr>
                <w:rStyle w:val="Hyperlink"/>
                <w:rFonts w:ascii="Arial" w:hAnsi="Arial" w:cs="Arial"/>
                <w:noProof/>
                <w:sz w:val="22"/>
              </w:rPr>
              <w:t>1. Introduction</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_Toc237021607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3</w:t>
            </w:r>
            <w:r w:rsidRPr="003E60CF">
              <w:rPr>
                <w:rFonts w:ascii="Arial" w:hAnsi="Arial" w:cs="Arial"/>
                <w:noProof/>
                <w:webHidden/>
                <w:sz w:val="22"/>
              </w:rPr>
              <w:fldChar w:fldCharType="end"/>
            </w:r>
          </w:hyperlink>
        </w:p>
        <w:p w14:paraId="39C77886" w14:textId="463FEBA4" w:rsidR="00215C7F" w:rsidRPr="003E60CF" w:rsidRDefault="00215C7F" w:rsidP="003E60CF">
          <w:pPr>
            <w:pStyle w:val="TOC1"/>
            <w:tabs>
              <w:tab w:val="right" w:leader="dot" w:pos="9016"/>
            </w:tabs>
            <w:spacing w:line="360" w:lineRule="auto"/>
            <w:rPr>
              <w:rFonts w:ascii="Arial" w:hAnsi="Arial" w:cs="Arial"/>
              <w:noProof/>
              <w:sz w:val="22"/>
            </w:rPr>
          </w:pPr>
          <w:hyperlink w:anchor="_Toc237021608" w:history="1">
            <w:r w:rsidRPr="003E60CF">
              <w:rPr>
                <w:rStyle w:val="Hyperlink"/>
                <w:rFonts w:ascii="Arial" w:hAnsi="Arial" w:cs="Arial"/>
                <w:noProof/>
                <w:sz w:val="22"/>
              </w:rPr>
              <w:t>2. Importance of effective communication</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_Toc237021608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3</w:t>
            </w:r>
            <w:r w:rsidRPr="003E60CF">
              <w:rPr>
                <w:rFonts w:ascii="Arial" w:hAnsi="Arial" w:cs="Arial"/>
                <w:noProof/>
                <w:webHidden/>
                <w:sz w:val="22"/>
              </w:rPr>
              <w:fldChar w:fldCharType="end"/>
            </w:r>
          </w:hyperlink>
        </w:p>
        <w:p w14:paraId="34678EE9" w14:textId="30D4961A" w:rsidR="00215C7F" w:rsidRPr="003E60CF" w:rsidRDefault="00215C7F" w:rsidP="003E60CF">
          <w:pPr>
            <w:pStyle w:val="TOC1"/>
            <w:tabs>
              <w:tab w:val="right" w:leader="dot" w:pos="9016"/>
            </w:tabs>
            <w:spacing w:line="360" w:lineRule="auto"/>
            <w:rPr>
              <w:rFonts w:ascii="Arial" w:hAnsi="Arial" w:cs="Arial"/>
              <w:noProof/>
              <w:sz w:val="22"/>
            </w:rPr>
          </w:pPr>
          <w:hyperlink w:anchor="_Toc237021609" w:history="1">
            <w:r w:rsidRPr="003E60CF">
              <w:rPr>
                <w:rStyle w:val="Hyperlink"/>
                <w:rFonts w:ascii="Arial" w:hAnsi="Arial" w:cs="Arial"/>
                <w:noProof/>
                <w:sz w:val="22"/>
              </w:rPr>
              <w:t>3. Importance of good administrative skills</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_Toc237021609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4</w:t>
            </w:r>
            <w:r w:rsidRPr="003E60CF">
              <w:rPr>
                <w:rFonts w:ascii="Arial" w:hAnsi="Arial" w:cs="Arial"/>
                <w:noProof/>
                <w:webHidden/>
                <w:sz w:val="22"/>
              </w:rPr>
              <w:fldChar w:fldCharType="end"/>
            </w:r>
          </w:hyperlink>
        </w:p>
        <w:p w14:paraId="03E25F82" w14:textId="1B946038" w:rsidR="00215C7F" w:rsidRPr="003E60CF" w:rsidRDefault="00215C7F" w:rsidP="003E60CF">
          <w:pPr>
            <w:pStyle w:val="TOC1"/>
            <w:tabs>
              <w:tab w:val="right" w:leader="dot" w:pos="9016"/>
            </w:tabs>
            <w:spacing w:line="360" w:lineRule="auto"/>
            <w:rPr>
              <w:rFonts w:ascii="Arial" w:hAnsi="Arial" w:cs="Arial"/>
              <w:noProof/>
              <w:sz w:val="22"/>
            </w:rPr>
          </w:pPr>
          <w:hyperlink w:anchor="_Toc237021610" w:history="1">
            <w:r w:rsidRPr="003E60CF">
              <w:rPr>
                <w:rStyle w:val="Hyperlink"/>
                <w:rFonts w:ascii="Arial" w:hAnsi="Arial" w:cs="Arial"/>
                <w:noProof/>
                <w:sz w:val="22"/>
              </w:rPr>
              <w:t>4. Importance of working collaboratively</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_Toc237021610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5</w:t>
            </w:r>
            <w:r w:rsidRPr="003E60CF">
              <w:rPr>
                <w:rFonts w:ascii="Arial" w:hAnsi="Arial" w:cs="Arial"/>
                <w:noProof/>
                <w:webHidden/>
                <w:sz w:val="22"/>
              </w:rPr>
              <w:fldChar w:fldCharType="end"/>
            </w:r>
          </w:hyperlink>
        </w:p>
        <w:p w14:paraId="1E76B00E" w14:textId="65CD02E4" w:rsidR="00215C7F" w:rsidRPr="003E60CF" w:rsidRDefault="00215C7F" w:rsidP="003E60CF">
          <w:pPr>
            <w:pStyle w:val="TOC1"/>
            <w:tabs>
              <w:tab w:val="right" w:leader="dot" w:pos="9016"/>
            </w:tabs>
            <w:spacing w:line="360" w:lineRule="auto"/>
            <w:rPr>
              <w:rFonts w:ascii="Arial" w:hAnsi="Arial" w:cs="Arial"/>
              <w:noProof/>
              <w:sz w:val="22"/>
            </w:rPr>
          </w:pPr>
          <w:hyperlink w:anchor="_Toc237021611" w:history="1">
            <w:r w:rsidRPr="003E60CF">
              <w:rPr>
                <w:rStyle w:val="Hyperlink"/>
                <w:rFonts w:ascii="Arial" w:hAnsi="Arial" w:cs="Arial"/>
                <w:noProof/>
                <w:sz w:val="22"/>
              </w:rPr>
              <w:t>5. Conclusion</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_Toc237021611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6</w:t>
            </w:r>
            <w:r w:rsidRPr="003E60CF">
              <w:rPr>
                <w:rFonts w:ascii="Arial" w:hAnsi="Arial" w:cs="Arial"/>
                <w:noProof/>
                <w:webHidden/>
                <w:sz w:val="22"/>
              </w:rPr>
              <w:fldChar w:fldCharType="end"/>
            </w:r>
          </w:hyperlink>
        </w:p>
        <w:p w14:paraId="4A4CDAE8" w14:textId="3DD025F2" w:rsidR="00215C7F" w:rsidRPr="003E60CF" w:rsidRDefault="00215C7F" w:rsidP="003E60CF">
          <w:pPr>
            <w:pStyle w:val="TOC1"/>
            <w:tabs>
              <w:tab w:val="right" w:leader="dot" w:pos="9016"/>
            </w:tabs>
            <w:spacing w:line="360" w:lineRule="auto"/>
            <w:rPr>
              <w:rFonts w:ascii="Arial" w:hAnsi="Arial" w:cs="Arial"/>
              <w:noProof/>
              <w:sz w:val="22"/>
            </w:rPr>
          </w:pPr>
          <w:hyperlink w:anchor="_Toc237021612" w:history="1">
            <w:r w:rsidRPr="003E60CF">
              <w:rPr>
                <w:rStyle w:val="Hyperlink"/>
                <w:rFonts w:ascii="Arial" w:hAnsi="Arial" w:cs="Arial"/>
                <w:noProof/>
                <w:sz w:val="22"/>
              </w:rPr>
              <w:t>References</w:t>
            </w:r>
            <w:r w:rsidRPr="003E60CF">
              <w:rPr>
                <w:rFonts w:ascii="Arial" w:hAnsi="Arial" w:cs="Arial"/>
                <w:noProof/>
                <w:webHidden/>
                <w:sz w:val="22"/>
              </w:rPr>
              <w:tab/>
            </w:r>
            <w:r w:rsidRPr="003E60CF">
              <w:rPr>
                <w:rFonts w:ascii="Arial" w:hAnsi="Arial" w:cs="Arial"/>
                <w:noProof/>
                <w:webHidden/>
                <w:sz w:val="22"/>
              </w:rPr>
              <w:fldChar w:fldCharType="begin"/>
            </w:r>
            <w:r w:rsidRPr="003E60CF">
              <w:rPr>
                <w:rFonts w:ascii="Arial" w:hAnsi="Arial" w:cs="Arial"/>
                <w:noProof/>
                <w:webHidden/>
                <w:sz w:val="22"/>
              </w:rPr>
              <w:instrText xml:space="preserve"> PAGEREF _Toc237021612 \h </w:instrText>
            </w:r>
            <w:r w:rsidRPr="003E60CF">
              <w:rPr>
                <w:rFonts w:ascii="Arial" w:hAnsi="Arial" w:cs="Arial"/>
                <w:noProof/>
                <w:webHidden/>
                <w:sz w:val="22"/>
              </w:rPr>
            </w:r>
            <w:r w:rsidRPr="003E60CF">
              <w:rPr>
                <w:rFonts w:ascii="Arial" w:hAnsi="Arial" w:cs="Arial"/>
                <w:noProof/>
                <w:webHidden/>
                <w:sz w:val="22"/>
              </w:rPr>
              <w:fldChar w:fldCharType="separate"/>
            </w:r>
            <w:r w:rsidRPr="003E60CF">
              <w:rPr>
                <w:rFonts w:ascii="Arial" w:hAnsi="Arial" w:cs="Arial"/>
                <w:noProof/>
                <w:webHidden/>
                <w:sz w:val="22"/>
              </w:rPr>
              <w:t>7</w:t>
            </w:r>
            <w:r w:rsidRPr="003E60CF">
              <w:rPr>
                <w:rFonts w:ascii="Arial" w:hAnsi="Arial" w:cs="Arial"/>
                <w:noProof/>
                <w:webHidden/>
                <w:sz w:val="22"/>
              </w:rPr>
              <w:fldChar w:fldCharType="end"/>
            </w:r>
          </w:hyperlink>
        </w:p>
        <w:p w14:paraId="1F3782CF" w14:textId="754C950B" w:rsidR="00215C7F" w:rsidRDefault="00215C7F" w:rsidP="003E60CF">
          <w:pPr>
            <w:spacing w:line="360" w:lineRule="auto"/>
          </w:pPr>
          <w:r w:rsidRPr="003E60CF">
            <w:rPr>
              <w:rFonts w:ascii="Arial" w:hAnsi="Arial" w:cs="Arial"/>
              <w:b/>
              <w:bCs/>
              <w:noProof/>
              <w:sz w:val="22"/>
            </w:rPr>
            <w:fldChar w:fldCharType="end"/>
          </w:r>
        </w:p>
      </w:sdtContent>
    </w:sdt>
    <w:p w14:paraId="05AB2C84" w14:textId="1D8648A8" w:rsidR="00B87E75" w:rsidRPr="00CD33A8" w:rsidRDefault="00B87E75" w:rsidP="00E620E7">
      <w:pPr>
        <w:pStyle w:val="Heading1"/>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bookmarkStart w:id="0" w:name="_Toc237021607"/>
      <w:r w:rsidRPr="00CD33A8">
        <w:lastRenderedPageBreak/>
        <w:t>1. Introduction</w:t>
      </w:r>
      <w:bookmarkEnd w:id="0"/>
    </w:p>
    <w:p w14:paraId="68C53673" w14:textId="04ADD498" w:rsidR="008E3943" w:rsidRDefault="00067A42" w:rsidP="00067A42">
      <w:pPr>
        <w:tabs>
          <w:tab w:val="left" w:pos="6540"/>
        </w:tabs>
        <w:spacing w:line="360" w:lineRule="auto"/>
        <w:jc w:val="both"/>
        <w:rPr>
          <w:rFonts w:ascii="Arial" w:hAnsi="Arial" w:cs="Arial"/>
          <w:sz w:val="22"/>
        </w:rPr>
      </w:pPr>
      <w:r w:rsidRPr="00067A42">
        <w:rPr>
          <w:rFonts w:ascii="Arial" w:hAnsi="Arial" w:cs="Arial"/>
          <w:sz w:val="22"/>
        </w:rPr>
        <w:t xml:space="preserve">This report </w:t>
      </w:r>
      <w:r w:rsidR="0045691F">
        <w:rPr>
          <w:rFonts w:ascii="Arial" w:hAnsi="Arial" w:cs="Arial"/>
          <w:sz w:val="22"/>
        </w:rPr>
        <w:t>examines the core</w:t>
      </w:r>
      <w:r w:rsidRPr="00067A42">
        <w:rPr>
          <w:rFonts w:ascii="Arial" w:hAnsi="Arial" w:cs="Arial"/>
          <w:sz w:val="22"/>
        </w:rPr>
        <w:t xml:space="preserve"> principles of professional practice in the health and social care sector, based on the case study of Mrs Thompson. She is an 84-year-old woman with dementia living in sheltered accommodation. Following a hospital stay for pneumonia, </w:t>
      </w:r>
      <w:r w:rsidR="007E358A">
        <w:rPr>
          <w:rFonts w:ascii="Arial" w:hAnsi="Arial" w:cs="Arial"/>
          <w:sz w:val="22"/>
        </w:rPr>
        <w:t>concerns were</w:t>
      </w:r>
      <w:r w:rsidR="00AB0738">
        <w:rPr>
          <w:rFonts w:ascii="Arial" w:hAnsi="Arial" w:cs="Arial"/>
          <w:sz w:val="22"/>
        </w:rPr>
        <w:t xml:space="preserve"> identified regarding</w:t>
      </w:r>
      <w:r w:rsidR="0083333D">
        <w:rPr>
          <w:rFonts w:ascii="Arial" w:hAnsi="Arial" w:cs="Arial"/>
          <w:sz w:val="22"/>
        </w:rPr>
        <w:t xml:space="preserve"> medication management and personal safety, including missed doses and exposure to cold </w:t>
      </w:r>
      <w:r w:rsidR="0023376A">
        <w:rPr>
          <w:rFonts w:ascii="Arial" w:hAnsi="Arial" w:cs="Arial"/>
          <w:sz w:val="22"/>
        </w:rPr>
        <w:t>weather</w:t>
      </w:r>
      <w:r w:rsidRPr="00067A42">
        <w:rPr>
          <w:rFonts w:ascii="Arial" w:hAnsi="Arial" w:cs="Arial"/>
          <w:sz w:val="22"/>
        </w:rPr>
        <w:t>. The report provides a detailed analysis of areas crucial to ensuring her safety. It evaluates effective communication strategies in accordance with the Equality Act 2010 and a selected communication model, while also highlighting the importance of professional record-keeping and personal data protection under the Data Protection Act 2018. Furthermore, the report examines the collaboration between the GP, nurses, care workers, social services, and other agencies in providing professional support to Mrs Thompson.</w:t>
      </w:r>
    </w:p>
    <w:p w14:paraId="19382C74" w14:textId="77777777" w:rsidR="005F70BB" w:rsidRPr="00CD33A8" w:rsidRDefault="005F70BB" w:rsidP="00067A42">
      <w:pPr>
        <w:tabs>
          <w:tab w:val="left" w:pos="6540"/>
        </w:tabs>
        <w:spacing w:line="360" w:lineRule="auto"/>
        <w:jc w:val="both"/>
        <w:rPr>
          <w:rFonts w:ascii="Arial" w:hAnsi="Arial" w:cs="Arial"/>
          <w:sz w:val="22"/>
        </w:rPr>
      </w:pPr>
    </w:p>
    <w:p w14:paraId="73B07562" w14:textId="0E99FAFE" w:rsidR="008E3943" w:rsidRDefault="0026393A" w:rsidP="008E3943">
      <w:pPr>
        <w:pStyle w:val="Heading1"/>
      </w:pPr>
      <w:bookmarkStart w:id="1" w:name="_Toc237021608"/>
      <w:r w:rsidRPr="00CD33A8">
        <w:t xml:space="preserve">2. </w:t>
      </w:r>
      <w:r w:rsidR="008E3943">
        <w:t>I</w:t>
      </w:r>
      <w:r w:rsidR="008E3943" w:rsidRPr="008E3943">
        <w:t>mportance of effective communication</w:t>
      </w:r>
      <w:bookmarkEnd w:id="1"/>
    </w:p>
    <w:p w14:paraId="2BAC6956" w14:textId="67A9EFBC" w:rsidR="00203567" w:rsidRPr="0065052C" w:rsidRDefault="00203567" w:rsidP="00203567">
      <w:pPr>
        <w:tabs>
          <w:tab w:val="left" w:pos="6540"/>
        </w:tabs>
        <w:spacing w:line="360" w:lineRule="auto"/>
        <w:jc w:val="both"/>
        <w:rPr>
          <w:rFonts w:ascii="Arial" w:hAnsi="Arial" w:cs="Arial"/>
          <w:sz w:val="22"/>
        </w:rPr>
      </w:pPr>
      <w:r w:rsidRPr="0065052C">
        <w:rPr>
          <w:rFonts w:ascii="Arial" w:hAnsi="Arial" w:cs="Arial"/>
          <w:sz w:val="22"/>
        </w:rPr>
        <w:t>Effective communication is the fundamental and undeniable basis of high-quality health and social care. It must be person-</w:t>
      </w:r>
      <w:r w:rsidR="00E102B3" w:rsidRPr="0065052C">
        <w:rPr>
          <w:rFonts w:ascii="Arial" w:hAnsi="Arial" w:cs="Arial"/>
          <w:sz w:val="22"/>
        </w:rPr>
        <w:t>centred</w:t>
      </w:r>
      <w:r w:rsidRPr="0065052C">
        <w:rPr>
          <w:rFonts w:ascii="Arial" w:hAnsi="Arial" w:cs="Arial"/>
          <w:sz w:val="22"/>
        </w:rPr>
        <w:t>. In the case of M</w:t>
      </w:r>
      <w:r w:rsidR="00583F18">
        <w:rPr>
          <w:rFonts w:ascii="Arial" w:hAnsi="Arial" w:cs="Arial"/>
          <w:sz w:val="22"/>
        </w:rPr>
        <w:t>r</w:t>
      </w:r>
      <w:r w:rsidRPr="0065052C">
        <w:rPr>
          <w:rFonts w:ascii="Arial" w:hAnsi="Arial" w:cs="Arial"/>
          <w:sz w:val="22"/>
        </w:rPr>
        <w:t>s Thom</w:t>
      </w:r>
      <w:r w:rsidR="00854F6B" w:rsidRPr="0065052C">
        <w:rPr>
          <w:rFonts w:ascii="Arial" w:hAnsi="Arial" w:cs="Arial"/>
          <w:sz w:val="22"/>
        </w:rPr>
        <w:t>p</w:t>
      </w:r>
      <w:r w:rsidRPr="0065052C">
        <w:rPr>
          <w:rFonts w:ascii="Arial" w:hAnsi="Arial" w:cs="Arial"/>
          <w:sz w:val="22"/>
        </w:rPr>
        <w:t>son, who is coping with mild dementia and associated health complications, an appropriate and compassionate communication approach is required. This fosters trust and, above all, ensures safety (Kitwood, 1997</w:t>
      </w:r>
      <w:r w:rsidR="00F45A39">
        <w:rPr>
          <w:rFonts w:ascii="Arial" w:hAnsi="Arial" w:cs="Arial"/>
          <w:sz w:val="22"/>
        </w:rPr>
        <w:t>; SC</w:t>
      </w:r>
      <w:r w:rsidR="00D160C8">
        <w:rPr>
          <w:rFonts w:ascii="Arial" w:hAnsi="Arial" w:cs="Arial"/>
          <w:sz w:val="22"/>
        </w:rPr>
        <w:t>IE, 2023</w:t>
      </w:r>
      <w:r w:rsidRPr="0065052C">
        <w:rPr>
          <w:rFonts w:ascii="Arial" w:hAnsi="Arial" w:cs="Arial"/>
          <w:sz w:val="22"/>
        </w:rPr>
        <w:t>). Those involved in her care must use clear, concise language and a warm tone of voice; crucially, they must allow M</w:t>
      </w:r>
      <w:r w:rsidR="00C77AD5">
        <w:rPr>
          <w:rFonts w:ascii="Arial" w:hAnsi="Arial" w:cs="Arial"/>
          <w:sz w:val="22"/>
        </w:rPr>
        <w:t>r</w:t>
      </w:r>
      <w:r w:rsidRPr="0065052C">
        <w:rPr>
          <w:rFonts w:ascii="Arial" w:hAnsi="Arial" w:cs="Arial"/>
          <w:sz w:val="22"/>
        </w:rPr>
        <w:t>s Thom</w:t>
      </w:r>
      <w:r w:rsidR="00041814">
        <w:rPr>
          <w:rFonts w:ascii="Arial" w:hAnsi="Arial" w:cs="Arial"/>
          <w:sz w:val="22"/>
        </w:rPr>
        <w:t>p</w:t>
      </w:r>
      <w:r w:rsidRPr="0065052C">
        <w:rPr>
          <w:rFonts w:ascii="Arial" w:hAnsi="Arial" w:cs="Arial"/>
          <w:sz w:val="22"/>
        </w:rPr>
        <w:t xml:space="preserve">son sufficient time to process information, thereby reducing her anxiety and disorientation. Furthermore, communication with the patient's family is a vital element. </w:t>
      </w:r>
      <w:r w:rsidR="006E7A30">
        <w:rPr>
          <w:rFonts w:ascii="Arial" w:hAnsi="Arial" w:cs="Arial"/>
          <w:sz w:val="22"/>
        </w:rPr>
        <w:t>Maintaining a transparent dialogue with Mrs Thompson</w:t>
      </w:r>
      <w:r w:rsidR="00150DA8">
        <w:rPr>
          <w:rFonts w:ascii="Arial" w:hAnsi="Arial" w:cs="Arial"/>
          <w:sz w:val="22"/>
        </w:rPr>
        <w:t>’s family is vital; however, sharing information</w:t>
      </w:r>
      <w:r w:rsidR="00991C46">
        <w:rPr>
          <w:rFonts w:ascii="Arial" w:hAnsi="Arial" w:cs="Arial"/>
          <w:sz w:val="22"/>
        </w:rPr>
        <w:t xml:space="preserve"> must strictly comply with the duty of confidentiality and</w:t>
      </w:r>
      <w:r w:rsidR="00DB234C">
        <w:rPr>
          <w:rFonts w:ascii="Arial" w:hAnsi="Arial" w:cs="Arial"/>
          <w:sz w:val="22"/>
        </w:rPr>
        <w:t xml:space="preserve"> consent guidelines, ensuring information is disclosed appropriately only when </w:t>
      </w:r>
      <w:r w:rsidR="008852A6">
        <w:rPr>
          <w:rFonts w:ascii="Arial" w:hAnsi="Arial" w:cs="Arial"/>
          <w:sz w:val="22"/>
        </w:rPr>
        <w:t>authorized or required for her safeguar</w:t>
      </w:r>
      <w:r w:rsidR="00AE1B9F">
        <w:rPr>
          <w:rFonts w:ascii="Arial" w:hAnsi="Arial" w:cs="Arial"/>
          <w:sz w:val="22"/>
        </w:rPr>
        <w:t>ding and care planning.</w:t>
      </w:r>
    </w:p>
    <w:p w14:paraId="1051E4A2" w14:textId="6BE4C94A" w:rsidR="00203567" w:rsidRPr="0065052C" w:rsidRDefault="00203567" w:rsidP="00203567">
      <w:pPr>
        <w:tabs>
          <w:tab w:val="left" w:pos="6540"/>
        </w:tabs>
        <w:spacing w:line="360" w:lineRule="auto"/>
        <w:jc w:val="both"/>
        <w:rPr>
          <w:rFonts w:ascii="Arial" w:hAnsi="Arial" w:cs="Arial"/>
          <w:sz w:val="22"/>
        </w:rPr>
      </w:pPr>
      <w:r w:rsidRPr="0065052C">
        <w:rPr>
          <w:rFonts w:ascii="Arial" w:hAnsi="Arial" w:cs="Arial"/>
          <w:sz w:val="22"/>
        </w:rPr>
        <w:t xml:space="preserve">The provision of care must comply, above all, with the Equality Act 2010. The Act </w:t>
      </w:r>
      <w:r w:rsidR="00E81EDC">
        <w:rPr>
          <w:rFonts w:ascii="Arial" w:hAnsi="Arial" w:cs="Arial"/>
          <w:sz w:val="22"/>
        </w:rPr>
        <w:t>identifies age and disability as prote</w:t>
      </w:r>
      <w:r w:rsidR="007D7D5E">
        <w:rPr>
          <w:rFonts w:ascii="Arial" w:hAnsi="Arial" w:cs="Arial"/>
          <w:sz w:val="22"/>
        </w:rPr>
        <w:t>cted characteri</w:t>
      </w:r>
      <w:r w:rsidR="00425845">
        <w:rPr>
          <w:rFonts w:ascii="Arial" w:hAnsi="Arial" w:cs="Arial"/>
          <w:sz w:val="22"/>
        </w:rPr>
        <w:t>stics, with dementia legally</w:t>
      </w:r>
      <w:r w:rsidR="00CD6836">
        <w:rPr>
          <w:rFonts w:ascii="Arial" w:hAnsi="Arial" w:cs="Arial"/>
          <w:sz w:val="22"/>
        </w:rPr>
        <w:t xml:space="preserve"> classified under disability, thereby obliging care providers to make reas</w:t>
      </w:r>
      <w:r w:rsidR="000A1D85">
        <w:rPr>
          <w:rFonts w:ascii="Arial" w:hAnsi="Arial" w:cs="Arial"/>
          <w:sz w:val="22"/>
        </w:rPr>
        <w:t>onable adjustments and prevent discrimination</w:t>
      </w:r>
      <w:r w:rsidRPr="0065052C">
        <w:rPr>
          <w:rFonts w:ascii="Arial" w:hAnsi="Arial" w:cs="Arial"/>
          <w:sz w:val="22"/>
        </w:rPr>
        <w:t xml:space="preserve"> (Equality Act, 2010). To adhere to these regulations, caregivers must implement "reasonable adjustments" in their communication. For M</w:t>
      </w:r>
      <w:r w:rsidR="00854F6B" w:rsidRPr="0065052C">
        <w:rPr>
          <w:rFonts w:ascii="Arial" w:hAnsi="Arial" w:cs="Arial"/>
          <w:sz w:val="22"/>
        </w:rPr>
        <w:t>r</w:t>
      </w:r>
      <w:r w:rsidRPr="0065052C">
        <w:rPr>
          <w:rFonts w:ascii="Arial" w:hAnsi="Arial" w:cs="Arial"/>
          <w:sz w:val="22"/>
        </w:rPr>
        <w:t>s Thom</w:t>
      </w:r>
      <w:r w:rsidR="00854F6B" w:rsidRPr="0065052C">
        <w:rPr>
          <w:rFonts w:ascii="Arial" w:hAnsi="Arial" w:cs="Arial"/>
          <w:sz w:val="22"/>
        </w:rPr>
        <w:t>p</w:t>
      </w:r>
      <w:r w:rsidRPr="0065052C">
        <w:rPr>
          <w:rFonts w:ascii="Arial" w:hAnsi="Arial" w:cs="Arial"/>
          <w:sz w:val="22"/>
        </w:rPr>
        <w:t>son, these adjustments should include avoiding medical jargon, using visual aids, and asking questions to verify her understanding of the matters discussed. Conversations should take place in a quiet setting where M</w:t>
      </w:r>
      <w:r w:rsidR="00854F6B" w:rsidRPr="0065052C">
        <w:rPr>
          <w:rFonts w:ascii="Arial" w:hAnsi="Arial" w:cs="Arial"/>
          <w:sz w:val="22"/>
        </w:rPr>
        <w:t>r</w:t>
      </w:r>
      <w:r w:rsidRPr="0065052C">
        <w:rPr>
          <w:rFonts w:ascii="Arial" w:hAnsi="Arial" w:cs="Arial"/>
          <w:sz w:val="22"/>
        </w:rPr>
        <w:t>s Thom</w:t>
      </w:r>
      <w:r w:rsidR="00A0188D">
        <w:rPr>
          <w:rFonts w:ascii="Arial" w:hAnsi="Arial" w:cs="Arial"/>
          <w:sz w:val="22"/>
        </w:rPr>
        <w:t>p</w:t>
      </w:r>
      <w:r w:rsidRPr="0065052C">
        <w:rPr>
          <w:rFonts w:ascii="Arial" w:hAnsi="Arial" w:cs="Arial"/>
          <w:sz w:val="22"/>
        </w:rPr>
        <w:t>son will not be distracted.</w:t>
      </w:r>
    </w:p>
    <w:p w14:paraId="336F5447" w14:textId="4D099BE1" w:rsidR="008E3943" w:rsidRPr="0065052C" w:rsidRDefault="00203567" w:rsidP="00E102B3">
      <w:pPr>
        <w:tabs>
          <w:tab w:val="left" w:pos="6540"/>
        </w:tabs>
        <w:spacing w:line="360" w:lineRule="auto"/>
        <w:jc w:val="both"/>
        <w:rPr>
          <w:rFonts w:ascii="Arial" w:hAnsi="Arial" w:cs="Arial"/>
          <w:sz w:val="22"/>
        </w:rPr>
      </w:pPr>
      <w:r w:rsidRPr="0065052C">
        <w:rPr>
          <w:rFonts w:ascii="Arial" w:hAnsi="Arial" w:cs="Arial"/>
          <w:sz w:val="22"/>
        </w:rPr>
        <w:lastRenderedPageBreak/>
        <w:t>In the patient's daily care, the SMCR communication model (Source, Message, Channel, Receiver)—developed by Berlo (1960)—can be directly applied. It helps structure and evaluate interactions. In this model, the healthcare worker acts as the Source. Their communication skills, empathy, and medical knowledge regarding dementia directly influence the interaction. The Message conveys information to the patient—such as the need to put on warm clothing or a reminder to take medication. This message must be simple and conveyed using a code that is easy to comprehend. The Channel encompasses all the sensory methods used to transmit the message. Relying solely on hearing may not always be sufficient, given M</w:t>
      </w:r>
      <w:r w:rsidR="001F0ECB" w:rsidRPr="0065052C">
        <w:rPr>
          <w:rFonts w:ascii="Arial" w:hAnsi="Arial" w:cs="Arial"/>
          <w:sz w:val="22"/>
        </w:rPr>
        <w:t>r</w:t>
      </w:r>
      <w:r w:rsidRPr="0065052C">
        <w:rPr>
          <w:rFonts w:ascii="Arial" w:hAnsi="Arial" w:cs="Arial"/>
          <w:sz w:val="22"/>
        </w:rPr>
        <w:t>s Thom</w:t>
      </w:r>
      <w:r w:rsidR="001F0ECB" w:rsidRPr="0065052C">
        <w:rPr>
          <w:rFonts w:ascii="Arial" w:hAnsi="Arial" w:cs="Arial"/>
          <w:sz w:val="22"/>
        </w:rPr>
        <w:t>p</w:t>
      </w:r>
      <w:r w:rsidRPr="0065052C">
        <w:rPr>
          <w:rFonts w:ascii="Arial" w:hAnsi="Arial" w:cs="Arial"/>
          <w:sz w:val="22"/>
        </w:rPr>
        <w:t>son’s age or condition; visual aids—such as physically showing her a coat or a box of medication—can be useful here. Such methods greatly facilitate the reception of the message. The final element of Berlo’s model is the Receiver. In this specific case, the receiver is M</w:t>
      </w:r>
      <w:r w:rsidR="001F0ECB" w:rsidRPr="0065052C">
        <w:rPr>
          <w:rFonts w:ascii="Arial" w:hAnsi="Arial" w:cs="Arial"/>
          <w:sz w:val="22"/>
        </w:rPr>
        <w:t>r</w:t>
      </w:r>
      <w:r w:rsidRPr="0065052C">
        <w:rPr>
          <w:rFonts w:ascii="Arial" w:hAnsi="Arial" w:cs="Arial"/>
          <w:sz w:val="22"/>
        </w:rPr>
        <w:t>s. Thom</w:t>
      </w:r>
      <w:r w:rsidR="001F0ECB" w:rsidRPr="0065052C">
        <w:rPr>
          <w:rFonts w:ascii="Arial" w:hAnsi="Arial" w:cs="Arial"/>
          <w:sz w:val="22"/>
        </w:rPr>
        <w:t>p</w:t>
      </w:r>
      <w:r w:rsidRPr="0065052C">
        <w:rPr>
          <w:rFonts w:ascii="Arial" w:hAnsi="Arial" w:cs="Arial"/>
          <w:sz w:val="22"/>
        </w:rPr>
        <w:t>son herself; as she struggles with dementia, she faces cognitive limitations that may result in a failure to follow instructions. To summari</w:t>
      </w:r>
      <w:r w:rsidR="002A4B0C">
        <w:rPr>
          <w:rFonts w:ascii="Arial" w:hAnsi="Arial" w:cs="Arial"/>
          <w:sz w:val="22"/>
        </w:rPr>
        <w:t>se</w:t>
      </w:r>
      <w:r w:rsidRPr="0065052C">
        <w:rPr>
          <w:rFonts w:ascii="Arial" w:hAnsi="Arial" w:cs="Arial"/>
          <w:sz w:val="22"/>
        </w:rPr>
        <w:t xml:space="preserve"> the model's components, caregivers can adjust the source, message, and channel to ensure the receiver comprehends and decodes the information as effectively and quickly as possible, thereby ensuring professional care.</w:t>
      </w: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bookmarkStart w:id="2" w:name="_Toc237021609"/>
      <w:r w:rsidRPr="00CD33A8">
        <w:t>3</w:t>
      </w:r>
      <w:r w:rsidR="00B87E75" w:rsidRPr="00CD33A8">
        <w:t>.</w:t>
      </w:r>
      <w:r w:rsidR="008E3943">
        <w:t xml:space="preserve"> I</w:t>
      </w:r>
      <w:r w:rsidR="008E3943" w:rsidRPr="008E3943">
        <w:t>mportance of good administrative skills</w:t>
      </w:r>
      <w:bookmarkEnd w:id="2"/>
      <w:r w:rsidR="008E3943" w:rsidRPr="008E3943">
        <w:t xml:space="preserve"> </w:t>
      </w:r>
    </w:p>
    <w:p w14:paraId="527E9488" w14:textId="6A9F32FC" w:rsidR="001742F4" w:rsidRPr="0065052C" w:rsidRDefault="001742F4" w:rsidP="001F0ECB">
      <w:pPr>
        <w:tabs>
          <w:tab w:val="left" w:pos="6540"/>
        </w:tabs>
        <w:spacing w:line="360" w:lineRule="auto"/>
        <w:jc w:val="both"/>
        <w:rPr>
          <w:rFonts w:ascii="Arial" w:hAnsi="Arial" w:cs="Arial"/>
          <w:sz w:val="22"/>
        </w:rPr>
      </w:pPr>
      <w:r w:rsidRPr="0065052C">
        <w:rPr>
          <w:rFonts w:ascii="Arial" w:hAnsi="Arial" w:cs="Arial"/>
          <w:sz w:val="22"/>
        </w:rPr>
        <w:t xml:space="preserve">For any practice within the social care and healthcare sectors to be responsible—and, above all, safe—two key elements are required: professional administrative skills and meticulous record-keeping (Care Quality Commission, 2021). In Mrs Thompson’s case, recording all events is essential for monitoring her health status and eliminating potential risks. Incidents such as missed medication doses or the patient going outdoors inappropriately dressed must be documented immediately, objectively, and with great precision. Diligent record-keeping enables the detection of patterns of cognitive decline, providing a basis for interventions such as medication reviews or risk assessments (Department of Health and Social Care, 2020). Inaccurate, delayed, or omitted entries can lead to medical errors and the oversight of new dementia symptoms; above all, </w:t>
      </w:r>
      <w:r w:rsidR="004777C3">
        <w:rPr>
          <w:rFonts w:ascii="Arial" w:hAnsi="Arial" w:cs="Arial"/>
          <w:sz w:val="22"/>
        </w:rPr>
        <w:t>inaccurate or delayed re</w:t>
      </w:r>
      <w:r w:rsidR="00060E46">
        <w:rPr>
          <w:rFonts w:ascii="Arial" w:hAnsi="Arial" w:cs="Arial"/>
          <w:sz w:val="22"/>
        </w:rPr>
        <w:t xml:space="preserve">cords significantly increase the risk of </w:t>
      </w:r>
      <w:r w:rsidR="00A10E2F">
        <w:rPr>
          <w:rFonts w:ascii="Arial" w:hAnsi="Arial" w:cs="Arial"/>
          <w:sz w:val="22"/>
        </w:rPr>
        <w:t>medication errors, delays in c</w:t>
      </w:r>
      <w:r w:rsidR="008709E5">
        <w:rPr>
          <w:rFonts w:ascii="Arial" w:hAnsi="Arial" w:cs="Arial"/>
          <w:sz w:val="22"/>
        </w:rPr>
        <w:t>linical intervention and potential avoidable harm.</w:t>
      </w:r>
    </w:p>
    <w:p w14:paraId="5D150BD5" w14:textId="429EDB3F" w:rsidR="001742F4" w:rsidRPr="0065052C" w:rsidRDefault="001742F4" w:rsidP="001F0ECB">
      <w:pPr>
        <w:tabs>
          <w:tab w:val="left" w:pos="6540"/>
        </w:tabs>
        <w:spacing w:line="360" w:lineRule="auto"/>
        <w:jc w:val="both"/>
        <w:rPr>
          <w:rFonts w:ascii="Arial" w:hAnsi="Arial" w:cs="Arial"/>
          <w:sz w:val="22"/>
        </w:rPr>
      </w:pPr>
      <w:r w:rsidRPr="0065052C">
        <w:rPr>
          <w:rFonts w:ascii="Arial" w:hAnsi="Arial" w:cs="Arial"/>
          <w:sz w:val="22"/>
        </w:rPr>
        <w:t xml:space="preserve">Record-keeping practices across all care sectors are governed by </w:t>
      </w:r>
      <w:r w:rsidR="00D0214D">
        <w:rPr>
          <w:rFonts w:ascii="Arial" w:hAnsi="Arial" w:cs="Arial"/>
          <w:sz w:val="22"/>
        </w:rPr>
        <w:t>com</w:t>
      </w:r>
      <w:r w:rsidR="003F5F53">
        <w:rPr>
          <w:rFonts w:ascii="Arial" w:hAnsi="Arial" w:cs="Arial"/>
          <w:sz w:val="22"/>
        </w:rPr>
        <w:t>prehensive legal requirements, with the primary statu</w:t>
      </w:r>
      <w:r w:rsidR="00BD1931">
        <w:rPr>
          <w:rFonts w:ascii="Arial" w:hAnsi="Arial" w:cs="Arial"/>
          <w:sz w:val="22"/>
        </w:rPr>
        <w:t>tory framework being the Data Protection Act 2018 alongside the UK GDPR</w:t>
      </w:r>
      <w:r w:rsidRPr="0065052C">
        <w:rPr>
          <w:rFonts w:ascii="Arial" w:hAnsi="Arial" w:cs="Arial"/>
          <w:sz w:val="22"/>
        </w:rPr>
        <w:t>. Under these regulations, Mrs Thompson’s caregivers are required to process her personal and medical data in accordance with applicable law—specifically the Data Protection Act 2018—doing so reliably and transparently.</w:t>
      </w:r>
      <w:r w:rsidR="00131B30">
        <w:rPr>
          <w:rFonts w:ascii="Arial" w:hAnsi="Arial" w:cs="Arial"/>
          <w:sz w:val="22"/>
        </w:rPr>
        <w:t xml:space="preserve"> </w:t>
      </w:r>
      <w:r w:rsidR="00131B30" w:rsidRPr="00131B30">
        <w:rPr>
          <w:rFonts w:ascii="Arial" w:hAnsi="Arial" w:cs="Arial"/>
          <w:sz w:val="22"/>
        </w:rPr>
        <w:t xml:space="preserve">High-quality record-keeping must adhere to core professional standards: documentation must be accurate, </w:t>
      </w:r>
      <w:r w:rsidR="00131B30" w:rsidRPr="00131B30">
        <w:rPr>
          <w:rFonts w:ascii="Arial" w:hAnsi="Arial" w:cs="Arial"/>
          <w:sz w:val="22"/>
        </w:rPr>
        <w:lastRenderedPageBreak/>
        <w:t>contemporaneous, relevant, complete, and securely stored to maintain integrity and compliance.</w:t>
      </w:r>
      <w:r w:rsidRPr="0065052C">
        <w:rPr>
          <w:rFonts w:ascii="Arial" w:hAnsi="Arial" w:cs="Arial"/>
          <w:sz w:val="22"/>
        </w:rPr>
        <w:t xml:space="preserve"> Any information regarding the patient's health falls into a special category, requiring maximum confidentiality, security, and protection against unauthorized access. At the same time, the Act and national guidelines stipulate that this confidentiality must not act as a barrier to sharing information when it is necessary to protect Mrs Thompson’s life or health (Department of Health and Social Care, 2020). In her case, sharing the incident report with parties such as her GP or social services is both essential for ensuring her safety and entirely lawful.</w:t>
      </w:r>
    </w:p>
    <w:p w14:paraId="0B73CFD6" w14:textId="634DD767" w:rsidR="001742F4" w:rsidRPr="0065052C" w:rsidRDefault="001742F4" w:rsidP="001F0ECB">
      <w:pPr>
        <w:tabs>
          <w:tab w:val="left" w:pos="6540"/>
        </w:tabs>
        <w:spacing w:line="360" w:lineRule="auto"/>
        <w:jc w:val="both"/>
        <w:rPr>
          <w:rFonts w:ascii="Arial" w:hAnsi="Arial" w:cs="Arial"/>
          <w:sz w:val="22"/>
        </w:rPr>
      </w:pPr>
      <w:r w:rsidRPr="0065052C">
        <w:rPr>
          <w:rFonts w:ascii="Arial" w:hAnsi="Arial" w:cs="Arial"/>
          <w:sz w:val="22"/>
        </w:rPr>
        <w:t>While national legislation is one factor, administrative practice is</w:t>
      </w:r>
      <w:r w:rsidR="005A6CB4">
        <w:rPr>
          <w:rFonts w:ascii="Arial" w:hAnsi="Arial" w:cs="Arial"/>
          <w:sz w:val="22"/>
        </w:rPr>
        <w:t xml:space="preserve"> </w:t>
      </w:r>
      <w:r w:rsidR="005A6CB4" w:rsidRPr="005A6CB4">
        <w:rPr>
          <w:rFonts w:ascii="Arial" w:hAnsi="Arial" w:cs="Arial"/>
          <w:sz w:val="22"/>
        </w:rPr>
        <w:t>governed by statutory standards, specifically CQC Regulation 17 (Good Governance), which mandates that providers maintain accurate, complete, and contemporaneous records for every service user (Care Quality Commission, 2021)</w:t>
      </w:r>
      <w:r w:rsidRPr="0065052C">
        <w:rPr>
          <w:rFonts w:ascii="Arial" w:hAnsi="Arial" w:cs="Arial"/>
          <w:sz w:val="22"/>
        </w:rPr>
        <w:t xml:space="preserve">. Official incident reporting procedures require that any deviations from the care plan be documented immediately and transparently within the system. In Mrs Thompson’s case, </w:t>
      </w:r>
      <w:r w:rsidR="00DA3FCB">
        <w:rPr>
          <w:rFonts w:ascii="Arial" w:hAnsi="Arial" w:cs="Arial"/>
          <w:sz w:val="22"/>
        </w:rPr>
        <w:t>accurately documenting the missed medication dose promptly triggered</w:t>
      </w:r>
      <w:r w:rsidR="00BC5DF8">
        <w:rPr>
          <w:rFonts w:ascii="Arial" w:hAnsi="Arial" w:cs="Arial"/>
          <w:sz w:val="22"/>
        </w:rPr>
        <w:t xml:space="preserve"> a professional medication review to evaluate her current prescription regime.</w:t>
      </w:r>
    </w:p>
    <w:p w14:paraId="264AAEC8" w14:textId="74F8F5F8" w:rsidR="00AB6A43" w:rsidRPr="0065052C" w:rsidRDefault="001742F4" w:rsidP="001F0ECB">
      <w:pPr>
        <w:tabs>
          <w:tab w:val="left" w:pos="6540"/>
        </w:tabs>
        <w:spacing w:line="360" w:lineRule="auto"/>
        <w:jc w:val="both"/>
        <w:rPr>
          <w:rFonts w:ascii="Arial" w:hAnsi="Arial" w:cs="Arial"/>
          <w:sz w:val="22"/>
        </w:rPr>
      </w:pPr>
      <w:r w:rsidRPr="0065052C">
        <w:rPr>
          <w:rFonts w:ascii="Arial" w:hAnsi="Arial" w:cs="Arial"/>
          <w:sz w:val="22"/>
        </w:rPr>
        <w:t>Another important aspect of proper medical record-keeping is the ability to use records as legal evidence in the event of any disputes. Care staff can present documentation demonstrating that their actions complied with procedures and that their duties were performed diligently and conscientiously.</w:t>
      </w:r>
    </w:p>
    <w:p w14:paraId="2B008FF6" w14:textId="77777777" w:rsidR="008E3943" w:rsidRPr="005C6446"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bookmarkStart w:id="3" w:name="_Toc237021610"/>
      <w:r w:rsidRPr="00CD33A8">
        <w:t>4</w:t>
      </w:r>
      <w:r w:rsidR="00B87E75" w:rsidRPr="00CD33A8">
        <w:t xml:space="preserve">. </w:t>
      </w:r>
      <w:r w:rsidR="008E3943">
        <w:t>I</w:t>
      </w:r>
      <w:r w:rsidR="008E3943" w:rsidRPr="008E3943">
        <w:t>mportance of working collaboratively</w:t>
      </w:r>
      <w:bookmarkEnd w:id="3"/>
    </w:p>
    <w:p w14:paraId="682D1769" w14:textId="09D003E0" w:rsidR="003E4ECF" w:rsidRPr="0065052C" w:rsidRDefault="00F5137B" w:rsidP="00E26788">
      <w:pPr>
        <w:tabs>
          <w:tab w:val="left" w:pos="6540"/>
        </w:tabs>
        <w:spacing w:line="360" w:lineRule="auto"/>
        <w:jc w:val="both"/>
        <w:rPr>
          <w:rFonts w:ascii="Arial" w:hAnsi="Arial" w:cs="Arial"/>
          <w:sz w:val="22"/>
        </w:rPr>
      </w:pPr>
      <w:r w:rsidRPr="00F5137B">
        <w:rPr>
          <w:rFonts w:ascii="Arial" w:hAnsi="Arial" w:cs="Arial"/>
          <w:sz w:val="22"/>
        </w:rPr>
        <w:t>Person-centred, effective, and—above all—well-coordinated collaboration among interdisciplinary teams is a key element of care for individuals with complex needs (Glasby, 2017; NHS England, 2023).</w:t>
      </w:r>
      <w:r>
        <w:rPr>
          <w:rFonts w:ascii="Arial" w:hAnsi="Arial" w:cs="Arial"/>
          <w:sz w:val="22"/>
        </w:rPr>
        <w:t xml:space="preserve"> </w:t>
      </w:r>
      <w:r w:rsidR="00AD15FC" w:rsidRPr="0065052C">
        <w:rPr>
          <w:rFonts w:ascii="Arial" w:hAnsi="Arial" w:cs="Arial"/>
          <w:sz w:val="22"/>
        </w:rPr>
        <w:t>M</w:t>
      </w:r>
      <w:r w:rsidR="000F4034" w:rsidRPr="0065052C">
        <w:rPr>
          <w:rFonts w:ascii="Arial" w:hAnsi="Arial" w:cs="Arial"/>
          <w:sz w:val="22"/>
        </w:rPr>
        <w:t>r</w:t>
      </w:r>
      <w:r w:rsidR="00AD15FC" w:rsidRPr="0065052C">
        <w:rPr>
          <w:rFonts w:ascii="Arial" w:hAnsi="Arial" w:cs="Arial"/>
          <w:sz w:val="22"/>
        </w:rPr>
        <w:t>s Thompson’s case requires collaboration among professionals from various disciplines, including a general practitioner (GP) responsible for her medication, a community nurse monitoring her health following pneumonia, a home carer who visits her daily, and a social worker overseeing her safety and well-being (Glasby, 2017). Structured, consistent actions and proven approaches—such as interdisciplinary team meetings and shared care plans—are vital in this context. Equally important is the ongoing exchange of information regarding the patient’s functioning, particularly concerning significant changes in her daily habits and activities (Social Care Institute for Excellence, 2018).</w:t>
      </w:r>
    </w:p>
    <w:p w14:paraId="1E92B398" w14:textId="3CA7DB1D" w:rsidR="0039666E" w:rsidRPr="00CD33A8" w:rsidRDefault="00230B79" w:rsidP="00E26788">
      <w:pPr>
        <w:tabs>
          <w:tab w:val="left" w:pos="6540"/>
        </w:tabs>
        <w:spacing w:line="360" w:lineRule="auto"/>
        <w:jc w:val="both"/>
        <w:rPr>
          <w:rFonts w:asciiTheme="minorBidi" w:hAnsiTheme="minorBidi"/>
          <w:sz w:val="22"/>
        </w:rPr>
      </w:pPr>
      <w:r w:rsidRPr="0065052C">
        <w:rPr>
          <w:rFonts w:ascii="Arial" w:hAnsi="Arial" w:cs="Arial"/>
          <w:sz w:val="22"/>
        </w:rPr>
        <w:t xml:space="preserve">However, collaboration between various agencies faces numerous organizational barriers. Key challenges include a lack of cross-sector communication—a factor that plays a crucial role in this context. Delays in incident reporting and the use of disparate documentation </w:t>
      </w:r>
      <w:r w:rsidRPr="0065052C">
        <w:rPr>
          <w:rFonts w:ascii="Arial" w:hAnsi="Arial" w:cs="Arial"/>
          <w:sz w:val="22"/>
        </w:rPr>
        <w:lastRenderedPageBreak/>
        <w:t>systems also present significant problems (Glasby, 2017).</w:t>
      </w:r>
      <w:r w:rsidR="000F4BF5">
        <w:rPr>
          <w:rFonts w:ascii="Arial" w:hAnsi="Arial" w:cs="Arial"/>
          <w:sz w:val="22"/>
        </w:rPr>
        <w:t xml:space="preserve"> </w:t>
      </w:r>
      <w:r w:rsidR="000F4BF5" w:rsidRPr="000F4BF5">
        <w:rPr>
          <w:rFonts w:ascii="Arial" w:hAnsi="Arial" w:cs="Arial"/>
          <w:sz w:val="22"/>
        </w:rPr>
        <w:t>Furthermore, unclear professional role boundaries and differing organizational priorities under severe time pressure can create service fragmentation; for Mrs Thompson, this might result in confusion over whether the community nurse or home carer is responsible for monitoring her daily nutritional and thermal safety, which can be mitigated by clearly defined multidisciplinary key-worker protocols.</w:t>
      </w:r>
      <w:r w:rsidRPr="0065052C">
        <w:rPr>
          <w:rFonts w:ascii="Arial" w:hAnsi="Arial" w:cs="Arial"/>
          <w:sz w:val="22"/>
        </w:rPr>
        <w:t xml:space="preserve"> In M</w:t>
      </w:r>
      <w:r w:rsidR="000F4034" w:rsidRPr="0065052C">
        <w:rPr>
          <w:rFonts w:ascii="Arial" w:hAnsi="Arial" w:cs="Arial"/>
          <w:sz w:val="22"/>
        </w:rPr>
        <w:t>r</w:t>
      </w:r>
      <w:r w:rsidRPr="0065052C">
        <w:rPr>
          <w:rFonts w:ascii="Arial" w:hAnsi="Arial" w:cs="Arial"/>
          <w:sz w:val="22"/>
        </w:rPr>
        <w:t xml:space="preserve">s Thompson’s case, a lack of coordinated information exchange between home care providers and, for instance, her physician could lead to dangerous situations, such as missed medication doses or worsening disorientation. Therefore, it is vital to implement corrective measures—such as integrated digital systems for efficient information sharing or the appointment of a care coordinator. Individual services must also clearly understand their respective areas of responsibility (Social Care Institute for Excellence, 2018). </w:t>
      </w:r>
      <w:r w:rsidR="007B2C9B" w:rsidRPr="007B2C9B">
        <w:rPr>
          <w:rFonts w:ascii="Arial" w:hAnsi="Arial" w:cs="Arial"/>
          <w:sz w:val="22"/>
        </w:rPr>
        <w:t>A comprehensive care plan addressing these structural challenges ensures prompt intervention during concerning incidents, thereby mitigating risks to the patient's overall health and well-being while enabling multidisciplinary services to continuously monitor and analyse her evolving needs.</w:t>
      </w:r>
    </w:p>
    <w:p w14:paraId="16FAF0EA" w14:textId="2F93A55A" w:rsidR="00B87E75" w:rsidRPr="00CD33A8" w:rsidRDefault="008E3943" w:rsidP="00E620E7">
      <w:pPr>
        <w:pStyle w:val="Heading1"/>
      </w:pPr>
      <w:bookmarkStart w:id="4" w:name="_Toc237021611"/>
      <w:r>
        <w:t>5</w:t>
      </w:r>
      <w:r w:rsidR="00B87E75" w:rsidRPr="00CD33A8">
        <w:t>. Conclusion</w:t>
      </w:r>
      <w:bookmarkEnd w:id="4"/>
      <w:r w:rsidR="00CD33A8">
        <w:t xml:space="preserve"> </w:t>
      </w:r>
    </w:p>
    <w:p w14:paraId="18B363C5" w14:textId="1A50FC3D" w:rsidR="00673FCC" w:rsidRPr="0065052C" w:rsidRDefault="00673FCC" w:rsidP="00E26788">
      <w:pPr>
        <w:tabs>
          <w:tab w:val="left" w:pos="6540"/>
        </w:tabs>
        <w:spacing w:line="360" w:lineRule="auto"/>
        <w:jc w:val="both"/>
        <w:rPr>
          <w:rFonts w:ascii="Arial" w:hAnsi="Arial" w:cs="Arial"/>
          <w:sz w:val="22"/>
        </w:rPr>
      </w:pPr>
      <w:r w:rsidRPr="0065052C">
        <w:rPr>
          <w:rFonts w:ascii="Arial" w:hAnsi="Arial" w:cs="Arial"/>
          <w:sz w:val="22"/>
        </w:rPr>
        <w:t>In summary, person-centred care necessitates an integrated approach in which elements such as communication, administration, and inter-sectoral collaboration complement one another. M</w:t>
      </w:r>
      <w:r w:rsidR="007C7753" w:rsidRPr="0065052C">
        <w:rPr>
          <w:rFonts w:ascii="Arial" w:hAnsi="Arial" w:cs="Arial"/>
          <w:sz w:val="22"/>
        </w:rPr>
        <w:t>r</w:t>
      </w:r>
      <w:r w:rsidRPr="0065052C">
        <w:rPr>
          <w:rFonts w:ascii="Arial" w:hAnsi="Arial" w:cs="Arial"/>
          <w:sz w:val="22"/>
        </w:rPr>
        <w:t>s Thompson’s case demonstrates that building trust and minimi</w:t>
      </w:r>
      <w:r w:rsidR="006028D7">
        <w:rPr>
          <w:rFonts w:ascii="Arial" w:hAnsi="Arial" w:cs="Arial"/>
          <w:sz w:val="22"/>
        </w:rPr>
        <w:t>s</w:t>
      </w:r>
      <w:r w:rsidRPr="0065052C">
        <w:rPr>
          <w:rFonts w:ascii="Arial" w:hAnsi="Arial" w:cs="Arial"/>
          <w:sz w:val="22"/>
        </w:rPr>
        <w:t>ing anxiety in a patient with dementia requires a communication strategy that prioriti</w:t>
      </w:r>
      <w:r w:rsidR="00E74F85">
        <w:rPr>
          <w:rFonts w:ascii="Arial" w:hAnsi="Arial" w:cs="Arial"/>
          <w:sz w:val="22"/>
        </w:rPr>
        <w:t>s</w:t>
      </w:r>
      <w:r w:rsidRPr="0065052C">
        <w:rPr>
          <w:rFonts w:ascii="Arial" w:hAnsi="Arial" w:cs="Arial"/>
          <w:sz w:val="22"/>
        </w:rPr>
        <w:t>es simple, accessible language and visual aids. Adherence to the Data Protection Act 2018 and the maintenance of up-to-date patient records ensure the protection of data confidentiality, the continuity of high-quality care, and the timely identification of potential risks.</w:t>
      </w:r>
    </w:p>
    <w:p w14:paraId="444BAD02" w14:textId="4077F19F" w:rsidR="00814A9E" w:rsidRPr="00CD33A8" w:rsidRDefault="00F57903" w:rsidP="00141EF6">
      <w:pPr>
        <w:tabs>
          <w:tab w:val="left" w:pos="6540"/>
        </w:tabs>
        <w:spacing w:line="360" w:lineRule="auto"/>
        <w:jc w:val="both"/>
        <w:rPr>
          <w:rFonts w:asciiTheme="minorBidi" w:hAnsiTheme="minorBidi"/>
          <w:sz w:val="22"/>
        </w:rPr>
      </w:pPr>
      <w:r w:rsidRPr="00F57903">
        <w:rPr>
          <w:rFonts w:ascii="Arial" w:hAnsi="Arial" w:cs="Arial"/>
          <w:sz w:val="22"/>
        </w:rPr>
        <w:t>Finally, providing comprehensive support requires the reduction of organizational barriers through seamless collaboration among multi-agency professionals, including general practitioners, community nurses, home carers, and social workers. Ultimately, these three interconnected domains—effective communication, robust administrative record-keeping, and integrated multi-agency working—function synergistically. By reinforcing one another, they effectively mitigate the risk of further medication errors and safeguarding concerns, ensuring high standards of person-centred practice that protect Mrs Thompson’s safety, health, and dignity.</w:t>
      </w: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lastRenderedPageBreak/>
        <w:br w:type="page"/>
      </w:r>
    </w:p>
    <w:p w14:paraId="33F8F0BD" w14:textId="597FD84B" w:rsidR="00B87E75" w:rsidRPr="00CD33A8" w:rsidRDefault="00B87E75" w:rsidP="00E620E7">
      <w:pPr>
        <w:pStyle w:val="Heading1"/>
      </w:pPr>
      <w:bookmarkStart w:id="5" w:name="_Toc237021612"/>
      <w:r w:rsidRPr="00CD33A8">
        <w:lastRenderedPageBreak/>
        <w:t>References</w:t>
      </w:r>
      <w:bookmarkEnd w:id="5"/>
    </w:p>
    <w:p w14:paraId="7B56E05B" w14:textId="77777777" w:rsidR="00882A13" w:rsidRPr="00323790" w:rsidRDefault="00882A13" w:rsidP="00323790">
      <w:pPr>
        <w:tabs>
          <w:tab w:val="left" w:pos="6540"/>
        </w:tabs>
        <w:spacing w:line="360" w:lineRule="auto"/>
        <w:rPr>
          <w:rFonts w:ascii="Arial" w:hAnsi="Arial" w:cs="Arial"/>
          <w:sz w:val="22"/>
        </w:rPr>
      </w:pPr>
      <w:r w:rsidRPr="00323790">
        <w:rPr>
          <w:rFonts w:ascii="Arial" w:hAnsi="Arial" w:cs="Arial"/>
          <w:sz w:val="22"/>
        </w:rPr>
        <w:t xml:space="preserve">Berlo, D.K. (1960) </w:t>
      </w:r>
      <w:r w:rsidRPr="00323790">
        <w:rPr>
          <w:rFonts w:ascii="Arial" w:hAnsi="Arial" w:cs="Arial"/>
          <w:i/>
          <w:iCs/>
          <w:sz w:val="22"/>
        </w:rPr>
        <w:t>The Process of Communication: An Introduction to Theory and Practice.</w:t>
      </w:r>
      <w:r w:rsidRPr="00323790">
        <w:rPr>
          <w:rFonts w:ascii="Arial" w:hAnsi="Arial" w:cs="Arial"/>
          <w:sz w:val="22"/>
        </w:rPr>
        <w:t xml:space="preserve"> New York: Holt, Rinehart and Winston. </w:t>
      </w:r>
    </w:p>
    <w:p w14:paraId="414EDDB3" w14:textId="77777777" w:rsidR="00024DA9" w:rsidRPr="00323790" w:rsidRDefault="00024DA9" w:rsidP="00323790">
      <w:pPr>
        <w:tabs>
          <w:tab w:val="left" w:pos="6540"/>
        </w:tabs>
        <w:spacing w:line="360" w:lineRule="auto"/>
        <w:rPr>
          <w:rFonts w:ascii="Arial" w:hAnsi="Arial" w:cs="Arial"/>
          <w:sz w:val="22"/>
        </w:rPr>
      </w:pPr>
      <w:r w:rsidRPr="00323790">
        <w:rPr>
          <w:rFonts w:ascii="Arial" w:hAnsi="Arial" w:cs="Arial"/>
          <w:sz w:val="22"/>
        </w:rPr>
        <w:t xml:space="preserve">Care Quality Commission (CQC) (2021) Regulation 17: Good governance. Newcastle upon Tyne: CQC. Available at: </w:t>
      </w:r>
      <w:hyperlink r:id="rId9" w:tgtFrame="_blank" w:history="1">
        <w:r w:rsidRPr="00323790">
          <w:rPr>
            <w:rStyle w:val="Hyperlink"/>
            <w:rFonts w:ascii="Arial" w:hAnsi="Arial" w:cs="Arial"/>
            <w:sz w:val="22"/>
          </w:rPr>
          <w:t>https://www.cqc.org.uk/guidance-providers/regulations-enforcement/regulation-17-good-governance</w:t>
        </w:r>
      </w:hyperlink>
      <w:r w:rsidRPr="00323790">
        <w:rPr>
          <w:rFonts w:ascii="Arial" w:hAnsi="Arial" w:cs="Arial"/>
          <w:sz w:val="22"/>
        </w:rPr>
        <w:t xml:space="preserve"> (Accessed: 7 August 2026). </w:t>
      </w:r>
    </w:p>
    <w:p w14:paraId="0D17FB59" w14:textId="77777777" w:rsidR="00024DA9" w:rsidRPr="00323790" w:rsidRDefault="00024DA9" w:rsidP="00323790">
      <w:pPr>
        <w:tabs>
          <w:tab w:val="left" w:pos="6540"/>
        </w:tabs>
        <w:spacing w:line="360" w:lineRule="auto"/>
        <w:rPr>
          <w:rFonts w:ascii="Arial" w:hAnsi="Arial" w:cs="Arial"/>
          <w:sz w:val="22"/>
        </w:rPr>
      </w:pPr>
      <w:r w:rsidRPr="00323790">
        <w:rPr>
          <w:rFonts w:ascii="Arial" w:hAnsi="Arial" w:cs="Arial"/>
          <w:sz w:val="22"/>
        </w:rPr>
        <w:t xml:space="preserve">Data Protection Act 2018 c. 12. Available at: </w:t>
      </w:r>
      <w:hyperlink r:id="rId10" w:tgtFrame="_blank" w:history="1">
        <w:r w:rsidRPr="00323790">
          <w:rPr>
            <w:rStyle w:val="Hyperlink"/>
            <w:rFonts w:ascii="Arial" w:hAnsi="Arial" w:cs="Arial"/>
            <w:sz w:val="22"/>
          </w:rPr>
          <w:t>https://www.legislation.gov.uk/ukpga/2018/12/contents</w:t>
        </w:r>
      </w:hyperlink>
      <w:r w:rsidRPr="00323790">
        <w:rPr>
          <w:rFonts w:ascii="Arial" w:hAnsi="Arial" w:cs="Arial"/>
          <w:sz w:val="22"/>
        </w:rPr>
        <w:t xml:space="preserve"> (Accessed: 7 August 2026).</w:t>
      </w:r>
    </w:p>
    <w:p w14:paraId="25F257B9" w14:textId="77777777" w:rsidR="007821DD" w:rsidRPr="00323790" w:rsidRDefault="007821DD" w:rsidP="00323790">
      <w:pPr>
        <w:tabs>
          <w:tab w:val="left" w:pos="6540"/>
        </w:tabs>
        <w:spacing w:line="360" w:lineRule="auto"/>
        <w:rPr>
          <w:rFonts w:ascii="Arial" w:hAnsi="Arial" w:cs="Arial"/>
          <w:sz w:val="22"/>
        </w:rPr>
      </w:pPr>
      <w:r w:rsidRPr="00323790">
        <w:rPr>
          <w:rFonts w:ascii="Arial" w:hAnsi="Arial" w:cs="Arial"/>
          <w:sz w:val="22"/>
        </w:rPr>
        <w:t xml:space="preserve">Department of Health and Social Care (DHSC) (2020) Care and Support Statutory Guidance. London: HMSO. Equality Act 2010 c. 15. Available at: </w:t>
      </w:r>
      <w:hyperlink r:id="rId11" w:tgtFrame="_blank" w:history="1">
        <w:r w:rsidRPr="00323790">
          <w:rPr>
            <w:rStyle w:val="Hyperlink"/>
            <w:rFonts w:ascii="Arial" w:hAnsi="Arial" w:cs="Arial"/>
            <w:sz w:val="22"/>
          </w:rPr>
          <w:t>https://www.legislation.gov.uk/ukpga/2010/15/contents</w:t>
        </w:r>
      </w:hyperlink>
      <w:r w:rsidRPr="00323790">
        <w:rPr>
          <w:rFonts w:ascii="Arial" w:hAnsi="Arial" w:cs="Arial"/>
          <w:sz w:val="22"/>
        </w:rPr>
        <w:t xml:space="preserve"> (Accessed: 7 August 2026).</w:t>
      </w:r>
    </w:p>
    <w:p w14:paraId="5D68888D" w14:textId="77777777" w:rsidR="007821DD" w:rsidRPr="00323790" w:rsidRDefault="007821DD" w:rsidP="00323790">
      <w:pPr>
        <w:tabs>
          <w:tab w:val="left" w:pos="6540"/>
        </w:tabs>
        <w:spacing w:line="360" w:lineRule="auto"/>
        <w:rPr>
          <w:rFonts w:ascii="Arial" w:hAnsi="Arial" w:cs="Arial"/>
          <w:sz w:val="22"/>
        </w:rPr>
      </w:pPr>
      <w:r w:rsidRPr="00323790">
        <w:rPr>
          <w:rFonts w:ascii="Arial" w:hAnsi="Arial" w:cs="Arial"/>
          <w:sz w:val="22"/>
        </w:rPr>
        <w:t xml:space="preserve">Glasby, J. (2017) </w:t>
      </w:r>
      <w:r w:rsidRPr="00323790">
        <w:rPr>
          <w:rFonts w:ascii="Arial" w:hAnsi="Arial" w:cs="Arial"/>
          <w:i/>
          <w:iCs/>
          <w:sz w:val="22"/>
        </w:rPr>
        <w:t>Understanding Health and Social Care.</w:t>
      </w:r>
      <w:r w:rsidRPr="00323790">
        <w:rPr>
          <w:rFonts w:ascii="Arial" w:hAnsi="Arial" w:cs="Arial"/>
          <w:sz w:val="22"/>
        </w:rPr>
        <w:t xml:space="preserve"> 3rd edn. Bristol: Policy Press.</w:t>
      </w:r>
    </w:p>
    <w:p w14:paraId="073B83D8" w14:textId="77777777" w:rsidR="007821DD" w:rsidRDefault="007821DD" w:rsidP="00323790">
      <w:pPr>
        <w:tabs>
          <w:tab w:val="left" w:pos="6540"/>
        </w:tabs>
        <w:spacing w:line="360" w:lineRule="auto"/>
        <w:rPr>
          <w:rFonts w:ascii="Arial" w:hAnsi="Arial" w:cs="Arial"/>
          <w:sz w:val="22"/>
        </w:rPr>
      </w:pPr>
      <w:r w:rsidRPr="00323790">
        <w:rPr>
          <w:rFonts w:ascii="Arial" w:hAnsi="Arial" w:cs="Arial"/>
          <w:sz w:val="22"/>
        </w:rPr>
        <w:t xml:space="preserve">Kitwood, T. (1997) </w:t>
      </w:r>
      <w:r w:rsidRPr="00323790">
        <w:rPr>
          <w:rFonts w:ascii="Arial" w:hAnsi="Arial" w:cs="Arial"/>
          <w:i/>
          <w:iCs/>
          <w:sz w:val="22"/>
        </w:rPr>
        <w:t>Dementia Reconsidered: The Person Comes First.</w:t>
      </w:r>
      <w:r w:rsidRPr="00323790">
        <w:rPr>
          <w:rFonts w:ascii="Arial" w:hAnsi="Arial" w:cs="Arial"/>
          <w:sz w:val="22"/>
        </w:rPr>
        <w:t xml:space="preserve"> Buckingham: Open University Press. Social Care Institute for Excellence (SCIE) (2018) Delivering integrated care: Effective multidisciplinary working. </w:t>
      </w:r>
      <w:r w:rsidRPr="00DA3FCB">
        <w:rPr>
          <w:rFonts w:ascii="Arial" w:hAnsi="Arial" w:cs="Arial"/>
          <w:sz w:val="22"/>
        </w:rPr>
        <w:t xml:space="preserve">London: SCIE. </w:t>
      </w:r>
    </w:p>
    <w:p w14:paraId="3FACF976" w14:textId="5FCED58A" w:rsidR="00CC2EA0" w:rsidRPr="00DA3FCB" w:rsidRDefault="00CC2EA0" w:rsidP="00323790">
      <w:pPr>
        <w:tabs>
          <w:tab w:val="left" w:pos="6540"/>
        </w:tabs>
        <w:spacing w:line="360" w:lineRule="auto"/>
        <w:rPr>
          <w:rFonts w:ascii="Arial" w:hAnsi="Arial" w:cs="Arial"/>
          <w:sz w:val="22"/>
        </w:rPr>
      </w:pPr>
      <w:r w:rsidRPr="00CC2EA0">
        <w:rPr>
          <w:rFonts w:ascii="Arial" w:hAnsi="Arial" w:cs="Arial"/>
          <w:sz w:val="22"/>
        </w:rPr>
        <w:t xml:space="preserve">NHS England (2023) </w:t>
      </w:r>
      <w:r w:rsidRPr="00CC2EA0">
        <w:rPr>
          <w:rFonts w:ascii="Arial" w:hAnsi="Arial" w:cs="Arial"/>
          <w:i/>
          <w:iCs/>
          <w:sz w:val="22"/>
        </w:rPr>
        <w:t>Delivering integrated care: High-impact changes for care coordination and multidisciplinary working</w:t>
      </w:r>
      <w:r w:rsidRPr="00CC2EA0">
        <w:rPr>
          <w:rFonts w:ascii="Arial" w:hAnsi="Arial" w:cs="Arial"/>
          <w:sz w:val="22"/>
        </w:rPr>
        <w:t xml:space="preserve">. London: NHS England. Available at: </w:t>
      </w:r>
      <w:hyperlink r:id="rId12" w:tgtFrame="_blank" w:history="1">
        <w:r w:rsidRPr="00CC2EA0">
          <w:rPr>
            <w:rStyle w:val="Hyperlink"/>
            <w:rFonts w:ascii="Arial" w:hAnsi="Arial" w:cs="Arial"/>
            <w:sz w:val="22"/>
          </w:rPr>
          <w:t>https://www.england.nhs.uk/publication/delivering-integrated-care/</w:t>
        </w:r>
      </w:hyperlink>
      <w:r w:rsidRPr="00CC2EA0">
        <w:rPr>
          <w:rFonts w:ascii="Arial" w:hAnsi="Arial" w:cs="Arial"/>
          <w:sz w:val="22"/>
        </w:rPr>
        <w:t xml:space="preserve"> (Accessed: 17 August 2026). </w:t>
      </w:r>
    </w:p>
    <w:p w14:paraId="4EA47B41" w14:textId="77777777" w:rsidR="00682765" w:rsidRPr="00345F37" w:rsidRDefault="00682765" w:rsidP="00682765">
      <w:pPr>
        <w:tabs>
          <w:tab w:val="left" w:pos="6540"/>
        </w:tabs>
        <w:spacing w:line="360" w:lineRule="auto"/>
        <w:rPr>
          <w:rFonts w:ascii="Arial" w:hAnsi="Arial" w:cs="Arial"/>
          <w:sz w:val="22"/>
        </w:rPr>
      </w:pPr>
      <w:r w:rsidRPr="00345F37">
        <w:rPr>
          <w:rFonts w:ascii="Arial" w:hAnsi="Arial" w:cs="Arial"/>
          <w:sz w:val="22"/>
        </w:rPr>
        <w:t xml:space="preserve">Social Care Institute for Excellence (SCIE) (2023) </w:t>
      </w:r>
      <w:r w:rsidRPr="00345F37">
        <w:rPr>
          <w:rFonts w:ascii="Arial" w:hAnsi="Arial" w:cs="Arial"/>
          <w:i/>
          <w:iCs/>
          <w:sz w:val="22"/>
        </w:rPr>
        <w:t>Person-centred care for people living with dementia</w:t>
      </w:r>
      <w:r w:rsidRPr="00345F37">
        <w:rPr>
          <w:rFonts w:ascii="Arial" w:hAnsi="Arial" w:cs="Arial"/>
          <w:sz w:val="22"/>
        </w:rPr>
        <w:t xml:space="preserve">. London: SCIE. Available at: </w:t>
      </w:r>
      <w:hyperlink r:id="rId13" w:tgtFrame="_blank" w:history="1">
        <w:r w:rsidRPr="00345F37">
          <w:rPr>
            <w:rStyle w:val="Hyperlink"/>
            <w:rFonts w:ascii="Arial" w:hAnsi="Arial" w:cs="Arial"/>
            <w:sz w:val="22"/>
          </w:rPr>
          <w:t>https://www.scie.org.uk/dementia/person-centred-care/</w:t>
        </w:r>
      </w:hyperlink>
      <w:r w:rsidRPr="00345F37">
        <w:rPr>
          <w:rFonts w:ascii="Arial" w:hAnsi="Arial" w:cs="Arial"/>
          <w:sz w:val="22"/>
        </w:rPr>
        <w:t xml:space="preserve"> (Accessed: 13 August 2026).</w:t>
      </w:r>
    </w:p>
    <w:p w14:paraId="5606E4D2" w14:textId="77777777" w:rsidR="00024DA9" w:rsidRPr="00CD33A8" w:rsidRDefault="00024DA9" w:rsidP="00CD33A8">
      <w:pPr>
        <w:tabs>
          <w:tab w:val="left" w:pos="6540"/>
        </w:tabs>
        <w:spacing w:line="360" w:lineRule="auto"/>
        <w:rPr>
          <w:rFonts w:asciiTheme="minorBidi" w:hAnsiTheme="minorBidi"/>
          <w:sz w:val="22"/>
        </w:rPr>
      </w:pPr>
    </w:p>
    <w:sectPr w:rsidR="00024DA9" w:rsidRPr="00CD33A8"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BA18A" w14:textId="77777777" w:rsidR="0057440E" w:rsidRDefault="0057440E" w:rsidP="003E4ECF">
      <w:pPr>
        <w:spacing w:after="0" w:line="240" w:lineRule="auto"/>
      </w:pPr>
      <w:r>
        <w:separator/>
      </w:r>
    </w:p>
  </w:endnote>
  <w:endnote w:type="continuationSeparator" w:id="0">
    <w:p w14:paraId="1E5BCD06" w14:textId="77777777" w:rsidR="0057440E" w:rsidRDefault="0057440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7CE8A" w14:textId="77777777" w:rsidR="0057440E" w:rsidRDefault="0057440E" w:rsidP="003E4ECF">
      <w:pPr>
        <w:spacing w:after="0" w:line="240" w:lineRule="auto"/>
      </w:pPr>
      <w:r>
        <w:separator/>
      </w:r>
    </w:p>
  </w:footnote>
  <w:footnote w:type="continuationSeparator" w:id="0">
    <w:p w14:paraId="7D916341" w14:textId="77777777" w:rsidR="0057440E" w:rsidRDefault="0057440E"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081"/>
    <w:rsid w:val="000129DC"/>
    <w:rsid w:val="00024DA9"/>
    <w:rsid w:val="00027DD3"/>
    <w:rsid w:val="0003347D"/>
    <w:rsid w:val="00041814"/>
    <w:rsid w:val="000572BF"/>
    <w:rsid w:val="00060E46"/>
    <w:rsid w:val="00067A42"/>
    <w:rsid w:val="00074402"/>
    <w:rsid w:val="0008416C"/>
    <w:rsid w:val="000A1D85"/>
    <w:rsid w:val="000B7015"/>
    <w:rsid w:val="000F4034"/>
    <w:rsid w:val="000F4BF5"/>
    <w:rsid w:val="00131B30"/>
    <w:rsid w:val="00141EF6"/>
    <w:rsid w:val="001427FA"/>
    <w:rsid w:val="00150DA8"/>
    <w:rsid w:val="00155EE2"/>
    <w:rsid w:val="001742F4"/>
    <w:rsid w:val="00174861"/>
    <w:rsid w:val="001B2983"/>
    <w:rsid w:val="001D7499"/>
    <w:rsid w:val="001D7C03"/>
    <w:rsid w:val="001F0ECB"/>
    <w:rsid w:val="00203567"/>
    <w:rsid w:val="00215C7F"/>
    <w:rsid w:val="00216C85"/>
    <w:rsid w:val="00230B79"/>
    <w:rsid w:val="0023376A"/>
    <w:rsid w:val="00261FB8"/>
    <w:rsid w:val="0026393A"/>
    <w:rsid w:val="00273EDD"/>
    <w:rsid w:val="002757FA"/>
    <w:rsid w:val="002A4B0C"/>
    <w:rsid w:val="002C3965"/>
    <w:rsid w:val="0030311A"/>
    <w:rsid w:val="00321C4C"/>
    <w:rsid w:val="00323790"/>
    <w:rsid w:val="00345E55"/>
    <w:rsid w:val="00345F37"/>
    <w:rsid w:val="00374DA9"/>
    <w:rsid w:val="00377DEA"/>
    <w:rsid w:val="00390B4A"/>
    <w:rsid w:val="00392BBC"/>
    <w:rsid w:val="0039666E"/>
    <w:rsid w:val="00396B4A"/>
    <w:rsid w:val="003C4FE3"/>
    <w:rsid w:val="003D1594"/>
    <w:rsid w:val="003E4ECF"/>
    <w:rsid w:val="003E60CF"/>
    <w:rsid w:val="003F5F53"/>
    <w:rsid w:val="00425845"/>
    <w:rsid w:val="00446594"/>
    <w:rsid w:val="0045691F"/>
    <w:rsid w:val="004777C3"/>
    <w:rsid w:val="004A736E"/>
    <w:rsid w:val="00507EEE"/>
    <w:rsid w:val="00514456"/>
    <w:rsid w:val="00541B72"/>
    <w:rsid w:val="00551C62"/>
    <w:rsid w:val="0057440E"/>
    <w:rsid w:val="00583F18"/>
    <w:rsid w:val="005854F5"/>
    <w:rsid w:val="005A6CB4"/>
    <w:rsid w:val="005C6446"/>
    <w:rsid w:val="005F70BB"/>
    <w:rsid w:val="006028D7"/>
    <w:rsid w:val="0065052C"/>
    <w:rsid w:val="00655E2D"/>
    <w:rsid w:val="0065662F"/>
    <w:rsid w:val="00660400"/>
    <w:rsid w:val="00673FCC"/>
    <w:rsid w:val="00682765"/>
    <w:rsid w:val="006925AA"/>
    <w:rsid w:val="006B1DF1"/>
    <w:rsid w:val="006D17E1"/>
    <w:rsid w:val="006E7A30"/>
    <w:rsid w:val="00725177"/>
    <w:rsid w:val="007577A0"/>
    <w:rsid w:val="007821DD"/>
    <w:rsid w:val="0079419D"/>
    <w:rsid w:val="007A1B8D"/>
    <w:rsid w:val="007B1442"/>
    <w:rsid w:val="007B2C9B"/>
    <w:rsid w:val="007C3278"/>
    <w:rsid w:val="007C7753"/>
    <w:rsid w:val="007D7D5E"/>
    <w:rsid w:val="007E358A"/>
    <w:rsid w:val="00814A9E"/>
    <w:rsid w:val="008254EE"/>
    <w:rsid w:val="0083266D"/>
    <w:rsid w:val="0083333D"/>
    <w:rsid w:val="00854F6B"/>
    <w:rsid w:val="008709E5"/>
    <w:rsid w:val="00882A13"/>
    <w:rsid w:val="008852A6"/>
    <w:rsid w:val="008861E6"/>
    <w:rsid w:val="008D56E0"/>
    <w:rsid w:val="008D7B59"/>
    <w:rsid w:val="008E3943"/>
    <w:rsid w:val="0090040D"/>
    <w:rsid w:val="0098404D"/>
    <w:rsid w:val="00991C46"/>
    <w:rsid w:val="009A00BA"/>
    <w:rsid w:val="009D052C"/>
    <w:rsid w:val="009D1D1E"/>
    <w:rsid w:val="00A0188D"/>
    <w:rsid w:val="00A035FD"/>
    <w:rsid w:val="00A10E2F"/>
    <w:rsid w:val="00A55924"/>
    <w:rsid w:val="00A8524E"/>
    <w:rsid w:val="00AA4D1E"/>
    <w:rsid w:val="00AB0738"/>
    <w:rsid w:val="00AB6A43"/>
    <w:rsid w:val="00AB7C69"/>
    <w:rsid w:val="00AB7DCF"/>
    <w:rsid w:val="00AD15FC"/>
    <w:rsid w:val="00AD23A0"/>
    <w:rsid w:val="00AE1B9F"/>
    <w:rsid w:val="00AE37EB"/>
    <w:rsid w:val="00B52C15"/>
    <w:rsid w:val="00B87E75"/>
    <w:rsid w:val="00BC5DF8"/>
    <w:rsid w:val="00BD1521"/>
    <w:rsid w:val="00BD1931"/>
    <w:rsid w:val="00C23042"/>
    <w:rsid w:val="00C56387"/>
    <w:rsid w:val="00C77AD5"/>
    <w:rsid w:val="00C859BD"/>
    <w:rsid w:val="00CA3D15"/>
    <w:rsid w:val="00CC1424"/>
    <w:rsid w:val="00CC2EA0"/>
    <w:rsid w:val="00CC4EDE"/>
    <w:rsid w:val="00CD33A8"/>
    <w:rsid w:val="00CD6836"/>
    <w:rsid w:val="00CE424F"/>
    <w:rsid w:val="00D0214D"/>
    <w:rsid w:val="00D160C8"/>
    <w:rsid w:val="00DA3FCB"/>
    <w:rsid w:val="00DB234C"/>
    <w:rsid w:val="00E0497F"/>
    <w:rsid w:val="00E102B3"/>
    <w:rsid w:val="00E26788"/>
    <w:rsid w:val="00E4663F"/>
    <w:rsid w:val="00E569FD"/>
    <w:rsid w:val="00E620E7"/>
    <w:rsid w:val="00E74F85"/>
    <w:rsid w:val="00E81EDC"/>
    <w:rsid w:val="00F42F84"/>
    <w:rsid w:val="00F438ED"/>
    <w:rsid w:val="00F45A39"/>
    <w:rsid w:val="00F5137B"/>
    <w:rsid w:val="00F57903"/>
    <w:rsid w:val="00F62C66"/>
    <w:rsid w:val="00F66E1B"/>
    <w:rsid w:val="00F7225D"/>
    <w:rsid w:val="00F869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024DA9"/>
    <w:rPr>
      <w:color w:val="0563C1" w:themeColor="hyperlink"/>
      <w:u w:val="single"/>
    </w:rPr>
  </w:style>
  <w:style w:type="character" w:styleId="UnresolvedMention">
    <w:name w:val="Unresolved Mention"/>
    <w:basedOn w:val="DefaultParagraphFont"/>
    <w:uiPriority w:val="99"/>
    <w:semiHidden/>
    <w:unhideWhenUsed/>
    <w:rsid w:val="00024DA9"/>
    <w:rPr>
      <w:color w:val="605E5C"/>
      <w:shd w:val="clear" w:color="auto" w:fill="E1DFDD"/>
    </w:rPr>
  </w:style>
  <w:style w:type="paragraph" w:styleId="TOCHeading">
    <w:name w:val="TOC Heading"/>
    <w:basedOn w:val="Heading1"/>
    <w:next w:val="Normal"/>
    <w:uiPriority w:val="39"/>
    <w:unhideWhenUsed/>
    <w:qFormat/>
    <w:rsid w:val="00215C7F"/>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215C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org.uk/dementia/person-centred-ca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publication/delivering-integrate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cqc.org.uk/guidance-providers/regulations-enforcement/regulation-17-good-governa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9094A7-3E64-4553-88D9-29140E78F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8</Pages>
  <Words>1967</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Lukasz Blechert</cp:lastModifiedBy>
  <cp:revision>126</cp:revision>
  <dcterms:created xsi:type="dcterms:W3CDTF">2021-10-31T12:16:00Z</dcterms:created>
  <dcterms:modified xsi:type="dcterms:W3CDTF">2026-08-17T13:07:00Z</dcterms:modified>
</cp:coreProperties>
</file>