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823699467"/>
        <w:docPartObj>
          <w:docPartGallery w:val="Cover Pages"/>
          <w:docPartUnique/>
        </w:docPartObj>
      </w:sdtPr>
      <w:sdtEndPr>
        <w:rPr>
          <w:rFonts w:ascii="Arial" w:eastAsiaTheme="minorHAnsi" w:hAnsi="Arial" w:cs="Arial"/>
          <w:b/>
          <w:bCs/>
          <w:sz w:val="24"/>
          <w:szCs w:val="24"/>
          <w:u w:val="single"/>
          <w:lang w:val="en-GB"/>
          <w14:ligatures w14:val="standardContextual"/>
        </w:rPr>
      </w:sdtEndPr>
      <w:sdtContent>
        <w:p w14:paraId="0FDF7FF3" w14:textId="41FD8813" w:rsidR="00E046CF" w:rsidRDefault="00E046CF">
          <w:pPr>
            <w:pStyle w:val="NoSpacing"/>
            <w:rPr>
              <w:sz w:val="2"/>
            </w:rPr>
          </w:pPr>
        </w:p>
        <w:p w14:paraId="0C3C5895" w14:textId="642B1FF7" w:rsidR="00E046CF" w:rsidRDefault="00E046CF">
          <w:pPr>
            <w:rPr>
              <w:sz w:val="52"/>
              <w:szCs w:val="52"/>
            </w:rPr>
          </w:pPr>
          <w:r>
            <w:rPr>
              <w:noProof/>
              <w:color w:val="156082" w:themeColor="accent1"/>
              <w:sz w:val="36"/>
              <w:szCs w:val="36"/>
            </w:rPr>
            <mc:AlternateContent>
              <mc:Choice Requires="wpg">
                <w:drawing>
                  <wp:anchor distT="0" distB="0" distL="114300" distR="114300" simplePos="0" relativeHeight="251660288" behindDoc="1" locked="0" layoutInCell="1" allowOverlap="1" wp14:anchorId="29CFE7DA" wp14:editId="1947645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E6EB59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t xml:space="preserve">                                                                                                </w:t>
          </w:r>
          <w:r w:rsidRPr="00E046CF">
            <w:rPr>
              <w:sz w:val="52"/>
              <w:szCs w:val="52"/>
            </w:rPr>
            <w:t xml:space="preserve">Management &amp; Organisational Behaviour </w:t>
          </w:r>
        </w:p>
        <w:p w14:paraId="00F18586" w14:textId="06F556EE" w:rsidR="00E046CF" w:rsidRDefault="00E046CF">
          <w:pPr>
            <w:rPr>
              <w:sz w:val="40"/>
              <w:szCs w:val="40"/>
            </w:rPr>
          </w:pPr>
          <w:r>
            <w:rPr>
              <w:sz w:val="40"/>
              <w:szCs w:val="40"/>
            </w:rPr>
            <w:t xml:space="preserve">                                                                                             BMIH5004</w:t>
          </w:r>
        </w:p>
        <w:p w14:paraId="2431D9A2" w14:textId="0D149A24" w:rsidR="00E046CF" w:rsidRDefault="00E046CF">
          <w:pPr>
            <w:rPr>
              <w:sz w:val="40"/>
              <w:szCs w:val="40"/>
            </w:rPr>
          </w:pPr>
          <w:r>
            <w:rPr>
              <w:sz w:val="40"/>
              <w:szCs w:val="40"/>
            </w:rPr>
            <w:t xml:space="preserve"> Amanioaei Eliza Andreea </w:t>
          </w:r>
        </w:p>
        <w:p w14:paraId="03993EF0" w14:textId="0F182D9B" w:rsidR="00E046CF" w:rsidRDefault="00E046CF">
          <w:pPr>
            <w:rPr>
              <w:sz w:val="40"/>
              <w:szCs w:val="40"/>
            </w:rPr>
          </w:pPr>
          <w:r>
            <w:rPr>
              <w:sz w:val="40"/>
              <w:szCs w:val="40"/>
            </w:rPr>
            <w:t>Group E</w:t>
          </w:r>
        </w:p>
        <w:p w14:paraId="10C8B3A5" w14:textId="774A6EE1" w:rsidR="00E046CF" w:rsidRDefault="00E046CF">
          <w:pPr>
            <w:rPr>
              <w:sz w:val="40"/>
              <w:szCs w:val="40"/>
            </w:rPr>
          </w:pPr>
          <w:r>
            <w:rPr>
              <w:sz w:val="40"/>
              <w:szCs w:val="40"/>
            </w:rPr>
            <w:t xml:space="preserve">module lecture : Ernest </w:t>
          </w:r>
          <w:proofErr w:type="spellStart"/>
          <w:r>
            <w:rPr>
              <w:sz w:val="40"/>
              <w:szCs w:val="40"/>
            </w:rPr>
            <w:t>Wavei</w:t>
          </w:r>
          <w:proofErr w:type="spellEnd"/>
          <w:r>
            <w:rPr>
              <w:sz w:val="40"/>
              <w:szCs w:val="40"/>
            </w:rPr>
            <w:t xml:space="preserve"> </w:t>
          </w:r>
        </w:p>
        <w:p w14:paraId="1A52B8C8" w14:textId="4EF2AE96" w:rsidR="00E046CF" w:rsidRDefault="00E046CF">
          <w:pPr>
            <w:rPr>
              <w:sz w:val="40"/>
              <w:szCs w:val="40"/>
            </w:rPr>
          </w:pPr>
          <w:r>
            <w:rPr>
              <w:sz w:val="40"/>
              <w:szCs w:val="40"/>
            </w:rPr>
            <w:t xml:space="preserve">wordcount :2.113  </w:t>
          </w:r>
        </w:p>
        <w:p w14:paraId="5C713144" w14:textId="77777777" w:rsidR="00E046CF" w:rsidRPr="00E046CF" w:rsidRDefault="00E046CF">
          <w:pPr>
            <w:rPr>
              <w:sz w:val="40"/>
              <w:szCs w:val="40"/>
            </w:rPr>
          </w:pPr>
        </w:p>
        <w:p w14:paraId="1999DA87" w14:textId="77777777" w:rsidR="00E046CF" w:rsidRPr="00E046CF" w:rsidRDefault="00E046CF">
          <w:pPr>
            <w:rPr>
              <w:sz w:val="52"/>
              <w:szCs w:val="52"/>
            </w:rPr>
          </w:pPr>
        </w:p>
        <w:p w14:paraId="5EC9612B" w14:textId="5F21F375" w:rsidR="00E046CF" w:rsidRDefault="00E046CF">
          <w:pPr>
            <w:rPr>
              <w:rFonts w:ascii="Arial" w:hAnsi="Arial" w:cs="Arial"/>
              <w:b/>
              <w:bCs/>
              <w:sz w:val="24"/>
              <w:szCs w:val="24"/>
              <w:u w:val="single"/>
            </w:rPr>
          </w:pPr>
          <w:r>
            <w:rPr>
              <w:rFonts w:ascii="Arial" w:hAnsi="Arial" w:cs="Arial"/>
              <w:b/>
              <w:bCs/>
              <w:sz w:val="24"/>
              <w:szCs w:val="24"/>
              <w:u w:val="single"/>
            </w:rPr>
            <w:br w:type="page"/>
          </w:r>
        </w:p>
      </w:sdtContent>
    </w:sdt>
    <w:p w14:paraId="74934F8B" w14:textId="0B1C7BE3" w:rsidR="007A7E5E" w:rsidRPr="007A7E5E" w:rsidRDefault="006B3E40" w:rsidP="00D16F12">
      <w:pPr>
        <w:spacing w:line="360" w:lineRule="auto"/>
        <w:jc w:val="both"/>
        <w:rPr>
          <w:rFonts w:ascii="Arial" w:hAnsi="Arial" w:cs="Arial"/>
          <w:b/>
          <w:bCs/>
          <w:sz w:val="24"/>
          <w:szCs w:val="24"/>
          <w:u w:val="single"/>
        </w:rPr>
      </w:pPr>
      <w:r>
        <w:rPr>
          <w:rFonts w:ascii="Arial" w:hAnsi="Arial" w:cs="Arial"/>
          <w:b/>
          <w:bCs/>
          <w:sz w:val="24"/>
          <w:szCs w:val="24"/>
          <w:u w:val="single"/>
        </w:rPr>
        <w:t xml:space="preserve"> </w:t>
      </w:r>
      <w:r w:rsidR="007A7E5E" w:rsidRPr="007A7E5E">
        <w:rPr>
          <w:rFonts w:ascii="Arial" w:hAnsi="Arial" w:cs="Arial"/>
          <w:b/>
          <w:bCs/>
          <w:sz w:val="24"/>
          <w:szCs w:val="24"/>
          <w:u w:val="single"/>
        </w:rPr>
        <w:t>Introduction</w:t>
      </w:r>
    </w:p>
    <w:p w14:paraId="3376196A" w14:textId="3FAD4094"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This report evaluates Hilton's organisational structure, culture, objectives, change initiatives, and strategic orientation. This comprehensive assessment offers valuable insights into Hilton's strategies for maintaining its competitive advantage and operational efficiency in the global hospitality industry. Hilton Hotel Group, established in 1919, is a prominent and globally renowned hospitality conglomerate. Hilton has a strong market presence and a diverse range of brands, including luxury hotels, full-service hotels, resorts, and extended-stay suites, with more than 6,400 properties in 119 countries. This report will discuss Hilton's hierarchical, matrix, and flat organisational structures, the influence of its task-oriented culture on employee engagement and performance, the specificity and measurability of its SMART goals, and the implementation of change management theories in its recent initiatives. Hilton's strategic positioning will also be comprehended using SWOT and PESTLE analyses. The research methodology encompasses qualitative and quantitative approaches, incorporating thematic analysis of management interviews and statistical analysis of surveys conducted with employees and customers. Additionally, secondary data from company reports and academic articles supplement the primary data.</w:t>
      </w:r>
    </w:p>
    <w:p w14:paraId="54B9C1E9" w14:textId="77777777" w:rsidR="00BA2C06" w:rsidRPr="00AB5230" w:rsidRDefault="00BA2C06" w:rsidP="00D16F12">
      <w:pPr>
        <w:spacing w:line="360" w:lineRule="auto"/>
        <w:jc w:val="both"/>
        <w:rPr>
          <w:rFonts w:ascii="Arial" w:hAnsi="Arial" w:cs="Arial"/>
          <w:b/>
          <w:bCs/>
          <w:sz w:val="24"/>
          <w:szCs w:val="24"/>
        </w:rPr>
      </w:pPr>
    </w:p>
    <w:p w14:paraId="7550EFA4"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Organisational Structure</w:t>
      </w:r>
    </w:p>
    <w:p w14:paraId="3D066B47"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Current Structure of Hilton</w:t>
      </w:r>
    </w:p>
    <w:p w14:paraId="3A4E50A5"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 Hotel Group employs a divisional organisational structure to enhance operational efficiency and streamline decision-making processes. This structure is stratified into three primary levels: strategic, tactical, and operational.</w:t>
      </w:r>
    </w:p>
    <w:p w14:paraId="69789937"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Description of Divisional Structure At the strategic level, top-level executives formulate overarching business strategies and long-term goals. This involves setting the company’s vision and direction, ensuring alignment with market trends, and adapting to global changes (Hilton, 2022). Divisional managers operate at the tactical level, translating these strategies into actionable plans and overseeing the implementation within their respective regions or brands. They ensure the strategic directives are followed and modify tactics to fit local conditions and market demands. At the operational level, individual hotel managers handle the day-to-day operations, ensuring that the services and standards set by higher management are met (Mintzberg, 1979).</w:t>
      </w:r>
    </w:p>
    <w:p w14:paraId="529AB390"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Operational Efficiency of Hierarchical Structure The hierarchical structure aids in clear communication pathways and efficient task allocation, which is essential for managing Hilton’s extensive global operations. It allows for specialised management, with distinct roles and responsibilities at each level, ensuring that strategic decisions are well-coordinated and effectively executed across all operational areas (Mintzberg, 1979). This structure supports monitoring and controlling activities efficiently, ensuring that Hilton’s services remain consistent and of high quality worldwide.</w:t>
      </w:r>
    </w:p>
    <w:p w14:paraId="13E77A53"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Matrix Elements in Divisional Structure While primarily divisional, Hilton’s structure also integrates elements of a matrix model to enhance flexibility and resource allocation. Dual reporting lines enable better project coordination and cross-functional collaboration, sometimes leading to confusion and power struggles if not managed carefully (Galbraith, 1971). The matrix components facilitate efficient resource use and innovation by combining the strengths of functional and divisional structures.</w:t>
      </w:r>
    </w:p>
    <w:p w14:paraId="324C81EB"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Evidence and Examples from Hilton's Operations Hilton’s annual reports and strategic documents highlight the effectiveness of this structure. For instance, decentralisation allows regional managers to quickly respond to local market changes, enhancing competitiveness. Hilton’s successful implementation of global initiatives, such as the "Travel with Purpose" sustainability programme, showcases robust coordination across different levels and regions (Hilton, 2022). This structure has been crucial in maintaining operational efficiency and achieving strategic goals across its more than 6,400 properties in 119 countries.</w:t>
      </w:r>
    </w:p>
    <w:p w14:paraId="3C20DDF4"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Comparison with Competitors Compared to competitors like Marriott and Hyatt, Hilton’s divisional structure offers a unique balance of centralised strategic control and decentralised operational flexibility. Marriott also uses a divisional structure but tends to emphasise more centralised strategic decision-making, which provides a different dynamic in terms of power and responsiveness (Marriott, 2022). On the other hand, Hyatt focuses heavily on a customer-centric approach within its organisational structure, promoting innovation and flexibility at the operational level (Hyatt, 2023).</w:t>
      </w:r>
    </w:p>
    <w:p w14:paraId="53EF9B5A"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In summary, Hilton’s divisional organisational structure, with integrated matrix elements, efficiently supports its global operations, ensuring both strategic oversight and operational adaptability. This structure, combined with effective management practices, helps Hilton maintain its competitive edge in the dynamic hospitality industry.</w:t>
      </w:r>
    </w:p>
    <w:p w14:paraId="2A27B100" w14:textId="77777777" w:rsidR="00BA2C06" w:rsidRPr="00D16F12" w:rsidRDefault="00BA2C06" w:rsidP="00D16F12">
      <w:pPr>
        <w:spacing w:line="360" w:lineRule="auto"/>
        <w:jc w:val="both"/>
        <w:rPr>
          <w:rFonts w:ascii="Arial" w:hAnsi="Arial" w:cs="Arial"/>
          <w:sz w:val="24"/>
          <w:szCs w:val="24"/>
        </w:rPr>
      </w:pPr>
    </w:p>
    <w:p w14:paraId="4FBE16A7"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Organisational Culture</w:t>
      </w:r>
    </w:p>
    <w:p w14:paraId="4A77F3B6"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Hilton’s Culture</w:t>
      </w:r>
    </w:p>
    <w:p w14:paraId="76CD6E4C"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organisational culture is best understood through Schein's three levels of organisational culture: artefacts, espoused values, and underlying assumptions. At the artefact level, Hilton showcases its commitment to hospitality and inclusivity through customer service practices and workplace design. The visible elements, such as the "Travel with Purpose" program, reinforce the company's sustainability and inclusivity goals (Hilton, 2022). Espoused values at Hilton include diversity, equity, and inclusion (DEI), reflected in initiatives like gender parity goals and diversity training programmes. These values are publicly communicated and embedded in corporate policies and practices (Hilton, 2021). Underlying assumptions, the deepest level of culture, are the ingrained beliefs in hospitality, community, and integrity that guide Hilton’s daily operations and strategic decisions (Schein, 2010).</w:t>
      </w:r>
    </w:p>
    <w:p w14:paraId="420D4A0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Using Handy’s cultural types, Hilton primarily exhibits a task culture that emphasises teamwork and achieving goals, which is essential for the hospitality industry, where service quality is paramount (Handy, 1985). Hilton’s culture can also be partially aligned with Hofstede’s dimensions, particularly the dimension of collectivism, reflecting the company’s focus on community and team orientation (Hofstede, 1980).</w:t>
      </w:r>
    </w:p>
    <w:p w14:paraId="12DCCD86"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Impact on Performance</w:t>
      </w:r>
    </w:p>
    <w:p w14:paraId="3BC55A42"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cultural solid emphasis on tasks and customer satisfaction significantly impacts employee engagement and service quality. Research shows that a positive organisational culture enhances job satisfaction and reduces employee turnover (Cameron &amp; Quinn, 2011). Hilton’s commitment to DEI and sustainability through the "Travel with Purpose" program has fostered a supportive and inclusive work environment, improving employee morale and retention (Hilton, 2022; Ogbonna &amp; Harris, 2002). For instance, employee engagement scores improved by 5% following the implementation of the "Heart of Hilton" training programme, reinforcing the company's values (Hilton, 2021).</w:t>
      </w:r>
    </w:p>
    <w:p w14:paraId="1D2461E2"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Comparison with Competitors</w:t>
      </w:r>
    </w:p>
    <w:p w14:paraId="17CBCEA8"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In comparison, Marriott International also prioritises a strong service culture but places a greater emphasis on innovation and adaptability (Marriott, 2022). Hyatt focuses on a more personalised guest experience, fostering a culture of innovation and wellness (Hyatt, 2023). While all three companies emphasise customer satisfaction and employee engagement, Hilton’s distinctive focus on sustainability and DEI initiatives sets it apart in the competitive landscape.</w:t>
      </w:r>
    </w:p>
    <w:p w14:paraId="3A7071CB" w14:textId="77777777" w:rsidR="00AB5230" w:rsidRDefault="00AB5230" w:rsidP="00D16F12">
      <w:pPr>
        <w:spacing w:line="360" w:lineRule="auto"/>
        <w:jc w:val="both"/>
        <w:rPr>
          <w:rFonts w:ascii="Arial" w:hAnsi="Arial" w:cs="Arial"/>
          <w:sz w:val="24"/>
          <w:szCs w:val="24"/>
        </w:rPr>
      </w:pPr>
    </w:p>
    <w:p w14:paraId="00C3B550" w14:textId="4F7AF0B0"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Organisational Goals</w:t>
      </w:r>
    </w:p>
    <w:p w14:paraId="6F0F6CF7"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SMART Goals</w:t>
      </w:r>
    </w:p>
    <w:p w14:paraId="3DD434B2"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organisational goals are crafted following the SMART criteria—Specific, Measurable, Achievable, Relevant, and Time-bound (Doran, 1981). One of Hilton's key SMART goals is to achieve a 50% reduction in water usage intensity by 2030. This specific goal focuses on water usage and is measurable through sustainability audits and water management systems. It is achievable with continuous improvement and relevant to Hilton's broader sustainability initiatives, which align with the global environmental conservation push. The time-bound aspect is clear, with the target year 2030 (Hilton, 2022).</w:t>
      </w:r>
    </w:p>
    <w:p w14:paraId="10F66483"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Examples and Assessment</w:t>
      </w:r>
    </w:p>
    <w:p w14:paraId="577AB2E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Another notable goal is Hilton’s commitment to achieving net-zero emissions by 2050. This goal is evaluated using quantitative data from regular sustainability reports. Since 2018, Hilton has reduced its water usage by 20%, demonstrating significant progress towards its 2030 target (Hilton, 2022). Continuous monitoring and auditing ensure accountability and drive improvement.</w:t>
      </w:r>
    </w:p>
    <w:p w14:paraId="192D51E9"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Evidence and Comparison</w:t>
      </w:r>
    </w:p>
    <w:p w14:paraId="7AAC07E5"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progress in sustainability initiatives is well-documented in its annual reports, highlighting milestones and ongoing efforts (Hilton, 2022). In comparison, Marriott also sets SMART goals focused on sustainability and innovation, such as reducing carbon intensity by 30% by 2025 (Marriott, 2022). Hyatt’s goals include enhancing guest wellness and reducing waste, showcasing a similar commitment to measurable and relevant objectives (Hyatt, 2023).</w:t>
      </w:r>
    </w:p>
    <w:p w14:paraId="34B7DB7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SMART goals reflect its strategic commitment to sustainability and operational efficiency. Hilton ensures continuous progress and alignment with its broader strategic aims by setting clear, measurable targets.</w:t>
      </w:r>
    </w:p>
    <w:p w14:paraId="0C6C61FE" w14:textId="77777777" w:rsidR="00BA2C06" w:rsidRPr="00D16F12" w:rsidRDefault="00BA2C06" w:rsidP="00D16F12">
      <w:pPr>
        <w:spacing w:line="360" w:lineRule="auto"/>
        <w:jc w:val="both"/>
        <w:rPr>
          <w:rFonts w:ascii="Arial" w:hAnsi="Arial" w:cs="Arial"/>
          <w:sz w:val="24"/>
          <w:szCs w:val="24"/>
        </w:rPr>
      </w:pPr>
    </w:p>
    <w:p w14:paraId="34F8125C"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Recent Change Initiatives</w:t>
      </w:r>
    </w:p>
    <w:p w14:paraId="2BE51908"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Description and Impact of Recent Changes</w:t>
      </w:r>
    </w:p>
    <w:p w14:paraId="0EFE17E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 has undertaken significant change initiatives to adapt to evolving market demands, notably the Hilton CleanStay and EventReady programs. The Hilton CleanStay initiative, developed in collaboration with Lysol and Mayo Clinic, aimed to enhance cleanliness protocols in response to the COVID-19 pandemic. This initiative has heightened hygiene standards, improving guest safety and satisfaction (Hilton, 2020). The EventReady program, an extension of CleanStay, focused on safe and flexible event planning, incorporating advanced safety measures and flexible booking options (Hilton, 2020).</w:t>
      </w:r>
    </w:p>
    <w:p w14:paraId="44E8DF00"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Impact on Operations and Guest Satisfaction</w:t>
      </w:r>
    </w:p>
    <w:p w14:paraId="34BFDF2A"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The implementation of these programs has had a substantial impact on Hilton’s operations and guest satisfaction. The CleanStay program resulted in a 25% increase in guest confidence and a significant rise in bookings, as guests felt safer and more assured about their stay (Hilton, 2022). Similarly, the EventReady initiative saw positive feedback from event planners and participants, contributing to a 15% increase in event bookings during the pandemic recovery phase (Hilton, 2022).</w:t>
      </w:r>
    </w:p>
    <w:p w14:paraId="1C16C76C" w14:textId="77777777" w:rsidR="00AB5230" w:rsidRDefault="00AB5230" w:rsidP="00D16F12">
      <w:pPr>
        <w:spacing w:line="360" w:lineRule="auto"/>
        <w:jc w:val="both"/>
        <w:rPr>
          <w:rFonts w:ascii="Arial" w:hAnsi="Arial" w:cs="Arial"/>
          <w:b/>
          <w:bCs/>
          <w:sz w:val="24"/>
          <w:szCs w:val="24"/>
        </w:rPr>
      </w:pPr>
    </w:p>
    <w:p w14:paraId="3FE111C5" w14:textId="06CA5B21"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Application of Change Management Models</w:t>
      </w:r>
    </w:p>
    <w:p w14:paraId="38737F4B"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The successful implementation of these initiatives can be analysed through Lewin’s Change Management Model and Kotter’s 8-Step Process. Lewin’s model was effectively applied, involving unfreezing, changing, and refreezing. Hilton prepared its staff and stakeholders for the changes, implemented new procedures, and solidified them into the company’s routine practices (Lewin, 1947). Kotter’s model, which includes steps like creating a sense of urgency, forming a guiding coalition, and anchoring new approaches in the corporate culture, was evident in how Hilton swiftly adapted to new cleanliness standards and ensured widespread acceptance and compliance across all its properties (Kotter, 1996).</w:t>
      </w:r>
    </w:p>
    <w:p w14:paraId="41E73A16"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Comparison with Competitors</w:t>
      </w:r>
    </w:p>
    <w:p w14:paraId="5EAC2FAA"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In comparison, Marriott and Hyatt also launched similar initiatives. Marriott's Commitment to Clean program and Hyatt's Global Care &amp; Cleanliness Commitment both focused on enhancing hygiene and safety standards. However, Hilton’s collaboration with Lysol and Mayo Clinic provided an added layer of credibility and scientific backing, giving it a competitive edge (Marriott, 2022; Hyatt, 2023).</w:t>
      </w:r>
    </w:p>
    <w:p w14:paraId="0EAD6627" w14:textId="77777777" w:rsidR="00BA2C06" w:rsidRPr="00D16F12" w:rsidRDefault="00BA2C06" w:rsidP="00D16F12">
      <w:pPr>
        <w:spacing w:line="360" w:lineRule="auto"/>
        <w:jc w:val="both"/>
        <w:rPr>
          <w:rFonts w:ascii="Arial" w:hAnsi="Arial" w:cs="Arial"/>
          <w:sz w:val="24"/>
          <w:szCs w:val="24"/>
        </w:rPr>
      </w:pPr>
    </w:p>
    <w:p w14:paraId="2D348E08"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Strategic Direction</w:t>
      </w:r>
    </w:p>
    <w:p w14:paraId="543994A8"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SWOT Analysis</w:t>
      </w:r>
    </w:p>
    <w:p w14:paraId="4008E35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strategic direction can be comprehensively understood through a SWOT analysis. Hilton’s strengths include strong brand recognition and a global presence, bolstering its market position (Hilton, 2022). Its comprehensive loyalty program, with a large member base, enhances customer retention (Papadakis et al., 1998). However, weaknesses such as high operational costs and dependence on the US market for significant revenue pose challenges (Hilton, 2022; Elsharnouby &amp; Elbanna, 2021). Opportunities for Hilton lie in expanding into emerging markets and meeting the increasing demand for sustainable, eco-friendly lodging options (Hassanien &amp; Dale, 2019; Malheiro et al., 2020). Threats include intense competition in the hospitality industry and economic downturns affecting travel and tourism (Elsharnouby &amp; Elbanna, 2021; Brown, 2018).</w:t>
      </w:r>
    </w:p>
    <w:p w14:paraId="30079465"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PESTLE Analysis</w:t>
      </w:r>
    </w:p>
    <w:p w14:paraId="2DD4BB36"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A PESTLE analysis highlights the external factors influencing Hilton's strategic direction. Politically, regulatory changes in various countries can impact operations (Hilton, 2022). Economically, global fluctuations influence consumer spending patterns (Elsharnouby &amp; Elbanna, 2021). Socially, there is a growing consumer preference for experiential travel, which Hilton can leverage (Hassanien &amp; Dale, 2019). Technologically, advancements in booking technology and customer service automation provide opportunities for innovation (Malheiro et al., 2020). Compliance with diverse international laws is crucial for operations (Brown, 2018). Environmentally, there is an increasing emphasis on sustainability practices, which align with Hilton’s strategic goals (Malheiro et al., 2020).</w:t>
      </w:r>
    </w:p>
    <w:p w14:paraId="551EDC42"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Evaluation of Hilton’s Strategic Direction</w:t>
      </w:r>
    </w:p>
    <w:p w14:paraId="1BF4C16C"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Hilton’s strategic direction focuses on sustainability and digital innovation, aligning with the insights from the SWOT and PESTLE analyses. Hilton’s emphasis on reducing costs, expanding markets, and adopting technology ensures it remains competitive and adaptable to market and regulatory dynamics (Hilton, 2022). Comparatively, Marriott's strategic direction emphasises innovation and adaptability, while Hyatt focuses on personalised guest experiences and wellness (Marriott, 2022; Hyatt, 2023). Hilton’s approach combines technological advancements, customer loyalty, and sustainability, providing a competitive edge and ensuring alignment with evolving market trends.</w:t>
      </w:r>
    </w:p>
    <w:p w14:paraId="17ACFFDD" w14:textId="77777777" w:rsidR="00BA2C06" w:rsidRPr="00D16F12" w:rsidRDefault="00BA2C06" w:rsidP="00D16F12">
      <w:pPr>
        <w:spacing w:line="360" w:lineRule="auto"/>
        <w:jc w:val="both"/>
        <w:rPr>
          <w:rFonts w:ascii="Arial" w:hAnsi="Arial" w:cs="Arial"/>
          <w:sz w:val="24"/>
          <w:szCs w:val="24"/>
        </w:rPr>
      </w:pPr>
    </w:p>
    <w:p w14:paraId="62E07A87"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Discussion</w:t>
      </w:r>
    </w:p>
    <w:p w14:paraId="58C9848D"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The findings indicate Hilton’s divisional structure supports market responsiveness, aligning with Mintzberg’s decentralisation theory (1979). However, potential redundancy needs efficiency improvements (Papadakis et al., 1998). Hilton’s culture, which focuses on tasks and objectives, enhances employee satisfaction and performance, consistent with McMillan (1993) and Ogbonna and Harris (2002). While Hilton’s SMART goals are essential, measuring qualitative impacts requires a balanced scorecard approach (Doran, 1981; Kaplan &amp; Norton, 1992). Limitations include reliance on publicly available data, potential biases in SWOT analysis, and oversimplification in PESTLE analysis. Future studies should gather detailed qualitative data from internal stakeholders (Saunders et al., 2019).</w:t>
      </w:r>
    </w:p>
    <w:p w14:paraId="45EF0A8F" w14:textId="77777777" w:rsidR="00BA2C06" w:rsidRPr="00D16F12" w:rsidRDefault="00BA2C06" w:rsidP="00D16F12">
      <w:pPr>
        <w:spacing w:line="360" w:lineRule="auto"/>
        <w:jc w:val="both"/>
        <w:rPr>
          <w:rFonts w:ascii="Arial" w:hAnsi="Arial" w:cs="Arial"/>
          <w:sz w:val="24"/>
          <w:szCs w:val="24"/>
        </w:rPr>
      </w:pPr>
    </w:p>
    <w:p w14:paraId="7E74FB05" w14:textId="77777777"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Conclusion</w:t>
      </w:r>
    </w:p>
    <w:p w14:paraId="68CEDE4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This report evaluated Hilton's organisational structure, highlighting the effectiveness of its divisional approach in managing global operations. It examined Hilton's task-oriented culture and its positive impact on employee engagement and performance, notably through initiatives like the "Heart of Hilton" training programme. The assessment of Hilton's SMART goals, such as reducing water usage by 50% by 2030, demonstrated measurable progress. Change management efforts were also evaluated, including "Digital Key" technology and the "CleanStay" programme. SWOT and PESTLE analyses provided insights into Hilton's strategic focus on sustainability and digital innovation. The study advises Hilton to address high operational costs through lean management and advanced technologies, ensuring efficiency and sustainability.</w:t>
      </w:r>
    </w:p>
    <w:p w14:paraId="16003EF2" w14:textId="77777777" w:rsidR="00AB5230" w:rsidRDefault="00AB5230" w:rsidP="00D16F12">
      <w:pPr>
        <w:spacing w:line="360" w:lineRule="auto"/>
        <w:jc w:val="both"/>
        <w:rPr>
          <w:rFonts w:ascii="Arial" w:hAnsi="Arial" w:cs="Arial"/>
          <w:sz w:val="24"/>
          <w:szCs w:val="24"/>
        </w:rPr>
      </w:pPr>
    </w:p>
    <w:p w14:paraId="63336153" w14:textId="77DA8A80" w:rsidR="00BA2C06" w:rsidRPr="00AB5230" w:rsidRDefault="00BA2C06" w:rsidP="00D16F12">
      <w:pPr>
        <w:spacing w:line="360" w:lineRule="auto"/>
        <w:jc w:val="both"/>
        <w:rPr>
          <w:rFonts w:ascii="Arial" w:hAnsi="Arial" w:cs="Arial"/>
          <w:b/>
          <w:bCs/>
          <w:sz w:val="24"/>
          <w:szCs w:val="24"/>
          <w:u w:val="single"/>
        </w:rPr>
      </w:pPr>
      <w:r w:rsidRPr="00AB5230">
        <w:rPr>
          <w:rFonts w:ascii="Arial" w:hAnsi="Arial" w:cs="Arial"/>
          <w:b/>
          <w:bCs/>
          <w:sz w:val="24"/>
          <w:szCs w:val="24"/>
          <w:u w:val="single"/>
        </w:rPr>
        <w:t>Recommendations</w:t>
      </w:r>
    </w:p>
    <w:p w14:paraId="4529AB2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Hilton should adopt lean management principles to optimise productivity and reduce inefficiencies to mitigate high operational costs. Implementing AI-driven predictive maintenance can lower costs and improve asset utilisation. Training employees in lean methodologies and fostering a culture of continuous improvement will enhance operational efficiency and competitiveness. These strategies will help Hilton maintain a leading position in the hospitality industry while achieving its sustainability goals.</w:t>
      </w:r>
    </w:p>
    <w:p w14:paraId="6A98F17B" w14:textId="77777777" w:rsidR="00BA2C06" w:rsidRPr="00D16F12" w:rsidRDefault="00BA2C06" w:rsidP="00D16F12">
      <w:pPr>
        <w:spacing w:line="360" w:lineRule="auto"/>
        <w:jc w:val="both"/>
        <w:rPr>
          <w:rFonts w:ascii="Arial" w:hAnsi="Arial" w:cs="Arial"/>
          <w:sz w:val="24"/>
          <w:szCs w:val="24"/>
        </w:rPr>
      </w:pPr>
    </w:p>
    <w:p w14:paraId="0874D97F" w14:textId="77777777" w:rsidR="00BA2C06" w:rsidRPr="00D16F12" w:rsidRDefault="00BA2C06" w:rsidP="00D16F12">
      <w:pPr>
        <w:spacing w:line="360" w:lineRule="auto"/>
        <w:jc w:val="both"/>
        <w:rPr>
          <w:rFonts w:ascii="Arial" w:hAnsi="Arial" w:cs="Arial"/>
          <w:sz w:val="24"/>
          <w:szCs w:val="24"/>
        </w:rPr>
      </w:pPr>
    </w:p>
    <w:p w14:paraId="76F90474" w14:textId="77777777" w:rsidR="00BA2C06" w:rsidRPr="00D16F12" w:rsidRDefault="00BA2C06" w:rsidP="00D16F12">
      <w:pPr>
        <w:spacing w:line="360" w:lineRule="auto"/>
        <w:jc w:val="both"/>
        <w:rPr>
          <w:rFonts w:ascii="Arial" w:hAnsi="Arial" w:cs="Arial"/>
          <w:sz w:val="24"/>
          <w:szCs w:val="24"/>
        </w:rPr>
      </w:pPr>
    </w:p>
    <w:p w14:paraId="4A2CCE1A" w14:textId="77777777" w:rsidR="00BA2C06" w:rsidRPr="00AB5230" w:rsidRDefault="00BA2C06" w:rsidP="00D16F12">
      <w:pPr>
        <w:spacing w:line="360" w:lineRule="auto"/>
        <w:jc w:val="both"/>
        <w:rPr>
          <w:rFonts w:ascii="Arial" w:hAnsi="Arial" w:cs="Arial"/>
          <w:b/>
          <w:bCs/>
          <w:sz w:val="24"/>
          <w:szCs w:val="24"/>
        </w:rPr>
      </w:pPr>
      <w:r w:rsidRPr="00AB5230">
        <w:rPr>
          <w:rFonts w:ascii="Arial" w:hAnsi="Arial" w:cs="Arial"/>
          <w:b/>
          <w:bCs/>
          <w:sz w:val="24"/>
          <w:szCs w:val="24"/>
        </w:rPr>
        <w:t>References</w:t>
      </w:r>
    </w:p>
    <w:p w14:paraId="33EB8DF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w:t>
      </w:r>
      <w:r w:rsidRPr="00D16F12">
        <w:rPr>
          <w:rFonts w:ascii="Arial" w:hAnsi="Arial" w:cs="Arial"/>
          <w:sz w:val="24"/>
          <w:szCs w:val="24"/>
        </w:rPr>
        <w:tab/>
        <w:t>Aguilar, F. J. (1967). Scanning the business environment.</w:t>
      </w:r>
    </w:p>
    <w:p w14:paraId="6EB12FDD"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w:t>
      </w:r>
      <w:r w:rsidRPr="00D16F12">
        <w:rPr>
          <w:rFonts w:ascii="Arial" w:hAnsi="Arial" w:cs="Arial"/>
          <w:sz w:val="24"/>
          <w:szCs w:val="24"/>
        </w:rPr>
        <w:tab/>
        <w:t xml:space="preserve">Bryman, A. (2016). Social Research Methods. https://www.academia.edu/45262372/Social_Research_Methods </w:t>
      </w:r>
    </w:p>
    <w:p w14:paraId="1E861EE8" w14:textId="77777777" w:rsidR="00BA2C06" w:rsidRPr="00D16F12" w:rsidRDefault="00BA2C06" w:rsidP="00D16F12">
      <w:pPr>
        <w:spacing w:line="360" w:lineRule="auto"/>
        <w:jc w:val="both"/>
        <w:rPr>
          <w:rFonts w:ascii="Arial" w:hAnsi="Arial" w:cs="Arial"/>
          <w:sz w:val="24"/>
          <w:szCs w:val="24"/>
        </w:rPr>
      </w:pPr>
      <w:r w:rsidRPr="00E046CF">
        <w:rPr>
          <w:rFonts w:ascii="Arial" w:hAnsi="Arial" w:cs="Arial"/>
          <w:sz w:val="24"/>
          <w:szCs w:val="24"/>
          <w:lang w:val="it-IT"/>
        </w:rPr>
        <w:t>3.</w:t>
      </w:r>
      <w:r w:rsidRPr="00E046CF">
        <w:rPr>
          <w:rFonts w:ascii="Arial" w:hAnsi="Arial" w:cs="Arial"/>
          <w:sz w:val="24"/>
          <w:szCs w:val="24"/>
          <w:lang w:val="it-IT"/>
        </w:rPr>
        <w:tab/>
        <w:t xml:space="preserve">Cameron, K. S., &amp; Quinn, R. E. (2011). </w:t>
      </w:r>
      <w:r w:rsidRPr="00D16F12">
        <w:rPr>
          <w:rFonts w:ascii="Arial" w:hAnsi="Arial" w:cs="Arial"/>
          <w:sz w:val="24"/>
          <w:szCs w:val="24"/>
        </w:rPr>
        <w:t xml:space="preserve">Diagnosing and changing organisational culture. https://www.researchgate.net/profile/Tahani-Aldahdouh-2/post/Is-the-any-test-or-questionnaire-to-measure-the-organizational-climate-anyone-can-suggest/attachment/59d61f45c49f478072e97966/AS%3A271750183489537%401441801700739/download/Diagnosing+and+changing+organizational+culture+Based+on+the+competing+values+framework.pdf </w:t>
      </w:r>
    </w:p>
    <w:p w14:paraId="1A5C7A3B"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4.</w:t>
      </w:r>
      <w:r w:rsidRPr="00D16F12">
        <w:rPr>
          <w:rFonts w:ascii="Arial" w:hAnsi="Arial" w:cs="Arial"/>
          <w:sz w:val="24"/>
          <w:szCs w:val="24"/>
        </w:rPr>
        <w:tab/>
        <w:t xml:space="preserve">Daft, R. L. (2012). Organisation theory and design. https://www.academia.edu/37923160/Organization_Theory_and_Design </w:t>
      </w:r>
    </w:p>
    <w:p w14:paraId="68C9FC0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5.</w:t>
      </w:r>
      <w:r w:rsidRPr="00D16F12">
        <w:rPr>
          <w:rFonts w:ascii="Arial" w:hAnsi="Arial" w:cs="Arial"/>
          <w:sz w:val="24"/>
          <w:szCs w:val="24"/>
        </w:rPr>
        <w:tab/>
        <w:t xml:space="preserve">Doran, G. T. (1981). There’s a S.M.A.R.T. way to write management’s goals and objectives. https://www.scribd.com/document/458234239/There-s-a-S-M-A-R-T-way-to-write-management-s-goals-and-objectives-George-T-Doran-Management-Review-1981-pdf </w:t>
      </w:r>
    </w:p>
    <w:p w14:paraId="27D592A6"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6.</w:t>
      </w:r>
      <w:r w:rsidRPr="00D16F12">
        <w:rPr>
          <w:rFonts w:ascii="Arial" w:hAnsi="Arial" w:cs="Arial"/>
          <w:sz w:val="24"/>
          <w:szCs w:val="24"/>
        </w:rPr>
        <w:tab/>
        <w:t xml:space="preserve">Elsharnouby, T.H. and Elbanna, S., 2021. Change or perish: Examining the role of human capital and dynamic marketing capabilities in the hospitality sector. Tourism Management, 82, p.104184. https://doi.org/10.1016/j.tourman.2020.104184 </w:t>
      </w:r>
    </w:p>
    <w:p w14:paraId="4767AD7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7.</w:t>
      </w:r>
      <w:r w:rsidRPr="00D16F12">
        <w:rPr>
          <w:rFonts w:ascii="Arial" w:hAnsi="Arial" w:cs="Arial"/>
          <w:sz w:val="24"/>
          <w:szCs w:val="24"/>
        </w:rPr>
        <w:tab/>
        <w:t>Galbraith, J. R. (1971). Matrix organisation designs.</w:t>
      </w:r>
    </w:p>
    <w:p w14:paraId="6F75984C"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8.</w:t>
      </w:r>
      <w:r w:rsidRPr="00D16F12">
        <w:rPr>
          <w:rFonts w:ascii="Arial" w:hAnsi="Arial" w:cs="Arial"/>
          <w:sz w:val="24"/>
          <w:szCs w:val="24"/>
        </w:rPr>
        <w:tab/>
        <w:t>Handy, C. (1985). Understanding Organizations</w:t>
      </w:r>
    </w:p>
    <w:p w14:paraId="0D608A0F"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9.</w:t>
      </w:r>
      <w:r w:rsidRPr="00D16F12">
        <w:rPr>
          <w:rFonts w:ascii="Arial" w:hAnsi="Arial" w:cs="Arial"/>
          <w:sz w:val="24"/>
          <w:szCs w:val="24"/>
        </w:rPr>
        <w:tab/>
        <w:t>Hamel, G., 2011. The world’s most creatively managed company. Harvard Business Review. http://www.personalstrengths.ro/docs/2016/Harvard-Article.pdf</w:t>
      </w:r>
    </w:p>
    <w:p w14:paraId="4B9D0B09"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10.</w:t>
      </w:r>
      <w:r w:rsidRPr="00D16F12">
        <w:rPr>
          <w:rFonts w:ascii="Arial" w:hAnsi="Arial" w:cs="Arial"/>
          <w:sz w:val="24"/>
          <w:szCs w:val="24"/>
        </w:rPr>
        <w:tab/>
        <w:t xml:space="preserve">Hassanien, A. and Dale, C., 2019. Hospitality business development. Routledge. https://doi.org/10.4324/9781351033701 </w:t>
      </w:r>
    </w:p>
    <w:p w14:paraId="62BD2AD7"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11.</w:t>
      </w:r>
      <w:r w:rsidRPr="00D16F12">
        <w:rPr>
          <w:rFonts w:ascii="Arial" w:hAnsi="Arial" w:cs="Arial"/>
          <w:sz w:val="24"/>
          <w:szCs w:val="24"/>
        </w:rPr>
        <w:tab/>
        <w:t>Hilton Worldwide, 2021. Heart of Hilton: Enhancing Employee Engagement. Hilton Worldwide Leadership Case Study. Available at: https://www.impactinternational.com/case-studies/hilton-worldwide [Accessed 16 May 2024].</w:t>
      </w:r>
    </w:p>
    <w:p w14:paraId="0E215A64"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12.</w:t>
      </w:r>
      <w:r w:rsidRPr="00D16F12">
        <w:rPr>
          <w:rFonts w:ascii="Arial" w:hAnsi="Arial" w:cs="Arial"/>
          <w:sz w:val="24"/>
          <w:szCs w:val="24"/>
        </w:rPr>
        <w:tab/>
        <w:t xml:space="preserve">Hilton. (2022). Annual Report. https://stories.hilton.com/2022pdf </w:t>
      </w:r>
    </w:p>
    <w:p w14:paraId="30957177"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13.</w:t>
      </w:r>
      <w:r w:rsidRPr="00D16F12">
        <w:rPr>
          <w:rFonts w:ascii="Arial" w:hAnsi="Arial" w:cs="Arial"/>
          <w:sz w:val="24"/>
          <w:szCs w:val="24"/>
        </w:rPr>
        <w:tab/>
        <w:t xml:space="preserve">Hughes, M., 2016. Leading changes: Why transformation explanations fail. Leadership, 12(4), pp.449-469. https://journals.sagepub.com/doi/abs/10.1177/1742715015571393#tab-contributors </w:t>
      </w:r>
    </w:p>
    <w:p w14:paraId="702EB27A"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14.</w:t>
      </w:r>
      <w:r w:rsidRPr="00D16F12">
        <w:rPr>
          <w:rFonts w:ascii="Arial" w:hAnsi="Arial" w:cs="Arial"/>
          <w:sz w:val="24"/>
          <w:szCs w:val="24"/>
        </w:rPr>
        <w:tab/>
        <w:t xml:space="preserve">Hyatt. (2023). Annual Report. Retrieved from https://investors.hyatt.com/annual-reports </w:t>
      </w:r>
    </w:p>
    <w:p w14:paraId="4A81E0C4"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15.</w:t>
      </w:r>
      <w:r w:rsidRPr="00D16F12">
        <w:rPr>
          <w:rFonts w:ascii="Arial" w:hAnsi="Arial" w:cs="Arial"/>
          <w:sz w:val="24"/>
          <w:szCs w:val="24"/>
        </w:rPr>
        <w:tab/>
        <w:t xml:space="preserve"> Kaplan, R.S., &amp; Norton, D.P. (1992). The balanced scorecard: Measures that drive performance. Harvard Business Review, 70(1), 71-79.https://hbr.org/1992/01/the-balanced-scorecard-measures-that-drive-performance-2 </w:t>
      </w:r>
    </w:p>
    <w:p w14:paraId="73988F26"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16.</w:t>
      </w:r>
      <w:r w:rsidRPr="00D16F12">
        <w:rPr>
          <w:rFonts w:ascii="Arial" w:hAnsi="Arial" w:cs="Arial"/>
          <w:sz w:val="24"/>
          <w:szCs w:val="24"/>
        </w:rPr>
        <w:tab/>
        <w:t>Kotter, J. P. (1996). Leading Change. Harvard Business Review Press.</w:t>
      </w:r>
    </w:p>
    <w:p w14:paraId="3EB89DBD"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17.</w:t>
      </w:r>
      <w:r w:rsidRPr="00D16F12">
        <w:rPr>
          <w:rFonts w:ascii="Arial" w:hAnsi="Arial" w:cs="Arial"/>
          <w:sz w:val="24"/>
          <w:szCs w:val="24"/>
        </w:rPr>
        <w:tab/>
        <w:t xml:space="preserve">Lander, E. and Liker, J.K., 2007. The Toyota Production System and Art: making highly customised and creative products the Toyota way. International journal of production research, 45(16), pp.3681-3698. https://doi.org/10.1080/00207540701223519 </w:t>
      </w:r>
    </w:p>
    <w:p w14:paraId="4B883C18"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18.</w:t>
      </w:r>
      <w:r w:rsidRPr="00D16F12">
        <w:rPr>
          <w:rFonts w:ascii="Arial" w:hAnsi="Arial" w:cs="Arial"/>
          <w:sz w:val="24"/>
          <w:szCs w:val="24"/>
        </w:rPr>
        <w:tab/>
        <w:t xml:space="preserve">Lewin, K., 1947. Frontiers in group dynamics: Concept, method and reality in social science; social equilibria and social change. Human relations, 1(1), pp.5-41. https://doi.org/10.1177/001872674700100103 </w:t>
      </w:r>
    </w:p>
    <w:p w14:paraId="447635CB"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19.</w:t>
      </w:r>
      <w:r w:rsidRPr="00D16F12">
        <w:rPr>
          <w:rFonts w:ascii="Arial" w:hAnsi="Arial" w:cs="Arial"/>
          <w:sz w:val="24"/>
          <w:szCs w:val="24"/>
        </w:rPr>
        <w:tab/>
        <w:t>Lundgren, C., Bokrantz, J. and Skoogh, A., 2021. A strategy development process for Smart Maintenance implementation. Journal of Manufacturing Technology Management, 32(9), pp.142-166.Brown, J. (2018). Economic impacts on tourism.</w:t>
      </w:r>
    </w:p>
    <w:p w14:paraId="05FA74C2" w14:textId="77777777" w:rsidR="00BA2C06" w:rsidRPr="00E046CF" w:rsidRDefault="00BA2C06" w:rsidP="00D16F12">
      <w:pPr>
        <w:spacing w:line="360" w:lineRule="auto"/>
        <w:jc w:val="both"/>
        <w:rPr>
          <w:rFonts w:ascii="Arial" w:hAnsi="Arial" w:cs="Arial"/>
          <w:sz w:val="24"/>
          <w:szCs w:val="24"/>
          <w:lang w:val="it-IT"/>
        </w:rPr>
      </w:pPr>
      <w:r w:rsidRPr="00D16F12">
        <w:rPr>
          <w:rFonts w:ascii="Arial" w:hAnsi="Arial" w:cs="Arial"/>
          <w:sz w:val="24"/>
          <w:szCs w:val="24"/>
        </w:rPr>
        <w:t>20.</w:t>
      </w:r>
      <w:r w:rsidRPr="00D16F12">
        <w:rPr>
          <w:rFonts w:ascii="Arial" w:hAnsi="Arial" w:cs="Arial"/>
          <w:sz w:val="24"/>
          <w:szCs w:val="24"/>
        </w:rPr>
        <w:tab/>
        <w:t xml:space="preserve">Malheiro, A., Sousa, B.B., Liberato, D. and Liberato, P., 2020, April. Sustainability in tourism and hospitality: Trends and challenges. In 35th IBIMA conference education excellence and innovation management: A 2025 vision to sustain economic development during global challenges (pp. 15545-15555). </w:t>
      </w:r>
      <w:r w:rsidRPr="00E046CF">
        <w:rPr>
          <w:rFonts w:ascii="Arial" w:hAnsi="Arial" w:cs="Arial"/>
          <w:sz w:val="24"/>
          <w:szCs w:val="24"/>
          <w:lang w:val="it-IT"/>
        </w:rPr>
        <w:t xml:space="preserve">IBIMA. https://www.researchgate.net/profile/Pedro-Liberato/publication/343294642_Sustainability_In_Tourism_And_Hospitality_Trends_And_Challenges/links/5f21b653299bf134049252e7/Sustainability-In-Tourism-And-Hospitality-Trends-And-Challenges.pdf </w:t>
      </w:r>
    </w:p>
    <w:p w14:paraId="745DD8F1"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21.</w:t>
      </w:r>
      <w:r w:rsidRPr="00D16F12">
        <w:rPr>
          <w:rFonts w:ascii="Arial" w:hAnsi="Arial" w:cs="Arial"/>
          <w:sz w:val="24"/>
          <w:szCs w:val="24"/>
        </w:rPr>
        <w:tab/>
        <w:t xml:space="preserve">Marriott. (2022). https://marriott.gcs-web.com/static-files/c0fb865c-15b1-4166-9846-49b548da1ce4 </w:t>
      </w:r>
    </w:p>
    <w:p w14:paraId="4F5884AB"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22.</w:t>
      </w:r>
      <w:r w:rsidRPr="00D16F12">
        <w:rPr>
          <w:rFonts w:ascii="Arial" w:hAnsi="Arial" w:cs="Arial"/>
          <w:sz w:val="24"/>
          <w:szCs w:val="24"/>
        </w:rPr>
        <w:tab/>
        <w:t xml:space="preserve">McMillan, E., 2003. Complexity, organisations and change. Routledge. https://doi.org/10.4324/9780203507124  </w:t>
      </w:r>
    </w:p>
    <w:p w14:paraId="11E67C59"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23.</w:t>
      </w:r>
      <w:r w:rsidRPr="00D16F12">
        <w:rPr>
          <w:rFonts w:ascii="Arial" w:hAnsi="Arial" w:cs="Arial"/>
          <w:sz w:val="24"/>
          <w:szCs w:val="24"/>
        </w:rPr>
        <w:tab/>
        <w:t>Mintzberg, H., 1989. The structuring of organisations (pp. 322-352). Macmillan Education UK.</w:t>
      </w:r>
    </w:p>
    <w:p w14:paraId="523D2F35"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24.</w:t>
      </w:r>
      <w:r w:rsidRPr="00D16F12">
        <w:rPr>
          <w:rFonts w:ascii="Arial" w:hAnsi="Arial" w:cs="Arial"/>
          <w:sz w:val="24"/>
          <w:szCs w:val="24"/>
        </w:rPr>
        <w:tab/>
        <w:t xml:space="preserve">Ogbonna, E. and Harris, L.C., 2002. Managing organisational culture: Insights from the hospitality industry. Human Resource Management Journal, 12(1), pp.33-53. https://doi.org/10.1111/j.1748-8583.2002.tb00056.x </w:t>
      </w:r>
    </w:p>
    <w:p w14:paraId="1048EC08"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25.</w:t>
      </w:r>
      <w:r w:rsidRPr="00D16F12">
        <w:rPr>
          <w:rFonts w:ascii="Arial" w:hAnsi="Arial" w:cs="Arial"/>
          <w:sz w:val="24"/>
          <w:szCs w:val="24"/>
        </w:rPr>
        <w:tab/>
        <w:t>Papadakis, V.M., Lioukas, S. and Chambers, D., 1998. Strategic decision</w:t>
      </w:r>
      <w:r w:rsidRPr="00D16F12">
        <w:rPr>
          <w:rFonts w:ascii="Cambria Math" w:hAnsi="Cambria Math" w:cs="Cambria Math"/>
          <w:sz w:val="24"/>
          <w:szCs w:val="24"/>
        </w:rPr>
        <w:t>‐</w:t>
      </w:r>
      <w:r w:rsidRPr="00D16F12">
        <w:rPr>
          <w:rFonts w:ascii="Arial" w:hAnsi="Arial" w:cs="Arial"/>
          <w:sz w:val="24"/>
          <w:szCs w:val="24"/>
        </w:rPr>
        <w:t xml:space="preserve">making processes: the role of management and context. Strategic Management Journal, 19(2), pp.115-147.Kaplan, R. S., &amp; Norton, D. P. (1992). The balanced scorecard: Measures that drive performance. https://doi.org/10.1002/(SICI)1097-0266(199802)19:2%3C115::AID-SMJ941%3E3.0.CO;2-5 </w:t>
      </w:r>
    </w:p>
    <w:p w14:paraId="5893B856"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26.</w:t>
      </w:r>
      <w:r w:rsidRPr="00D16F12">
        <w:rPr>
          <w:rFonts w:ascii="Arial" w:hAnsi="Arial" w:cs="Arial"/>
          <w:sz w:val="24"/>
          <w:szCs w:val="24"/>
        </w:rPr>
        <w:tab/>
        <w:t xml:space="preserve">Saunders, M., Lewis, P. and Thornhill, A., 2003. Research methods for business students. Essex: Prentice Hall: Financial Times. https://www.researchgate.net/profile/Lysias-Charumbira/post/what_is_the_best_referenes_about_Research_Methodology_on_the_field_of_Management/attachment/59d63d8a79197b807799a545/AS%3A420260026044416%401477209206490/download/Research_methods_for_business_students_f.pdf </w:t>
      </w:r>
    </w:p>
    <w:p w14:paraId="36139562"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27.</w:t>
      </w:r>
      <w:r w:rsidRPr="00D16F12">
        <w:rPr>
          <w:rFonts w:ascii="Arial" w:hAnsi="Arial" w:cs="Arial"/>
          <w:sz w:val="24"/>
          <w:szCs w:val="24"/>
        </w:rPr>
        <w:tab/>
        <w:t xml:space="preserve">Schein, E. H. (2010). Organizational Culture and Leadership. http://www.untag-smd.ac.id/files/Perpustakaan_Digital_2/ORGANIZATIONAL%20CULTURE%20Organizational%20Culture%20and%20Leadership,%203rd%20Edition.pdf </w:t>
      </w:r>
    </w:p>
    <w:p w14:paraId="285697C9"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28.</w:t>
      </w:r>
      <w:r w:rsidRPr="00D16F12">
        <w:rPr>
          <w:rFonts w:ascii="Arial" w:hAnsi="Arial" w:cs="Arial"/>
          <w:sz w:val="24"/>
          <w:szCs w:val="24"/>
        </w:rPr>
        <w:tab/>
        <w:t xml:space="preserve">Tashakkori, A., &amp; Teddlie, C. (2010). SAGE Handbook of Mixed Methods in Social &amp; Behavioral Research. https://www.researchgate.net/publication/225083428_SAGE_Handbook_of_Mixed_Methods_in_Social_and_Behavioral_Research </w:t>
      </w:r>
    </w:p>
    <w:p w14:paraId="1D09C2ED" w14:textId="77777777" w:rsidR="00BA2C06" w:rsidRPr="00D16F12" w:rsidRDefault="00BA2C06" w:rsidP="00D16F12">
      <w:pPr>
        <w:spacing w:line="360" w:lineRule="auto"/>
        <w:jc w:val="both"/>
        <w:rPr>
          <w:rFonts w:ascii="Arial" w:hAnsi="Arial" w:cs="Arial"/>
          <w:sz w:val="24"/>
          <w:szCs w:val="24"/>
        </w:rPr>
      </w:pPr>
      <w:r w:rsidRPr="00D16F12">
        <w:rPr>
          <w:rFonts w:ascii="Arial" w:hAnsi="Arial" w:cs="Arial"/>
          <w:sz w:val="24"/>
          <w:szCs w:val="24"/>
        </w:rPr>
        <w:t>29.</w:t>
      </w:r>
      <w:r w:rsidRPr="00D16F12">
        <w:rPr>
          <w:rFonts w:ascii="Arial" w:hAnsi="Arial" w:cs="Arial"/>
          <w:sz w:val="24"/>
          <w:szCs w:val="24"/>
        </w:rPr>
        <w:tab/>
        <w:t xml:space="preserve">Womack, J. P., &amp; Jones, D. T. (1996). Lean Thinking: Banish Waste and Create Wealth in Your Corporation.  https://doi.org/10.1016/j.tourman.2020.104184https://www.researchgate.net/publication/200657172_Lean_Thinking_Banish_Waste_and_Create_Wealth_in_Your_Corporation </w:t>
      </w:r>
    </w:p>
    <w:p w14:paraId="207B0E90" w14:textId="685F5FA9" w:rsidR="00F05CA8" w:rsidRPr="00D16F12" w:rsidRDefault="00F05CA8" w:rsidP="00D16F12">
      <w:pPr>
        <w:spacing w:line="360" w:lineRule="auto"/>
        <w:jc w:val="both"/>
        <w:rPr>
          <w:rFonts w:ascii="Arial" w:hAnsi="Arial" w:cs="Arial"/>
          <w:sz w:val="24"/>
          <w:szCs w:val="24"/>
        </w:rPr>
      </w:pPr>
    </w:p>
    <w:sectPr w:rsidR="00F05CA8" w:rsidRPr="00D16F12" w:rsidSect="00E046C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A69F38" w14:textId="77777777" w:rsidR="007B12B0" w:rsidRDefault="007B12B0" w:rsidP="007B12B0">
      <w:pPr>
        <w:spacing w:after="0" w:line="240" w:lineRule="auto"/>
      </w:pPr>
      <w:r>
        <w:separator/>
      </w:r>
    </w:p>
  </w:endnote>
  <w:endnote w:type="continuationSeparator" w:id="0">
    <w:p w14:paraId="357AB92C" w14:textId="77777777" w:rsidR="007B12B0" w:rsidRDefault="007B12B0" w:rsidP="007B12B0">
      <w:pPr>
        <w:spacing w:after="0" w:line="240" w:lineRule="auto"/>
      </w:pPr>
      <w:r>
        <w:continuationSeparator/>
      </w:r>
    </w:p>
  </w:endnote>
  <w:endnote w:type="continuationNotice" w:id="1">
    <w:p w14:paraId="27ADAF2F" w14:textId="77777777" w:rsidR="007B12B0" w:rsidRDefault="007B12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AD1E43" w14:textId="77777777" w:rsidR="007B12B0" w:rsidRDefault="007B12B0" w:rsidP="007B12B0">
      <w:pPr>
        <w:spacing w:after="0" w:line="240" w:lineRule="auto"/>
      </w:pPr>
      <w:r>
        <w:separator/>
      </w:r>
    </w:p>
  </w:footnote>
  <w:footnote w:type="continuationSeparator" w:id="0">
    <w:p w14:paraId="40EB2AF3" w14:textId="77777777" w:rsidR="007B12B0" w:rsidRDefault="007B12B0" w:rsidP="007B12B0">
      <w:pPr>
        <w:spacing w:after="0" w:line="240" w:lineRule="auto"/>
      </w:pPr>
      <w:r>
        <w:continuationSeparator/>
      </w:r>
    </w:p>
  </w:footnote>
  <w:footnote w:type="continuationNotice" w:id="1">
    <w:p w14:paraId="56485646" w14:textId="77777777" w:rsidR="007B12B0" w:rsidRDefault="007B12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3564E"/>
    <w:multiLevelType w:val="multilevel"/>
    <w:tmpl w:val="50E03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057488"/>
    <w:multiLevelType w:val="hybridMultilevel"/>
    <w:tmpl w:val="AF40D35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B06F6"/>
    <w:multiLevelType w:val="multilevel"/>
    <w:tmpl w:val="88AC9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CD0193"/>
    <w:multiLevelType w:val="multilevel"/>
    <w:tmpl w:val="2FF4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E811DC"/>
    <w:multiLevelType w:val="multilevel"/>
    <w:tmpl w:val="C408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FE298F"/>
    <w:multiLevelType w:val="multilevel"/>
    <w:tmpl w:val="05724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AA37F9"/>
    <w:multiLevelType w:val="multilevel"/>
    <w:tmpl w:val="07D8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110DC5"/>
    <w:multiLevelType w:val="multilevel"/>
    <w:tmpl w:val="D00C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A63D2E"/>
    <w:multiLevelType w:val="multilevel"/>
    <w:tmpl w:val="BCD8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626ACD"/>
    <w:multiLevelType w:val="multilevel"/>
    <w:tmpl w:val="271E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907C40"/>
    <w:multiLevelType w:val="multilevel"/>
    <w:tmpl w:val="026C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F328DA"/>
    <w:multiLevelType w:val="hybridMultilevel"/>
    <w:tmpl w:val="F5EE2F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4C3258F"/>
    <w:multiLevelType w:val="multilevel"/>
    <w:tmpl w:val="2E96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4F2F40"/>
    <w:multiLevelType w:val="multilevel"/>
    <w:tmpl w:val="E67A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6F338C"/>
    <w:multiLevelType w:val="multilevel"/>
    <w:tmpl w:val="9C1E9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D445AE"/>
    <w:multiLevelType w:val="multilevel"/>
    <w:tmpl w:val="B98CE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365035"/>
    <w:multiLevelType w:val="multilevel"/>
    <w:tmpl w:val="6C4AD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FD7377"/>
    <w:multiLevelType w:val="multilevel"/>
    <w:tmpl w:val="F4E0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35137B4"/>
    <w:multiLevelType w:val="hybridMultilevel"/>
    <w:tmpl w:val="27821C14"/>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9" w15:restartNumberingAfterBreak="0">
    <w:nsid w:val="7C4D70CC"/>
    <w:multiLevelType w:val="multilevel"/>
    <w:tmpl w:val="0782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2001285">
    <w:abstractNumId w:val="8"/>
  </w:num>
  <w:num w:numId="2" w16cid:durableId="1089615323">
    <w:abstractNumId w:val="7"/>
  </w:num>
  <w:num w:numId="3" w16cid:durableId="731195870">
    <w:abstractNumId w:val="14"/>
  </w:num>
  <w:num w:numId="4" w16cid:durableId="218782841">
    <w:abstractNumId w:val="17"/>
  </w:num>
  <w:num w:numId="5" w16cid:durableId="544832767">
    <w:abstractNumId w:val="16"/>
  </w:num>
  <w:num w:numId="6" w16cid:durableId="471825311">
    <w:abstractNumId w:val="2"/>
  </w:num>
  <w:num w:numId="7" w16cid:durableId="1622613765">
    <w:abstractNumId w:val="13"/>
  </w:num>
  <w:num w:numId="8" w16cid:durableId="1104300796">
    <w:abstractNumId w:val="5"/>
  </w:num>
  <w:num w:numId="9" w16cid:durableId="296569445">
    <w:abstractNumId w:val="19"/>
  </w:num>
  <w:num w:numId="10" w16cid:durableId="810707483">
    <w:abstractNumId w:val="0"/>
  </w:num>
  <w:num w:numId="11" w16cid:durableId="1335111483">
    <w:abstractNumId w:val="6"/>
  </w:num>
  <w:num w:numId="12" w16cid:durableId="742483225">
    <w:abstractNumId w:val="15"/>
  </w:num>
  <w:num w:numId="13" w16cid:durableId="815101226">
    <w:abstractNumId w:val="9"/>
  </w:num>
  <w:num w:numId="14" w16cid:durableId="1896231436">
    <w:abstractNumId w:val="12"/>
  </w:num>
  <w:num w:numId="15" w16cid:durableId="193424879">
    <w:abstractNumId w:val="10"/>
  </w:num>
  <w:num w:numId="16" w16cid:durableId="704333589">
    <w:abstractNumId w:val="3"/>
  </w:num>
  <w:num w:numId="17" w16cid:durableId="956255817">
    <w:abstractNumId w:val="4"/>
  </w:num>
  <w:num w:numId="18" w16cid:durableId="1034693294">
    <w:abstractNumId w:val="1"/>
  </w:num>
  <w:num w:numId="19" w16cid:durableId="1591160375">
    <w:abstractNumId w:val="11"/>
  </w:num>
  <w:num w:numId="20" w16cid:durableId="6183401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proofState w:spelling="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C04"/>
    <w:rsid w:val="000043F7"/>
    <w:rsid w:val="000177D3"/>
    <w:rsid w:val="00021C74"/>
    <w:rsid w:val="0004572E"/>
    <w:rsid w:val="00077125"/>
    <w:rsid w:val="00094521"/>
    <w:rsid w:val="000F0908"/>
    <w:rsid w:val="000F6EC1"/>
    <w:rsid w:val="000F7117"/>
    <w:rsid w:val="0012707F"/>
    <w:rsid w:val="00132DBE"/>
    <w:rsid w:val="00147882"/>
    <w:rsid w:val="001519BB"/>
    <w:rsid w:val="00163673"/>
    <w:rsid w:val="001768F7"/>
    <w:rsid w:val="001823A6"/>
    <w:rsid w:val="001A547A"/>
    <w:rsid w:val="001B0CB8"/>
    <w:rsid w:val="001C39BB"/>
    <w:rsid w:val="001C6C5D"/>
    <w:rsid w:val="001E06ED"/>
    <w:rsid w:val="001E1D98"/>
    <w:rsid w:val="002165ED"/>
    <w:rsid w:val="00285F5D"/>
    <w:rsid w:val="002A6EBF"/>
    <w:rsid w:val="002B5DFA"/>
    <w:rsid w:val="002C541C"/>
    <w:rsid w:val="002D71F3"/>
    <w:rsid w:val="002D7472"/>
    <w:rsid w:val="00331710"/>
    <w:rsid w:val="00336A9A"/>
    <w:rsid w:val="00352EF4"/>
    <w:rsid w:val="003571B1"/>
    <w:rsid w:val="003669E6"/>
    <w:rsid w:val="00375FF4"/>
    <w:rsid w:val="00376103"/>
    <w:rsid w:val="0038550A"/>
    <w:rsid w:val="00385D0D"/>
    <w:rsid w:val="003A746D"/>
    <w:rsid w:val="003B55C2"/>
    <w:rsid w:val="003C207F"/>
    <w:rsid w:val="003D033B"/>
    <w:rsid w:val="00401438"/>
    <w:rsid w:val="00440D2A"/>
    <w:rsid w:val="004569FC"/>
    <w:rsid w:val="00456DA7"/>
    <w:rsid w:val="004763AF"/>
    <w:rsid w:val="00487829"/>
    <w:rsid w:val="0049536E"/>
    <w:rsid w:val="00496678"/>
    <w:rsid w:val="004B68E5"/>
    <w:rsid w:val="004C329A"/>
    <w:rsid w:val="004D43A3"/>
    <w:rsid w:val="004D75F9"/>
    <w:rsid w:val="004F173A"/>
    <w:rsid w:val="004F5521"/>
    <w:rsid w:val="00512B77"/>
    <w:rsid w:val="00516258"/>
    <w:rsid w:val="00517AFC"/>
    <w:rsid w:val="00526B0F"/>
    <w:rsid w:val="005413B6"/>
    <w:rsid w:val="00546B9C"/>
    <w:rsid w:val="005611CC"/>
    <w:rsid w:val="00597A5D"/>
    <w:rsid w:val="00597D72"/>
    <w:rsid w:val="005A1E84"/>
    <w:rsid w:val="005A33FC"/>
    <w:rsid w:val="005A646A"/>
    <w:rsid w:val="005B3BB9"/>
    <w:rsid w:val="005E6AE3"/>
    <w:rsid w:val="005F1555"/>
    <w:rsid w:val="00603652"/>
    <w:rsid w:val="00606AF5"/>
    <w:rsid w:val="00611709"/>
    <w:rsid w:val="00632F47"/>
    <w:rsid w:val="00645F57"/>
    <w:rsid w:val="00647FF6"/>
    <w:rsid w:val="00667037"/>
    <w:rsid w:val="00672459"/>
    <w:rsid w:val="006876FC"/>
    <w:rsid w:val="006A13AB"/>
    <w:rsid w:val="006B273D"/>
    <w:rsid w:val="006B3E40"/>
    <w:rsid w:val="006B7D4B"/>
    <w:rsid w:val="006C49CA"/>
    <w:rsid w:val="006F2D4F"/>
    <w:rsid w:val="00713BBF"/>
    <w:rsid w:val="007624F2"/>
    <w:rsid w:val="0078117E"/>
    <w:rsid w:val="00794BF5"/>
    <w:rsid w:val="007A4ED5"/>
    <w:rsid w:val="007A7E5E"/>
    <w:rsid w:val="007B12B0"/>
    <w:rsid w:val="007C43C8"/>
    <w:rsid w:val="007C4BE4"/>
    <w:rsid w:val="007E4272"/>
    <w:rsid w:val="007E4B4B"/>
    <w:rsid w:val="007F72BF"/>
    <w:rsid w:val="00800DAB"/>
    <w:rsid w:val="00801395"/>
    <w:rsid w:val="00832F75"/>
    <w:rsid w:val="008448BE"/>
    <w:rsid w:val="00844967"/>
    <w:rsid w:val="00850A33"/>
    <w:rsid w:val="00850A8B"/>
    <w:rsid w:val="00852DDE"/>
    <w:rsid w:val="00855533"/>
    <w:rsid w:val="00870E55"/>
    <w:rsid w:val="008825E9"/>
    <w:rsid w:val="00884318"/>
    <w:rsid w:val="008C1D09"/>
    <w:rsid w:val="008D6BA8"/>
    <w:rsid w:val="008E249B"/>
    <w:rsid w:val="008F047B"/>
    <w:rsid w:val="008F1FFC"/>
    <w:rsid w:val="009062A2"/>
    <w:rsid w:val="009110E7"/>
    <w:rsid w:val="0095286B"/>
    <w:rsid w:val="009758D4"/>
    <w:rsid w:val="00976962"/>
    <w:rsid w:val="00983EDC"/>
    <w:rsid w:val="009B0C54"/>
    <w:rsid w:val="009F27FA"/>
    <w:rsid w:val="009F360D"/>
    <w:rsid w:val="009F4DBB"/>
    <w:rsid w:val="00A025ED"/>
    <w:rsid w:val="00A14999"/>
    <w:rsid w:val="00A31F46"/>
    <w:rsid w:val="00AA21FE"/>
    <w:rsid w:val="00AA2A1F"/>
    <w:rsid w:val="00AB2C2A"/>
    <w:rsid w:val="00AB5230"/>
    <w:rsid w:val="00AD2D7A"/>
    <w:rsid w:val="00AD4CBD"/>
    <w:rsid w:val="00AD6EDF"/>
    <w:rsid w:val="00B03771"/>
    <w:rsid w:val="00B04A67"/>
    <w:rsid w:val="00B41FA6"/>
    <w:rsid w:val="00B424D4"/>
    <w:rsid w:val="00B67D5F"/>
    <w:rsid w:val="00B717A8"/>
    <w:rsid w:val="00B8027D"/>
    <w:rsid w:val="00BA2C06"/>
    <w:rsid w:val="00BB2B14"/>
    <w:rsid w:val="00BE0190"/>
    <w:rsid w:val="00BE7EFD"/>
    <w:rsid w:val="00BF4C60"/>
    <w:rsid w:val="00C03488"/>
    <w:rsid w:val="00C0663F"/>
    <w:rsid w:val="00C13DD0"/>
    <w:rsid w:val="00C62AE8"/>
    <w:rsid w:val="00C75108"/>
    <w:rsid w:val="00C83AA9"/>
    <w:rsid w:val="00C92C0F"/>
    <w:rsid w:val="00C94106"/>
    <w:rsid w:val="00CC06DB"/>
    <w:rsid w:val="00CD3E61"/>
    <w:rsid w:val="00CD4D49"/>
    <w:rsid w:val="00CD75BE"/>
    <w:rsid w:val="00CE1F56"/>
    <w:rsid w:val="00CE2D90"/>
    <w:rsid w:val="00CF17A7"/>
    <w:rsid w:val="00D10C75"/>
    <w:rsid w:val="00D16F12"/>
    <w:rsid w:val="00D21F25"/>
    <w:rsid w:val="00D32292"/>
    <w:rsid w:val="00D42FA4"/>
    <w:rsid w:val="00D67595"/>
    <w:rsid w:val="00D747F4"/>
    <w:rsid w:val="00DC13E0"/>
    <w:rsid w:val="00DC334C"/>
    <w:rsid w:val="00DC3390"/>
    <w:rsid w:val="00DC6FB5"/>
    <w:rsid w:val="00DD0441"/>
    <w:rsid w:val="00DE4C4E"/>
    <w:rsid w:val="00E046CF"/>
    <w:rsid w:val="00E24BD4"/>
    <w:rsid w:val="00E27BD9"/>
    <w:rsid w:val="00E52182"/>
    <w:rsid w:val="00E56926"/>
    <w:rsid w:val="00E8212D"/>
    <w:rsid w:val="00E84F8A"/>
    <w:rsid w:val="00E95B95"/>
    <w:rsid w:val="00EA5C04"/>
    <w:rsid w:val="00EB778C"/>
    <w:rsid w:val="00EC5498"/>
    <w:rsid w:val="00ED39CC"/>
    <w:rsid w:val="00ED6AAF"/>
    <w:rsid w:val="00EF2A09"/>
    <w:rsid w:val="00F036F4"/>
    <w:rsid w:val="00F04D00"/>
    <w:rsid w:val="00F05CA8"/>
    <w:rsid w:val="00F23141"/>
    <w:rsid w:val="00F447F5"/>
    <w:rsid w:val="00F709CE"/>
    <w:rsid w:val="00F83850"/>
    <w:rsid w:val="00FA190A"/>
    <w:rsid w:val="00FB0C75"/>
    <w:rsid w:val="00FB0DC9"/>
    <w:rsid w:val="00FB2DA6"/>
    <w:rsid w:val="00FB4206"/>
    <w:rsid w:val="00FE7DA2"/>
    <w:rsid w:val="00FF08F5"/>
    <w:rsid w:val="00FF26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9DAB8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73D"/>
  </w:style>
  <w:style w:type="paragraph" w:styleId="Heading1">
    <w:name w:val="heading 1"/>
    <w:basedOn w:val="Normal"/>
    <w:next w:val="Normal"/>
    <w:link w:val="Heading1Char"/>
    <w:uiPriority w:val="9"/>
    <w:qFormat/>
    <w:rsid w:val="00EA5C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C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5C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C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C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C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C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C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C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C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C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5C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C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C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C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C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C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C04"/>
    <w:rPr>
      <w:rFonts w:eastAsiaTheme="majorEastAsia" w:cstheme="majorBidi"/>
      <w:color w:val="272727" w:themeColor="text1" w:themeTint="D8"/>
    </w:rPr>
  </w:style>
  <w:style w:type="paragraph" w:styleId="Title">
    <w:name w:val="Title"/>
    <w:basedOn w:val="Normal"/>
    <w:next w:val="Normal"/>
    <w:link w:val="TitleChar"/>
    <w:uiPriority w:val="10"/>
    <w:qFormat/>
    <w:rsid w:val="00EA5C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C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C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C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C04"/>
    <w:pPr>
      <w:spacing w:before="160"/>
      <w:jc w:val="center"/>
    </w:pPr>
    <w:rPr>
      <w:i/>
      <w:iCs/>
      <w:color w:val="404040" w:themeColor="text1" w:themeTint="BF"/>
    </w:rPr>
  </w:style>
  <w:style w:type="character" w:customStyle="1" w:styleId="QuoteChar">
    <w:name w:val="Quote Char"/>
    <w:basedOn w:val="DefaultParagraphFont"/>
    <w:link w:val="Quote"/>
    <w:uiPriority w:val="29"/>
    <w:rsid w:val="00EA5C04"/>
    <w:rPr>
      <w:i/>
      <w:iCs/>
      <w:color w:val="404040" w:themeColor="text1" w:themeTint="BF"/>
    </w:rPr>
  </w:style>
  <w:style w:type="paragraph" w:styleId="ListParagraph">
    <w:name w:val="List Paragraph"/>
    <w:basedOn w:val="Normal"/>
    <w:uiPriority w:val="34"/>
    <w:qFormat/>
    <w:rsid w:val="00EA5C04"/>
    <w:pPr>
      <w:ind w:left="720"/>
      <w:contextualSpacing/>
    </w:pPr>
  </w:style>
  <w:style w:type="character" w:styleId="IntenseEmphasis">
    <w:name w:val="Intense Emphasis"/>
    <w:basedOn w:val="DefaultParagraphFont"/>
    <w:uiPriority w:val="21"/>
    <w:qFormat/>
    <w:rsid w:val="00EA5C04"/>
    <w:rPr>
      <w:i/>
      <w:iCs/>
      <w:color w:val="0F4761" w:themeColor="accent1" w:themeShade="BF"/>
    </w:rPr>
  </w:style>
  <w:style w:type="paragraph" w:styleId="IntenseQuote">
    <w:name w:val="Intense Quote"/>
    <w:basedOn w:val="Normal"/>
    <w:next w:val="Normal"/>
    <w:link w:val="IntenseQuoteChar"/>
    <w:uiPriority w:val="30"/>
    <w:qFormat/>
    <w:rsid w:val="00EA5C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C04"/>
    <w:rPr>
      <w:i/>
      <w:iCs/>
      <w:color w:val="0F4761" w:themeColor="accent1" w:themeShade="BF"/>
    </w:rPr>
  </w:style>
  <w:style w:type="character" w:styleId="IntenseReference">
    <w:name w:val="Intense Reference"/>
    <w:basedOn w:val="DefaultParagraphFont"/>
    <w:uiPriority w:val="32"/>
    <w:qFormat/>
    <w:rsid w:val="00EA5C04"/>
    <w:rPr>
      <w:b/>
      <w:bCs/>
      <w:smallCaps/>
      <w:color w:val="0F4761" w:themeColor="accent1" w:themeShade="BF"/>
      <w:spacing w:val="5"/>
    </w:rPr>
  </w:style>
  <w:style w:type="character" w:styleId="Hyperlink">
    <w:name w:val="Hyperlink"/>
    <w:basedOn w:val="DefaultParagraphFont"/>
    <w:uiPriority w:val="99"/>
    <w:unhideWhenUsed/>
    <w:rsid w:val="006B273D"/>
    <w:rPr>
      <w:color w:val="467886" w:themeColor="hyperlink"/>
      <w:u w:val="single"/>
    </w:rPr>
  </w:style>
  <w:style w:type="character" w:styleId="FollowedHyperlink">
    <w:name w:val="FollowedHyperlink"/>
    <w:basedOn w:val="DefaultParagraphFont"/>
    <w:uiPriority w:val="99"/>
    <w:semiHidden/>
    <w:unhideWhenUsed/>
    <w:rsid w:val="006B273D"/>
    <w:rPr>
      <w:color w:val="96607D" w:themeColor="followedHyperlink"/>
      <w:u w:val="single"/>
    </w:rPr>
  </w:style>
  <w:style w:type="character" w:styleId="UnresolvedMention">
    <w:name w:val="Unresolved Mention"/>
    <w:basedOn w:val="DefaultParagraphFont"/>
    <w:uiPriority w:val="99"/>
    <w:semiHidden/>
    <w:unhideWhenUsed/>
    <w:rsid w:val="00B41FA6"/>
    <w:rPr>
      <w:color w:val="605E5C"/>
      <w:shd w:val="clear" w:color="auto" w:fill="E1DFDD"/>
    </w:rPr>
  </w:style>
  <w:style w:type="paragraph" w:styleId="Header">
    <w:name w:val="header"/>
    <w:basedOn w:val="Normal"/>
    <w:link w:val="HeaderChar"/>
    <w:uiPriority w:val="99"/>
    <w:unhideWhenUsed/>
    <w:rsid w:val="007B1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2B0"/>
  </w:style>
  <w:style w:type="paragraph" w:styleId="Footer">
    <w:name w:val="footer"/>
    <w:basedOn w:val="Normal"/>
    <w:link w:val="FooterChar"/>
    <w:uiPriority w:val="99"/>
    <w:unhideWhenUsed/>
    <w:rsid w:val="007B1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2B0"/>
  </w:style>
  <w:style w:type="paragraph" w:styleId="NormalWeb">
    <w:name w:val="Normal (Web)"/>
    <w:basedOn w:val="Normal"/>
    <w:uiPriority w:val="99"/>
    <w:semiHidden/>
    <w:unhideWhenUsed/>
    <w:rsid w:val="000F6EC1"/>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0F6EC1"/>
    <w:rPr>
      <w:b/>
      <w:bCs/>
    </w:rPr>
  </w:style>
  <w:style w:type="paragraph" w:styleId="NoSpacing">
    <w:name w:val="No Spacing"/>
    <w:link w:val="NoSpacingChar"/>
    <w:uiPriority w:val="1"/>
    <w:qFormat/>
    <w:rsid w:val="00E046CF"/>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E046CF"/>
    <w:rPr>
      <w:rFonts w:eastAsiaTheme="minorEastAsia"/>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438665">
      <w:bodyDiv w:val="1"/>
      <w:marLeft w:val="0"/>
      <w:marRight w:val="0"/>
      <w:marTop w:val="0"/>
      <w:marBottom w:val="0"/>
      <w:divBdr>
        <w:top w:val="none" w:sz="0" w:space="0" w:color="auto"/>
        <w:left w:val="none" w:sz="0" w:space="0" w:color="auto"/>
        <w:bottom w:val="none" w:sz="0" w:space="0" w:color="auto"/>
        <w:right w:val="none" w:sz="0" w:space="0" w:color="auto"/>
      </w:divBdr>
    </w:div>
    <w:div w:id="211043466">
      <w:bodyDiv w:val="1"/>
      <w:marLeft w:val="0"/>
      <w:marRight w:val="0"/>
      <w:marTop w:val="0"/>
      <w:marBottom w:val="0"/>
      <w:divBdr>
        <w:top w:val="none" w:sz="0" w:space="0" w:color="auto"/>
        <w:left w:val="none" w:sz="0" w:space="0" w:color="auto"/>
        <w:bottom w:val="none" w:sz="0" w:space="0" w:color="auto"/>
        <w:right w:val="none" w:sz="0" w:space="0" w:color="auto"/>
      </w:divBdr>
    </w:div>
    <w:div w:id="245580475">
      <w:bodyDiv w:val="1"/>
      <w:marLeft w:val="0"/>
      <w:marRight w:val="0"/>
      <w:marTop w:val="0"/>
      <w:marBottom w:val="0"/>
      <w:divBdr>
        <w:top w:val="none" w:sz="0" w:space="0" w:color="auto"/>
        <w:left w:val="none" w:sz="0" w:space="0" w:color="auto"/>
        <w:bottom w:val="none" w:sz="0" w:space="0" w:color="auto"/>
        <w:right w:val="none" w:sz="0" w:space="0" w:color="auto"/>
      </w:divBdr>
    </w:div>
    <w:div w:id="294139807">
      <w:bodyDiv w:val="1"/>
      <w:marLeft w:val="0"/>
      <w:marRight w:val="0"/>
      <w:marTop w:val="0"/>
      <w:marBottom w:val="0"/>
      <w:divBdr>
        <w:top w:val="none" w:sz="0" w:space="0" w:color="auto"/>
        <w:left w:val="none" w:sz="0" w:space="0" w:color="auto"/>
        <w:bottom w:val="none" w:sz="0" w:space="0" w:color="auto"/>
        <w:right w:val="none" w:sz="0" w:space="0" w:color="auto"/>
      </w:divBdr>
    </w:div>
    <w:div w:id="520094522">
      <w:bodyDiv w:val="1"/>
      <w:marLeft w:val="0"/>
      <w:marRight w:val="0"/>
      <w:marTop w:val="0"/>
      <w:marBottom w:val="0"/>
      <w:divBdr>
        <w:top w:val="none" w:sz="0" w:space="0" w:color="auto"/>
        <w:left w:val="none" w:sz="0" w:space="0" w:color="auto"/>
        <w:bottom w:val="none" w:sz="0" w:space="0" w:color="auto"/>
        <w:right w:val="none" w:sz="0" w:space="0" w:color="auto"/>
      </w:divBdr>
    </w:div>
    <w:div w:id="579798623">
      <w:bodyDiv w:val="1"/>
      <w:marLeft w:val="0"/>
      <w:marRight w:val="0"/>
      <w:marTop w:val="0"/>
      <w:marBottom w:val="0"/>
      <w:divBdr>
        <w:top w:val="none" w:sz="0" w:space="0" w:color="auto"/>
        <w:left w:val="none" w:sz="0" w:space="0" w:color="auto"/>
        <w:bottom w:val="none" w:sz="0" w:space="0" w:color="auto"/>
        <w:right w:val="none" w:sz="0" w:space="0" w:color="auto"/>
      </w:divBdr>
    </w:div>
    <w:div w:id="641664130">
      <w:bodyDiv w:val="1"/>
      <w:marLeft w:val="0"/>
      <w:marRight w:val="0"/>
      <w:marTop w:val="0"/>
      <w:marBottom w:val="0"/>
      <w:divBdr>
        <w:top w:val="none" w:sz="0" w:space="0" w:color="auto"/>
        <w:left w:val="none" w:sz="0" w:space="0" w:color="auto"/>
        <w:bottom w:val="none" w:sz="0" w:space="0" w:color="auto"/>
        <w:right w:val="none" w:sz="0" w:space="0" w:color="auto"/>
      </w:divBdr>
    </w:div>
    <w:div w:id="685598067">
      <w:bodyDiv w:val="1"/>
      <w:marLeft w:val="0"/>
      <w:marRight w:val="0"/>
      <w:marTop w:val="0"/>
      <w:marBottom w:val="0"/>
      <w:divBdr>
        <w:top w:val="none" w:sz="0" w:space="0" w:color="auto"/>
        <w:left w:val="none" w:sz="0" w:space="0" w:color="auto"/>
        <w:bottom w:val="none" w:sz="0" w:space="0" w:color="auto"/>
        <w:right w:val="none" w:sz="0" w:space="0" w:color="auto"/>
      </w:divBdr>
    </w:div>
    <w:div w:id="688727023">
      <w:bodyDiv w:val="1"/>
      <w:marLeft w:val="0"/>
      <w:marRight w:val="0"/>
      <w:marTop w:val="0"/>
      <w:marBottom w:val="0"/>
      <w:divBdr>
        <w:top w:val="none" w:sz="0" w:space="0" w:color="auto"/>
        <w:left w:val="none" w:sz="0" w:space="0" w:color="auto"/>
        <w:bottom w:val="none" w:sz="0" w:space="0" w:color="auto"/>
        <w:right w:val="none" w:sz="0" w:space="0" w:color="auto"/>
      </w:divBdr>
    </w:div>
    <w:div w:id="708988592">
      <w:bodyDiv w:val="1"/>
      <w:marLeft w:val="0"/>
      <w:marRight w:val="0"/>
      <w:marTop w:val="0"/>
      <w:marBottom w:val="0"/>
      <w:divBdr>
        <w:top w:val="none" w:sz="0" w:space="0" w:color="auto"/>
        <w:left w:val="none" w:sz="0" w:space="0" w:color="auto"/>
        <w:bottom w:val="none" w:sz="0" w:space="0" w:color="auto"/>
        <w:right w:val="none" w:sz="0" w:space="0" w:color="auto"/>
      </w:divBdr>
    </w:div>
    <w:div w:id="722827479">
      <w:bodyDiv w:val="1"/>
      <w:marLeft w:val="0"/>
      <w:marRight w:val="0"/>
      <w:marTop w:val="0"/>
      <w:marBottom w:val="0"/>
      <w:divBdr>
        <w:top w:val="none" w:sz="0" w:space="0" w:color="auto"/>
        <w:left w:val="none" w:sz="0" w:space="0" w:color="auto"/>
        <w:bottom w:val="none" w:sz="0" w:space="0" w:color="auto"/>
        <w:right w:val="none" w:sz="0" w:space="0" w:color="auto"/>
      </w:divBdr>
    </w:div>
    <w:div w:id="745538509">
      <w:bodyDiv w:val="1"/>
      <w:marLeft w:val="0"/>
      <w:marRight w:val="0"/>
      <w:marTop w:val="0"/>
      <w:marBottom w:val="0"/>
      <w:divBdr>
        <w:top w:val="none" w:sz="0" w:space="0" w:color="auto"/>
        <w:left w:val="none" w:sz="0" w:space="0" w:color="auto"/>
        <w:bottom w:val="none" w:sz="0" w:space="0" w:color="auto"/>
        <w:right w:val="none" w:sz="0" w:space="0" w:color="auto"/>
      </w:divBdr>
    </w:div>
    <w:div w:id="753015361">
      <w:bodyDiv w:val="1"/>
      <w:marLeft w:val="0"/>
      <w:marRight w:val="0"/>
      <w:marTop w:val="0"/>
      <w:marBottom w:val="0"/>
      <w:divBdr>
        <w:top w:val="none" w:sz="0" w:space="0" w:color="auto"/>
        <w:left w:val="none" w:sz="0" w:space="0" w:color="auto"/>
        <w:bottom w:val="none" w:sz="0" w:space="0" w:color="auto"/>
        <w:right w:val="none" w:sz="0" w:space="0" w:color="auto"/>
      </w:divBdr>
    </w:div>
    <w:div w:id="795487966">
      <w:bodyDiv w:val="1"/>
      <w:marLeft w:val="0"/>
      <w:marRight w:val="0"/>
      <w:marTop w:val="0"/>
      <w:marBottom w:val="0"/>
      <w:divBdr>
        <w:top w:val="none" w:sz="0" w:space="0" w:color="auto"/>
        <w:left w:val="none" w:sz="0" w:space="0" w:color="auto"/>
        <w:bottom w:val="none" w:sz="0" w:space="0" w:color="auto"/>
        <w:right w:val="none" w:sz="0" w:space="0" w:color="auto"/>
      </w:divBdr>
    </w:div>
    <w:div w:id="821777888">
      <w:bodyDiv w:val="1"/>
      <w:marLeft w:val="0"/>
      <w:marRight w:val="0"/>
      <w:marTop w:val="0"/>
      <w:marBottom w:val="0"/>
      <w:divBdr>
        <w:top w:val="none" w:sz="0" w:space="0" w:color="auto"/>
        <w:left w:val="none" w:sz="0" w:space="0" w:color="auto"/>
        <w:bottom w:val="none" w:sz="0" w:space="0" w:color="auto"/>
        <w:right w:val="none" w:sz="0" w:space="0" w:color="auto"/>
      </w:divBdr>
    </w:div>
    <w:div w:id="830873951">
      <w:bodyDiv w:val="1"/>
      <w:marLeft w:val="0"/>
      <w:marRight w:val="0"/>
      <w:marTop w:val="0"/>
      <w:marBottom w:val="0"/>
      <w:divBdr>
        <w:top w:val="none" w:sz="0" w:space="0" w:color="auto"/>
        <w:left w:val="none" w:sz="0" w:space="0" w:color="auto"/>
        <w:bottom w:val="none" w:sz="0" w:space="0" w:color="auto"/>
        <w:right w:val="none" w:sz="0" w:space="0" w:color="auto"/>
      </w:divBdr>
    </w:div>
    <w:div w:id="921522428">
      <w:bodyDiv w:val="1"/>
      <w:marLeft w:val="0"/>
      <w:marRight w:val="0"/>
      <w:marTop w:val="0"/>
      <w:marBottom w:val="0"/>
      <w:divBdr>
        <w:top w:val="none" w:sz="0" w:space="0" w:color="auto"/>
        <w:left w:val="none" w:sz="0" w:space="0" w:color="auto"/>
        <w:bottom w:val="none" w:sz="0" w:space="0" w:color="auto"/>
        <w:right w:val="none" w:sz="0" w:space="0" w:color="auto"/>
      </w:divBdr>
    </w:div>
    <w:div w:id="931202944">
      <w:bodyDiv w:val="1"/>
      <w:marLeft w:val="0"/>
      <w:marRight w:val="0"/>
      <w:marTop w:val="0"/>
      <w:marBottom w:val="0"/>
      <w:divBdr>
        <w:top w:val="none" w:sz="0" w:space="0" w:color="auto"/>
        <w:left w:val="none" w:sz="0" w:space="0" w:color="auto"/>
        <w:bottom w:val="none" w:sz="0" w:space="0" w:color="auto"/>
        <w:right w:val="none" w:sz="0" w:space="0" w:color="auto"/>
      </w:divBdr>
    </w:div>
    <w:div w:id="1055347861">
      <w:bodyDiv w:val="1"/>
      <w:marLeft w:val="0"/>
      <w:marRight w:val="0"/>
      <w:marTop w:val="0"/>
      <w:marBottom w:val="0"/>
      <w:divBdr>
        <w:top w:val="none" w:sz="0" w:space="0" w:color="auto"/>
        <w:left w:val="none" w:sz="0" w:space="0" w:color="auto"/>
        <w:bottom w:val="none" w:sz="0" w:space="0" w:color="auto"/>
        <w:right w:val="none" w:sz="0" w:space="0" w:color="auto"/>
      </w:divBdr>
    </w:div>
    <w:div w:id="1130712442">
      <w:bodyDiv w:val="1"/>
      <w:marLeft w:val="0"/>
      <w:marRight w:val="0"/>
      <w:marTop w:val="0"/>
      <w:marBottom w:val="0"/>
      <w:divBdr>
        <w:top w:val="none" w:sz="0" w:space="0" w:color="auto"/>
        <w:left w:val="none" w:sz="0" w:space="0" w:color="auto"/>
        <w:bottom w:val="none" w:sz="0" w:space="0" w:color="auto"/>
        <w:right w:val="none" w:sz="0" w:space="0" w:color="auto"/>
      </w:divBdr>
    </w:div>
    <w:div w:id="1143545913">
      <w:bodyDiv w:val="1"/>
      <w:marLeft w:val="0"/>
      <w:marRight w:val="0"/>
      <w:marTop w:val="0"/>
      <w:marBottom w:val="0"/>
      <w:divBdr>
        <w:top w:val="none" w:sz="0" w:space="0" w:color="auto"/>
        <w:left w:val="none" w:sz="0" w:space="0" w:color="auto"/>
        <w:bottom w:val="none" w:sz="0" w:space="0" w:color="auto"/>
        <w:right w:val="none" w:sz="0" w:space="0" w:color="auto"/>
      </w:divBdr>
    </w:div>
    <w:div w:id="1184124006">
      <w:bodyDiv w:val="1"/>
      <w:marLeft w:val="0"/>
      <w:marRight w:val="0"/>
      <w:marTop w:val="0"/>
      <w:marBottom w:val="0"/>
      <w:divBdr>
        <w:top w:val="none" w:sz="0" w:space="0" w:color="auto"/>
        <w:left w:val="none" w:sz="0" w:space="0" w:color="auto"/>
        <w:bottom w:val="none" w:sz="0" w:space="0" w:color="auto"/>
        <w:right w:val="none" w:sz="0" w:space="0" w:color="auto"/>
      </w:divBdr>
    </w:div>
    <w:div w:id="1244795318">
      <w:bodyDiv w:val="1"/>
      <w:marLeft w:val="0"/>
      <w:marRight w:val="0"/>
      <w:marTop w:val="0"/>
      <w:marBottom w:val="0"/>
      <w:divBdr>
        <w:top w:val="none" w:sz="0" w:space="0" w:color="auto"/>
        <w:left w:val="none" w:sz="0" w:space="0" w:color="auto"/>
        <w:bottom w:val="none" w:sz="0" w:space="0" w:color="auto"/>
        <w:right w:val="none" w:sz="0" w:space="0" w:color="auto"/>
      </w:divBdr>
    </w:div>
    <w:div w:id="1430540197">
      <w:bodyDiv w:val="1"/>
      <w:marLeft w:val="0"/>
      <w:marRight w:val="0"/>
      <w:marTop w:val="0"/>
      <w:marBottom w:val="0"/>
      <w:divBdr>
        <w:top w:val="none" w:sz="0" w:space="0" w:color="auto"/>
        <w:left w:val="none" w:sz="0" w:space="0" w:color="auto"/>
        <w:bottom w:val="none" w:sz="0" w:space="0" w:color="auto"/>
        <w:right w:val="none" w:sz="0" w:space="0" w:color="auto"/>
      </w:divBdr>
    </w:div>
    <w:div w:id="1464808106">
      <w:bodyDiv w:val="1"/>
      <w:marLeft w:val="0"/>
      <w:marRight w:val="0"/>
      <w:marTop w:val="0"/>
      <w:marBottom w:val="0"/>
      <w:divBdr>
        <w:top w:val="none" w:sz="0" w:space="0" w:color="auto"/>
        <w:left w:val="none" w:sz="0" w:space="0" w:color="auto"/>
        <w:bottom w:val="none" w:sz="0" w:space="0" w:color="auto"/>
        <w:right w:val="none" w:sz="0" w:space="0" w:color="auto"/>
      </w:divBdr>
    </w:div>
    <w:div w:id="1604875154">
      <w:bodyDiv w:val="1"/>
      <w:marLeft w:val="0"/>
      <w:marRight w:val="0"/>
      <w:marTop w:val="0"/>
      <w:marBottom w:val="0"/>
      <w:divBdr>
        <w:top w:val="none" w:sz="0" w:space="0" w:color="auto"/>
        <w:left w:val="none" w:sz="0" w:space="0" w:color="auto"/>
        <w:bottom w:val="none" w:sz="0" w:space="0" w:color="auto"/>
        <w:right w:val="none" w:sz="0" w:space="0" w:color="auto"/>
      </w:divBdr>
    </w:div>
    <w:div w:id="1647200578">
      <w:bodyDiv w:val="1"/>
      <w:marLeft w:val="0"/>
      <w:marRight w:val="0"/>
      <w:marTop w:val="0"/>
      <w:marBottom w:val="0"/>
      <w:divBdr>
        <w:top w:val="none" w:sz="0" w:space="0" w:color="auto"/>
        <w:left w:val="none" w:sz="0" w:space="0" w:color="auto"/>
        <w:bottom w:val="none" w:sz="0" w:space="0" w:color="auto"/>
        <w:right w:val="none" w:sz="0" w:space="0" w:color="auto"/>
      </w:divBdr>
    </w:div>
    <w:div w:id="1768767005">
      <w:bodyDiv w:val="1"/>
      <w:marLeft w:val="0"/>
      <w:marRight w:val="0"/>
      <w:marTop w:val="0"/>
      <w:marBottom w:val="0"/>
      <w:divBdr>
        <w:top w:val="none" w:sz="0" w:space="0" w:color="auto"/>
        <w:left w:val="none" w:sz="0" w:space="0" w:color="auto"/>
        <w:bottom w:val="none" w:sz="0" w:space="0" w:color="auto"/>
        <w:right w:val="none" w:sz="0" w:space="0" w:color="auto"/>
      </w:divBdr>
    </w:div>
    <w:div w:id="1775173793">
      <w:bodyDiv w:val="1"/>
      <w:marLeft w:val="0"/>
      <w:marRight w:val="0"/>
      <w:marTop w:val="0"/>
      <w:marBottom w:val="0"/>
      <w:divBdr>
        <w:top w:val="none" w:sz="0" w:space="0" w:color="auto"/>
        <w:left w:val="none" w:sz="0" w:space="0" w:color="auto"/>
        <w:bottom w:val="none" w:sz="0" w:space="0" w:color="auto"/>
        <w:right w:val="none" w:sz="0" w:space="0" w:color="auto"/>
      </w:divBdr>
    </w:div>
    <w:div w:id="1776166553">
      <w:bodyDiv w:val="1"/>
      <w:marLeft w:val="0"/>
      <w:marRight w:val="0"/>
      <w:marTop w:val="0"/>
      <w:marBottom w:val="0"/>
      <w:divBdr>
        <w:top w:val="none" w:sz="0" w:space="0" w:color="auto"/>
        <w:left w:val="none" w:sz="0" w:space="0" w:color="auto"/>
        <w:bottom w:val="none" w:sz="0" w:space="0" w:color="auto"/>
        <w:right w:val="none" w:sz="0" w:space="0" w:color="auto"/>
      </w:divBdr>
    </w:div>
    <w:div w:id="1843662889">
      <w:bodyDiv w:val="1"/>
      <w:marLeft w:val="0"/>
      <w:marRight w:val="0"/>
      <w:marTop w:val="0"/>
      <w:marBottom w:val="0"/>
      <w:divBdr>
        <w:top w:val="none" w:sz="0" w:space="0" w:color="auto"/>
        <w:left w:val="none" w:sz="0" w:space="0" w:color="auto"/>
        <w:bottom w:val="none" w:sz="0" w:space="0" w:color="auto"/>
        <w:right w:val="none" w:sz="0" w:space="0" w:color="auto"/>
      </w:divBdr>
    </w:div>
    <w:div w:id="1882208629">
      <w:bodyDiv w:val="1"/>
      <w:marLeft w:val="0"/>
      <w:marRight w:val="0"/>
      <w:marTop w:val="0"/>
      <w:marBottom w:val="0"/>
      <w:divBdr>
        <w:top w:val="none" w:sz="0" w:space="0" w:color="auto"/>
        <w:left w:val="none" w:sz="0" w:space="0" w:color="auto"/>
        <w:bottom w:val="none" w:sz="0" w:space="0" w:color="auto"/>
        <w:right w:val="none" w:sz="0" w:space="0" w:color="auto"/>
      </w:divBdr>
    </w:div>
    <w:div w:id="1971011800">
      <w:bodyDiv w:val="1"/>
      <w:marLeft w:val="0"/>
      <w:marRight w:val="0"/>
      <w:marTop w:val="0"/>
      <w:marBottom w:val="0"/>
      <w:divBdr>
        <w:top w:val="none" w:sz="0" w:space="0" w:color="auto"/>
        <w:left w:val="none" w:sz="0" w:space="0" w:color="auto"/>
        <w:bottom w:val="none" w:sz="0" w:space="0" w:color="auto"/>
        <w:right w:val="none" w:sz="0" w:space="0" w:color="auto"/>
      </w:divBdr>
    </w:div>
    <w:div w:id="2096509705">
      <w:bodyDiv w:val="1"/>
      <w:marLeft w:val="0"/>
      <w:marRight w:val="0"/>
      <w:marTop w:val="0"/>
      <w:marBottom w:val="0"/>
      <w:divBdr>
        <w:top w:val="none" w:sz="0" w:space="0" w:color="auto"/>
        <w:left w:val="none" w:sz="0" w:space="0" w:color="auto"/>
        <w:bottom w:val="none" w:sz="0" w:space="0" w:color="auto"/>
        <w:right w:val="none" w:sz="0" w:space="0" w:color="auto"/>
      </w:divBdr>
    </w:div>
    <w:div w:id="2110466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2621</Words>
  <Characters>19649</Characters>
  <Application>Microsoft Office Word</Application>
  <DocSecurity>0</DocSecurity>
  <Lines>163</Lines>
  <Paragraphs>44</Paragraphs>
  <ScaleCrop>false</ScaleCrop>
  <Company/>
  <LinksUpToDate>false</LinksUpToDate>
  <CharactersWithSpaces>22226</CharactersWithSpaces>
  <SharedDoc>false</SharedDoc>
  <HLinks>
    <vt:vector size="54" baseType="variant">
      <vt:variant>
        <vt:i4>6553722</vt:i4>
      </vt:variant>
      <vt:variant>
        <vt:i4>24</vt:i4>
      </vt:variant>
      <vt:variant>
        <vt:i4>0</vt:i4>
      </vt:variant>
      <vt:variant>
        <vt:i4>5</vt:i4>
      </vt:variant>
      <vt:variant>
        <vt:lpwstr>https://www.researchgate.net/publication/200657172_Lean_Thinking_Banish_Waste_and_Create_Wealth_in_Your_Corporation</vt:lpwstr>
      </vt:variant>
      <vt:variant>
        <vt:lpwstr/>
      </vt:variant>
      <vt:variant>
        <vt:i4>8126562</vt:i4>
      </vt:variant>
      <vt:variant>
        <vt:i4>21</vt:i4>
      </vt:variant>
      <vt:variant>
        <vt:i4>0</vt:i4>
      </vt:variant>
      <vt:variant>
        <vt:i4>5</vt:i4>
      </vt:variant>
      <vt:variant>
        <vt:lpwstr>https://www.researchgate.net/publication/225083428_SAGE_Handbook_of_Mixed_Methods_in_Social_and_Behavioral_Research</vt:lpwstr>
      </vt:variant>
      <vt:variant>
        <vt:lpwstr/>
      </vt:variant>
      <vt:variant>
        <vt:i4>983117</vt:i4>
      </vt:variant>
      <vt:variant>
        <vt:i4>18</vt:i4>
      </vt:variant>
      <vt:variant>
        <vt:i4>0</vt:i4>
      </vt:variant>
      <vt:variant>
        <vt:i4>5</vt:i4>
      </vt:variant>
      <vt:variant>
        <vt:lpwstr>https://www.impactinternational.com/case-studies/hilton-worldwide</vt:lpwstr>
      </vt:variant>
      <vt:variant>
        <vt:lpwstr/>
      </vt:variant>
      <vt:variant>
        <vt:i4>3211380</vt:i4>
      </vt:variant>
      <vt:variant>
        <vt:i4>15</vt:i4>
      </vt:variant>
      <vt:variant>
        <vt:i4>0</vt:i4>
      </vt:variant>
      <vt:variant>
        <vt:i4>5</vt:i4>
      </vt:variant>
      <vt:variant>
        <vt:lpwstr>https://www.researchgate.net/profile/Pedro-Liberato/publication/343294642_Sustainability_In_Tourism_And_Hospitality_Trends_And_Challenges/links/5f21b653299bf134049252e7/Sustainability-In-Tourism-And-Hospitality-Trends-And-Challenges.pdf</vt:lpwstr>
      </vt:variant>
      <vt:variant>
        <vt:lpwstr/>
      </vt:variant>
      <vt:variant>
        <vt:i4>7864366</vt:i4>
      </vt:variant>
      <vt:variant>
        <vt:i4>12</vt:i4>
      </vt:variant>
      <vt:variant>
        <vt:i4>0</vt:i4>
      </vt:variant>
      <vt:variant>
        <vt:i4>5</vt:i4>
      </vt:variant>
      <vt:variant>
        <vt:lpwstr>https://www.scribd.com/document/458234239/There-s-a-S-M-A-R-T-way-to-write-management-s-goals-and-objectives-George-T-Doran-Management-Review-1981-pdf</vt:lpwstr>
      </vt:variant>
      <vt:variant>
        <vt:lpwstr/>
      </vt:variant>
      <vt:variant>
        <vt:i4>1310810</vt:i4>
      </vt:variant>
      <vt:variant>
        <vt:i4>9</vt:i4>
      </vt:variant>
      <vt:variant>
        <vt:i4>0</vt:i4>
      </vt:variant>
      <vt:variant>
        <vt:i4>5</vt:i4>
      </vt:variant>
      <vt:variant>
        <vt:lpwstr>https://doi.org/10.4324/9781351033701</vt:lpwstr>
      </vt:variant>
      <vt:variant>
        <vt:lpwstr/>
      </vt:variant>
      <vt:variant>
        <vt:i4>126</vt:i4>
      </vt:variant>
      <vt:variant>
        <vt:i4>6</vt:i4>
      </vt:variant>
      <vt:variant>
        <vt:i4>0</vt:i4>
      </vt:variant>
      <vt:variant>
        <vt:i4>5</vt:i4>
      </vt:variant>
      <vt:variant>
        <vt:lpwstr>https://www.academia.edu/37923160/Organization_Theory_and_Design</vt:lpwstr>
      </vt:variant>
      <vt:variant>
        <vt:lpwstr/>
      </vt:variant>
      <vt:variant>
        <vt:i4>3407911</vt:i4>
      </vt:variant>
      <vt:variant>
        <vt:i4>3</vt:i4>
      </vt:variant>
      <vt:variant>
        <vt:i4>0</vt:i4>
      </vt:variant>
      <vt:variant>
        <vt:i4>5</vt:i4>
      </vt:variant>
      <vt:variant>
        <vt:lpwstr>https://www.researchgate.net/profile/Tahani-Aldahdouh-2/post/Is-the-any-test-or-questionnaire-to-measure-the-organizational-climate-anyone-can-suggest/attachment/59d61f45c49f478072e97966/AS%3A271750183489537%401441801700739/download/Diagnosing+and+changing+organizational+culture+Based+on+the+competing+values+framework.pdf</vt:lpwstr>
      </vt:variant>
      <vt:variant>
        <vt:lpwstr/>
      </vt:variant>
      <vt:variant>
        <vt:i4>2097257</vt:i4>
      </vt:variant>
      <vt:variant>
        <vt:i4>0</vt:i4>
      </vt:variant>
      <vt:variant>
        <vt:i4>0</vt:i4>
      </vt:variant>
      <vt:variant>
        <vt:i4>5</vt:i4>
      </vt:variant>
      <vt:variant>
        <vt:lpwstr>https://www.academia.edu/45262372/Social_Research_Methods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2024-05-31T19:15:00Z</dcterms:created>
  <dcterms:modified xsi:type="dcterms:W3CDTF">2024-05-31T19:32:00Z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f9073ebad512501aed15c593d9c183769d5e8ace97ef5c04a9e6e1132037ffa8</vt:lpwstr>
  </property>
</Properties>
</file>