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rPr>
        <w:id w:val="423847121"/>
        <w:docPartObj>
          <w:docPartGallery w:val="Cover Pages"/>
          <w:docPartUnique/>
        </w:docPartObj>
      </w:sdtPr>
      <w:sdtEndPr>
        <w:rPr>
          <w:sz w:val="22"/>
        </w:rPr>
      </w:sdtEndPr>
      <w:sdtContent>
        <w:p w14:paraId="12488484" w14:textId="0A201A68" w:rsidR="006B0A19" w:rsidRDefault="006B0A19">
          <w:pPr>
            <w:pStyle w:val="NoSpacing"/>
            <w:rPr>
              <w:sz w:val="2"/>
            </w:rPr>
          </w:pPr>
        </w:p>
        <w:p w14:paraId="58334998" w14:textId="77777777" w:rsidR="006B0A19" w:rsidRDefault="006B0A19">
          <w:pPr>
            <w:pStyle w:val="NoSpacing"/>
            <w:rPr>
              <w:sz w:val="2"/>
            </w:rPr>
          </w:pPr>
        </w:p>
        <w:p w14:paraId="031088AF" w14:textId="6E9E2515" w:rsidR="006B0A19" w:rsidRDefault="006B0A19">
          <w:r>
            <w:rPr>
              <w:noProof/>
              <w:color w:val="4472C4" w:themeColor="accent1"/>
              <w:sz w:val="36"/>
              <w:szCs w:val="36"/>
            </w:rPr>
            <mc:AlternateContent>
              <mc:Choice Requires="wpg">
                <w:drawing>
                  <wp:anchor distT="0" distB="0" distL="114300" distR="114300" simplePos="0" relativeHeight="251660288" behindDoc="1" locked="0" layoutInCell="1" allowOverlap="1" wp14:anchorId="13AD0416" wp14:editId="76BD4DF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F565B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D3AF5BE" wp14:editId="59F26C70">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C2F47" w14:textId="710ECC3A" w:rsidR="006B0A19" w:rsidRPr="006B0A19" w:rsidRDefault="00000000">
                                <w:pPr>
                                  <w:pStyle w:val="NoSpacing"/>
                                  <w:jc w:val="right"/>
                                  <w:rPr>
                                    <w:color w:val="4472C4" w:themeColor="accent1"/>
                                    <w:sz w:val="32"/>
                                    <w:szCs w:val="32"/>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6B0A19" w:rsidRPr="006B0A19">
                                      <w:rPr>
                                        <w:color w:val="4472C4" w:themeColor="accent1"/>
                                        <w:sz w:val="32"/>
                                        <w:szCs w:val="32"/>
                                      </w:rPr>
                                      <w:t>Lavinia Mihaloiu</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AE92F5" w14:textId="09F9A79F" w:rsidR="006B0A19" w:rsidRDefault="006B0A19">
                                    <w:pPr>
                                      <w:pStyle w:val="NoSpacing"/>
                                      <w:jc w:val="right"/>
                                      <w:rPr>
                                        <w:color w:val="4472C4" w:themeColor="accent1"/>
                                        <w:sz w:val="36"/>
                                        <w:szCs w:val="36"/>
                                      </w:rPr>
                                    </w:pPr>
                                    <w:r w:rsidRPr="006B0A19">
                                      <w:rPr>
                                        <w:color w:val="4472C4" w:themeColor="accent1"/>
                                        <w:sz w:val="32"/>
                                        <w:szCs w:val="32"/>
                                      </w:rPr>
                                      <w:t>2113467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D3AF5BE" id="_x0000_t202" coordsize="21600,21600" o:spt="202" path="m,l,21600r21600,l21600,xe">
                    <v:stroke joinstyle="miter"/>
                    <v:path gradientshapeok="t" o:connecttype="rect"/>
                  </v:shapetype>
                  <v:shape id="Text Box 16"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5FC2F47" w14:textId="710ECC3A" w:rsidR="006B0A19" w:rsidRPr="006B0A19" w:rsidRDefault="00000000">
                          <w:pPr>
                            <w:pStyle w:val="NoSpacing"/>
                            <w:jc w:val="right"/>
                            <w:rPr>
                              <w:color w:val="4472C4" w:themeColor="accent1"/>
                              <w:sz w:val="32"/>
                              <w:szCs w:val="32"/>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6B0A19" w:rsidRPr="006B0A19">
                                <w:rPr>
                                  <w:color w:val="4472C4" w:themeColor="accent1"/>
                                  <w:sz w:val="32"/>
                                  <w:szCs w:val="32"/>
                                </w:rPr>
                                <w:t>Lavinia Mihaloiu</w:t>
                              </w:r>
                            </w:sdtContent>
                          </w:sdt>
                        </w:p>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6AE92F5" w14:textId="09F9A79F" w:rsidR="006B0A19" w:rsidRDefault="006B0A19">
                              <w:pPr>
                                <w:pStyle w:val="NoSpacing"/>
                                <w:jc w:val="right"/>
                                <w:rPr>
                                  <w:color w:val="4472C4" w:themeColor="accent1"/>
                                  <w:sz w:val="36"/>
                                  <w:szCs w:val="36"/>
                                </w:rPr>
                              </w:pPr>
                              <w:r w:rsidRPr="006B0A19">
                                <w:rPr>
                                  <w:color w:val="4472C4" w:themeColor="accent1"/>
                                  <w:sz w:val="32"/>
                                  <w:szCs w:val="32"/>
                                </w:rPr>
                                <w:t>2113467</w:t>
                              </w:r>
                            </w:p>
                          </w:sdtContent>
                        </w:sdt>
                      </w:txbxContent>
                    </v:textbox>
                    <w10:wrap anchorx="page" anchory="margin"/>
                  </v:shape>
                </w:pict>
              </mc:Fallback>
            </mc:AlternateContent>
          </w:r>
        </w:p>
        <w:p w14:paraId="677299A5" w14:textId="23916F16" w:rsidR="002618F1" w:rsidRPr="006B0A19" w:rsidRDefault="006B0A19" w:rsidP="006B0A19">
          <w:r>
            <w:rPr>
              <w:noProof/>
            </w:rPr>
            <mc:AlternateContent>
              <mc:Choice Requires="wps">
                <w:drawing>
                  <wp:anchor distT="0" distB="0" distL="114300" distR="114300" simplePos="0" relativeHeight="251661312" behindDoc="0" locked="0" layoutInCell="1" allowOverlap="1" wp14:anchorId="2C58550D" wp14:editId="04003C26">
                    <wp:simplePos x="0" y="0"/>
                    <wp:positionH relativeFrom="margin">
                      <wp:posOffset>-242570</wp:posOffset>
                    </wp:positionH>
                    <wp:positionV relativeFrom="margin">
                      <wp:posOffset>1538605</wp:posOffset>
                    </wp:positionV>
                    <wp:extent cx="5943600" cy="164719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647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i/>
                                    <w:iCs/>
                                    <w:caps/>
                                    <w:color w:val="8496B0" w:themeColor="text2" w:themeTint="99"/>
                                    <w:sz w:val="64"/>
                                    <w:szCs w:val="64"/>
                                    <w:lang w:val="it-IT"/>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0259C4A" w14:textId="4963CD15" w:rsidR="006B0A19" w:rsidRPr="006B0A19" w:rsidRDefault="00D449C8">
                                    <w:pPr>
                                      <w:pStyle w:val="NoSpacing"/>
                                      <w:rPr>
                                        <w:rFonts w:asciiTheme="majorHAnsi" w:eastAsiaTheme="majorEastAsia" w:hAnsiTheme="majorHAnsi" w:cstheme="majorBidi"/>
                                        <w:i/>
                                        <w:iCs/>
                                        <w:caps/>
                                        <w:color w:val="8496B0" w:themeColor="text2" w:themeTint="99"/>
                                        <w:sz w:val="68"/>
                                        <w:szCs w:val="68"/>
                                        <w:lang w:val="it-IT"/>
                                      </w:rPr>
                                    </w:pPr>
                                    <w:r>
                                      <w:rPr>
                                        <w:rFonts w:asciiTheme="majorHAnsi" w:eastAsiaTheme="majorEastAsia" w:hAnsiTheme="majorHAnsi" w:cstheme="majorBidi"/>
                                        <w:i/>
                                        <w:iCs/>
                                        <w:caps/>
                                        <w:color w:val="8496B0" w:themeColor="text2" w:themeTint="99"/>
                                        <w:sz w:val="64"/>
                                        <w:szCs w:val="64"/>
                                        <w:lang w:val="it-IT"/>
                                      </w:rPr>
                                      <w:t xml:space="preserve">  </w:t>
                                    </w:r>
                                    <w:r w:rsidR="006B0A19" w:rsidRPr="006B0A19">
                                      <w:rPr>
                                        <w:rFonts w:asciiTheme="majorHAnsi" w:eastAsiaTheme="majorEastAsia" w:hAnsiTheme="majorHAnsi" w:cstheme="majorBidi"/>
                                        <w:i/>
                                        <w:iCs/>
                                        <w:caps/>
                                        <w:color w:val="8496B0" w:themeColor="text2" w:themeTint="99"/>
                                        <w:sz w:val="64"/>
                                        <w:szCs w:val="64"/>
                                        <w:lang w:val="it-IT"/>
                                      </w:rPr>
                                      <w:t>portofolio</w:t>
                                    </w:r>
                                  </w:p>
                                </w:sdtContent>
                              </w:sdt>
                              <w:p w14:paraId="7DE99CB8" w14:textId="2EE7C42D" w:rsidR="006B0A19" w:rsidRDefault="00000000">
                                <w:pPr>
                                  <w:pStyle w:val="NoSpacing"/>
                                  <w:spacing w:before="120"/>
                                  <w:rPr>
                                    <w:noProof/>
                                    <w:lang w:val="it-IT"/>
                                  </w:rPr>
                                </w:pPr>
                                <w:sdt>
                                  <w:sdtPr>
                                    <w:rPr>
                                      <w:b/>
                                      <w:bCs/>
                                      <w:color w:val="4472C4" w:themeColor="accent1"/>
                                      <w:sz w:val="36"/>
                                      <w:szCs w:val="36"/>
                                      <w:lang w:val="it-IT"/>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449C8">
                                      <w:rPr>
                                        <w:b/>
                                        <w:bCs/>
                                        <w:color w:val="4472C4" w:themeColor="accent1"/>
                                        <w:sz w:val="36"/>
                                        <w:szCs w:val="36"/>
                                        <w:lang w:val="it-IT"/>
                                      </w:rPr>
                                      <w:t xml:space="preserve">    </w:t>
                                    </w:r>
                                    <w:r w:rsidR="006B0A19" w:rsidRPr="006B0A19">
                                      <w:rPr>
                                        <w:b/>
                                        <w:bCs/>
                                        <w:color w:val="4472C4" w:themeColor="accent1"/>
                                        <w:sz w:val="36"/>
                                        <w:szCs w:val="36"/>
                                        <w:lang w:val="it-IT"/>
                                      </w:rPr>
                                      <w:t>Module Lead Giulia Chifari</w:t>
                                    </w:r>
                                  </w:sdtContent>
                                </w:sdt>
                                <w:r w:rsidR="006B0A19" w:rsidRPr="006B0A19">
                                  <w:rPr>
                                    <w:noProof/>
                                    <w:lang w:val="it-IT"/>
                                  </w:rPr>
                                  <w:t xml:space="preserve"> </w:t>
                                </w:r>
                              </w:p>
                              <w:p w14:paraId="6AE7893B" w14:textId="71C819B7" w:rsidR="006B0A19" w:rsidRPr="006B0A19" w:rsidRDefault="00D449C8">
                                <w:pPr>
                                  <w:pStyle w:val="NoSpacing"/>
                                  <w:spacing w:before="120"/>
                                  <w:rPr>
                                    <w:color w:val="A6A6A6" w:themeColor="background1" w:themeShade="A6"/>
                                    <w:sz w:val="36"/>
                                    <w:szCs w:val="36"/>
                                    <w:lang w:val="it-IT"/>
                                  </w:rPr>
                                </w:pPr>
                                <w:r>
                                  <w:rPr>
                                    <w:noProof/>
                                    <w:color w:val="A6A6A6" w:themeColor="background1" w:themeShade="A6"/>
                                    <w:sz w:val="36"/>
                                    <w:szCs w:val="36"/>
                                    <w:lang w:val="it-IT"/>
                                  </w:rPr>
                                  <w:t xml:space="preserve">    </w:t>
                                </w:r>
                                <w:r w:rsidR="006B0A19" w:rsidRPr="006B0A19">
                                  <w:rPr>
                                    <w:noProof/>
                                    <w:color w:val="A6A6A6" w:themeColor="background1" w:themeShade="A6"/>
                                    <w:sz w:val="36"/>
                                    <w:szCs w:val="36"/>
                                    <w:lang w:val="it-IT"/>
                                  </w:rPr>
                                  <w:t>BMI5003</w:t>
                                </w:r>
                              </w:p>
                              <w:p w14:paraId="062E36E2" w14:textId="77777777" w:rsidR="006B0A19" w:rsidRPr="006B0A19" w:rsidRDefault="006B0A19">
                                <w:pPr>
                                  <w:rPr>
                                    <w:color w:val="BFBFBF" w:themeColor="background1" w:themeShade="BF"/>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C58550D" id="Text Box 15" o:spid="_x0000_s1027" type="#_x0000_t202" style="position:absolute;margin-left:-19.1pt;margin-top:121.15pt;width:468pt;height:129.7pt;z-index:251661312;visibility:visible;mso-wrap-style:square;mso-width-percent:765;mso-height-percent:0;mso-wrap-distance-left:9pt;mso-wrap-distance-top:0;mso-wrap-distance-right:9pt;mso-wrap-distance-bottom:0;mso-position-horizontal:absolute;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" filled="f" stroked="f" strokeweight=".5pt">
                    <v:textbox>
                      <w:txbxContent>
                        <w:sdt>
                          <w:sdtPr>
                            <w:rPr>
                              <w:rFonts w:asciiTheme="majorHAnsi" w:eastAsiaTheme="majorEastAsia" w:hAnsiTheme="majorHAnsi" w:cstheme="majorBidi"/>
                              <w:i/>
                              <w:iCs/>
                              <w:caps/>
                              <w:color w:val="8496B0" w:themeColor="text2" w:themeTint="99"/>
                              <w:sz w:val="64"/>
                              <w:szCs w:val="64"/>
                              <w:lang w:val="it-IT"/>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0259C4A" w14:textId="4963CD15" w:rsidR="006B0A19" w:rsidRPr="006B0A19" w:rsidRDefault="00D449C8">
                              <w:pPr>
                                <w:pStyle w:val="NoSpacing"/>
                                <w:rPr>
                                  <w:rFonts w:asciiTheme="majorHAnsi" w:eastAsiaTheme="majorEastAsia" w:hAnsiTheme="majorHAnsi" w:cstheme="majorBidi"/>
                                  <w:i/>
                                  <w:iCs/>
                                  <w:caps/>
                                  <w:color w:val="8496B0" w:themeColor="text2" w:themeTint="99"/>
                                  <w:sz w:val="68"/>
                                  <w:szCs w:val="68"/>
                                  <w:lang w:val="it-IT"/>
                                </w:rPr>
                              </w:pPr>
                              <w:r>
                                <w:rPr>
                                  <w:rFonts w:asciiTheme="majorHAnsi" w:eastAsiaTheme="majorEastAsia" w:hAnsiTheme="majorHAnsi" w:cstheme="majorBidi"/>
                                  <w:i/>
                                  <w:iCs/>
                                  <w:caps/>
                                  <w:color w:val="8496B0" w:themeColor="text2" w:themeTint="99"/>
                                  <w:sz w:val="64"/>
                                  <w:szCs w:val="64"/>
                                  <w:lang w:val="it-IT"/>
                                </w:rPr>
                                <w:t xml:space="preserve">  </w:t>
                              </w:r>
                              <w:r w:rsidR="006B0A19" w:rsidRPr="006B0A19">
                                <w:rPr>
                                  <w:rFonts w:asciiTheme="majorHAnsi" w:eastAsiaTheme="majorEastAsia" w:hAnsiTheme="majorHAnsi" w:cstheme="majorBidi"/>
                                  <w:i/>
                                  <w:iCs/>
                                  <w:caps/>
                                  <w:color w:val="8496B0" w:themeColor="text2" w:themeTint="99"/>
                                  <w:sz w:val="64"/>
                                  <w:szCs w:val="64"/>
                                  <w:lang w:val="it-IT"/>
                                </w:rPr>
                                <w:t>portofolio</w:t>
                              </w:r>
                            </w:p>
                          </w:sdtContent>
                        </w:sdt>
                        <w:p w14:paraId="7DE99CB8" w14:textId="2EE7C42D" w:rsidR="006B0A19" w:rsidRDefault="00000000">
                          <w:pPr>
                            <w:pStyle w:val="NoSpacing"/>
                            <w:spacing w:before="120"/>
                            <w:rPr>
                              <w:noProof/>
                              <w:lang w:val="it-IT"/>
                            </w:rPr>
                          </w:pPr>
                          <w:sdt>
                            <w:sdtPr>
                              <w:rPr>
                                <w:b/>
                                <w:bCs/>
                                <w:color w:val="4472C4" w:themeColor="accent1"/>
                                <w:sz w:val="36"/>
                                <w:szCs w:val="36"/>
                                <w:lang w:val="it-IT"/>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449C8">
                                <w:rPr>
                                  <w:b/>
                                  <w:bCs/>
                                  <w:color w:val="4472C4" w:themeColor="accent1"/>
                                  <w:sz w:val="36"/>
                                  <w:szCs w:val="36"/>
                                  <w:lang w:val="it-IT"/>
                                </w:rPr>
                                <w:t xml:space="preserve">    </w:t>
                              </w:r>
                              <w:r w:rsidR="006B0A19" w:rsidRPr="006B0A19">
                                <w:rPr>
                                  <w:b/>
                                  <w:bCs/>
                                  <w:color w:val="4472C4" w:themeColor="accent1"/>
                                  <w:sz w:val="36"/>
                                  <w:szCs w:val="36"/>
                                  <w:lang w:val="it-IT"/>
                                </w:rPr>
                                <w:t>Module Lead Giulia Chifari</w:t>
                              </w:r>
                            </w:sdtContent>
                          </w:sdt>
                          <w:r w:rsidR="006B0A19" w:rsidRPr="006B0A19">
                            <w:rPr>
                              <w:noProof/>
                              <w:lang w:val="it-IT"/>
                            </w:rPr>
                            <w:t xml:space="preserve"> </w:t>
                          </w:r>
                        </w:p>
                        <w:p w14:paraId="6AE7893B" w14:textId="71C819B7" w:rsidR="006B0A19" w:rsidRPr="006B0A19" w:rsidRDefault="00D449C8">
                          <w:pPr>
                            <w:pStyle w:val="NoSpacing"/>
                            <w:spacing w:before="120"/>
                            <w:rPr>
                              <w:color w:val="A6A6A6" w:themeColor="background1" w:themeShade="A6"/>
                              <w:sz w:val="36"/>
                              <w:szCs w:val="36"/>
                              <w:lang w:val="it-IT"/>
                            </w:rPr>
                          </w:pPr>
                          <w:r>
                            <w:rPr>
                              <w:noProof/>
                              <w:color w:val="A6A6A6" w:themeColor="background1" w:themeShade="A6"/>
                              <w:sz w:val="36"/>
                              <w:szCs w:val="36"/>
                              <w:lang w:val="it-IT"/>
                            </w:rPr>
                            <w:t xml:space="preserve">    </w:t>
                          </w:r>
                          <w:r w:rsidR="006B0A19" w:rsidRPr="006B0A19">
                            <w:rPr>
                              <w:noProof/>
                              <w:color w:val="A6A6A6" w:themeColor="background1" w:themeShade="A6"/>
                              <w:sz w:val="36"/>
                              <w:szCs w:val="36"/>
                              <w:lang w:val="it-IT"/>
                            </w:rPr>
                            <w:t>BMI5003</w:t>
                          </w:r>
                        </w:p>
                        <w:p w14:paraId="062E36E2" w14:textId="77777777" w:rsidR="006B0A19" w:rsidRPr="006B0A19" w:rsidRDefault="006B0A19">
                          <w:pPr>
                            <w:rPr>
                              <w:color w:val="BFBFBF" w:themeColor="background1" w:themeShade="BF"/>
                              <w:lang w:val="it-IT"/>
                            </w:rPr>
                          </w:pPr>
                        </w:p>
                      </w:txbxContent>
                    </v:textbox>
                    <w10:wrap anchorx="margin" anchory="margin"/>
                  </v:shape>
                </w:pict>
              </mc:Fallback>
            </mc:AlternateContent>
          </w:r>
          <w:r w:rsidRPr="006B0A19">
            <w:rPr>
              <w:b/>
              <w:bCs/>
              <w:color w:val="A6A6A6" w:themeColor="background1" w:themeShade="A6"/>
              <w:sz w:val="72"/>
              <w:szCs w:val="72"/>
            </w:rPr>
            <w:t>Foreign Languages &amp; Cultural Awareness</w:t>
          </w:r>
          <w:r>
            <w:br w:type="page"/>
          </w:r>
        </w:p>
      </w:sdtContent>
    </w:sdt>
    <w:p w14:paraId="327D373E"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lastRenderedPageBreak/>
        <w:t xml:space="preserve">Component 1 - Professional reflection </w:t>
      </w:r>
    </w:p>
    <w:p w14:paraId="08BD195F"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 xml:space="preserve">As a server in a Marriott Swansea hotel restaurant during dinner service, I encounter an Italian guest who orders a classic pasta dish but requests certain modifications. In his polite yet assertive manner, he explains that he prefers his pasta al dente </w:t>
      </w:r>
      <w:r w:rsidRPr="006A71BB">
        <w:rPr>
          <w:rFonts w:ascii="Arial" w:hAnsi="Arial" w:cs="Arial"/>
          <w:color w:val="000000"/>
          <w:sz w:val="22"/>
          <w:szCs w:val="22"/>
        </w:rPr>
        <w:t xml:space="preserve">(Thomas, 2020) </w:t>
      </w:r>
      <w:r w:rsidRPr="006A71BB">
        <w:rPr>
          <w:rFonts w:ascii="Arial" w:hAnsi="Arial" w:cs="Arial"/>
          <w:sz w:val="22"/>
          <w:szCs w:val="22"/>
        </w:rPr>
        <w:t>with a light garlic-infused olive oil sauce, rather than the traditional tomato-based sauce. He also mentions his preference for freshly grated Parmigiano-Reggiano cheese on top.</w:t>
      </w:r>
    </w:p>
    <w:p w14:paraId="59830ECD"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 xml:space="preserve">Italian food is deeply intertwined with culture, requiring adherence to </w:t>
      </w:r>
      <w:proofErr w:type="spellStart"/>
      <w:r w:rsidRPr="006A71BB">
        <w:rPr>
          <w:rFonts w:ascii="Arial" w:hAnsi="Arial" w:cs="Arial"/>
          <w:sz w:val="22"/>
          <w:szCs w:val="22"/>
        </w:rPr>
        <w:t>Galateo</w:t>
      </w:r>
      <w:proofErr w:type="spellEnd"/>
      <w:r w:rsidRPr="006A71BB">
        <w:rPr>
          <w:rFonts w:ascii="Arial" w:hAnsi="Arial" w:cs="Arial"/>
          <w:sz w:val="22"/>
          <w:szCs w:val="22"/>
        </w:rPr>
        <w:t xml:space="preserve">, </w:t>
      </w:r>
      <w:r w:rsidRPr="006A71BB">
        <w:rPr>
          <w:rFonts w:ascii="Arial" w:hAnsi="Arial" w:cs="Arial"/>
          <w:color w:val="000000"/>
          <w:sz w:val="22"/>
          <w:szCs w:val="22"/>
        </w:rPr>
        <w:t xml:space="preserve">(Martin, 2013) </w:t>
      </w:r>
      <w:r w:rsidRPr="006A71BB">
        <w:rPr>
          <w:rFonts w:ascii="Arial" w:hAnsi="Arial" w:cs="Arial"/>
          <w:sz w:val="22"/>
          <w:szCs w:val="22"/>
        </w:rPr>
        <w:t>or etiquette, for authentic dining experiences. Avoiding missteps like putting Parmigiano on inappropriate dishes is crucial. For instance, Italians abstain from using Parmigiano with fish, seafood, pizzas, or salads, respecting traditional culinary norms.</w:t>
      </w:r>
    </w:p>
    <w:p w14:paraId="13DBBEA5"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In my eagerness to accommodate the guest's request, I nod enthusiastically, assuring him that we can certainly adjust the dish according to his liking.</w:t>
      </w:r>
    </w:p>
    <w:p w14:paraId="702D7031"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Food holds significant significance in travel experiences, embodying both the familiar and exotic elements of journeys. Food is a symbolic representation of landscapes, spirituality, culture, hospitality, and social connections. </w:t>
      </w:r>
      <w:r w:rsidRPr="006A71BB">
        <w:rPr>
          <w:rFonts w:ascii="Arial" w:hAnsi="Arial" w:cs="Arial"/>
          <w:color w:val="000000"/>
          <w:sz w:val="22"/>
          <w:szCs w:val="22"/>
        </w:rPr>
        <w:t>(Sherman, 2020) My failure to understand the precise nature of the guest’s request indicates a gap in cultural and culinary knowledge, which is crucial in the hospitality industry. The ability to recognise and respect cultural differences in food preferences and dining etiquette is vital for providing high-quality service. (Holloway, 2022)</w:t>
      </w:r>
    </w:p>
    <w:p w14:paraId="1A36071B"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 xml:space="preserve">Comparing my service to the ideal standard reveals several gaps. Firstly, my understanding of cooking pasta al dente was insufficient. Al dente, an Italian term meaning "to the tooth," indicates pasta that is cooked to be firm when bitten. My failure to achieve this texture indicates a gap in practical culinary skills. Secondly, the use of generic cheese instead of Parmigiano-Reggiano shows a lack of attention to detail and authenticity. Parmigiano-Reggiano, a protected designation of origin product, is highly valued in Italian cuisine for its unique flavour and cultural significance. After some thought, I realise that the misunderstanding was caused by my lack of knowledge about Italian cuisine and eating habits. In Italy, food is not merely sustenance; it's a cultural experience steeped in tradition and regional variations. </w:t>
      </w:r>
      <w:r w:rsidRPr="006A71BB">
        <w:rPr>
          <w:rFonts w:ascii="Arial" w:hAnsi="Arial" w:cs="Arial"/>
          <w:color w:val="000000"/>
          <w:sz w:val="22"/>
          <w:szCs w:val="22"/>
        </w:rPr>
        <w:t>(</w:t>
      </w:r>
      <w:proofErr w:type="spellStart"/>
      <w:r w:rsidRPr="006A71BB">
        <w:rPr>
          <w:rFonts w:ascii="Arial" w:hAnsi="Arial" w:cs="Arial"/>
          <w:color w:val="000000"/>
          <w:sz w:val="22"/>
          <w:szCs w:val="22"/>
        </w:rPr>
        <w:t>Thalassinou</w:t>
      </w:r>
      <w:proofErr w:type="spellEnd"/>
      <w:r w:rsidRPr="006A71BB">
        <w:rPr>
          <w:rFonts w:ascii="Arial" w:hAnsi="Arial" w:cs="Arial"/>
          <w:color w:val="000000"/>
          <w:sz w:val="22"/>
          <w:szCs w:val="22"/>
        </w:rPr>
        <w:t>, 2024)</w:t>
      </w:r>
      <w:r w:rsidRPr="006A71BB">
        <w:rPr>
          <w:rFonts w:ascii="Arial" w:hAnsi="Arial" w:cs="Arial"/>
          <w:sz w:val="22"/>
          <w:szCs w:val="22"/>
        </w:rPr>
        <w:t xml:space="preserve"> The guest's request for customization wasn't merely about personal preference; it reflected his connection to his culinary heritage and a desire for authenticity.</w:t>
      </w:r>
    </w:p>
    <w:p w14:paraId="25BB61AA" w14:textId="77777777" w:rsidR="002618F1" w:rsidRPr="00D56A46" w:rsidRDefault="002618F1" w:rsidP="002618F1">
      <w:pPr>
        <w:pStyle w:val="NormalWeb"/>
        <w:spacing w:line="360" w:lineRule="auto"/>
        <w:rPr>
          <w:rFonts w:ascii="Arial" w:hAnsi="Arial" w:cs="Arial"/>
          <w:b/>
          <w:bCs/>
          <w:sz w:val="22"/>
          <w:szCs w:val="22"/>
        </w:rPr>
      </w:pPr>
      <w:r w:rsidRPr="006A71BB">
        <w:rPr>
          <w:rFonts w:ascii="Arial" w:hAnsi="Arial" w:cs="Arial"/>
          <w:color w:val="000000"/>
          <w:sz w:val="22"/>
          <w:szCs w:val="22"/>
        </w:rPr>
        <w:lastRenderedPageBreak/>
        <w:t xml:space="preserve">To prevent similar misunderstandings in the future, I acknowledge the importance of deepening my understanding of Italian cuisine and cultural dining norms. This entails familiarising myself with regional specialties, traditional cooking methods, and typical ingredient combinations, ensuring accurate interpretation and fulfilment of guest preferences. (Holloway, 2022) </w:t>
      </w:r>
      <w:r w:rsidRPr="006A71BB">
        <w:rPr>
          <w:rFonts w:ascii="Arial" w:hAnsi="Arial" w:cs="Arial"/>
          <w:sz w:val="22"/>
          <w:szCs w:val="22"/>
        </w:rPr>
        <w:t>Additionally, I should actively seek feedback from Italian guests, listen attentively to their requests, and ask clarifying questions to ensure I accurately interpret their preferences.</w:t>
      </w:r>
      <w:r w:rsidRPr="00D56A46">
        <w:t xml:space="preserve"> </w:t>
      </w:r>
      <w:r w:rsidRPr="00D56A46">
        <w:rPr>
          <w:rFonts w:ascii="Arial" w:hAnsi="Arial" w:cs="Arial"/>
          <w:sz w:val="22"/>
          <w:szCs w:val="22"/>
        </w:rPr>
        <w:t>Developing cultural intelligence involves understanding and respecting cultural differences and adapting behaviour accordingly. It encompasses cognitive, emotional, and physical components that enable effective interaction with individuals from diverse backgrounds</w:t>
      </w:r>
      <w:r>
        <w:rPr>
          <w:rFonts w:ascii="Arial" w:hAnsi="Arial" w:cs="Arial"/>
          <w:sz w:val="22"/>
          <w:szCs w:val="22"/>
        </w:rPr>
        <w:t>.</w:t>
      </w:r>
      <w:r>
        <w:rPr>
          <w:rFonts w:ascii="Arial" w:hAnsi="Arial" w:cs="Arial"/>
          <w:b/>
          <w:bCs/>
          <w:sz w:val="22"/>
          <w:szCs w:val="22"/>
        </w:rPr>
        <w:t xml:space="preserve"> </w:t>
      </w:r>
      <w:r w:rsidRPr="006A71BB">
        <w:rPr>
          <w:rFonts w:ascii="Arial" w:hAnsi="Arial" w:cs="Arial"/>
          <w:sz w:val="22"/>
          <w:szCs w:val="22"/>
        </w:rPr>
        <w:t xml:space="preserve">By actively engaging in cultural learning, refining communication skills, and practicing active listening, one can enhance the guest experience and avoid unintentional missteps. Adapt communication style, learn basic phrases, seek feedback, and develop cultural intelligence to effectively navigate diverse cultural backgrounds and ensure mutual understanding. </w:t>
      </w:r>
      <w:r w:rsidRPr="006A71BB">
        <w:rPr>
          <w:rFonts w:ascii="Arial" w:hAnsi="Arial" w:cs="Arial"/>
          <w:color w:val="000000"/>
          <w:sz w:val="22"/>
          <w:szCs w:val="22"/>
        </w:rPr>
        <w:t>(Yan, 2024)</w:t>
      </w:r>
    </w:p>
    <w:p w14:paraId="209E7BD8"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sz w:val="22"/>
          <w:szCs w:val="22"/>
        </w:rPr>
        <w:t xml:space="preserve">This experience has underscored the importance of cultural awareness and detailed knowledge in the hospitality industry. Understanding and respecting culinary traditions are key to providing exceptional service and enhancing guest satisfaction. By addressing the limits of my current knowledge and actively seeking to expand it, I can improve my service quality and build stronger connections with guests from diverse backgrounds. </w:t>
      </w:r>
      <w:r w:rsidRPr="006A71BB">
        <w:rPr>
          <w:rFonts w:ascii="Arial" w:hAnsi="Arial" w:cs="Arial"/>
          <w:color w:val="000000"/>
          <w:sz w:val="22"/>
          <w:szCs w:val="22"/>
        </w:rPr>
        <w:t>(</w:t>
      </w:r>
      <w:proofErr w:type="spellStart"/>
      <w:r w:rsidRPr="006A71BB">
        <w:rPr>
          <w:rFonts w:ascii="Arial" w:hAnsi="Arial" w:cs="Arial"/>
          <w:color w:val="000000"/>
          <w:sz w:val="22"/>
          <w:szCs w:val="22"/>
        </w:rPr>
        <w:t>Maraňa</w:t>
      </w:r>
      <w:proofErr w:type="spellEnd"/>
      <w:r w:rsidRPr="006A71BB">
        <w:rPr>
          <w:rFonts w:ascii="Arial" w:hAnsi="Arial" w:cs="Arial"/>
          <w:color w:val="000000"/>
          <w:sz w:val="22"/>
          <w:szCs w:val="22"/>
        </w:rPr>
        <w:t xml:space="preserve"> et al., 2023)</w:t>
      </w:r>
    </w:p>
    <w:p w14:paraId="7B01D313"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References:</w:t>
      </w:r>
    </w:p>
    <w:p w14:paraId="100B764B" w14:textId="77777777" w:rsidR="002618F1"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Holloway, W. (2022)</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About</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proofErr w:type="spellStart"/>
      <w:r w:rsidRPr="006A71BB">
        <w:rPr>
          <w:rFonts w:ascii="Arial" w:hAnsi="Arial" w:cs="Arial"/>
          <w:i/>
          <w:iCs/>
          <w:color w:val="000000"/>
          <w:sz w:val="22"/>
          <w:szCs w:val="22"/>
        </w:rPr>
        <w:t>Flavor</w:t>
      </w:r>
      <w:proofErr w:type="spellEnd"/>
      <w:r w:rsidRPr="006A71BB">
        <w:rPr>
          <w:rFonts w:ascii="Arial" w:hAnsi="Arial" w:cs="Arial"/>
          <w:i/>
          <w:iCs/>
          <w:color w:val="000000"/>
          <w:sz w:val="22"/>
          <w:szCs w:val="22"/>
        </w:rPr>
        <w:t xml:space="preserve"> of Italy</w:t>
      </w:r>
      <w:r w:rsidRPr="006A71BB">
        <w:rPr>
          <w:rFonts w:ascii="Arial" w:hAnsi="Arial" w:cs="Arial"/>
          <w:color w:val="000000"/>
          <w:sz w:val="22"/>
          <w:szCs w:val="22"/>
        </w:rPr>
        <w:t>. Available at: https://flavorofitaly.com/about/ (Accessed: 02 May 2024).</w:t>
      </w:r>
    </w:p>
    <w:p w14:paraId="22C5CE6D" w14:textId="77777777" w:rsidR="002618F1" w:rsidRDefault="002618F1" w:rsidP="002618F1">
      <w:pPr>
        <w:pStyle w:val="NormalWeb"/>
        <w:spacing w:line="360" w:lineRule="auto"/>
        <w:rPr>
          <w:rStyle w:val="apple-converted-space"/>
          <w:rFonts w:ascii="Arial" w:eastAsiaTheme="majorEastAsia" w:hAnsi="Arial" w:cs="Arial"/>
          <w:color w:val="000000"/>
          <w:sz w:val="22"/>
          <w:szCs w:val="22"/>
        </w:rPr>
      </w:pPr>
      <w:proofErr w:type="spellStart"/>
      <w:r w:rsidRPr="006A71BB">
        <w:rPr>
          <w:rFonts w:ascii="Arial" w:hAnsi="Arial" w:cs="Arial"/>
          <w:color w:val="000000"/>
          <w:sz w:val="22"/>
          <w:szCs w:val="22"/>
        </w:rPr>
        <w:t>Maraňa</w:t>
      </w:r>
      <w:proofErr w:type="spellEnd"/>
      <w:r w:rsidRPr="006A71BB">
        <w:rPr>
          <w:rFonts w:ascii="Arial" w:hAnsi="Arial" w:cs="Arial"/>
          <w:color w:val="000000"/>
          <w:sz w:val="22"/>
          <w:szCs w:val="22"/>
        </w:rPr>
        <w:t xml:space="preserve">, E., Mena, G. and </w:t>
      </w:r>
      <w:proofErr w:type="spellStart"/>
      <w:r w:rsidRPr="006A71BB">
        <w:rPr>
          <w:rFonts w:ascii="Arial" w:hAnsi="Arial" w:cs="Arial"/>
          <w:color w:val="000000"/>
          <w:sz w:val="22"/>
          <w:szCs w:val="22"/>
        </w:rPr>
        <w:t>Niegas</w:t>
      </w:r>
      <w:proofErr w:type="spellEnd"/>
      <w:r w:rsidRPr="006A71BB">
        <w:rPr>
          <w:rFonts w:ascii="Arial" w:hAnsi="Arial" w:cs="Arial"/>
          <w:color w:val="000000"/>
          <w:sz w:val="22"/>
          <w:szCs w:val="22"/>
        </w:rPr>
        <w:t xml:space="preserve"> Jr, A. (2023) ‘Cultural sensitivity of food establishments as predictor of company reputation and Quality Service’,</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International Journal of Science and Research Archive</w:t>
      </w:r>
      <w:r w:rsidRPr="006A71BB">
        <w:rPr>
          <w:rFonts w:ascii="Arial" w:hAnsi="Arial" w:cs="Arial"/>
          <w:color w:val="000000"/>
          <w:sz w:val="22"/>
          <w:szCs w:val="22"/>
        </w:rPr>
        <w:t>, 8(2), pp. 617–644. doi:10.30574/ijsra.2023.8.2.0326.</w:t>
      </w:r>
    </w:p>
    <w:p w14:paraId="198CE166" w14:textId="77777777" w:rsidR="002618F1" w:rsidRPr="006A71BB" w:rsidRDefault="002618F1" w:rsidP="002618F1">
      <w:pPr>
        <w:pStyle w:val="NormalWeb"/>
        <w:spacing w:line="360" w:lineRule="auto"/>
        <w:rPr>
          <w:rStyle w:val="apple-converted-space"/>
          <w:rFonts w:ascii="Arial" w:hAnsi="Arial" w:cs="Arial"/>
          <w:color w:val="000000"/>
          <w:sz w:val="22"/>
          <w:szCs w:val="22"/>
        </w:rPr>
      </w:pPr>
      <w:r w:rsidRPr="006A71BB">
        <w:rPr>
          <w:rFonts w:ascii="Arial" w:hAnsi="Arial" w:cs="Arial"/>
          <w:color w:val="000000"/>
          <w:sz w:val="22"/>
          <w:szCs w:val="22"/>
        </w:rPr>
        <w:t>Martin, J. (2013)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Don’t be disgusting</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The New York Times</w:t>
      </w:r>
      <w:r w:rsidRPr="006A71BB">
        <w:rPr>
          <w:rFonts w:ascii="Arial" w:hAnsi="Arial" w:cs="Arial"/>
          <w:color w:val="000000"/>
          <w:sz w:val="22"/>
          <w:szCs w:val="22"/>
        </w:rPr>
        <w:t>. Available at: https://www.nytimes.com/2013/06/02/books/review/galateo-by-giovanni-della-casa.html (Accessed: 01 May 2024).</w:t>
      </w:r>
    </w:p>
    <w:p w14:paraId="4CAFC991"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Sherman, V.A.-T. (2020)</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 xml:space="preserve">Diaspora et </w:t>
      </w:r>
      <w:proofErr w:type="spellStart"/>
      <w:r w:rsidRPr="006A71BB">
        <w:rPr>
          <w:rFonts w:ascii="Arial" w:hAnsi="Arial" w:cs="Arial"/>
          <w:i/>
          <w:iCs/>
          <w:color w:val="000000"/>
          <w:sz w:val="22"/>
          <w:szCs w:val="22"/>
        </w:rPr>
        <w:t>déplacement</w:t>
      </w:r>
      <w:proofErr w:type="spellEnd"/>
      <w:r w:rsidRPr="006A71BB">
        <w:rPr>
          <w:rFonts w:ascii="Arial" w:hAnsi="Arial" w:cs="Arial"/>
          <w:i/>
          <w:iCs/>
          <w:color w:val="000000"/>
          <w:sz w:val="22"/>
          <w:szCs w:val="22"/>
        </w:rPr>
        <w:t xml:space="preserve">: </w:t>
      </w:r>
      <w:proofErr w:type="spellStart"/>
      <w:r w:rsidRPr="006A71BB">
        <w:rPr>
          <w:rFonts w:ascii="Arial" w:hAnsi="Arial" w:cs="Arial"/>
          <w:i/>
          <w:iCs/>
          <w:color w:val="000000"/>
          <w:sz w:val="22"/>
          <w:szCs w:val="22"/>
        </w:rPr>
        <w:t>L’évocation</w:t>
      </w:r>
      <w:proofErr w:type="spellEnd"/>
      <w:r w:rsidRPr="006A71BB">
        <w:rPr>
          <w:rFonts w:ascii="Arial" w:hAnsi="Arial" w:cs="Arial"/>
          <w:i/>
          <w:iCs/>
          <w:color w:val="000000"/>
          <w:sz w:val="22"/>
          <w:szCs w:val="22"/>
        </w:rPr>
        <w:t xml:space="preserve"> des traditions, des </w:t>
      </w:r>
      <w:proofErr w:type="spellStart"/>
      <w:r w:rsidRPr="006A71BB">
        <w:rPr>
          <w:rFonts w:ascii="Arial" w:hAnsi="Arial" w:cs="Arial"/>
          <w:i/>
          <w:iCs/>
          <w:color w:val="000000"/>
          <w:sz w:val="22"/>
          <w:szCs w:val="22"/>
        </w:rPr>
        <w:t>origines</w:t>
      </w:r>
      <w:proofErr w:type="spellEnd"/>
      <w:r w:rsidRPr="006A71BB">
        <w:rPr>
          <w:rFonts w:ascii="Arial" w:hAnsi="Arial" w:cs="Arial"/>
          <w:i/>
          <w:iCs/>
          <w:color w:val="000000"/>
          <w:sz w:val="22"/>
          <w:szCs w:val="22"/>
        </w:rPr>
        <w:t xml:space="preserve"> et de </w:t>
      </w:r>
      <w:proofErr w:type="spellStart"/>
      <w:r w:rsidRPr="006A71BB">
        <w:rPr>
          <w:rFonts w:ascii="Arial" w:hAnsi="Arial" w:cs="Arial"/>
          <w:i/>
          <w:iCs/>
          <w:color w:val="000000"/>
          <w:sz w:val="22"/>
          <w:szCs w:val="22"/>
        </w:rPr>
        <w:t>l’identite</w:t>
      </w:r>
      <w:proofErr w:type="spellEnd"/>
      <w:r w:rsidRPr="006A71BB">
        <w:rPr>
          <w:rFonts w:ascii="Arial" w:hAnsi="Arial" w:cs="Arial"/>
          <w:i/>
          <w:iCs/>
          <w:color w:val="000000"/>
          <w:sz w:val="22"/>
          <w:szCs w:val="22"/>
        </w:rPr>
        <w:t xml:space="preserve">́ dans les </w:t>
      </w:r>
      <w:proofErr w:type="spellStart"/>
      <w:r w:rsidRPr="006A71BB">
        <w:rPr>
          <w:rFonts w:ascii="Arial" w:hAnsi="Arial" w:cs="Arial"/>
          <w:i/>
          <w:iCs/>
          <w:color w:val="000000"/>
          <w:sz w:val="22"/>
          <w:szCs w:val="22"/>
        </w:rPr>
        <w:t>mémoires</w:t>
      </w:r>
      <w:proofErr w:type="spellEnd"/>
      <w:r w:rsidRPr="006A71BB">
        <w:rPr>
          <w:rFonts w:ascii="Arial" w:hAnsi="Arial" w:cs="Arial"/>
          <w:i/>
          <w:iCs/>
          <w:color w:val="000000"/>
          <w:sz w:val="22"/>
          <w:szCs w:val="22"/>
        </w:rPr>
        <w:t xml:space="preserve"> </w:t>
      </w:r>
      <w:proofErr w:type="spellStart"/>
      <w:r w:rsidRPr="006A71BB">
        <w:rPr>
          <w:rFonts w:ascii="Arial" w:hAnsi="Arial" w:cs="Arial"/>
          <w:i/>
          <w:iCs/>
          <w:color w:val="000000"/>
          <w:sz w:val="22"/>
          <w:szCs w:val="22"/>
        </w:rPr>
        <w:t>culinaires</w:t>
      </w:r>
      <w:proofErr w:type="spellEnd"/>
      <w:r w:rsidRPr="006A71BB">
        <w:rPr>
          <w:rFonts w:ascii="Arial" w:hAnsi="Arial" w:cs="Arial"/>
          <w:i/>
          <w:iCs/>
          <w:color w:val="000000"/>
          <w:sz w:val="22"/>
          <w:szCs w:val="22"/>
        </w:rPr>
        <w:t xml:space="preserve">, un genre </w:t>
      </w:r>
      <w:proofErr w:type="spellStart"/>
      <w:r w:rsidRPr="006A71BB">
        <w:rPr>
          <w:rFonts w:ascii="Arial" w:hAnsi="Arial" w:cs="Arial"/>
          <w:i/>
          <w:iCs/>
          <w:color w:val="000000"/>
          <w:sz w:val="22"/>
          <w:szCs w:val="22"/>
        </w:rPr>
        <w:t>littéraire</w:t>
      </w:r>
      <w:proofErr w:type="spellEnd"/>
      <w:r w:rsidRPr="006A71BB">
        <w:rPr>
          <w:rFonts w:ascii="Arial" w:hAnsi="Arial" w:cs="Arial"/>
          <w:i/>
          <w:iCs/>
          <w:color w:val="000000"/>
          <w:sz w:val="22"/>
          <w:szCs w:val="22"/>
        </w:rPr>
        <w:t xml:space="preserve"> </w:t>
      </w:r>
      <w:proofErr w:type="spellStart"/>
      <w:r w:rsidRPr="006A71BB">
        <w:rPr>
          <w:rFonts w:ascii="Arial" w:hAnsi="Arial" w:cs="Arial"/>
          <w:i/>
          <w:iCs/>
          <w:color w:val="000000"/>
          <w:sz w:val="22"/>
          <w:szCs w:val="22"/>
        </w:rPr>
        <w:t>émergent</w:t>
      </w:r>
      <w:proofErr w:type="spellEnd"/>
      <w:r w:rsidRPr="006A71BB">
        <w:rPr>
          <w:rFonts w:ascii="Arial" w:hAnsi="Arial" w:cs="Arial"/>
          <w:color w:val="000000"/>
          <w:sz w:val="22"/>
          <w:szCs w:val="22"/>
        </w:rPr>
        <w:t xml:space="preserve">. thesis. </w:t>
      </w:r>
      <w:proofErr w:type="spellStart"/>
      <w:r w:rsidRPr="006A71BB">
        <w:rPr>
          <w:rFonts w:ascii="Arial" w:hAnsi="Arial" w:cs="Arial"/>
          <w:color w:val="000000"/>
          <w:sz w:val="22"/>
          <w:szCs w:val="22"/>
        </w:rPr>
        <w:t>Institut</w:t>
      </w:r>
      <w:proofErr w:type="spellEnd"/>
      <w:r w:rsidRPr="006A71BB">
        <w:rPr>
          <w:rFonts w:ascii="Arial" w:hAnsi="Arial" w:cs="Arial"/>
          <w:color w:val="000000"/>
          <w:sz w:val="22"/>
          <w:szCs w:val="22"/>
        </w:rPr>
        <w:t xml:space="preserve"> des </w:t>
      </w:r>
      <w:proofErr w:type="spellStart"/>
      <w:r w:rsidRPr="006A71BB">
        <w:rPr>
          <w:rFonts w:ascii="Arial" w:hAnsi="Arial" w:cs="Arial"/>
          <w:color w:val="000000"/>
          <w:sz w:val="22"/>
          <w:szCs w:val="22"/>
        </w:rPr>
        <w:t>Langues</w:t>
      </w:r>
      <w:proofErr w:type="spellEnd"/>
      <w:r w:rsidRPr="006A71BB">
        <w:rPr>
          <w:rFonts w:ascii="Arial" w:hAnsi="Arial" w:cs="Arial"/>
          <w:color w:val="000000"/>
          <w:sz w:val="22"/>
          <w:szCs w:val="22"/>
        </w:rPr>
        <w:t xml:space="preserve"> et Cultures </w:t>
      </w:r>
      <w:proofErr w:type="spellStart"/>
      <w:r w:rsidRPr="006A71BB">
        <w:rPr>
          <w:rFonts w:ascii="Arial" w:hAnsi="Arial" w:cs="Arial"/>
          <w:color w:val="000000"/>
          <w:sz w:val="22"/>
          <w:szCs w:val="22"/>
        </w:rPr>
        <w:t>d’Europe</w:t>
      </w:r>
      <w:proofErr w:type="spellEnd"/>
      <w:r w:rsidRPr="006A71BB">
        <w:rPr>
          <w:rFonts w:ascii="Arial" w:hAnsi="Arial" w:cs="Arial"/>
          <w:color w:val="000000"/>
          <w:sz w:val="22"/>
          <w:szCs w:val="22"/>
        </w:rPr>
        <w:t xml:space="preserve">, Amérique, Afrique, Asie et </w:t>
      </w:r>
      <w:proofErr w:type="spellStart"/>
      <w:r w:rsidRPr="006A71BB">
        <w:rPr>
          <w:rFonts w:ascii="Arial" w:hAnsi="Arial" w:cs="Arial"/>
          <w:color w:val="000000"/>
          <w:sz w:val="22"/>
          <w:szCs w:val="22"/>
        </w:rPr>
        <w:t>Australie</w:t>
      </w:r>
      <w:proofErr w:type="spellEnd"/>
      <w:r w:rsidRPr="006A71BB">
        <w:rPr>
          <w:rFonts w:ascii="Arial" w:hAnsi="Arial" w:cs="Arial"/>
          <w:color w:val="000000"/>
          <w:sz w:val="22"/>
          <w:szCs w:val="22"/>
        </w:rPr>
        <w:t>.</w:t>
      </w:r>
    </w:p>
    <w:p w14:paraId="0ED48C68"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proofErr w:type="spellStart"/>
      <w:r w:rsidRPr="006A71BB">
        <w:rPr>
          <w:rFonts w:ascii="Arial" w:hAnsi="Arial" w:cs="Arial"/>
          <w:color w:val="000000"/>
          <w:sz w:val="22"/>
          <w:szCs w:val="22"/>
        </w:rPr>
        <w:lastRenderedPageBreak/>
        <w:t>Thalassinou</w:t>
      </w:r>
      <w:proofErr w:type="spellEnd"/>
      <w:r w:rsidRPr="006A71BB">
        <w:rPr>
          <w:rFonts w:ascii="Arial" w:hAnsi="Arial" w:cs="Arial"/>
          <w:color w:val="000000"/>
          <w:sz w:val="22"/>
          <w:szCs w:val="22"/>
        </w:rPr>
        <w:t>, M. (2024)</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Famous food in Italy: A culinary journey through iconic dishes</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Greeking.me</w:t>
      </w:r>
      <w:r w:rsidRPr="006A71BB">
        <w:rPr>
          <w:rFonts w:ascii="Arial" w:hAnsi="Arial" w:cs="Arial"/>
          <w:color w:val="000000"/>
          <w:sz w:val="22"/>
          <w:szCs w:val="22"/>
        </w:rPr>
        <w:t>. Available at: https://greeking.me/blog/italy-travel-tips/famous-food-in-italy (Accessed: 01 May 2024).</w:t>
      </w:r>
    </w:p>
    <w:p w14:paraId="0B1B2543"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Thomas, G. (2020)</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 xml:space="preserve">What does Al Dente </w:t>
      </w:r>
      <w:proofErr w:type="gramStart"/>
      <w:r w:rsidRPr="006A71BB">
        <w:rPr>
          <w:rFonts w:ascii="Arial" w:hAnsi="Arial" w:cs="Arial"/>
          <w:i/>
          <w:iCs/>
          <w:color w:val="000000"/>
          <w:sz w:val="22"/>
          <w:szCs w:val="22"/>
        </w:rPr>
        <w:t>Mean?</w:t>
      </w:r>
      <w:r w:rsidRPr="006A71BB">
        <w:rPr>
          <w:rFonts w:ascii="Arial" w:hAnsi="Arial" w:cs="Arial"/>
          <w:color w:val="000000"/>
          <w:sz w:val="22"/>
          <w:szCs w:val="22"/>
        </w:rPr>
        <w:t>,</w:t>
      </w:r>
      <w:proofErr w:type="gramEnd"/>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Pasta Evangelists</w:t>
      </w:r>
      <w:r w:rsidRPr="006A71BB">
        <w:rPr>
          <w:rFonts w:ascii="Arial" w:hAnsi="Arial" w:cs="Arial"/>
          <w:color w:val="000000"/>
          <w:sz w:val="22"/>
          <w:szCs w:val="22"/>
        </w:rPr>
        <w:t>. Available at: https://pastaevangelists.com/blogs/blog/what-does-al-dente-mean (Accessed: 01 May 2024).</w:t>
      </w:r>
    </w:p>
    <w:p w14:paraId="2B7126A6"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Yan, J. (2024)</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 xml:space="preserve">How to manage the cross-cultural communication skills for international </w:t>
      </w:r>
      <w:proofErr w:type="gramStart"/>
      <w:r w:rsidRPr="006A71BB">
        <w:rPr>
          <w:rFonts w:ascii="Arial" w:hAnsi="Arial" w:cs="Arial"/>
          <w:i/>
          <w:iCs/>
          <w:color w:val="000000"/>
          <w:sz w:val="22"/>
          <w:szCs w:val="22"/>
        </w:rPr>
        <w:t>sales?</w:t>
      </w:r>
      <w:r w:rsidRPr="006A71BB">
        <w:rPr>
          <w:rFonts w:ascii="Arial" w:hAnsi="Arial" w:cs="Arial"/>
          <w:color w:val="000000"/>
          <w:sz w:val="22"/>
          <w:szCs w:val="22"/>
        </w:rPr>
        <w:t>,</w:t>
      </w:r>
      <w:proofErr w:type="gramEnd"/>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LinkedIn</w:t>
      </w:r>
      <w:r w:rsidRPr="006A71BB">
        <w:rPr>
          <w:rFonts w:ascii="Arial" w:hAnsi="Arial" w:cs="Arial"/>
          <w:color w:val="000000"/>
          <w:sz w:val="22"/>
          <w:szCs w:val="22"/>
        </w:rPr>
        <w:t>. Available at: https://www.linkedin.com/pulse/how-manage-cross-cultural-communication-skills-sales-jane-yan-czwvc/ (Accessed: 02 May 2024).</w:t>
      </w:r>
    </w:p>
    <w:p w14:paraId="2AA56CED"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Component 2 - Training plan</w:t>
      </w:r>
    </w:p>
    <w:p w14:paraId="275079DF"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Enhancing Cultural Understanding and Food Etiquette</w:t>
      </w:r>
    </w:p>
    <w:p w14:paraId="55601536"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 xml:space="preserve">Given recent experiences, it is evident that our Level 4 Placement Hotel workers would benefit from a comprehensive training plan to improve their cultural understanding and food etiquette. Cultural awareness training promotes effective cross-cultural communication, teamwork, and inclusivity. It increases cross-cultural communication skills, lowers prejudices, and improves interpersonal relationships. Benefiting employees at all levels, it fosters inclusive workplaces and helps organisations attract varied talent, leading to innovation and success in global marketplaces. </w:t>
      </w:r>
      <w:r w:rsidRPr="006A71BB">
        <w:rPr>
          <w:rFonts w:ascii="Arial" w:hAnsi="Arial" w:cs="Arial"/>
          <w:color w:val="000000"/>
          <w:sz w:val="22"/>
          <w:szCs w:val="22"/>
        </w:rPr>
        <w:t>(Saarinen Chávez, 2023)</w:t>
      </w:r>
    </w:p>
    <w:p w14:paraId="621A911B"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Recognizing the importance of accommodating diverse cultural backgrounds and adhering to culinary norms, this training aims to equip all employees with the necessary skills to navigate similar situations effectively.</w:t>
      </w:r>
    </w:p>
    <w:p w14:paraId="303DA681"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Objective</w:t>
      </w:r>
    </w:p>
    <w:p w14:paraId="482979B4"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The objective of the cultural training program is to educate staff on key cultural differences and similarities worldwide, ensuring effective accommodation and meeting of needs in the hospitality sector. </w:t>
      </w:r>
      <w:r w:rsidRPr="006A71BB">
        <w:rPr>
          <w:rFonts w:ascii="Arial" w:hAnsi="Arial" w:cs="Arial"/>
          <w:color w:val="000000"/>
          <w:sz w:val="22"/>
          <w:szCs w:val="22"/>
        </w:rPr>
        <w:t>(Roque &amp; Ramos, 2019)</w:t>
      </w:r>
      <w:r w:rsidRPr="006A71BB">
        <w:rPr>
          <w:rFonts w:ascii="Arial" w:hAnsi="Arial" w:cs="Arial"/>
          <w:sz w:val="22"/>
          <w:szCs w:val="22"/>
        </w:rPr>
        <w:t xml:space="preserve"> This training plan aims to ensure that all staff members are equipped to handle diverse cultural preferences and adhere to appropriate food etiquette </w:t>
      </w:r>
      <w:r w:rsidRPr="006A71BB">
        <w:rPr>
          <w:rFonts w:ascii="Arial" w:hAnsi="Arial" w:cs="Arial"/>
          <w:color w:val="000000"/>
          <w:sz w:val="22"/>
          <w:szCs w:val="22"/>
        </w:rPr>
        <w:t>(Jenkin, 2021),</w:t>
      </w:r>
      <w:r w:rsidRPr="006A71BB">
        <w:rPr>
          <w:rFonts w:ascii="Arial" w:hAnsi="Arial" w:cs="Arial"/>
          <w:sz w:val="22"/>
          <w:szCs w:val="22"/>
        </w:rPr>
        <w:t xml:space="preserve"> thus enhancing guest satisfaction and avoiding unintentional missteps in the future.</w:t>
      </w:r>
    </w:p>
    <w:p w14:paraId="7A2EDC3B"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Training Components</w:t>
      </w:r>
    </w:p>
    <w:p w14:paraId="72C3CE93"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Cultural Understanding</w:t>
      </w:r>
    </w:p>
    <w:p w14:paraId="5CD8C314"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lastRenderedPageBreak/>
        <w:t xml:space="preserve">Cultural awareness entails comprehending other cultural origins and reflecting on personal cultural influences. Recognising variations in experiences and behaviours encourages efficient collaboration and inclusivity when dealing with people from diverse cultures. </w:t>
      </w:r>
      <w:r w:rsidRPr="006A71BB">
        <w:rPr>
          <w:rFonts w:ascii="Arial" w:hAnsi="Arial" w:cs="Arial"/>
          <w:color w:val="000000"/>
          <w:sz w:val="22"/>
          <w:szCs w:val="22"/>
        </w:rPr>
        <w:t>(Globo, 2023)</w:t>
      </w:r>
    </w:p>
    <w:p w14:paraId="02C0C2D7"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Introduction to Cultural Sensitivity</w:t>
      </w:r>
    </w:p>
    <w:p w14:paraId="37FF6D26"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 xml:space="preserve">Cultural sensitivity in hospitality ensures guest comfort and respect. Understanding cultural differences, customising services, adapting communication, and respecting customs enhance guest experience and foster trust. </w:t>
      </w:r>
      <w:r w:rsidRPr="006A71BB">
        <w:rPr>
          <w:rFonts w:ascii="Arial" w:hAnsi="Arial" w:cs="Arial"/>
          <w:color w:val="000000"/>
          <w:sz w:val="22"/>
          <w:szCs w:val="22"/>
        </w:rPr>
        <w:t>(Joseph, 2023)</w:t>
      </w:r>
    </w:p>
    <w:p w14:paraId="5D0B29BD"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Regional Specialties</w:t>
      </w:r>
    </w:p>
    <w:p w14:paraId="104D2DD3"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Familiarize employees with regional specialties, cooking techniques, and ingredient combinations typical in various cuisines, with a focus on Italian cuisine.</w:t>
      </w:r>
    </w:p>
    <w:p w14:paraId="7BE3BC49"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Communication Styles</w:t>
      </w:r>
    </w:p>
    <w:p w14:paraId="6ABB250B"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Explore different communication styles and cultural norms related to dining, highlighting the significance of adapting communication to align with guest preferences. </w:t>
      </w:r>
      <w:r w:rsidRPr="006A71BB">
        <w:rPr>
          <w:rFonts w:ascii="Arial" w:hAnsi="Arial" w:cs="Arial"/>
          <w:color w:val="000000"/>
          <w:sz w:val="22"/>
          <w:szCs w:val="22"/>
        </w:rPr>
        <w:t>(Sahadevan &amp; Sumangala, 2021)</w:t>
      </w:r>
    </w:p>
    <w:p w14:paraId="2888FFD3"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Food Etiquette</w:t>
      </w:r>
    </w:p>
    <w:p w14:paraId="2ACAF98D"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Introduction to </w:t>
      </w:r>
      <w:proofErr w:type="spellStart"/>
      <w:r w:rsidRPr="006A71BB">
        <w:rPr>
          <w:rFonts w:ascii="Arial" w:hAnsi="Arial" w:cs="Arial"/>
          <w:sz w:val="22"/>
          <w:szCs w:val="22"/>
        </w:rPr>
        <w:t>Galateo</w:t>
      </w:r>
      <w:proofErr w:type="spellEnd"/>
      <w:r w:rsidRPr="006A71BB">
        <w:rPr>
          <w:rFonts w:ascii="Arial" w:hAnsi="Arial" w:cs="Arial"/>
          <w:sz w:val="22"/>
          <w:szCs w:val="22"/>
        </w:rPr>
        <w:t xml:space="preserve">: Introduce employees to the concept of </w:t>
      </w:r>
      <w:proofErr w:type="spellStart"/>
      <w:r w:rsidRPr="006A71BB">
        <w:rPr>
          <w:rFonts w:ascii="Arial" w:hAnsi="Arial" w:cs="Arial"/>
          <w:sz w:val="22"/>
          <w:szCs w:val="22"/>
        </w:rPr>
        <w:t>Galateo</w:t>
      </w:r>
      <w:proofErr w:type="spellEnd"/>
      <w:r w:rsidRPr="006A71BB">
        <w:rPr>
          <w:rFonts w:ascii="Arial" w:hAnsi="Arial" w:cs="Arial"/>
          <w:sz w:val="22"/>
          <w:szCs w:val="22"/>
        </w:rPr>
        <w:t xml:space="preserve"> (Italian etiquette) and its significance in dining experiences.</w:t>
      </w:r>
    </w:p>
    <w:p w14:paraId="47D45D08"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Do's and Don'ts: Discuss common do's and don'ts of Italian food etiquette, emphasizing the importance of respecting traditional culinary norms. </w:t>
      </w:r>
      <w:r w:rsidRPr="006A71BB">
        <w:rPr>
          <w:rFonts w:ascii="Arial" w:hAnsi="Arial" w:cs="Arial"/>
          <w:color w:val="000000"/>
          <w:sz w:val="22"/>
          <w:szCs w:val="22"/>
        </w:rPr>
        <w:t>(Martin, 2013)</w:t>
      </w:r>
    </w:p>
    <w:p w14:paraId="3901C855"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Practical Application</w:t>
      </w:r>
    </w:p>
    <w:p w14:paraId="146F4936"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Role-Playing Scenarios: </w:t>
      </w:r>
      <w:r w:rsidRPr="006A71BB">
        <w:rPr>
          <w:rFonts w:ascii="Arial" w:hAnsi="Arial" w:cs="Arial"/>
          <w:color w:val="0D0D0D"/>
          <w:sz w:val="22"/>
          <w:szCs w:val="22"/>
          <w:shd w:val="clear" w:color="auto" w:fill="FFFFFF"/>
        </w:rPr>
        <w:t xml:space="preserve">Conduct role-playing exercises, akin to a collaborative interactive setting known as a role-playing game, to simulate real-life dining scenarios. </w:t>
      </w:r>
      <w:r w:rsidRPr="006A71BB">
        <w:rPr>
          <w:rFonts w:ascii="Arial" w:hAnsi="Arial" w:cs="Arial"/>
          <w:color w:val="000000"/>
          <w:sz w:val="22"/>
          <w:szCs w:val="22"/>
        </w:rPr>
        <w:t xml:space="preserve">(SAMHSA, 2014) </w:t>
      </w:r>
      <w:r w:rsidRPr="006A71BB">
        <w:rPr>
          <w:rFonts w:ascii="Arial" w:hAnsi="Arial" w:cs="Arial"/>
          <w:color w:val="0D0D0D"/>
          <w:sz w:val="22"/>
          <w:szCs w:val="22"/>
          <w:shd w:val="clear" w:color="auto" w:fill="FFFFFF"/>
        </w:rPr>
        <w:t xml:space="preserve">This allows employees to practice cultural sensitivity and food etiquette under the guidance of a game-master, fostering skill development in a controlled environment. </w:t>
      </w:r>
      <w:r w:rsidRPr="006A71BB">
        <w:rPr>
          <w:rFonts w:ascii="Arial" w:hAnsi="Arial" w:cs="Arial"/>
          <w:color w:val="000000"/>
          <w:sz w:val="22"/>
          <w:szCs w:val="22"/>
        </w:rPr>
        <w:t>(John Buelow, 2014)</w:t>
      </w:r>
    </w:p>
    <w:p w14:paraId="0C58586A"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lastRenderedPageBreak/>
        <w:t xml:space="preserve">Guest Feedback Analysis: Analyse guest feedback related to cultural preferences and food experiences, encouraging employees to reflect on their interactions and identify areas for improvement. </w:t>
      </w:r>
      <w:r w:rsidRPr="006A71BB">
        <w:rPr>
          <w:rFonts w:ascii="Arial" w:hAnsi="Arial" w:cs="Arial"/>
          <w:color w:val="000000"/>
          <w:sz w:val="22"/>
          <w:szCs w:val="22"/>
        </w:rPr>
        <w:t>(Goodey, 2023)</w:t>
      </w:r>
    </w:p>
    <w:p w14:paraId="34448C09"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On-the-Job Observation</w:t>
      </w:r>
    </w:p>
    <w:p w14:paraId="44BD1195"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Encourage employees to observe experienced colleagues and learn from their interactions with guests, particularly regarding cultural nuances and food etiquette. </w:t>
      </w:r>
      <w:r w:rsidRPr="006A71BB">
        <w:rPr>
          <w:rFonts w:ascii="Arial" w:hAnsi="Arial" w:cs="Arial"/>
          <w:color w:val="000000"/>
          <w:sz w:val="22"/>
          <w:szCs w:val="22"/>
        </w:rPr>
        <w:t>(SAMHSA, 2014)</w:t>
      </w:r>
    </w:p>
    <w:p w14:paraId="24585294"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Continuous Learning</w:t>
      </w:r>
    </w:p>
    <w:p w14:paraId="6B64BC3F"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Promote a culture of continuous learning by providing resources and opportunities for employees to expand their cultural knowledge and culinary skills. </w:t>
      </w:r>
      <w:r w:rsidRPr="006A71BB">
        <w:rPr>
          <w:rFonts w:ascii="Arial" w:hAnsi="Arial" w:cs="Arial"/>
          <w:color w:val="000000"/>
          <w:sz w:val="22"/>
          <w:szCs w:val="22"/>
        </w:rPr>
        <w:t>(Hutchinson, 2024)</w:t>
      </w:r>
    </w:p>
    <w:p w14:paraId="1296BDD7"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Feedback Mechanism</w:t>
      </w:r>
    </w:p>
    <w:p w14:paraId="3BFDABCF"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Feedback fosters employee self-awareness and enables employers to support team members in maximising their potential. Establish a feedback mechanism where employees can share their experiences, challenges, and suggestions for improving cultural understanding and food etiquette.</w:t>
      </w:r>
    </w:p>
    <w:p w14:paraId="0DB501B7"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Performance Evaluation</w:t>
      </w:r>
    </w:p>
    <w:p w14:paraId="740F70F7" w14:textId="77777777" w:rsidR="002618F1" w:rsidRPr="006A71BB" w:rsidRDefault="002618F1" w:rsidP="002618F1">
      <w:pPr>
        <w:pStyle w:val="NormalWeb"/>
        <w:spacing w:line="360" w:lineRule="auto"/>
        <w:rPr>
          <w:rFonts w:ascii="Arial" w:hAnsi="Arial" w:cs="Arial"/>
          <w:sz w:val="22"/>
          <w:szCs w:val="22"/>
        </w:rPr>
      </w:pPr>
      <w:r w:rsidRPr="006A71BB">
        <w:rPr>
          <w:rFonts w:ascii="Arial" w:hAnsi="Arial" w:cs="Arial"/>
          <w:sz w:val="22"/>
          <w:szCs w:val="22"/>
        </w:rPr>
        <w:t xml:space="preserve">Performance reviews should foster rapport and trust through dialogue. However, in cultures where seeking feedback isn't common, clarity on expectations and resources is crucial. </w:t>
      </w:r>
      <w:r w:rsidRPr="006A71BB">
        <w:rPr>
          <w:rFonts w:ascii="Arial" w:hAnsi="Arial" w:cs="Arial"/>
          <w:color w:val="000000"/>
          <w:sz w:val="22"/>
          <w:szCs w:val="22"/>
        </w:rPr>
        <w:t xml:space="preserve">(Nassif, 2019) </w:t>
      </w:r>
      <w:r w:rsidRPr="006A71BB">
        <w:rPr>
          <w:rFonts w:ascii="Arial" w:hAnsi="Arial" w:cs="Arial"/>
          <w:sz w:val="22"/>
          <w:szCs w:val="22"/>
        </w:rPr>
        <w:t>Incorporate cultural competency and food etiquette into performance evaluations, recognizing and rewarding employees who demonstrate proficiency in these areas.</w:t>
      </w:r>
    </w:p>
    <w:p w14:paraId="0F6DA95F"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Conclusion</w:t>
      </w:r>
    </w:p>
    <w:p w14:paraId="7D075BE1"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sz w:val="22"/>
          <w:szCs w:val="22"/>
        </w:rPr>
        <w:t>Cultural competence is a process requiring ongoing training and support for culturally responsive services. Limited outcome research exists on its effectiveness, but effective training features specific qualities.</w:t>
      </w:r>
    </w:p>
    <w:p w14:paraId="1E5CB3B0"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References:</w:t>
      </w:r>
    </w:p>
    <w:p w14:paraId="65661E9B"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Globo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Understanding cultural awareness, sensitivity &amp; competence</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Globo</w:t>
      </w:r>
      <w:r w:rsidRPr="006A71BB">
        <w:rPr>
          <w:rFonts w:ascii="Arial" w:hAnsi="Arial" w:cs="Arial"/>
          <w:color w:val="000000"/>
          <w:sz w:val="22"/>
          <w:szCs w:val="22"/>
        </w:rPr>
        <w:t>. Available at: https://www.helloglobo.com/blog/understanding-cultural-awareness-sensitivity-competence (Accessed: 04 May 2024).</w:t>
      </w:r>
    </w:p>
    <w:p w14:paraId="19B11EF1"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lastRenderedPageBreak/>
        <w:t>Goodey, B.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Customer feedback analysis: Step-by-step + template</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proofErr w:type="spellStart"/>
      <w:r w:rsidRPr="006A71BB">
        <w:rPr>
          <w:rFonts w:ascii="Arial" w:hAnsi="Arial" w:cs="Arial"/>
          <w:i/>
          <w:iCs/>
          <w:color w:val="000000"/>
          <w:sz w:val="22"/>
          <w:szCs w:val="22"/>
        </w:rPr>
        <w:t>SentiSum</w:t>
      </w:r>
      <w:proofErr w:type="spellEnd"/>
      <w:r w:rsidRPr="006A71BB">
        <w:rPr>
          <w:rFonts w:ascii="Arial" w:hAnsi="Arial" w:cs="Arial"/>
          <w:color w:val="000000"/>
          <w:sz w:val="22"/>
          <w:szCs w:val="22"/>
        </w:rPr>
        <w:t>. Available at: https://www.sentisum.com/customer-feedback-analysis (Accessed: 04 May 2024).</w:t>
      </w:r>
    </w:p>
    <w:p w14:paraId="3AFCB5FA"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Hutchinson, C. (2024)</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Culture of continuous learning: Embracing excellence with a learning culture</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proofErr w:type="spellStart"/>
      <w:r w:rsidRPr="006A71BB">
        <w:rPr>
          <w:rFonts w:ascii="Arial" w:hAnsi="Arial" w:cs="Arial"/>
          <w:i/>
          <w:iCs/>
          <w:color w:val="000000"/>
          <w:sz w:val="22"/>
          <w:szCs w:val="22"/>
        </w:rPr>
        <w:t>Claned</w:t>
      </w:r>
      <w:proofErr w:type="spellEnd"/>
      <w:r w:rsidRPr="006A71BB">
        <w:rPr>
          <w:rFonts w:ascii="Arial" w:hAnsi="Arial" w:cs="Arial"/>
          <w:color w:val="000000"/>
          <w:sz w:val="22"/>
          <w:szCs w:val="22"/>
        </w:rPr>
        <w:t>. Available at: https://claned.com/culture-of-continuous-learning-embracing-excellence-with-a-learning-culture/ (Accessed: 06 May 2024).</w:t>
      </w:r>
    </w:p>
    <w:p w14:paraId="0BDE1B07"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Jenkin, K. (2021)</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 xml:space="preserve">What is proper restaurant etiquette for </w:t>
      </w:r>
      <w:proofErr w:type="gramStart"/>
      <w:r w:rsidRPr="006A71BB">
        <w:rPr>
          <w:rFonts w:ascii="Arial" w:hAnsi="Arial" w:cs="Arial"/>
          <w:i/>
          <w:iCs/>
          <w:color w:val="000000"/>
          <w:sz w:val="22"/>
          <w:szCs w:val="22"/>
        </w:rPr>
        <w:t>servers?</w:t>
      </w:r>
      <w:r w:rsidRPr="006A71BB">
        <w:rPr>
          <w:rFonts w:ascii="Arial" w:hAnsi="Arial" w:cs="Arial"/>
          <w:color w:val="000000"/>
          <w:sz w:val="22"/>
          <w:szCs w:val="22"/>
        </w:rPr>
        <w:t>,</w:t>
      </w:r>
      <w:proofErr w:type="gramEnd"/>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Epos Now</w:t>
      </w:r>
      <w:r w:rsidRPr="006A71BB">
        <w:rPr>
          <w:rFonts w:ascii="Arial" w:hAnsi="Arial" w:cs="Arial"/>
          <w:color w:val="000000"/>
          <w:sz w:val="22"/>
          <w:szCs w:val="22"/>
        </w:rPr>
        <w:t>. Available at: https://www.eposnow.com/us/resources/restaurant-etiquette/ (Accessed: 03 May 2024).</w:t>
      </w:r>
    </w:p>
    <w:p w14:paraId="62BFA1E6"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John Buelow, E.V.P. (2014)</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3 benefits of making role-play part of training</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Training</w:t>
      </w:r>
      <w:r w:rsidRPr="006A71BB">
        <w:rPr>
          <w:rFonts w:ascii="Arial" w:hAnsi="Arial" w:cs="Arial"/>
          <w:color w:val="000000"/>
          <w:sz w:val="22"/>
          <w:szCs w:val="22"/>
        </w:rPr>
        <w:t>. Available at: https://trainingmag.com/3-benefits-of-making-role-play-part-of-training/ (Accessed: 04 May 2024).</w:t>
      </w:r>
    </w:p>
    <w:p w14:paraId="6CB2E3E5"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Joseph, Y.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The role of cultural sensitivity in the hospitality industry</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Medium</w:t>
      </w:r>
      <w:r w:rsidRPr="006A71BB">
        <w:rPr>
          <w:rFonts w:ascii="Arial" w:hAnsi="Arial" w:cs="Arial"/>
          <w:color w:val="000000"/>
          <w:sz w:val="22"/>
          <w:szCs w:val="22"/>
        </w:rPr>
        <w:t>. Available at: https://medium.com/@yvonnejoseph/the-role-of-cultural-sensitivity-in-the-hospitality-industry-32128a0a1788 (Accessed: 03 May 2024).</w:t>
      </w:r>
    </w:p>
    <w:p w14:paraId="25DDC540"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Nassif, N. (2019)</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Performance Evaluations of Multicultural Employees: Three things to keep in mind</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Performance Evaluations of Multicultural Employees: Three Things to Keep in Mind</w:t>
      </w:r>
      <w:r w:rsidRPr="006A71BB">
        <w:rPr>
          <w:rFonts w:ascii="Arial" w:hAnsi="Arial" w:cs="Arial"/>
          <w:color w:val="000000"/>
          <w:sz w:val="22"/>
          <w:szCs w:val="22"/>
        </w:rPr>
        <w:t>. Available at: https://blog.springboardsconsulting.com/performance-evaluations-of-multicultural-employees-three-things-managers-should-keep-in-mind-1 (Accessed: 06 May 2024).</w:t>
      </w:r>
    </w:p>
    <w:p w14:paraId="47E4E1DF"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Roque, H.C. and Ramos, M. (2019) ‘The importance of cultural training in the hospitality sector’,</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European Journal of Tourism, Hospitality and Recreation</w:t>
      </w:r>
      <w:r w:rsidRPr="006A71BB">
        <w:rPr>
          <w:rFonts w:ascii="Arial" w:hAnsi="Arial" w:cs="Arial"/>
          <w:color w:val="000000"/>
          <w:sz w:val="22"/>
          <w:szCs w:val="22"/>
        </w:rPr>
        <w:t>, 9(2), pp. 58–67. doi:10.2478/ejthr-2019-0007.</w:t>
      </w:r>
    </w:p>
    <w:p w14:paraId="32B9F5A3"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Saarinen Chávez, T.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Enhancing workplace diversity with cultural awareness training</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Medium</w:t>
      </w:r>
      <w:r w:rsidRPr="006A71BB">
        <w:rPr>
          <w:rFonts w:ascii="Arial" w:hAnsi="Arial" w:cs="Arial"/>
          <w:color w:val="000000"/>
          <w:sz w:val="22"/>
          <w:szCs w:val="22"/>
        </w:rPr>
        <w:t>. Available at: https://tanjafromnuminos.medium.com/enhancing-workplace-diversity-with-cultural-awareness-training-f90127a7b6c8 (Accessed: 03 May 2024).</w:t>
      </w:r>
    </w:p>
    <w:p w14:paraId="23114EF3" w14:textId="77777777" w:rsidR="002618F1" w:rsidRPr="006A71BB" w:rsidRDefault="002618F1" w:rsidP="002618F1">
      <w:pPr>
        <w:pStyle w:val="NormalWeb"/>
        <w:spacing w:line="360" w:lineRule="auto"/>
        <w:rPr>
          <w:rStyle w:val="apple-converted-space"/>
          <w:rFonts w:ascii="Arial" w:hAnsi="Arial" w:cs="Arial"/>
          <w:b/>
          <w:bCs/>
          <w:sz w:val="22"/>
          <w:szCs w:val="22"/>
        </w:rPr>
      </w:pPr>
      <w:r w:rsidRPr="006A71BB">
        <w:rPr>
          <w:rFonts w:ascii="Arial" w:hAnsi="Arial" w:cs="Arial"/>
          <w:color w:val="000000"/>
          <w:sz w:val="22"/>
          <w:szCs w:val="22"/>
        </w:rPr>
        <w:t>Sahadevan, P. and Sumangala, M. (2021) ‘Effective cross-cultural communication for International Business’,</w:t>
      </w:r>
      <w:r w:rsidRPr="006A71BB">
        <w:rPr>
          <w:rStyle w:val="apple-converted-space"/>
          <w:rFonts w:ascii="Arial" w:eastAsiaTheme="majorEastAsia" w:hAnsi="Arial" w:cs="Arial"/>
          <w:color w:val="000000"/>
          <w:sz w:val="22"/>
          <w:szCs w:val="22"/>
        </w:rPr>
        <w:t> </w:t>
      </w:r>
      <w:proofErr w:type="spellStart"/>
      <w:r w:rsidRPr="006A71BB">
        <w:rPr>
          <w:rFonts w:ascii="Arial" w:hAnsi="Arial" w:cs="Arial"/>
          <w:i/>
          <w:iCs/>
          <w:color w:val="000000"/>
          <w:sz w:val="22"/>
          <w:szCs w:val="22"/>
        </w:rPr>
        <w:t>Shanlax</w:t>
      </w:r>
      <w:proofErr w:type="spellEnd"/>
      <w:r w:rsidRPr="006A71BB">
        <w:rPr>
          <w:rFonts w:ascii="Arial" w:hAnsi="Arial" w:cs="Arial"/>
          <w:i/>
          <w:iCs/>
          <w:color w:val="000000"/>
          <w:sz w:val="22"/>
          <w:szCs w:val="22"/>
        </w:rPr>
        <w:t xml:space="preserve"> International Journal of Management</w:t>
      </w:r>
      <w:r w:rsidRPr="006A71BB">
        <w:rPr>
          <w:rFonts w:ascii="Arial" w:hAnsi="Arial" w:cs="Arial"/>
          <w:color w:val="000000"/>
          <w:sz w:val="22"/>
          <w:szCs w:val="22"/>
        </w:rPr>
        <w:t>, 8(4), pp. 24–33. doi:10.34293/</w:t>
      </w:r>
      <w:proofErr w:type="gramStart"/>
      <w:r w:rsidRPr="006A71BB">
        <w:rPr>
          <w:rFonts w:ascii="Arial" w:hAnsi="Arial" w:cs="Arial"/>
          <w:color w:val="000000"/>
          <w:sz w:val="22"/>
          <w:szCs w:val="22"/>
        </w:rPr>
        <w:t>management.v</w:t>
      </w:r>
      <w:proofErr w:type="gramEnd"/>
      <w:r w:rsidRPr="006A71BB">
        <w:rPr>
          <w:rFonts w:ascii="Arial" w:hAnsi="Arial" w:cs="Arial"/>
          <w:color w:val="000000"/>
          <w:sz w:val="22"/>
          <w:szCs w:val="22"/>
        </w:rPr>
        <w:t>8i4.3813.</w:t>
      </w:r>
    </w:p>
    <w:p w14:paraId="6A0E86DC"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lastRenderedPageBreak/>
        <w:t>SAMHSA (2014)</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Tip 59: Improving cultural competence</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Department of Health and Human Services USA</w:t>
      </w:r>
      <w:r w:rsidRPr="006A71BB">
        <w:rPr>
          <w:rFonts w:ascii="Arial" w:hAnsi="Arial" w:cs="Arial"/>
          <w:color w:val="000000"/>
          <w:sz w:val="22"/>
          <w:szCs w:val="22"/>
        </w:rPr>
        <w:t>. Available at: https://store.samhsa.gov/sites/default/files/sma14-4849.pdf (Accessed: 05 May 2024).</w:t>
      </w:r>
    </w:p>
    <w:p w14:paraId="4A5883CF"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b/>
          <w:bCs/>
          <w:sz w:val="22"/>
          <w:szCs w:val="22"/>
        </w:rPr>
        <w:t>Component 3 - Student self-reflection</w:t>
      </w:r>
    </w:p>
    <w:p w14:paraId="40C56687"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sz w:val="22"/>
          <w:szCs w:val="22"/>
        </w:rPr>
        <w:t>Critical reflection on prejudices develops skills for effective intercultural communication. Awareness of prejudices is critical; rejecting them can lead to biased behaviour. Recognising biases allows individuals to reduce preconceptions and increase intercultural understanding and communication.</w:t>
      </w:r>
      <w:r w:rsidRPr="006A71BB">
        <w:rPr>
          <w:rFonts w:ascii="Arial" w:hAnsi="Arial" w:cs="Arial"/>
          <w:b/>
          <w:bCs/>
          <w:sz w:val="22"/>
          <w:szCs w:val="22"/>
        </w:rPr>
        <w:t xml:space="preserve"> </w:t>
      </w:r>
      <w:r w:rsidRPr="006A71BB">
        <w:rPr>
          <w:rFonts w:ascii="Arial" w:hAnsi="Arial" w:cs="Arial"/>
          <w:color w:val="000000"/>
          <w:sz w:val="22"/>
          <w:szCs w:val="22"/>
        </w:rPr>
        <w:t>(Hofstede et al., 2017)</w:t>
      </w:r>
    </w:p>
    <w:p w14:paraId="6FFB2A13"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Reflection is crucial for learning and personal growth. Simply experiencing events isn't sufficient; evaluating and reflecting on them allows for the identification of areas needing improvement and fosters individual development. This introspective process complements the journey of cultural awareness, facilitating continuous learning and adaptation in hospitality. (</w:t>
      </w:r>
      <w:proofErr w:type="spellStart"/>
      <w:r w:rsidRPr="006A71BB">
        <w:rPr>
          <w:rFonts w:ascii="Arial" w:hAnsi="Arial" w:cs="Arial"/>
          <w:color w:val="000000"/>
          <w:sz w:val="22"/>
          <w:szCs w:val="22"/>
        </w:rPr>
        <w:t>Greenwalty</w:t>
      </w:r>
      <w:proofErr w:type="spellEnd"/>
      <w:r w:rsidRPr="006A71BB">
        <w:rPr>
          <w:rFonts w:ascii="Arial" w:hAnsi="Arial" w:cs="Arial"/>
          <w:color w:val="000000"/>
          <w:sz w:val="22"/>
          <w:szCs w:val="22"/>
        </w:rPr>
        <w:t>, 2023)</w:t>
      </w:r>
    </w:p>
    <w:p w14:paraId="2DFC6403"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Description</w:t>
      </w:r>
    </w:p>
    <w:p w14:paraId="46958A4D"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As I reflect on my journey of understanding cultural awareness within the hospitality industry, I recall my initial perception of it as a basic checklist item. I viewed it primarily to ensure guests' needs were met without fully grasping its broader significance. (Gibbs, 2013)</w:t>
      </w:r>
      <w:r>
        <w:rPr>
          <w:rFonts w:ascii="Arial" w:hAnsi="Arial" w:cs="Arial"/>
          <w:color w:val="000000"/>
          <w:sz w:val="22"/>
          <w:szCs w:val="22"/>
        </w:rPr>
        <w:t xml:space="preserve"> For example, when the Italian guest requested specific modification to his pasta dish, I focused on the technical aspect of making the changes rather than understanding the cultural importance behind his preferences.</w:t>
      </w:r>
    </w:p>
    <w:p w14:paraId="71E78330"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Feelings</w:t>
      </w:r>
    </w:p>
    <w:p w14:paraId="59A0B2C2"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Initially, I felt confident in my ability to accommodate guests from diverse backgrounds, but I also experienced a sense of uncertainty about the depth of my understanding. As I encountered guests who expressed discomfort due to cultural misunderstandings, I realized there was more to learn. (Gibbs, 2013)</w:t>
      </w:r>
      <w:r>
        <w:rPr>
          <w:rFonts w:ascii="Arial" w:hAnsi="Arial" w:cs="Arial"/>
          <w:color w:val="000000"/>
          <w:sz w:val="22"/>
          <w:szCs w:val="22"/>
        </w:rPr>
        <w:t xml:space="preserve"> This was evident when the Italian guest felt his culinary heritage was not respected. </w:t>
      </w:r>
    </w:p>
    <w:p w14:paraId="04F6B318"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Evaluation</w:t>
      </w:r>
    </w:p>
    <w:p w14:paraId="07414171"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 xml:space="preserve">Recognizing the necessity for cultural awareness, the encounter with the Italian guest spurred reflection and personal development. Within the hospitality sector, staff play a pivotal role in shaping customer experiences. Appreciating guest cultures enriches hospitality </w:t>
      </w:r>
      <w:r w:rsidRPr="006A71BB">
        <w:rPr>
          <w:rFonts w:ascii="Arial" w:hAnsi="Arial" w:cs="Arial"/>
          <w:color w:val="000000"/>
          <w:sz w:val="22"/>
          <w:szCs w:val="22"/>
        </w:rPr>
        <w:lastRenderedPageBreak/>
        <w:t>interactions, with Italians valuing food not just as sustenance but as a cherished art form, essential for nurturing familial and social connections. (Evans, 2023)</w:t>
      </w:r>
      <w:r>
        <w:rPr>
          <w:rFonts w:ascii="Arial" w:hAnsi="Arial" w:cs="Arial"/>
          <w:color w:val="000000"/>
          <w:sz w:val="22"/>
          <w:szCs w:val="22"/>
        </w:rPr>
        <w:t xml:space="preserve"> This encounter highlighted the importance of understanding that food preferences are deeply rooted in cultural traditions, not merely individual tastes.</w:t>
      </w:r>
    </w:p>
    <w:p w14:paraId="6D78357C"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Analysis</w:t>
      </w:r>
    </w:p>
    <w:p w14:paraId="37A8C10C"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Participating in cultural awareness training sessions proved instrumental in broadening my insights into guest interactions within the hospitality industry. Through a combination of practical experiences and interactive workshops, I gained a deeper understanding of cultural nuances and their significance in shaping guest experiences. It underscored the necessity for comprehensive training programs to empower staff with the requisite skills for delivering personalised services effectively, encompassing proficiency in new technologies and a nuanced understanding of guest preferences. (Johansson, 2023)</w:t>
      </w:r>
      <w:r>
        <w:rPr>
          <w:rFonts w:ascii="Arial" w:hAnsi="Arial" w:cs="Arial"/>
          <w:color w:val="000000"/>
          <w:sz w:val="22"/>
          <w:szCs w:val="22"/>
        </w:rPr>
        <w:t xml:space="preserve"> This aligns with my experience of realising the gap in my knowledge when the Italian guest requested specific modification, which initially failed to execute.</w:t>
      </w:r>
    </w:p>
    <w:p w14:paraId="6002AB85"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Conclusion</w:t>
      </w:r>
    </w:p>
    <w:p w14:paraId="617AF610"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My journey of self-reflection has reinforced the importance of cultural awareness as a fundamental principle in hospitality, highlighting the need for continuous learning and adaptation to meet guests' needs and foster meaningful connections. Embracing reflection and open-mindedness offers insight into others' perspectives and alternative contexts.</w:t>
      </w:r>
      <w:r>
        <w:rPr>
          <w:rFonts w:ascii="Arial" w:hAnsi="Arial" w:cs="Arial"/>
          <w:color w:val="000000"/>
          <w:sz w:val="22"/>
          <w:szCs w:val="22"/>
        </w:rPr>
        <w:t xml:space="preserve"> The Italian guest’s dissatisfaction served as a pivotal moment, demonstrating the need of ongoing education.</w:t>
      </w:r>
    </w:p>
    <w:p w14:paraId="453EC178"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Action Plan</w:t>
      </w:r>
    </w:p>
    <w:p w14:paraId="1390E386"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Moving forward, I am dedicated to continual self-improvement and advancing my proficiency in cultural awareness within the hospitality industry. I am determined to pursue further educational opportunities and integrate cultural sensitivity into my daily interactions with guests. By doing so, I aim to foster inclusive and welcoming environments that cater to the diverse needs of all individuals within the hospitality setting. (Gibbs, 2013)</w:t>
      </w:r>
    </w:p>
    <w:p w14:paraId="387557BC"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In this endeavour, the emphasis will be on addressing business challenges or achieving goals rather than solely concentrating on culture. Connecting culture improvement initiatives directly to specific business outcomes ensures maximum impact. By aligning cultural awareness efforts with targeted business objectives, we can effectively drive positive change and enhance overall performance within the hospitality industry. (Schein &amp; Schein, 2017)</w:t>
      </w:r>
      <w:r>
        <w:rPr>
          <w:rFonts w:ascii="Arial" w:hAnsi="Arial" w:cs="Arial"/>
          <w:color w:val="000000"/>
          <w:sz w:val="22"/>
          <w:szCs w:val="22"/>
        </w:rPr>
        <w:t xml:space="preserve"> For </w:t>
      </w:r>
      <w:r>
        <w:rPr>
          <w:rFonts w:ascii="Arial" w:hAnsi="Arial" w:cs="Arial"/>
          <w:color w:val="000000"/>
          <w:sz w:val="22"/>
          <w:szCs w:val="22"/>
        </w:rPr>
        <w:lastRenderedPageBreak/>
        <w:t xml:space="preserve">example, ensuring that kitchen staff are trained to understand the significance of cultural preferences and dietary. In the case of the Italian guest a more profound understanding of the cultural importance of food for Italians could have led to a more positive </w:t>
      </w:r>
      <w:proofErr w:type="spellStart"/>
      <w:r>
        <w:rPr>
          <w:rFonts w:ascii="Arial" w:hAnsi="Arial" w:cs="Arial"/>
          <w:color w:val="000000"/>
          <w:sz w:val="22"/>
          <w:szCs w:val="22"/>
        </w:rPr>
        <w:t>dinning</w:t>
      </w:r>
      <w:proofErr w:type="spellEnd"/>
      <w:r>
        <w:rPr>
          <w:rFonts w:ascii="Arial" w:hAnsi="Arial" w:cs="Arial"/>
          <w:color w:val="000000"/>
          <w:sz w:val="22"/>
          <w:szCs w:val="22"/>
        </w:rPr>
        <w:t xml:space="preserve"> experience.</w:t>
      </w:r>
    </w:p>
    <w:p w14:paraId="08B388CA" w14:textId="77777777" w:rsidR="002618F1" w:rsidRPr="006A71BB" w:rsidRDefault="002618F1" w:rsidP="002618F1">
      <w:pPr>
        <w:pStyle w:val="NormalWeb"/>
        <w:spacing w:line="360" w:lineRule="auto"/>
        <w:rPr>
          <w:rFonts w:ascii="Arial" w:hAnsi="Arial" w:cs="Arial"/>
          <w:b/>
          <w:bCs/>
          <w:color w:val="000000"/>
          <w:sz w:val="22"/>
          <w:szCs w:val="22"/>
        </w:rPr>
      </w:pPr>
      <w:r w:rsidRPr="006A71BB">
        <w:rPr>
          <w:rFonts w:ascii="Arial" w:hAnsi="Arial" w:cs="Arial"/>
          <w:b/>
          <w:bCs/>
          <w:color w:val="000000"/>
          <w:sz w:val="22"/>
          <w:szCs w:val="22"/>
        </w:rPr>
        <w:t>References:</w:t>
      </w:r>
    </w:p>
    <w:p w14:paraId="6A93576A"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Evans, S.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How food banks can honour cultural traditions</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SLO Food Bank</w:t>
      </w:r>
      <w:r w:rsidRPr="006A71BB">
        <w:rPr>
          <w:rFonts w:ascii="Arial" w:hAnsi="Arial" w:cs="Arial"/>
          <w:color w:val="000000"/>
          <w:sz w:val="22"/>
          <w:szCs w:val="22"/>
        </w:rPr>
        <w:t>. Available at: https://www.slofoodbank.org/food-as-culture/ (Accessed: 07 May 2024).</w:t>
      </w:r>
    </w:p>
    <w:p w14:paraId="318D79E4"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Hofstede, G., Hofstede, G.J. and Minkov, M. (2017)</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Cultures and organizations software OF THE MIND: Intercultural cooperation and its importance for survival</w:t>
      </w:r>
      <w:r w:rsidRPr="006A71BB">
        <w:rPr>
          <w:rFonts w:ascii="Arial" w:hAnsi="Arial" w:cs="Arial"/>
          <w:color w:val="000000"/>
          <w:sz w:val="22"/>
          <w:szCs w:val="22"/>
        </w:rPr>
        <w:t xml:space="preserve">. 3rd ed. </w:t>
      </w:r>
      <w:proofErr w:type="spellStart"/>
      <w:r w:rsidRPr="006A71BB">
        <w:rPr>
          <w:rFonts w:ascii="Arial" w:hAnsi="Arial" w:cs="Arial"/>
          <w:color w:val="000000"/>
          <w:sz w:val="22"/>
          <w:szCs w:val="22"/>
        </w:rPr>
        <w:t>Johanneshov</w:t>
      </w:r>
      <w:proofErr w:type="spellEnd"/>
      <w:r w:rsidRPr="006A71BB">
        <w:rPr>
          <w:rFonts w:ascii="Arial" w:hAnsi="Arial" w:cs="Arial"/>
          <w:color w:val="000000"/>
          <w:sz w:val="22"/>
          <w:szCs w:val="22"/>
        </w:rPr>
        <w:t>, Sweden: MTM.</w:t>
      </w:r>
    </w:p>
    <w:p w14:paraId="1B89E763" w14:textId="77777777" w:rsidR="002618F1" w:rsidRPr="006A71BB" w:rsidRDefault="002618F1" w:rsidP="002618F1">
      <w:pPr>
        <w:pStyle w:val="NormalWeb"/>
        <w:spacing w:line="360" w:lineRule="auto"/>
        <w:rPr>
          <w:rFonts w:ascii="Arial" w:hAnsi="Arial" w:cs="Arial"/>
          <w:color w:val="000000"/>
          <w:sz w:val="22"/>
          <w:szCs w:val="22"/>
        </w:rPr>
      </w:pPr>
      <w:r w:rsidRPr="006A71BB">
        <w:rPr>
          <w:rFonts w:ascii="Arial" w:hAnsi="Arial" w:cs="Arial"/>
          <w:color w:val="000000"/>
          <w:sz w:val="22"/>
          <w:szCs w:val="22"/>
        </w:rPr>
        <w:t>Gibbs, G. (2013)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Learning by doing</w:t>
      </w:r>
      <w:r w:rsidRPr="006A71BB">
        <w:rPr>
          <w:rFonts w:ascii="Arial" w:hAnsi="Arial" w:cs="Arial"/>
          <w:color w:val="000000"/>
          <w:sz w:val="22"/>
          <w:szCs w:val="22"/>
        </w:rPr>
        <w:t>. 1st ed. Oxford, UK: Oxford Centre for Staff and Learning Development, Oxford Brookes University.</w:t>
      </w:r>
    </w:p>
    <w:p w14:paraId="147E865A" w14:textId="77777777" w:rsidR="002618F1" w:rsidRPr="006A71BB" w:rsidRDefault="002618F1" w:rsidP="002618F1">
      <w:pPr>
        <w:pStyle w:val="NormalWeb"/>
        <w:spacing w:line="360" w:lineRule="auto"/>
        <w:rPr>
          <w:rFonts w:ascii="Arial" w:hAnsi="Arial" w:cs="Arial"/>
          <w:color w:val="000000"/>
          <w:sz w:val="22"/>
          <w:szCs w:val="22"/>
        </w:rPr>
      </w:pPr>
      <w:proofErr w:type="spellStart"/>
      <w:r w:rsidRPr="006A71BB">
        <w:rPr>
          <w:rFonts w:ascii="Arial" w:hAnsi="Arial" w:cs="Arial"/>
          <w:color w:val="000000"/>
          <w:sz w:val="22"/>
          <w:szCs w:val="22"/>
        </w:rPr>
        <w:t>Greenwalty</w:t>
      </w:r>
      <w:proofErr w:type="spellEnd"/>
      <w:r w:rsidRPr="006A71BB">
        <w:rPr>
          <w:rFonts w:ascii="Arial" w:hAnsi="Arial" w:cs="Arial"/>
          <w:color w:val="000000"/>
          <w:sz w:val="22"/>
          <w:szCs w:val="22"/>
        </w:rPr>
        <w:t>, C.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What is Gibbs reflective model pros and cons</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Medium</w:t>
      </w:r>
      <w:r w:rsidRPr="006A71BB">
        <w:rPr>
          <w:rFonts w:ascii="Arial" w:hAnsi="Arial" w:cs="Arial"/>
          <w:color w:val="000000"/>
          <w:sz w:val="22"/>
          <w:szCs w:val="22"/>
        </w:rPr>
        <w:t>. Available at: https://chrisgreenwalty.medium.com/what-is-gibbs-reflective-model-pros-and-cons-5c0c98e5a835 (Accessed: 07 May 2024).</w:t>
      </w:r>
    </w:p>
    <w:p w14:paraId="54F4E5D0" w14:textId="77777777" w:rsidR="002618F1" w:rsidRPr="006A71BB" w:rsidRDefault="002618F1" w:rsidP="002618F1">
      <w:pPr>
        <w:pStyle w:val="NormalWeb"/>
        <w:spacing w:line="360" w:lineRule="auto"/>
        <w:rPr>
          <w:rStyle w:val="apple-converted-space"/>
          <w:rFonts w:ascii="Arial" w:eastAsiaTheme="majorEastAsia" w:hAnsi="Arial" w:cs="Arial"/>
          <w:color w:val="000000"/>
          <w:sz w:val="22"/>
          <w:szCs w:val="22"/>
        </w:rPr>
      </w:pPr>
      <w:r w:rsidRPr="006A71BB">
        <w:rPr>
          <w:rFonts w:ascii="Arial" w:hAnsi="Arial" w:cs="Arial"/>
          <w:color w:val="000000"/>
          <w:sz w:val="22"/>
          <w:szCs w:val="22"/>
        </w:rPr>
        <w:t>Johansson, A. (2023)</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The shift from room-centric to guest-centric revenue management</w:t>
      </w:r>
      <w:r w:rsidRPr="006A71BB">
        <w:rPr>
          <w:rFonts w:ascii="Arial" w:hAnsi="Arial" w:cs="Arial"/>
          <w:color w:val="000000"/>
          <w:sz w:val="22"/>
          <w:szCs w:val="22"/>
        </w:rPr>
        <w:t>,</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Demand Calendar - Profit-Oriented Total Revenue Management</w:t>
      </w:r>
      <w:r w:rsidRPr="006A71BB">
        <w:rPr>
          <w:rFonts w:ascii="Arial" w:hAnsi="Arial" w:cs="Arial"/>
          <w:color w:val="000000"/>
          <w:sz w:val="22"/>
          <w:szCs w:val="22"/>
        </w:rPr>
        <w:t>. Available at: https://www.demandcalendar.com/blog/the-shift-from-room-centric-to-guest-centric-revenue-management (Accessed: 07 May 2024).</w:t>
      </w:r>
    </w:p>
    <w:p w14:paraId="52214277" w14:textId="77777777" w:rsidR="002618F1" w:rsidRPr="006A71BB" w:rsidRDefault="002618F1" w:rsidP="002618F1">
      <w:pPr>
        <w:pStyle w:val="NormalWeb"/>
        <w:spacing w:line="360" w:lineRule="auto"/>
        <w:rPr>
          <w:rFonts w:ascii="Arial" w:hAnsi="Arial" w:cs="Arial"/>
          <w:b/>
          <w:bCs/>
          <w:sz w:val="22"/>
          <w:szCs w:val="22"/>
        </w:rPr>
      </w:pPr>
      <w:r w:rsidRPr="006A71BB">
        <w:rPr>
          <w:rFonts w:ascii="Arial" w:hAnsi="Arial" w:cs="Arial"/>
          <w:color w:val="000000"/>
          <w:sz w:val="22"/>
          <w:szCs w:val="22"/>
        </w:rPr>
        <w:t>Schein, E.H. and Schein, P. (2017)</w:t>
      </w:r>
      <w:r w:rsidRPr="006A71BB">
        <w:rPr>
          <w:rStyle w:val="apple-converted-space"/>
          <w:rFonts w:ascii="Arial" w:eastAsiaTheme="majorEastAsia" w:hAnsi="Arial" w:cs="Arial"/>
          <w:color w:val="000000"/>
          <w:sz w:val="22"/>
          <w:szCs w:val="22"/>
        </w:rPr>
        <w:t> </w:t>
      </w:r>
      <w:r w:rsidRPr="006A71BB">
        <w:rPr>
          <w:rFonts w:ascii="Arial" w:hAnsi="Arial" w:cs="Arial"/>
          <w:i/>
          <w:iCs/>
          <w:color w:val="000000"/>
          <w:sz w:val="22"/>
          <w:szCs w:val="22"/>
        </w:rPr>
        <w:t>Organizational culture and leadership</w:t>
      </w:r>
      <w:r w:rsidRPr="006A71BB">
        <w:rPr>
          <w:rFonts w:ascii="Arial" w:hAnsi="Arial" w:cs="Arial"/>
          <w:color w:val="000000"/>
          <w:sz w:val="22"/>
          <w:szCs w:val="22"/>
        </w:rPr>
        <w:t>. 5th ed. Hoboken, New Jersey: John Wiley and Sons, Inc.</w:t>
      </w:r>
      <w:r w:rsidRPr="006A71BB">
        <w:rPr>
          <w:rStyle w:val="apple-converted-space"/>
          <w:rFonts w:ascii="Arial" w:eastAsiaTheme="majorEastAsia" w:hAnsi="Arial" w:cs="Arial"/>
          <w:color w:val="000000"/>
          <w:sz w:val="22"/>
          <w:szCs w:val="22"/>
        </w:rPr>
        <w:t> </w:t>
      </w:r>
    </w:p>
    <w:p w14:paraId="60FFAA44" w14:textId="264DEB32" w:rsidR="002618F1" w:rsidRPr="006A71BB" w:rsidRDefault="0053433D" w:rsidP="002618F1">
      <w:pPr>
        <w:spacing w:line="360" w:lineRule="auto"/>
        <w:rPr>
          <w:rFonts w:ascii="Arial" w:hAnsi="Arial" w:cs="Arial"/>
          <w:b/>
          <w:bCs/>
        </w:rPr>
      </w:pPr>
      <w:r>
        <w:rPr>
          <w:rFonts w:ascii="Arial" w:hAnsi="Arial" w:cs="Arial"/>
          <w:b/>
          <w:bCs/>
        </w:rPr>
        <w:object w:dxaOrig="1535" w:dyaOrig="993" w14:anchorId="1644AD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5pt;height:49.65pt" o:ole="">
            <v:imagedata r:id="rId7" o:title=""/>
          </v:shape>
          <o:OLEObject Type="Embed" ProgID="PowerPoint.Show.12" ShapeID="_x0000_i1025" DrawAspect="Icon" ObjectID="_1777485580" r:id="rId8"/>
        </w:object>
      </w:r>
    </w:p>
    <w:p w14:paraId="21FD3566" w14:textId="77777777" w:rsidR="00181B95" w:rsidRDefault="00181B95"/>
    <w:sectPr w:rsidR="00181B95" w:rsidSect="006B0A19">
      <w:headerReference w:type="even" r:id="rId9"/>
      <w:headerReference w:type="default" r:id="rId10"/>
      <w:footerReference w:type="even" r:id="rId11"/>
      <w:footerReference w:type="default" r:id="rId12"/>
      <w:headerReference w:type="first" r:id="rId13"/>
      <w:footerReference w:type="firs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D6AFC9" w14:textId="77777777" w:rsidR="00243F56" w:rsidRDefault="00243F56" w:rsidP="00A826C6">
      <w:pPr>
        <w:spacing w:after="0" w:line="240" w:lineRule="auto"/>
      </w:pPr>
      <w:r>
        <w:separator/>
      </w:r>
    </w:p>
  </w:endnote>
  <w:endnote w:type="continuationSeparator" w:id="0">
    <w:p w14:paraId="7775A4E6" w14:textId="77777777" w:rsidR="00243F56" w:rsidRDefault="00243F56" w:rsidP="00A82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6B6218" w14:textId="77777777" w:rsidR="006B0A19" w:rsidRDefault="006B0A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7959309"/>
      <w:docPartObj>
        <w:docPartGallery w:val="Page Numbers (Bottom of Page)"/>
        <w:docPartUnique/>
      </w:docPartObj>
    </w:sdtPr>
    <w:sdtEndPr>
      <w:rPr>
        <w:noProof/>
      </w:rPr>
    </w:sdtEndPr>
    <w:sdtContent>
      <w:p w14:paraId="50030586" w14:textId="21196763" w:rsidR="00A826C6" w:rsidRDefault="00A826C6">
        <w:pPr>
          <w:pStyle w:val="Footer"/>
        </w:pPr>
        <w:r>
          <w:fldChar w:fldCharType="begin"/>
        </w:r>
        <w:r>
          <w:instrText xml:space="preserve"> PAGE   \* MERGEFORMAT </w:instrText>
        </w:r>
        <w:r>
          <w:fldChar w:fldCharType="separate"/>
        </w:r>
        <w:r>
          <w:rPr>
            <w:noProof/>
          </w:rPr>
          <w:t>2</w:t>
        </w:r>
        <w:r>
          <w:rPr>
            <w:noProof/>
          </w:rPr>
          <w:fldChar w:fldCharType="end"/>
        </w:r>
      </w:p>
    </w:sdtContent>
  </w:sdt>
  <w:p w14:paraId="730099A7" w14:textId="77777777" w:rsidR="00A826C6" w:rsidRDefault="00A826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A02096" w14:textId="77777777" w:rsidR="006B0A19" w:rsidRDefault="006B0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570480" w14:textId="77777777" w:rsidR="00243F56" w:rsidRDefault="00243F56" w:rsidP="00A826C6">
      <w:pPr>
        <w:spacing w:after="0" w:line="240" w:lineRule="auto"/>
      </w:pPr>
      <w:r>
        <w:separator/>
      </w:r>
    </w:p>
  </w:footnote>
  <w:footnote w:type="continuationSeparator" w:id="0">
    <w:p w14:paraId="66AF5B44" w14:textId="77777777" w:rsidR="00243F56" w:rsidRDefault="00243F56" w:rsidP="00A826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6AB3C" w14:textId="77777777" w:rsidR="006B0A19" w:rsidRDefault="006B0A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271E70" w14:textId="77777777" w:rsidR="006B0A19" w:rsidRDefault="006B0A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EE7B6F" w14:textId="77777777" w:rsidR="006B0A19" w:rsidRDefault="006B0A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8F1"/>
    <w:rsid w:val="00181B95"/>
    <w:rsid w:val="00243F56"/>
    <w:rsid w:val="002618F1"/>
    <w:rsid w:val="0053433D"/>
    <w:rsid w:val="00613609"/>
    <w:rsid w:val="006B0A19"/>
    <w:rsid w:val="007054E2"/>
    <w:rsid w:val="00855DAF"/>
    <w:rsid w:val="00906086"/>
    <w:rsid w:val="00A826C6"/>
    <w:rsid w:val="00AA1086"/>
    <w:rsid w:val="00B84E35"/>
    <w:rsid w:val="00D449C8"/>
    <w:rsid w:val="00DF0773"/>
    <w:rsid w:val="00E14FB2"/>
    <w:rsid w:val="00FC206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7AAFB"/>
  <w15:chartTrackingRefBased/>
  <w15:docId w15:val="{4E8BA4BD-64DC-4F85-B232-6AA3B876C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18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618F1"/>
  </w:style>
  <w:style w:type="paragraph" w:styleId="Header">
    <w:name w:val="header"/>
    <w:basedOn w:val="Normal"/>
    <w:link w:val="HeaderChar"/>
    <w:uiPriority w:val="99"/>
    <w:unhideWhenUsed/>
    <w:rsid w:val="00A826C6"/>
    <w:pPr>
      <w:tabs>
        <w:tab w:val="center" w:pos="4536"/>
        <w:tab w:val="right" w:pos="9072"/>
      </w:tabs>
      <w:spacing w:after="0" w:line="240" w:lineRule="auto"/>
    </w:pPr>
  </w:style>
  <w:style w:type="character" w:customStyle="1" w:styleId="HeaderChar">
    <w:name w:val="Header Char"/>
    <w:basedOn w:val="DefaultParagraphFont"/>
    <w:link w:val="Header"/>
    <w:uiPriority w:val="99"/>
    <w:rsid w:val="00A826C6"/>
    <w:rPr>
      <w:lang w:val="en-GB"/>
    </w:rPr>
  </w:style>
  <w:style w:type="paragraph" w:styleId="Footer">
    <w:name w:val="footer"/>
    <w:basedOn w:val="Normal"/>
    <w:link w:val="FooterChar"/>
    <w:uiPriority w:val="99"/>
    <w:unhideWhenUsed/>
    <w:rsid w:val="00A826C6"/>
    <w:pPr>
      <w:tabs>
        <w:tab w:val="center" w:pos="4536"/>
        <w:tab w:val="right" w:pos="9072"/>
      </w:tabs>
      <w:spacing w:after="0" w:line="240" w:lineRule="auto"/>
    </w:pPr>
  </w:style>
  <w:style w:type="character" w:customStyle="1" w:styleId="FooterChar">
    <w:name w:val="Footer Char"/>
    <w:basedOn w:val="DefaultParagraphFont"/>
    <w:link w:val="Footer"/>
    <w:uiPriority w:val="99"/>
    <w:rsid w:val="00A826C6"/>
    <w:rPr>
      <w:lang w:val="en-GB"/>
    </w:rPr>
  </w:style>
  <w:style w:type="paragraph" w:styleId="NoSpacing">
    <w:name w:val="No Spacing"/>
    <w:link w:val="NoSpacingChar"/>
    <w:uiPriority w:val="1"/>
    <w:qFormat/>
    <w:rsid w:val="006B0A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0A1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136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C13E5-EA2A-485C-AD6F-AD9783944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10</Pages>
  <Words>2351</Words>
  <Characters>16246</Characters>
  <Application>Microsoft Office Word</Application>
  <DocSecurity>0</DocSecurity>
  <Lines>266</Lines>
  <Paragraphs>94</Paragraphs>
  <ScaleCrop>false</ScaleCrop>
  <HeadingPairs>
    <vt:vector size="2" baseType="variant">
      <vt:variant>
        <vt:lpstr>Title</vt:lpstr>
      </vt:variant>
      <vt:variant>
        <vt:i4>1</vt:i4>
      </vt:variant>
    </vt:vector>
  </HeadingPairs>
  <TitlesOfParts>
    <vt:vector size="1" baseType="lpstr">
      <vt:lpstr>portofolio</vt:lpstr>
    </vt:vector>
  </TitlesOfParts>
  <Company>Lavinia Mihaloiu</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portofolio</dc:title>
  <dc:subject>Module Lead Giulia Chifari</dc:subject>
  <dc:creator>costa costa</dc:creator>
  <cp:keywords/>
  <dc:description/>
  <cp:lastModifiedBy>costa costa</cp:lastModifiedBy>
  <cp:revision>6</cp:revision>
  <dcterms:created xsi:type="dcterms:W3CDTF">2024-05-17T19:11:00Z</dcterms:created>
  <dcterms:modified xsi:type="dcterms:W3CDTF">2024-05-17T20:13:00Z</dcterms:modified>
  <cp:category>2113467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7f2ef3dd-3945-40e1-952d-8232a85dd6e5</vt:lpwstr>
  </property>
</Properties>
</file>