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86D03" w14:textId="3BFB8ECB" w:rsidR="00E10E68" w:rsidRDefault="00E10E68" w:rsidP="00766B03">
      <w:pPr>
        <w:jc w:val="center"/>
        <w:rPr>
          <w:noProof/>
          <w:lang w:val="en-US"/>
        </w:rPr>
      </w:pPr>
    </w:p>
    <w:p w14:paraId="0C34119E" w14:textId="77777777" w:rsidR="00A31EC4" w:rsidRDefault="00A31EC4" w:rsidP="00766B03">
      <w:pPr>
        <w:jc w:val="center"/>
        <w:rPr>
          <w:lang w:val="en-US"/>
        </w:rPr>
      </w:pPr>
    </w:p>
    <w:p w14:paraId="29E78A5A" w14:textId="5B594EE2" w:rsidR="00A31EC4" w:rsidRDefault="00A31EC4" w:rsidP="00766B03">
      <w:pPr>
        <w:jc w:val="center"/>
        <w:rPr>
          <w:lang w:val="en-US"/>
        </w:rPr>
      </w:pPr>
      <w:r>
        <w:rPr>
          <w:noProof/>
        </w:rPr>
        <w:drawing>
          <wp:inline distT="0" distB="0" distL="0" distR="0" wp14:anchorId="6725BA39" wp14:editId="1CBCE032">
            <wp:extent cx="3268133" cy="1174115"/>
            <wp:effectExtent l="0" t="0" r="8890" b="6985"/>
            <wp:docPr id="702020281" name="Picture 1" descr="Prifysgol Cymru Y Drindod Dewi Sant (University of Wales Trinity Saint  David) – UniNet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University of Wales Trinity Saint  David) – UniNet proj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91955" cy="1182673"/>
                    </a:xfrm>
                    <a:prstGeom prst="rect">
                      <a:avLst/>
                    </a:prstGeom>
                    <a:noFill/>
                    <a:ln>
                      <a:noFill/>
                    </a:ln>
                  </pic:spPr>
                </pic:pic>
              </a:graphicData>
            </a:graphic>
          </wp:inline>
        </w:drawing>
      </w:r>
    </w:p>
    <w:p w14:paraId="49612A69" w14:textId="77777777" w:rsidR="00A31EC4" w:rsidRDefault="00A31EC4" w:rsidP="00766B03">
      <w:pPr>
        <w:jc w:val="center"/>
        <w:rPr>
          <w:b/>
          <w:bCs/>
          <w:sz w:val="28"/>
          <w:szCs w:val="24"/>
        </w:rPr>
      </w:pPr>
    </w:p>
    <w:p w14:paraId="1649E5C4" w14:textId="77777777" w:rsidR="00A31EC4" w:rsidRDefault="00A31EC4" w:rsidP="00766B03">
      <w:pPr>
        <w:jc w:val="center"/>
        <w:rPr>
          <w:b/>
          <w:bCs/>
          <w:sz w:val="28"/>
          <w:szCs w:val="24"/>
        </w:rPr>
      </w:pPr>
    </w:p>
    <w:p w14:paraId="2348D7AF" w14:textId="2FA4E745" w:rsidR="00A8262C" w:rsidRDefault="00A8262C" w:rsidP="00766B03">
      <w:pPr>
        <w:jc w:val="center"/>
        <w:rPr>
          <w:b/>
          <w:bCs/>
          <w:sz w:val="36"/>
          <w:szCs w:val="32"/>
        </w:rPr>
      </w:pPr>
      <w:r w:rsidRPr="00A31EC4">
        <w:rPr>
          <w:b/>
          <w:bCs/>
          <w:sz w:val="36"/>
          <w:szCs w:val="32"/>
        </w:rPr>
        <w:t xml:space="preserve">Financial Management </w:t>
      </w:r>
    </w:p>
    <w:p w14:paraId="02A63CE4" w14:textId="77777777" w:rsidR="00A31EC4" w:rsidRPr="00A31EC4" w:rsidRDefault="00A31EC4" w:rsidP="00766B03">
      <w:pPr>
        <w:jc w:val="center"/>
        <w:rPr>
          <w:b/>
          <w:bCs/>
          <w:sz w:val="36"/>
          <w:szCs w:val="32"/>
        </w:rPr>
      </w:pPr>
    </w:p>
    <w:p w14:paraId="037F2291" w14:textId="644915D6" w:rsidR="00A8262C" w:rsidRPr="00A31EC4" w:rsidRDefault="00A8262C" w:rsidP="00766B03">
      <w:pPr>
        <w:jc w:val="center"/>
        <w:rPr>
          <w:b/>
          <w:bCs/>
          <w:sz w:val="36"/>
          <w:szCs w:val="32"/>
        </w:rPr>
      </w:pPr>
      <w:r w:rsidRPr="00A31EC4">
        <w:rPr>
          <w:b/>
          <w:bCs/>
          <w:sz w:val="36"/>
          <w:szCs w:val="32"/>
        </w:rPr>
        <w:t>LCMB7002</w:t>
      </w:r>
    </w:p>
    <w:p w14:paraId="26BF24B1" w14:textId="77777777" w:rsidR="00A8262C" w:rsidRPr="00A8262C" w:rsidRDefault="00A8262C" w:rsidP="00766B03">
      <w:pPr>
        <w:jc w:val="center"/>
        <w:rPr>
          <w:b/>
          <w:bCs/>
          <w:sz w:val="28"/>
          <w:szCs w:val="24"/>
        </w:rPr>
      </w:pPr>
    </w:p>
    <w:p w14:paraId="025A4A39" w14:textId="77777777" w:rsidR="00A31EC4" w:rsidRDefault="00A31EC4" w:rsidP="00766B03">
      <w:pPr>
        <w:jc w:val="center"/>
        <w:rPr>
          <w:b/>
          <w:bCs/>
          <w:sz w:val="32"/>
          <w:szCs w:val="28"/>
        </w:rPr>
      </w:pPr>
    </w:p>
    <w:p w14:paraId="3655BA1B" w14:textId="3E7AA6B5" w:rsidR="00A8262C" w:rsidRPr="00A8262C" w:rsidRDefault="00A8262C" w:rsidP="00766B03">
      <w:pPr>
        <w:jc w:val="center"/>
        <w:rPr>
          <w:b/>
          <w:bCs/>
          <w:sz w:val="32"/>
          <w:szCs w:val="28"/>
        </w:rPr>
      </w:pPr>
      <w:r w:rsidRPr="00A8262C">
        <w:rPr>
          <w:b/>
          <w:bCs/>
          <w:sz w:val="32"/>
          <w:szCs w:val="28"/>
        </w:rPr>
        <w:t>Assessment component: Financial performance and management</w:t>
      </w:r>
    </w:p>
    <w:p w14:paraId="4C22F0E8" w14:textId="5DBEC3C4" w:rsidR="00A8262C" w:rsidRPr="00A8262C" w:rsidRDefault="00A8262C" w:rsidP="00766B03">
      <w:pPr>
        <w:jc w:val="center"/>
        <w:rPr>
          <w:b/>
          <w:bCs/>
          <w:sz w:val="32"/>
          <w:szCs w:val="28"/>
        </w:rPr>
      </w:pPr>
      <w:r w:rsidRPr="00A8262C">
        <w:rPr>
          <w:b/>
          <w:bCs/>
          <w:sz w:val="32"/>
          <w:szCs w:val="28"/>
        </w:rPr>
        <w:t>Case Study on Tesla Inc</w:t>
      </w:r>
    </w:p>
    <w:p w14:paraId="2CE6B8AB" w14:textId="77777777" w:rsidR="00A8262C" w:rsidRDefault="00A8262C" w:rsidP="00766B03">
      <w:pPr>
        <w:jc w:val="center"/>
        <w:rPr>
          <w:b/>
          <w:bCs/>
        </w:rPr>
      </w:pPr>
    </w:p>
    <w:p w14:paraId="4F0CEDB1" w14:textId="77777777" w:rsidR="00A31EC4" w:rsidRPr="00A8262C" w:rsidRDefault="00A31EC4" w:rsidP="00766B03">
      <w:pPr>
        <w:jc w:val="center"/>
        <w:rPr>
          <w:b/>
          <w:bCs/>
        </w:rPr>
      </w:pPr>
    </w:p>
    <w:p w14:paraId="0A6E3B15" w14:textId="5E814232" w:rsidR="00A8262C" w:rsidRPr="00A8262C" w:rsidRDefault="00A8262C" w:rsidP="00766B03">
      <w:pPr>
        <w:jc w:val="center"/>
        <w:rPr>
          <w:b/>
          <w:bCs/>
        </w:rPr>
      </w:pPr>
      <w:r w:rsidRPr="00A8262C">
        <w:rPr>
          <w:b/>
          <w:bCs/>
        </w:rPr>
        <w:t>Student name</w:t>
      </w:r>
      <w:r w:rsidR="008F740A">
        <w:rPr>
          <w:b/>
          <w:bCs/>
        </w:rPr>
        <w:t xml:space="preserve"> :- Maheshwari Mehta</w:t>
      </w:r>
    </w:p>
    <w:p w14:paraId="7BA46ED9" w14:textId="7C78D960" w:rsidR="00A8262C" w:rsidRDefault="00A8262C" w:rsidP="00766B03">
      <w:pPr>
        <w:jc w:val="center"/>
        <w:rPr>
          <w:b/>
          <w:bCs/>
        </w:rPr>
      </w:pPr>
      <w:r w:rsidRPr="00A8262C">
        <w:rPr>
          <w:b/>
          <w:bCs/>
        </w:rPr>
        <w:t>Student ID</w:t>
      </w:r>
      <w:r w:rsidR="008F740A">
        <w:rPr>
          <w:b/>
          <w:bCs/>
        </w:rPr>
        <w:t xml:space="preserve"> :- 2531264</w:t>
      </w:r>
    </w:p>
    <w:p w14:paraId="67FD3AFA" w14:textId="6D7ED4E7" w:rsidR="007663F9" w:rsidRPr="00A8262C" w:rsidRDefault="00970481" w:rsidP="00766B03">
      <w:pPr>
        <w:jc w:val="center"/>
        <w:rPr>
          <w:b/>
          <w:bCs/>
        </w:rPr>
      </w:pPr>
      <w:r>
        <w:rPr>
          <w:b/>
          <w:bCs/>
        </w:rPr>
        <w:t xml:space="preserve">Lecturer Name :- </w:t>
      </w:r>
      <w:r w:rsidR="00602F5C">
        <w:rPr>
          <w:b/>
          <w:bCs/>
        </w:rPr>
        <w:t>Sheng</w:t>
      </w:r>
      <w:r w:rsidR="0012194E">
        <w:rPr>
          <w:b/>
          <w:bCs/>
        </w:rPr>
        <w:t xml:space="preserve">feng </w:t>
      </w:r>
      <w:r w:rsidR="00FD7CE2">
        <w:rPr>
          <w:b/>
          <w:bCs/>
        </w:rPr>
        <w:t>Mei</w:t>
      </w:r>
      <w:r>
        <w:rPr>
          <w:b/>
          <w:bCs/>
        </w:rPr>
        <w:t xml:space="preserve"> </w:t>
      </w:r>
    </w:p>
    <w:p w14:paraId="0CBF7F80" w14:textId="77777777" w:rsidR="00A8262C" w:rsidRPr="00A8262C" w:rsidRDefault="00A8262C" w:rsidP="00766B03">
      <w:pPr>
        <w:jc w:val="center"/>
        <w:rPr>
          <w:b/>
          <w:bCs/>
        </w:rPr>
      </w:pPr>
    </w:p>
    <w:p w14:paraId="5F0AA6D9" w14:textId="4D467F78" w:rsidR="00A8262C" w:rsidRPr="00A31EC4" w:rsidRDefault="00A31EC4" w:rsidP="00A31EC4">
      <w:pPr>
        <w:jc w:val="center"/>
        <w:rPr>
          <w:b/>
          <w:bCs/>
          <w:lang w:val="en-US"/>
        </w:rPr>
      </w:pPr>
      <w:r w:rsidRPr="00A8262C">
        <w:rPr>
          <w:b/>
          <w:bCs/>
        </w:rPr>
        <w:t xml:space="preserve">WORD COUNT: </w:t>
      </w:r>
      <w:r>
        <w:rPr>
          <w:b/>
          <w:bCs/>
        </w:rPr>
        <w:t>5</w:t>
      </w:r>
      <w:r w:rsidR="003538F5">
        <w:rPr>
          <w:b/>
          <w:bCs/>
        </w:rPr>
        <w:t>085</w:t>
      </w:r>
      <w:r w:rsidR="00A8262C">
        <w:rPr>
          <w:lang w:val="en-US"/>
        </w:rPr>
        <w:br w:type="page"/>
      </w:r>
    </w:p>
    <w:sdt>
      <w:sdtPr>
        <w:rPr>
          <w:rFonts w:ascii="Times New Roman" w:eastAsiaTheme="minorHAnsi" w:hAnsi="Times New Roman" w:cstheme="minorBidi"/>
          <w:color w:val="auto"/>
          <w:sz w:val="24"/>
          <w:szCs w:val="22"/>
          <w:lang w:val="en-GB"/>
        </w:rPr>
        <w:id w:val="-1538276481"/>
        <w:docPartObj>
          <w:docPartGallery w:val="Table of Contents"/>
          <w:docPartUnique/>
        </w:docPartObj>
      </w:sdtPr>
      <w:sdtEndPr>
        <w:rPr>
          <w:b/>
          <w:bCs/>
          <w:noProof/>
        </w:rPr>
      </w:sdtEndPr>
      <w:sdtContent>
        <w:p w14:paraId="3948B8E1" w14:textId="25A2D44C" w:rsidR="00A8262C" w:rsidRPr="005B7639" w:rsidRDefault="00A8262C" w:rsidP="005B7639">
          <w:pPr>
            <w:pStyle w:val="TOCHeading"/>
            <w:spacing w:line="360" w:lineRule="auto"/>
            <w:jc w:val="center"/>
            <w:rPr>
              <w:rFonts w:ascii="Times New Roman" w:hAnsi="Times New Roman" w:cs="Times New Roman"/>
              <w:b/>
              <w:bCs/>
              <w:color w:val="auto"/>
            </w:rPr>
          </w:pPr>
          <w:r w:rsidRPr="005B7639">
            <w:rPr>
              <w:rFonts w:ascii="Times New Roman" w:hAnsi="Times New Roman" w:cs="Times New Roman"/>
              <w:b/>
              <w:bCs/>
              <w:color w:val="auto"/>
            </w:rPr>
            <w:t>Table of Contents</w:t>
          </w:r>
        </w:p>
        <w:p w14:paraId="6B7D292C" w14:textId="21361102" w:rsidR="00A8262C" w:rsidRPr="00A31EC4" w:rsidRDefault="00A8262C" w:rsidP="00A31EC4">
          <w:pPr>
            <w:pStyle w:val="TOC1"/>
          </w:pPr>
          <w:r>
            <w:fldChar w:fldCharType="begin"/>
          </w:r>
          <w:r>
            <w:instrText xml:space="preserve"> TOC \o "1-3" \h \z \u </w:instrText>
          </w:r>
          <w:r>
            <w:fldChar w:fldCharType="separate"/>
          </w:r>
          <w:hyperlink w:anchor="_Toc225846373" w:history="1">
            <w:r w:rsidRPr="00A31EC4">
              <w:rPr>
                <w:rStyle w:val="Hyperlink"/>
              </w:rPr>
              <w:t>Introduction</w:t>
            </w:r>
            <w:r w:rsidRPr="00A31EC4">
              <w:rPr>
                <w:webHidden/>
              </w:rPr>
              <w:tab/>
            </w:r>
            <w:r w:rsidRPr="00A31EC4">
              <w:rPr>
                <w:webHidden/>
              </w:rPr>
              <w:fldChar w:fldCharType="begin"/>
            </w:r>
            <w:r w:rsidRPr="00A31EC4">
              <w:rPr>
                <w:webHidden/>
              </w:rPr>
              <w:instrText xml:space="preserve"> PAGEREF _Toc225846373 \h </w:instrText>
            </w:r>
            <w:r w:rsidRPr="00A31EC4">
              <w:rPr>
                <w:webHidden/>
              </w:rPr>
            </w:r>
            <w:r w:rsidRPr="00A31EC4">
              <w:rPr>
                <w:webHidden/>
              </w:rPr>
              <w:fldChar w:fldCharType="separate"/>
            </w:r>
            <w:r w:rsidR="00BF38CF">
              <w:rPr>
                <w:webHidden/>
              </w:rPr>
              <w:t>3</w:t>
            </w:r>
            <w:r w:rsidRPr="00A31EC4">
              <w:rPr>
                <w:webHidden/>
              </w:rPr>
              <w:fldChar w:fldCharType="end"/>
            </w:r>
          </w:hyperlink>
        </w:p>
        <w:p w14:paraId="3BA15D91" w14:textId="1B6B33FF" w:rsidR="00A8262C" w:rsidRDefault="00A8262C" w:rsidP="00A31EC4">
          <w:pPr>
            <w:pStyle w:val="TOC1"/>
          </w:pPr>
          <w:hyperlink w:anchor="_Toc225846374" w:history="1">
            <w:r w:rsidRPr="00562274">
              <w:rPr>
                <w:rStyle w:val="Hyperlink"/>
              </w:rPr>
              <w:t>1. Financial Health Check</w:t>
            </w:r>
            <w:r>
              <w:rPr>
                <w:webHidden/>
              </w:rPr>
              <w:tab/>
            </w:r>
            <w:r>
              <w:rPr>
                <w:webHidden/>
              </w:rPr>
              <w:fldChar w:fldCharType="begin"/>
            </w:r>
            <w:r>
              <w:rPr>
                <w:webHidden/>
              </w:rPr>
              <w:instrText xml:space="preserve"> PAGEREF _Toc225846374 \h </w:instrText>
            </w:r>
            <w:r>
              <w:rPr>
                <w:webHidden/>
              </w:rPr>
            </w:r>
            <w:r>
              <w:rPr>
                <w:webHidden/>
              </w:rPr>
              <w:fldChar w:fldCharType="separate"/>
            </w:r>
            <w:r w:rsidR="00BF38CF">
              <w:rPr>
                <w:webHidden/>
              </w:rPr>
              <w:t>3</w:t>
            </w:r>
            <w:r>
              <w:rPr>
                <w:webHidden/>
              </w:rPr>
              <w:fldChar w:fldCharType="end"/>
            </w:r>
          </w:hyperlink>
        </w:p>
        <w:p w14:paraId="388F62C3" w14:textId="557FAFEA" w:rsidR="00A8262C" w:rsidRDefault="00A8262C">
          <w:pPr>
            <w:pStyle w:val="TOC2"/>
            <w:tabs>
              <w:tab w:val="right" w:leader="dot" w:pos="9016"/>
            </w:tabs>
            <w:rPr>
              <w:noProof/>
            </w:rPr>
          </w:pPr>
          <w:hyperlink w:anchor="_Toc225846375" w:history="1">
            <w:r w:rsidRPr="00562274">
              <w:rPr>
                <w:rStyle w:val="Hyperlink"/>
                <w:noProof/>
                <w:lang w:val="en-US"/>
              </w:rPr>
              <w:t>1.1 Profitability Analysis</w:t>
            </w:r>
            <w:r>
              <w:rPr>
                <w:noProof/>
                <w:webHidden/>
              </w:rPr>
              <w:tab/>
            </w:r>
            <w:r>
              <w:rPr>
                <w:noProof/>
                <w:webHidden/>
              </w:rPr>
              <w:fldChar w:fldCharType="begin"/>
            </w:r>
            <w:r>
              <w:rPr>
                <w:noProof/>
                <w:webHidden/>
              </w:rPr>
              <w:instrText xml:space="preserve"> PAGEREF _Toc225846375 \h </w:instrText>
            </w:r>
            <w:r>
              <w:rPr>
                <w:noProof/>
                <w:webHidden/>
              </w:rPr>
            </w:r>
            <w:r>
              <w:rPr>
                <w:noProof/>
                <w:webHidden/>
              </w:rPr>
              <w:fldChar w:fldCharType="separate"/>
            </w:r>
            <w:r w:rsidR="00BF38CF">
              <w:rPr>
                <w:noProof/>
                <w:webHidden/>
              </w:rPr>
              <w:t>3</w:t>
            </w:r>
            <w:r>
              <w:rPr>
                <w:noProof/>
                <w:webHidden/>
              </w:rPr>
              <w:fldChar w:fldCharType="end"/>
            </w:r>
          </w:hyperlink>
        </w:p>
        <w:p w14:paraId="6FCC9992" w14:textId="15D7C907" w:rsidR="00A8262C" w:rsidRDefault="00A8262C">
          <w:pPr>
            <w:pStyle w:val="TOC2"/>
            <w:tabs>
              <w:tab w:val="right" w:leader="dot" w:pos="9016"/>
            </w:tabs>
            <w:rPr>
              <w:noProof/>
            </w:rPr>
          </w:pPr>
          <w:hyperlink w:anchor="_Toc225846376" w:history="1">
            <w:r w:rsidRPr="00562274">
              <w:rPr>
                <w:rStyle w:val="Hyperlink"/>
                <w:noProof/>
                <w:lang w:val="en-US"/>
              </w:rPr>
              <w:t>1.2 Liquidity Analysis</w:t>
            </w:r>
            <w:r>
              <w:rPr>
                <w:noProof/>
                <w:webHidden/>
              </w:rPr>
              <w:tab/>
            </w:r>
            <w:r>
              <w:rPr>
                <w:noProof/>
                <w:webHidden/>
              </w:rPr>
              <w:fldChar w:fldCharType="begin"/>
            </w:r>
            <w:r>
              <w:rPr>
                <w:noProof/>
                <w:webHidden/>
              </w:rPr>
              <w:instrText xml:space="preserve"> PAGEREF _Toc225846376 \h </w:instrText>
            </w:r>
            <w:r>
              <w:rPr>
                <w:noProof/>
                <w:webHidden/>
              </w:rPr>
            </w:r>
            <w:r>
              <w:rPr>
                <w:noProof/>
                <w:webHidden/>
              </w:rPr>
              <w:fldChar w:fldCharType="separate"/>
            </w:r>
            <w:r w:rsidR="00BF38CF">
              <w:rPr>
                <w:noProof/>
                <w:webHidden/>
              </w:rPr>
              <w:t>4</w:t>
            </w:r>
            <w:r>
              <w:rPr>
                <w:noProof/>
                <w:webHidden/>
              </w:rPr>
              <w:fldChar w:fldCharType="end"/>
            </w:r>
          </w:hyperlink>
        </w:p>
        <w:p w14:paraId="172C61DD" w14:textId="0505C735" w:rsidR="00A8262C" w:rsidRDefault="00A8262C">
          <w:pPr>
            <w:pStyle w:val="TOC2"/>
            <w:tabs>
              <w:tab w:val="right" w:leader="dot" w:pos="9016"/>
            </w:tabs>
            <w:rPr>
              <w:noProof/>
            </w:rPr>
          </w:pPr>
          <w:hyperlink w:anchor="_Toc225846377" w:history="1">
            <w:r w:rsidRPr="00562274">
              <w:rPr>
                <w:rStyle w:val="Hyperlink"/>
                <w:noProof/>
                <w:lang w:val="en-US"/>
              </w:rPr>
              <w:t>1.3 Efficiency Analysis</w:t>
            </w:r>
            <w:r>
              <w:rPr>
                <w:noProof/>
                <w:webHidden/>
              </w:rPr>
              <w:tab/>
            </w:r>
            <w:r>
              <w:rPr>
                <w:noProof/>
                <w:webHidden/>
              </w:rPr>
              <w:fldChar w:fldCharType="begin"/>
            </w:r>
            <w:r>
              <w:rPr>
                <w:noProof/>
                <w:webHidden/>
              </w:rPr>
              <w:instrText xml:space="preserve"> PAGEREF _Toc225846377 \h </w:instrText>
            </w:r>
            <w:r>
              <w:rPr>
                <w:noProof/>
                <w:webHidden/>
              </w:rPr>
            </w:r>
            <w:r>
              <w:rPr>
                <w:noProof/>
                <w:webHidden/>
              </w:rPr>
              <w:fldChar w:fldCharType="separate"/>
            </w:r>
            <w:r w:rsidR="00BF38CF">
              <w:rPr>
                <w:noProof/>
                <w:webHidden/>
              </w:rPr>
              <w:t>5</w:t>
            </w:r>
            <w:r>
              <w:rPr>
                <w:noProof/>
                <w:webHidden/>
              </w:rPr>
              <w:fldChar w:fldCharType="end"/>
            </w:r>
          </w:hyperlink>
        </w:p>
        <w:p w14:paraId="1CB31D73" w14:textId="3AA247F8" w:rsidR="00A8262C" w:rsidRDefault="00A8262C">
          <w:pPr>
            <w:pStyle w:val="TOC2"/>
            <w:tabs>
              <w:tab w:val="right" w:leader="dot" w:pos="9016"/>
            </w:tabs>
            <w:rPr>
              <w:noProof/>
            </w:rPr>
          </w:pPr>
          <w:hyperlink w:anchor="_Toc225846378" w:history="1">
            <w:r w:rsidRPr="00562274">
              <w:rPr>
                <w:rStyle w:val="Hyperlink"/>
                <w:noProof/>
                <w:lang w:val="en-US"/>
              </w:rPr>
              <w:t>1.4 Leverage and Solvency Analysis</w:t>
            </w:r>
            <w:r>
              <w:rPr>
                <w:noProof/>
                <w:webHidden/>
              </w:rPr>
              <w:tab/>
            </w:r>
            <w:r>
              <w:rPr>
                <w:noProof/>
                <w:webHidden/>
              </w:rPr>
              <w:fldChar w:fldCharType="begin"/>
            </w:r>
            <w:r>
              <w:rPr>
                <w:noProof/>
                <w:webHidden/>
              </w:rPr>
              <w:instrText xml:space="preserve"> PAGEREF _Toc225846378 \h </w:instrText>
            </w:r>
            <w:r>
              <w:rPr>
                <w:noProof/>
                <w:webHidden/>
              </w:rPr>
            </w:r>
            <w:r>
              <w:rPr>
                <w:noProof/>
                <w:webHidden/>
              </w:rPr>
              <w:fldChar w:fldCharType="separate"/>
            </w:r>
            <w:r w:rsidR="00BF38CF">
              <w:rPr>
                <w:noProof/>
                <w:webHidden/>
              </w:rPr>
              <w:t>6</w:t>
            </w:r>
            <w:r>
              <w:rPr>
                <w:noProof/>
                <w:webHidden/>
              </w:rPr>
              <w:fldChar w:fldCharType="end"/>
            </w:r>
          </w:hyperlink>
        </w:p>
        <w:p w14:paraId="1E7D872B" w14:textId="02E53072" w:rsidR="00A8262C" w:rsidRDefault="00A8262C">
          <w:pPr>
            <w:pStyle w:val="TOC2"/>
            <w:tabs>
              <w:tab w:val="right" w:leader="dot" w:pos="9016"/>
            </w:tabs>
            <w:rPr>
              <w:noProof/>
            </w:rPr>
          </w:pPr>
          <w:hyperlink w:anchor="_Toc225846379" w:history="1">
            <w:r w:rsidRPr="00562274">
              <w:rPr>
                <w:rStyle w:val="Hyperlink"/>
                <w:noProof/>
                <w:lang w:val="en-US"/>
              </w:rPr>
              <w:t>1.5 Investor and Market Performance</w:t>
            </w:r>
            <w:r>
              <w:rPr>
                <w:noProof/>
                <w:webHidden/>
              </w:rPr>
              <w:tab/>
            </w:r>
            <w:r>
              <w:rPr>
                <w:noProof/>
                <w:webHidden/>
              </w:rPr>
              <w:fldChar w:fldCharType="begin"/>
            </w:r>
            <w:r>
              <w:rPr>
                <w:noProof/>
                <w:webHidden/>
              </w:rPr>
              <w:instrText xml:space="preserve"> PAGEREF _Toc225846379 \h </w:instrText>
            </w:r>
            <w:r>
              <w:rPr>
                <w:noProof/>
                <w:webHidden/>
              </w:rPr>
            </w:r>
            <w:r>
              <w:rPr>
                <w:noProof/>
                <w:webHidden/>
              </w:rPr>
              <w:fldChar w:fldCharType="separate"/>
            </w:r>
            <w:r w:rsidR="00BF38CF">
              <w:rPr>
                <w:noProof/>
                <w:webHidden/>
              </w:rPr>
              <w:t>7</w:t>
            </w:r>
            <w:r>
              <w:rPr>
                <w:noProof/>
                <w:webHidden/>
              </w:rPr>
              <w:fldChar w:fldCharType="end"/>
            </w:r>
          </w:hyperlink>
        </w:p>
        <w:p w14:paraId="50B72D8C" w14:textId="7D53B7AF" w:rsidR="00A8262C" w:rsidRDefault="00A8262C">
          <w:pPr>
            <w:pStyle w:val="TOC2"/>
            <w:tabs>
              <w:tab w:val="right" w:leader="dot" w:pos="9016"/>
            </w:tabs>
            <w:rPr>
              <w:noProof/>
            </w:rPr>
          </w:pPr>
          <w:hyperlink w:anchor="_Toc225846380" w:history="1">
            <w:r w:rsidRPr="00562274">
              <w:rPr>
                <w:rStyle w:val="Hyperlink"/>
                <w:noProof/>
                <w:lang w:val="en-US"/>
              </w:rPr>
              <w:t>1.6 Cash Flow Analysis</w:t>
            </w:r>
            <w:r>
              <w:rPr>
                <w:noProof/>
                <w:webHidden/>
              </w:rPr>
              <w:tab/>
            </w:r>
            <w:r>
              <w:rPr>
                <w:noProof/>
                <w:webHidden/>
              </w:rPr>
              <w:fldChar w:fldCharType="begin"/>
            </w:r>
            <w:r>
              <w:rPr>
                <w:noProof/>
                <w:webHidden/>
              </w:rPr>
              <w:instrText xml:space="preserve"> PAGEREF _Toc225846380 \h </w:instrText>
            </w:r>
            <w:r>
              <w:rPr>
                <w:noProof/>
                <w:webHidden/>
              </w:rPr>
            </w:r>
            <w:r>
              <w:rPr>
                <w:noProof/>
                <w:webHidden/>
              </w:rPr>
              <w:fldChar w:fldCharType="separate"/>
            </w:r>
            <w:r w:rsidR="00BF38CF">
              <w:rPr>
                <w:noProof/>
                <w:webHidden/>
              </w:rPr>
              <w:t>8</w:t>
            </w:r>
            <w:r>
              <w:rPr>
                <w:noProof/>
                <w:webHidden/>
              </w:rPr>
              <w:fldChar w:fldCharType="end"/>
            </w:r>
          </w:hyperlink>
        </w:p>
        <w:p w14:paraId="1E5B4527" w14:textId="51867B78" w:rsidR="00A8262C" w:rsidRDefault="00A8262C">
          <w:pPr>
            <w:pStyle w:val="TOC2"/>
            <w:tabs>
              <w:tab w:val="right" w:leader="dot" w:pos="9016"/>
            </w:tabs>
            <w:rPr>
              <w:noProof/>
            </w:rPr>
          </w:pPr>
          <w:hyperlink w:anchor="_Toc225846381" w:history="1">
            <w:r w:rsidRPr="00562274">
              <w:rPr>
                <w:rStyle w:val="Hyperlink"/>
                <w:noProof/>
                <w:lang w:val="en-US"/>
              </w:rPr>
              <w:t>1.7 Overall Financial Position and Key Issues</w:t>
            </w:r>
            <w:r>
              <w:rPr>
                <w:noProof/>
                <w:webHidden/>
              </w:rPr>
              <w:tab/>
            </w:r>
            <w:r>
              <w:rPr>
                <w:noProof/>
                <w:webHidden/>
              </w:rPr>
              <w:fldChar w:fldCharType="begin"/>
            </w:r>
            <w:r>
              <w:rPr>
                <w:noProof/>
                <w:webHidden/>
              </w:rPr>
              <w:instrText xml:space="preserve"> PAGEREF _Toc225846381 \h </w:instrText>
            </w:r>
            <w:r>
              <w:rPr>
                <w:noProof/>
                <w:webHidden/>
              </w:rPr>
            </w:r>
            <w:r>
              <w:rPr>
                <w:noProof/>
                <w:webHidden/>
              </w:rPr>
              <w:fldChar w:fldCharType="separate"/>
            </w:r>
            <w:r w:rsidR="00BF38CF">
              <w:rPr>
                <w:noProof/>
                <w:webHidden/>
              </w:rPr>
              <w:t>9</w:t>
            </w:r>
            <w:r>
              <w:rPr>
                <w:noProof/>
                <w:webHidden/>
              </w:rPr>
              <w:fldChar w:fldCharType="end"/>
            </w:r>
          </w:hyperlink>
        </w:p>
        <w:p w14:paraId="2E78B539" w14:textId="5AB40DCE" w:rsidR="00A8262C" w:rsidRDefault="00A8262C" w:rsidP="00A31EC4">
          <w:pPr>
            <w:pStyle w:val="TOC1"/>
          </w:pPr>
          <w:hyperlink w:anchor="_Toc225846382" w:history="1">
            <w:r w:rsidRPr="00562274">
              <w:rPr>
                <w:rStyle w:val="Hyperlink"/>
              </w:rPr>
              <w:t>2. Working Capital Management Analysis</w:t>
            </w:r>
            <w:r>
              <w:rPr>
                <w:webHidden/>
              </w:rPr>
              <w:tab/>
            </w:r>
            <w:r>
              <w:rPr>
                <w:webHidden/>
              </w:rPr>
              <w:fldChar w:fldCharType="begin"/>
            </w:r>
            <w:r>
              <w:rPr>
                <w:webHidden/>
              </w:rPr>
              <w:instrText xml:space="preserve"> PAGEREF _Toc225846382 \h </w:instrText>
            </w:r>
            <w:r>
              <w:rPr>
                <w:webHidden/>
              </w:rPr>
            </w:r>
            <w:r>
              <w:rPr>
                <w:webHidden/>
              </w:rPr>
              <w:fldChar w:fldCharType="separate"/>
            </w:r>
            <w:r w:rsidR="00BF38CF">
              <w:rPr>
                <w:webHidden/>
              </w:rPr>
              <w:t>9</w:t>
            </w:r>
            <w:r>
              <w:rPr>
                <w:webHidden/>
              </w:rPr>
              <w:fldChar w:fldCharType="end"/>
            </w:r>
          </w:hyperlink>
        </w:p>
        <w:p w14:paraId="67CD0D31" w14:textId="4CDFC140" w:rsidR="00A8262C" w:rsidRDefault="00A8262C">
          <w:pPr>
            <w:pStyle w:val="TOC2"/>
            <w:tabs>
              <w:tab w:val="right" w:leader="dot" w:pos="9016"/>
            </w:tabs>
            <w:rPr>
              <w:noProof/>
            </w:rPr>
          </w:pPr>
          <w:hyperlink w:anchor="_Toc225846383" w:history="1">
            <w:r w:rsidRPr="00562274">
              <w:rPr>
                <w:rStyle w:val="Hyperlink"/>
                <w:noProof/>
                <w:lang w:val="en-US"/>
              </w:rPr>
              <w:t>2.1 Cash Operating Cycle Assessment</w:t>
            </w:r>
            <w:r>
              <w:rPr>
                <w:noProof/>
                <w:webHidden/>
              </w:rPr>
              <w:tab/>
            </w:r>
            <w:r>
              <w:rPr>
                <w:noProof/>
                <w:webHidden/>
              </w:rPr>
              <w:fldChar w:fldCharType="begin"/>
            </w:r>
            <w:r>
              <w:rPr>
                <w:noProof/>
                <w:webHidden/>
              </w:rPr>
              <w:instrText xml:space="preserve"> PAGEREF _Toc225846383 \h </w:instrText>
            </w:r>
            <w:r>
              <w:rPr>
                <w:noProof/>
                <w:webHidden/>
              </w:rPr>
            </w:r>
            <w:r>
              <w:rPr>
                <w:noProof/>
                <w:webHidden/>
              </w:rPr>
              <w:fldChar w:fldCharType="separate"/>
            </w:r>
            <w:r w:rsidR="00BF38CF">
              <w:rPr>
                <w:noProof/>
                <w:webHidden/>
              </w:rPr>
              <w:t>9</w:t>
            </w:r>
            <w:r>
              <w:rPr>
                <w:noProof/>
                <w:webHidden/>
              </w:rPr>
              <w:fldChar w:fldCharType="end"/>
            </w:r>
          </w:hyperlink>
        </w:p>
        <w:p w14:paraId="40800790" w14:textId="3F681401" w:rsidR="00A8262C" w:rsidRDefault="00A8262C">
          <w:pPr>
            <w:pStyle w:val="TOC2"/>
            <w:tabs>
              <w:tab w:val="right" w:leader="dot" w:pos="9016"/>
            </w:tabs>
            <w:rPr>
              <w:noProof/>
            </w:rPr>
          </w:pPr>
          <w:hyperlink w:anchor="_Toc225846384" w:history="1">
            <w:r w:rsidRPr="00562274">
              <w:rPr>
                <w:rStyle w:val="Hyperlink"/>
                <w:noProof/>
                <w:lang w:val="en-US"/>
              </w:rPr>
              <w:t>2.2 Receivables Management</w:t>
            </w:r>
            <w:r>
              <w:rPr>
                <w:noProof/>
                <w:webHidden/>
              </w:rPr>
              <w:tab/>
            </w:r>
            <w:r>
              <w:rPr>
                <w:noProof/>
                <w:webHidden/>
              </w:rPr>
              <w:fldChar w:fldCharType="begin"/>
            </w:r>
            <w:r>
              <w:rPr>
                <w:noProof/>
                <w:webHidden/>
              </w:rPr>
              <w:instrText xml:space="preserve"> PAGEREF _Toc225846384 \h </w:instrText>
            </w:r>
            <w:r>
              <w:rPr>
                <w:noProof/>
                <w:webHidden/>
              </w:rPr>
            </w:r>
            <w:r>
              <w:rPr>
                <w:noProof/>
                <w:webHidden/>
              </w:rPr>
              <w:fldChar w:fldCharType="separate"/>
            </w:r>
            <w:r w:rsidR="00BF38CF">
              <w:rPr>
                <w:noProof/>
                <w:webHidden/>
              </w:rPr>
              <w:t>10</w:t>
            </w:r>
            <w:r>
              <w:rPr>
                <w:noProof/>
                <w:webHidden/>
              </w:rPr>
              <w:fldChar w:fldCharType="end"/>
            </w:r>
          </w:hyperlink>
        </w:p>
        <w:p w14:paraId="0AAEF555" w14:textId="7E946472" w:rsidR="00A8262C" w:rsidRDefault="00A8262C">
          <w:pPr>
            <w:pStyle w:val="TOC2"/>
            <w:tabs>
              <w:tab w:val="right" w:leader="dot" w:pos="9016"/>
            </w:tabs>
            <w:rPr>
              <w:noProof/>
            </w:rPr>
          </w:pPr>
          <w:hyperlink w:anchor="_Toc225846385" w:history="1">
            <w:r w:rsidRPr="00562274">
              <w:rPr>
                <w:rStyle w:val="Hyperlink"/>
                <w:noProof/>
                <w:lang w:val="en-US"/>
              </w:rPr>
              <w:t>2.3 Inventory Management</w:t>
            </w:r>
            <w:r>
              <w:rPr>
                <w:noProof/>
                <w:webHidden/>
              </w:rPr>
              <w:tab/>
            </w:r>
            <w:r>
              <w:rPr>
                <w:noProof/>
                <w:webHidden/>
              </w:rPr>
              <w:fldChar w:fldCharType="begin"/>
            </w:r>
            <w:r>
              <w:rPr>
                <w:noProof/>
                <w:webHidden/>
              </w:rPr>
              <w:instrText xml:space="preserve"> PAGEREF _Toc225846385 \h </w:instrText>
            </w:r>
            <w:r>
              <w:rPr>
                <w:noProof/>
                <w:webHidden/>
              </w:rPr>
            </w:r>
            <w:r>
              <w:rPr>
                <w:noProof/>
                <w:webHidden/>
              </w:rPr>
              <w:fldChar w:fldCharType="separate"/>
            </w:r>
            <w:r w:rsidR="00BF38CF">
              <w:rPr>
                <w:noProof/>
                <w:webHidden/>
              </w:rPr>
              <w:t>10</w:t>
            </w:r>
            <w:r>
              <w:rPr>
                <w:noProof/>
                <w:webHidden/>
              </w:rPr>
              <w:fldChar w:fldCharType="end"/>
            </w:r>
          </w:hyperlink>
        </w:p>
        <w:p w14:paraId="7506856F" w14:textId="7EFFB452" w:rsidR="00A8262C" w:rsidRDefault="00A8262C">
          <w:pPr>
            <w:pStyle w:val="TOC2"/>
            <w:tabs>
              <w:tab w:val="right" w:leader="dot" w:pos="9016"/>
            </w:tabs>
            <w:rPr>
              <w:noProof/>
            </w:rPr>
          </w:pPr>
          <w:hyperlink w:anchor="_Toc225846386" w:history="1">
            <w:r w:rsidRPr="00562274">
              <w:rPr>
                <w:rStyle w:val="Hyperlink"/>
                <w:noProof/>
                <w:lang w:val="en-US"/>
              </w:rPr>
              <w:t>2.4 Payables Management</w:t>
            </w:r>
            <w:r>
              <w:rPr>
                <w:noProof/>
                <w:webHidden/>
              </w:rPr>
              <w:tab/>
            </w:r>
            <w:r>
              <w:rPr>
                <w:noProof/>
                <w:webHidden/>
              </w:rPr>
              <w:fldChar w:fldCharType="begin"/>
            </w:r>
            <w:r>
              <w:rPr>
                <w:noProof/>
                <w:webHidden/>
              </w:rPr>
              <w:instrText xml:space="preserve"> PAGEREF _Toc225846386 \h </w:instrText>
            </w:r>
            <w:r>
              <w:rPr>
                <w:noProof/>
                <w:webHidden/>
              </w:rPr>
            </w:r>
            <w:r>
              <w:rPr>
                <w:noProof/>
                <w:webHidden/>
              </w:rPr>
              <w:fldChar w:fldCharType="separate"/>
            </w:r>
            <w:r w:rsidR="00BF38CF">
              <w:rPr>
                <w:noProof/>
                <w:webHidden/>
              </w:rPr>
              <w:t>11</w:t>
            </w:r>
            <w:r>
              <w:rPr>
                <w:noProof/>
                <w:webHidden/>
              </w:rPr>
              <w:fldChar w:fldCharType="end"/>
            </w:r>
          </w:hyperlink>
        </w:p>
        <w:p w14:paraId="1639DF13" w14:textId="0E127E82" w:rsidR="00A8262C" w:rsidRDefault="00A8262C">
          <w:pPr>
            <w:pStyle w:val="TOC2"/>
            <w:tabs>
              <w:tab w:val="right" w:leader="dot" w:pos="9016"/>
            </w:tabs>
            <w:rPr>
              <w:noProof/>
            </w:rPr>
          </w:pPr>
          <w:hyperlink w:anchor="_Toc225846387" w:history="1">
            <w:r w:rsidRPr="00562274">
              <w:rPr>
                <w:rStyle w:val="Hyperlink"/>
                <w:noProof/>
                <w:lang w:val="en-US"/>
              </w:rPr>
              <w:t>2.5 Overall Working Capital Efficiency</w:t>
            </w:r>
            <w:r>
              <w:rPr>
                <w:noProof/>
                <w:webHidden/>
              </w:rPr>
              <w:tab/>
            </w:r>
            <w:r>
              <w:rPr>
                <w:noProof/>
                <w:webHidden/>
              </w:rPr>
              <w:fldChar w:fldCharType="begin"/>
            </w:r>
            <w:r>
              <w:rPr>
                <w:noProof/>
                <w:webHidden/>
              </w:rPr>
              <w:instrText xml:space="preserve"> PAGEREF _Toc225846387 \h </w:instrText>
            </w:r>
            <w:r>
              <w:rPr>
                <w:noProof/>
                <w:webHidden/>
              </w:rPr>
            </w:r>
            <w:r>
              <w:rPr>
                <w:noProof/>
                <w:webHidden/>
              </w:rPr>
              <w:fldChar w:fldCharType="separate"/>
            </w:r>
            <w:r w:rsidR="00BF38CF">
              <w:rPr>
                <w:noProof/>
                <w:webHidden/>
              </w:rPr>
              <w:t>11</w:t>
            </w:r>
            <w:r>
              <w:rPr>
                <w:noProof/>
                <w:webHidden/>
              </w:rPr>
              <w:fldChar w:fldCharType="end"/>
            </w:r>
          </w:hyperlink>
        </w:p>
        <w:p w14:paraId="452F972C" w14:textId="4D8E3C3D" w:rsidR="00A8262C" w:rsidRDefault="00A8262C">
          <w:pPr>
            <w:pStyle w:val="TOC2"/>
            <w:tabs>
              <w:tab w:val="right" w:leader="dot" w:pos="9016"/>
            </w:tabs>
            <w:rPr>
              <w:noProof/>
            </w:rPr>
          </w:pPr>
          <w:hyperlink w:anchor="_Toc225846388" w:history="1">
            <w:r w:rsidRPr="00562274">
              <w:rPr>
                <w:rStyle w:val="Hyperlink"/>
                <w:noProof/>
                <w:lang w:val="en-US"/>
              </w:rPr>
              <w:t>2.6 Recommendations for Improvement</w:t>
            </w:r>
            <w:r>
              <w:rPr>
                <w:noProof/>
                <w:webHidden/>
              </w:rPr>
              <w:tab/>
            </w:r>
            <w:r>
              <w:rPr>
                <w:noProof/>
                <w:webHidden/>
              </w:rPr>
              <w:fldChar w:fldCharType="begin"/>
            </w:r>
            <w:r>
              <w:rPr>
                <w:noProof/>
                <w:webHidden/>
              </w:rPr>
              <w:instrText xml:space="preserve"> PAGEREF _Toc225846388 \h </w:instrText>
            </w:r>
            <w:r>
              <w:rPr>
                <w:noProof/>
                <w:webHidden/>
              </w:rPr>
            </w:r>
            <w:r>
              <w:rPr>
                <w:noProof/>
                <w:webHidden/>
              </w:rPr>
              <w:fldChar w:fldCharType="separate"/>
            </w:r>
            <w:r w:rsidR="00BF38CF">
              <w:rPr>
                <w:noProof/>
                <w:webHidden/>
              </w:rPr>
              <w:t>11</w:t>
            </w:r>
            <w:r>
              <w:rPr>
                <w:noProof/>
                <w:webHidden/>
              </w:rPr>
              <w:fldChar w:fldCharType="end"/>
            </w:r>
          </w:hyperlink>
        </w:p>
        <w:p w14:paraId="4DC74076" w14:textId="578BE3E3" w:rsidR="00A8262C" w:rsidRDefault="00A8262C">
          <w:pPr>
            <w:pStyle w:val="TOC2"/>
            <w:tabs>
              <w:tab w:val="right" w:leader="dot" w:pos="9016"/>
            </w:tabs>
            <w:rPr>
              <w:noProof/>
            </w:rPr>
          </w:pPr>
          <w:hyperlink w:anchor="_Toc225846389" w:history="1">
            <w:r w:rsidRPr="00562274">
              <w:rPr>
                <w:rStyle w:val="Hyperlink"/>
                <w:noProof/>
                <w:lang w:val="en-US"/>
              </w:rPr>
              <w:t>2.7 Short-Term vs Long-Term Financing</w:t>
            </w:r>
            <w:r>
              <w:rPr>
                <w:noProof/>
                <w:webHidden/>
              </w:rPr>
              <w:tab/>
            </w:r>
            <w:r>
              <w:rPr>
                <w:noProof/>
                <w:webHidden/>
              </w:rPr>
              <w:fldChar w:fldCharType="begin"/>
            </w:r>
            <w:r>
              <w:rPr>
                <w:noProof/>
                <w:webHidden/>
              </w:rPr>
              <w:instrText xml:space="preserve"> PAGEREF _Toc225846389 \h </w:instrText>
            </w:r>
            <w:r>
              <w:rPr>
                <w:noProof/>
                <w:webHidden/>
              </w:rPr>
            </w:r>
            <w:r>
              <w:rPr>
                <w:noProof/>
                <w:webHidden/>
              </w:rPr>
              <w:fldChar w:fldCharType="separate"/>
            </w:r>
            <w:r w:rsidR="00BF38CF">
              <w:rPr>
                <w:noProof/>
                <w:webHidden/>
              </w:rPr>
              <w:t>12</w:t>
            </w:r>
            <w:r>
              <w:rPr>
                <w:noProof/>
                <w:webHidden/>
              </w:rPr>
              <w:fldChar w:fldCharType="end"/>
            </w:r>
          </w:hyperlink>
        </w:p>
        <w:p w14:paraId="7000C1A9" w14:textId="1819B006" w:rsidR="00A8262C" w:rsidRDefault="00A8262C" w:rsidP="00A31EC4">
          <w:pPr>
            <w:pStyle w:val="TOC1"/>
          </w:pPr>
          <w:hyperlink w:anchor="_Toc225846390" w:history="1">
            <w:r w:rsidRPr="00562274">
              <w:rPr>
                <w:rStyle w:val="Hyperlink"/>
              </w:rPr>
              <w:t>3. Strategic Financial Restructuring Plan</w:t>
            </w:r>
            <w:r>
              <w:rPr>
                <w:webHidden/>
              </w:rPr>
              <w:tab/>
            </w:r>
            <w:r>
              <w:rPr>
                <w:webHidden/>
              </w:rPr>
              <w:fldChar w:fldCharType="begin"/>
            </w:r>
            <w:r>
              <w:rPr>
                <w:webHidden/>
              </w:rPr>
              <w:instrText xml:space="preserve"> PAGEREF _Toc225846390 \h </w:instrText>
            </w:r>
            <w:r>
              <w:rPr>
                <w:webHidden/>
              </w:rPr>
            </w:r>
            <w:r>
              <w:rPr>
                <w:webHidden/>
              </w:rPr>
              <w:fldChar w:fldCharType="separate"/>
            </w:r>
            <w:r w:rsidR="00BF38CF">
              <w:rPr>
                <w:webHidden/>
              </w:rPr>
              <w:t>12</w:t>
            </w:r>
            <w:r>
              <w:rPr>
                <w:webHidden/>
              </w:rPr>
              <w:fldChar w:fldCharType="end"/>
            </w:r>
          </w:hyperlink>
        </w:p>
        <w:p w14:paraId="68126595" w14:textId="3C379E30" w:rsidR="00A8262C" w:rsidRDefault="00A8262C">
          <w:pPr>
            <w:pStyle w:val="TOC2"/>
            <w:tabs>
              <w:tab w:val="right" w:leader="dot" w:pos="9016"/>
            </w:tabs>
            <w:rPr>
              <w:noProof/>
            </w:rPr>
          </w:pPr>
          <w:hyperlink w:anchor="_Toc225846391" w:history="1">
            <w:r w:rsidRPr="00562274">
              <w:rPr>
                <w:rStyle w:val="Hyperlink"/>
                <w:noProof/>
                <w:lang w:val="en-US"/>
              </w:rPr>
              <w:t>3.1 Rationale for Financial Restructuring</w:t>
            </w:r>
            <w:r>
              <w:rPr>
                <w:noProof/>
                <w:webHidden/>
              </w:rPr>
              <w:tab/>
            </w:r>
            <w:r>
              <w:rPr>
                <w:noProof/>
                <w:webHidden/>
              </w:rPr>
              <w:fldChar w:fldCharType="begin"/>
            </w:r>
            <w:r>
              <w:rPr>
                <w:noProof/>
                <w:webHidden/>
              </w:rPr>
              <w:instrText xml:space="preserve"> PAGEREF _Toc225846391 \h </w:instrText>
            </w:r>
            <w:r>
              <w:rPr>
                <w:noProof/>
                <w:webHidden/>
              </w:rPr>
            </w:r>
            <w:r>
              <w:rPr>
                <w:noProof/>
                <w:webHidden/>
              </w:rPr>
              <w:fldChar w:fldCharType="separate"/>
            </w:r>
            <w:r w:rsidR="00BF38CF">
              <w:rPr>
                <w:noProof/>
                <w:webHidden/>
              </w:rPr>
              <w:t>12</w:t>
            </w:r>
            <w:r>
              <w:rPr>
                <w:noProof/>
                <w:webHidden/>
              </w:rPr>
              <w:fldChar w:fldCharType="end"/>
            </w:r>
          </w:hyperlink>
        </w:p>
        <w:p w14:paraId="24CFE244" w14:textId="1AF59D0D" w:rsidR="00A8262C" w:rsidRDefault="00A8262C">
          <w:pPr>
            <w:pStyle w:val="TOC2"/>
            <w:tabs>
              <w:tab w:val="right" w:leader="dot" w:pos="9016"/>
            </w:tabs>
            <w:rPr>
              <w:noProof/>
            </w:rPr>
          </w:pPr>
          <w:hyperlink w:anchor="_Toc225846392" w:history="1">
            <w:r w:rsidRPr="00562274">
              <w:rPr>
                <w:rStyle w:val="Hyperlink"/>
                <w:noProof/>
                <w:lang w:val="en-US"/>
              </w:rPr>
              <w:t>3.2 Equity Injection and Capital Rebalancing</w:t>
            </w:r>
            <w:r>
              <w:rPr>
                <w:noProof/>
                <w:webHidden/>
              </w:rPr>
              <w:tab/>
            </w:r>
            <w:r>
              <w:rPr>
                <w:noProof/>
                <w:webHidden/>
              </w:rPr>
              <w:fldChar w:fldCharType="begin"/>
            </w:r>
            <w:r>
              <w:rPr>
                <w:noProof/>
                <w:webHidden/>
              </w:rPr>
              <w:instrText xml:space="preserve"> PAGEREF _Toc225846392 \h </w:instrText>
            </w:r>
            <w:r>
              <w:rPr>
                <w:noProof/>
                <w:webHidden/>
              </w:rPr>
            </w:r>
            <w:r>
              <w:rPr>
                <w:noProof/>
                <w:webHidden/>
              </w:rPr>
              <w:fldChar w:fldCharType="separate"/>
            </w:r>
            <w:r w:rsidR="00BF38CF">
              <w:rPr>
                <w:noProof/>
                <w:webHidden/>
              </w:rPr>
              <w:t>12</w:t>
            </w:r>
            <w:r>
              <w:rPr>
                <w:noProof/>
                <w:webHidden/>
              </w:rPr>
              <w:fldChar w:fldCharType="end"/>
            </w:r>
          </w:hyperlink>
        </w:p>
        <w:p w14:paraId="56281C13" w14:textId="0B5A6D0A" w:rsidR="00A8262C" w:rsidRDefault="00A8262C">
          <w:pPr>
            <w:pStyle w:val="TOC2"/>
            <w:tabs>
              <w:tab w:val="right" w:leader="dot" w:pos="9016"/>
            </w:tabs>
            <w:rPr>
              <w:noProof/>
            </w:rPr>
          </w:pPr>
          <w:hyperlink w:anchor="_Toc225846393" w:history="1">
            <w:r w:rsidRPr="00562274">
              <w:rPr>
                <w:rStyle w:val="Hyperlink"/>
                <w:noProof/>
                <w:lang w:val="en-US"/>
              </w:rPr>
              <w:t>3.3 Debt Restructuring and Optimisation</w:t>
            </w:r>
            <w:r>
              <w:rPr>
                <w:noProof/>
                <w:webHidden/>
              </w:rPr>
              <w:tab/>
            </w:r>
            <w:r>
              <w:rPr>
                <w:noProof/>
                <w:webHidden/>
              </w:rPr>
              <w:fldChar w:fldCharType="begin"/>
            </w:r>
            <w:r>
              <w:rPr>
                <w:noProof/>
                <w:webHidden/>
              </w:rPr>
              <w:instrText xml:space="preserve"> PAGEREF _Toc225846393 \h </w:instrText>
            </w:r>
            <w:r>
              <w:rPr>
                <w:noProof/>
                <w:webHidden/>
              </w:rPr>
            </w:r>
            <w:r>
              <w:rPr>
                <w:noProof/>
                <w:webHidden/>
              </w:rPr>
              <w:fldChar w:fldCharType="separate"/>
            </w:r>
            <w:r w:rsidR="00BF38CF">
              <w:rPr>
                <w:noProof/>
                <w:webHidden/>
              </w:rPr>
              <w:t>13</w:t>
            </w:r>
            <w:r>
              <w:rPr>
                <w:noProof/>
                <w:webHidden/>
              </w:rPr>
              <w:fldChar w:fldCharType="end"/>
            </w:r>
          </w:hyperlink>
        </w:p>
        <w:p w14:paraId="5BC9E8C8" w14:textId="796AF549" w:rsidR="00A8262C" w:rsidRDefault="00A8262C">
          <w:pPr>
            <w:pStyle w:val="TOC2"/>
            <w:tabs>
              <w:tab w:val="right" w:leader="dot" w:pos="9016"/>
            </w:tabs>
            <w:rPr>
              <w:noProof/>
            </w:rPr>
          </w:pPr>
          <w:hyperlink w:anchor="_Toc225846394" w:history="1">
            <w:r w:rsidRPr="00562274">
              <w:rPr>
                <w:rStyle w:val="Hyperlink"/>
                <w:noProof/>
                <w:lang w:val="en-US"/>
              </w:rPr>
              <w:t>3.4 Strategic Divestiture and Asset Optimisation</w:t>
            </w:r>
            <w:r>
              <w:rPr>
                <w:noProof/>
                <w:webHidden/>
              </w:rPr>
              <w:tab/>
            </w:r>
            <w:r>
              <w:rPr>
                <w:noProof/>
                <w:webHidden/>
              </w:rPr>
              <w:fldChar w:fldCharType="begin"/>
            </w:r>
            <w:r>
              <w:rPr>
                <w:noProof/>
                <w:webHidden/>
              </w:rPr>
              <w:instrText xml:space="preserve"> PAGEREF _Toc225846394 \h </w:instrText>
            </w:r>
            <w:r>
              <w:rPr>
                <w:noProof/>
                <w:webHidden/>
              </w:rPr>
            </w:r>
            <w:r>
              <w:rPr>
                <w:noProof/>
                <w:webHidden/>
              </w:rPr>
              <w:fldChar w:fldCharType="separate"/>
            </w:r>
            <w:r w:rsidR="00BF38CF">
              <w:rPr>
                <w:noProof/>
                <w:webHidden/>
              </w:rPr>
              <w:t>13</w:t>
            </w:r>
            <w:r>
              <w:rPr>
                <w:noProof/>
                <w:webHidden/>
              </w:rPr>
              <w:fldChar w:fldCharType="end"/>
            </w:r>
          </w:hyperlink>
        </w:p>
        <w:p w14:paraId="6BF41F5D" w14:textId="6A9191A2" w:rsidR="00A8262C" w:rsidRDefault="00A8262C">
          <w:pPr>
            <w:pStyle w:val="TOC2"/>
            <w:tabs>
              <w:tab w:val="right" w:leader="dot" w:pos="9016"/>
            </w:tabs>
            <w:rPr>
              <w:noProof/>
            </w:rPr>
          </w:pPr>
          <w:hyperlink w:anchor="_Toc225846395" w:history="1">
            <w:r w:rsidRPr="00562274">
              <w:rPr>
                <w:rStyle w:val="Hyperlink"/>
                <w:noProof/>
                <w:lang w:val="en-US"/>
              </w:rPr>
              <w:t>3.5 Strategic Partnerships and Mergers</w:t>
            </w:r>
            <w:r>
              <w:rPr>
                <w:noProof/>
                <w:webHidden/>
              </w:rPr>
              <w:tab/>
            </w:r>
            <w:r>
              <w:rPr>
                <w:noProof/>
                <w:webHidden/>
              </w:rPr>
              <w:fldChar w:fldCharType="begin"/>
            </w:r>
            <w:r>
              <w:rPr>
                <w:noProof/>
                <w:webHidden/>
              </w:rPr>
              <w:instrText xml:space="preserve"> PAGEREF _Toc225846395 \h </w:instrText>
            </w:r>
            <w:r>
              <w:rPr>
                <w:noProof/>
                <w:webHidden/>
              </w:rPr>
            </w:r>
            <w:r>
              <w:rPr>
                <w:noProof/>
                <w:webHidden/>
              </w:rPr>
              <w:fldChar w:fldCharType="separate"/>
            </w:r>
            <w:r w:rsidR="00BF38CF">
              <w:rPr>
                <w:noProof/>
                <w:webHidden/>
              </w:rPr>
              <w:t>13</w:t>
            </w:r>
            <w:r>
              <w:rPr>
                <w:noProof/>
                <w:webHidden/>
              </w:rPr>
              <w:fldChar w:fldCharType="end"/>
            </w:r>
          </w:hyperlink>
        </w:p>
        <w:p w14:paraId="0F642368" w14:textId="342C3D12" w:rsidR="00A8262C" w:rsidRDefault="00A8262C">
          <w:pPr>
            <w:pStyle w:val="TOC2"/>
            <w:tabs>
              <w:tab w:val="right" w:leader="dot" w:pos="9016"/>
            </w:tabs>
            <w:rPr>
              <w:noProof/>
            </w:rPr>
          </w:pPr>
          <w:hyperlink w:anchor="_Toc225846396" w:history="1">
            <w:r w:rsidRPr="00562274">
              <w:rPr>
                <w:rStyle w:val="Hyperlink"/>
                <w:noProof/>
                <w:lang w:val="en-US"/>
              </w:rPr>
              <w:t>3.6 Impact on Shareholder Value</w:t>
            </w:r>
            <w:r>
              <w:rPr>
                <w:noProof/>
                <w:webHidden/>
              </w:rPr>
              <w:tab/>
            </w:r>
            <w:r>
              <w:rPr>
                <w:noProof/>
                <w:webHidden/>
              </w:rPr>
              <w:fldChar w:fldCharType="begin"/>
            </w:r>
            <w:r>
              <w:rPr>
                <w:noProof/>
                <w:webHidden/>
              </w:rPr>
              <w:instrText xml:space="preserve"> PAGEREF _Toc225846396 \h </w:instrText>
            </w:r>
            <w:r>
              <w:rPr>
                <w:noProof/>
                <w:webHidden/>
              </w:rPr>
            </w:r>
            <w:r>
              <w:rPr>
                <w:noProof/>
                <w:webHidden/>
              </w:rPr>
              <w:fldChar w:fldCharType="separate"/>
            </w:r>
            <w:r w:rsidR="00BF38CF">
              <w:rPr>
                <w:noProof/>
                <w:webHidden/>
              </w:rPr>
              <w:t>14</w:t>
            </w:r>
            <w:r>
              <w:rPr>
                <w:noProof/>
                <w:webHidden/>
              </w:rPr>
              <w:fldChar w:fldCharType="end"/>
            </w:r>
          </w:hyperlink>
        </w:p>
        <w:p w14:paraId="0FAF008F" w14:textId="3FBE459C" w:rsidR="00A8262C" w:rsidRDefault="00A8262C">
          <w:pPr>
            <w:pStyle w:val="TOC2"/>
            <w:tabs>
              <w:tab w:val="right" w:leader="dot" w:pos="9016"/>
            </w:tabs>
            <w:rPr>
              <w:noProof/>
            </w:rPr>
          </w:pPr>
          <w:hyperlink w:anchor="_Toc225846397" w:history="1">
            <w:r w:rsidRPr="00562274">
              <w:rPr>
                <w:rStyle w:val="Hyperlink"/>
                <w:noProof/>
                <w:lang w:val="en-US"/>
              </w:rPr>
              <w:t>3.7 Impact on Debt Structure and Financial Stability</w:t>
            </w:r>
            <w:r>
              <w:rPr>
                <w:noProof/>
                <w:webHidden/>
              </w:rPr>
              <w:tab/>
            </w:r>
            <w:r>
              <w:rPr>
                <w:noProof/>
                <w:webHidden/>
              </w:rPr>
              <w:fldChar w:fldCharType="begin"/>
            </w:r>
            <w:r>
              <w:rPr>
                <w:noProof/>
                <w:webHidden/>
              </w:rPr>
              <w:instrText xml:space="preserve"> PAGEREF _Toc225846397 \h </w:instrText>
            </w:r>
            <w:r>
              <w:rPr>
                <w:noProof/>
                <w:webHidden/>
              </w:rPr>
            </w:r>
            <w:r>
              <w:rPr>
                <w:noProof/>
                <w:webHidden/>
              </w:rPr>
              <w:fldChar w:fldCharType="separate"/>
            </w:r>
            <w:r w:rsidR="00BF38CF">
              <w:rPr>
                <w:noProof/>
                <w:webHidden/>
              </w:rPr>
              <w:t>14</w:t>
            </w:r>
            <w:r>
              <w:rPr>
                <w:noProof/>
                <w:webHidden/>
              </w:rPr>
              <w:fldChar w:fldCharType="end"/>
            </w:r>
          </w:hyperlink>
        </w:p>
        <w:p w14:paraId="47B53522" w14:textId="5D4E0A0F" w:rsidR="00A8262C" w:rsidRDefault="00A8262C">
          <w:pPr>
            <w:pStyle w:val="TOC2"/>
            <w:tabs>
              <w:tab w:val="right" w:leader="dot" w:pos="9016"/>
            </w:tabs>
            <w:rPr>
              <w:noProof/>
            </w:rPr>
          </w:pPr>
          <w:hyperlink w:anchor="_Toc225846398" w:history="1">
            <w:r w:rsidRPr="00562274">
              <w:rPr>
                <w:rStyle w:val="Hyperlink"/>
                <w:noProof/>
                <w:lang w:val="en-US"/>
              </w:rPr>
              <w:t>3.8 Operational Flexibility and Strategic Agility</w:t>
            </w:r>
            <w:r>
              <w:rPr>
                <w:noProof/>
                <w:webHidden/>
              </w:rPr>
              <w:tab/>
            </w:r>
            <w:r>
              <w:rPr>
                <w:noProof/>
                <w:webHidden/>
              </w:rPr>
              <w:fldChar w:fldCharType="begin"/>
            </w:r>
            <w:r>
              <w:rPr>
                <w:noProof/>
                <w:webHidden/>
              </w:rPr>
              <w:instrText xml:space="preserve"> PAGEREF _Toc225846398 \h </w:instrText>
            </w:r>
            <w:r>
              <w:rPr>
                <w:noProof/>
                <w:webHidden/>
              </w:rPr>
            </w:r>
            <w:r>
              <w:rPr>
                <w:noProof/>
                <w:webHidden/>
              </w:rPr>
              <w:fldChar w:fldCharType="separate"/>
            </w:r>
            <w:r w:rsidR="00BF38CF">
              <w:rPr>
                <w:noProof/>
                <w:webHidden/>
              </w:rPr>
              <w:t>14</w:t>
            </w:r>
            <w:r>
              <w:rPr>
                <w:noProof/>
                <w:webHidden/>
              </w:rPr>
              <w:fldChar w:fldCharType="end"/>
            </w:r>
          </w:hyperlink>
        </w:p>
        <w:p w14:paraId="0DC42243" w14:textId="49BD9AFF" w:rsidR="00A8262C" w:rsidRDefault="00A8262C">
          <w:pPr>
            <w:pStyle w:val="TOC2"/>
            <w:tabs>
              <w:tab w:val="right" w:leader="dot" w:pos="9016"/>
            </w:tabs>
            <w:rPr>
              <w:noProof/>
            </w:rPr>
          </w:pPr>
          <w:hyperlink w:anchor="_Toc225846399" w:history="1">
            <w:r w:rsidRPr="00562274">
              <w:rPr>
                <w:rStyle w:val="Hyperlink"/>
                <w:noProof/>
                <w:lang w:val="en-US"/>
              </w:rPr>
              <w:t>3.9 International Considerations</w:t>
            </w:r>
            <w:r>
              <w:rPr>
                <w:noProof/>
                <w:webHidden/>
              </w:rPr>
              <w:tab/>
            </w:r>
            <w:r>
              <w:rPr>
                <w:noProof/>
                <w:webHidden/>
              </w:rPr>
              <w:fldChar w:fldCharType="begin"/>
            </w:r>
            <w:r>
              <w:rPr>
                <w:noProof/>
                <w:webHidden/>
              </w:rPr>
              <w:instrText xml:space="preserve"> PAGEREF _Toc225846399 \h </w:instrText>
            </w:r>
            <w:r>
              <w:rPr>
                <w:noProof/>
                <w:webHidden/>
              </w:rPr>
            </w:r>
            <w:r>
              <w:rPr>
                <w:noProof/>
                <w:webHidden/>
              </w:rPr>
              <w:fldChar w:fldCharType="separate"/>
            </w:r>
            <w:r w:rsidR="00BF38CF">
              <w:rPr>
                <w:noProof/>
                <w:webHidden/>
              </w:rPr>
              <w:t>15</w:t>
            </w:r>
            <w:r>
              <w:rPr>
                <w:noProof/>
                <w:webHidden/>
              </w:rPr>
              <w:fldChar w:fldCharType="end"/>
            </w:r>
          </w:hyperlink>
        </w:p>
        <w:p w14:paraId="38630DB3" w14:textId="30176EA3" w:rsidR="00A8262C" w:rsidRDefault="00A8262C">
          <w:pPr>
            <w:pStyle w:val="TOC2"/>
            <w:tabs>
              <w:tab w:val="right" w:leader="dot" w:pos="9016"/>
            </w:tabs>
            <w:rPr>
              <w:noProof/>
            </w:rPr>
          </w:pPr>
          <w:hyperlink w:anchor="_Toc225846400" w:history="1">
            <w:r w:rsidRPr="00562274">
              <w:rPr>
                <w:rStyle w:val="Hyperlink"/>
                <w:noProof/>
                <w:lang w:val="en-US"/>
              </w:rPr>
              <w:t>3.10 Ethical and Corporate Social Responsibility (CSR) Considerations</w:t>
            </w:r>
            <w:r>
              <w:rPr>
                <w:noProof/>
                <w:webHidden/>
              </w:rPr>
              <w:tab/>
            </w:r>
            <w:r>
              <w:rPr>
                <w:noProof/>
                <w:webHidden/>
              </w:rPr>
              <w:fldChar w:fldCharType="begin"/>
            </w:r>
            <w:r>
              <w:rPr>
                <w:noProof/>
                <w:webHidden/>
              </w:rPr>
              <w:instrText xml:space="preserve"> PAGEREF _Toc225846400 \h </w:instrText>
            </w:r>
            <w:r>
              <w:rPr>
                <w:noProof/>
                <w:webHidden/>
              </w:rPr>
            </w:r>
            <w:r>
              <w:rPr>
                <w:noProof/>
                <w:webHidden/>
              </w:rPr>
              <w:fldChar w:fldCharType="separate"/>
            </w:r>
            <w:r w:rsidR="00BF38CF">
              <w:rPr>
                <w:noProof/>
                <w:webHidden/>
              </w:rPr>
              <w:t>15</w:t>
            </w:r>
            <w:r>
              <w:rPr>
                <w:noProof/>
                <w:webHidden/>
              </w:rPr>
              <w:fldChar w:fldCharType="end"/>
            </w:r>
          </w:hyperlink>
        </w:p>
        <w:p w14:paraId="4B11700E" w14:textId="5BBC9806" w:rsidR="00A8262C" w:rsidRDefault="00A8262C" w:rsidP="00A31EC4">
          <w:pPr>
            <w:pStyle w:val="TOC1"/>
          </w:pPr>
          <w:hyperlink w:anchor="_Toc225846401" w:history="1">
            <w:r w:rsidRPr="00562274">
              <w:rPr>
                <w:rStyle w:val="Hyperlink"/>
              </w:rPr>
              <w:t>4. Investment Appraisal and Capital Budgeting</w:t>
            </w:r>
            <w:r>
              <w:rPr>
                <w:webHidden/>
              </w:rPr>
              <w:tab/>
            </w:r>
            <w:r>
              <w:rPr>
                <w:webHidden/>
              </w:rPr>
              <w:fldChar w:fldCharType="begin"/>
            </w:r>
            <w:r>
              <w:rPr>
                <w:webHidden/>
              </w:rPr>
              <w:instrText xml:space="preserve"> PAGEREF _Toc225846401 \h </w:instrText>
            </w:r>
            <w:r>
              <w:rPr>
                <w:webHidden/>
              </w:rPr>
            </w:r>
            <w:r>
              <w:rPr>
                <w:webHidden/>
              </w:rPr>
              <w:fldChar w:fldCharType="separate"/>
            </w:r>
            <w:r w:rsidR="00BF38CF">
              <w:rPr>
                <w:webHidden/>
              </w:rPr>
              <w:t>15</w:t>
            </w:r>
            <w:r>
              <w:rPr>
                <w:webHidden/>
              </w:rPr>
              <w:fldChar w:fldCharType="end"/>
            </w:r>
          </w:hyperlink>
        </w:p>
        <w:p w14:paraId="7704B5BB" w14:textId="3BD98832" w:rsidR="00A8262C" w:rsidRDefault="00A8262C">
          <w:pPr>
            <w:pStyle w:val="TOC2"/>
            <w:tabs>
              <w:tab w:val="right" w:leader="dot" w:pos="9016"/>
            </w:tabs>
            <w:rPr>
              <w:noProof/>
            </w:rPr>
          </w:pPr>
          <w:hyperlink w:anchor="_Toc225846402" w:history="1">
            <w:r w:rsidRPr="00562274">
              <w:rPr>
                <w:rStyle w:val="Hyperlink"/>
                <w:noProof/>
                <w:lang w:val="en-US"/>
              </w:rPr>
              <w:t>4.1 Evaluation Using Payback Period</w:t>
            </w:r>
            <w:r>
              <w:rPr>
                <w:noProof/>
                <w:webHidden/>
              </w:rPr>
              <w:tab/>
            </w:r>
            <w:r>
              <w:rPr>
                <w:noProof/>
                <w:webHidden/>
              </w:rPr>
              <w:fldChar w:fldCharType="begin"/>
            </w:r>
            <w:r>
              <w:rPr>
                <w:noProof/>
                <w:webHidden/>
              </w:rPr>
              <w:instrText xml:space="preserve"> PAGEREF _Toc225846402 \h </w:instrText>
            </w:r>
            <w:r>
              <w:rPr>
                <w:noProof/>
                <w:webHidden/>
              </w:rPr>
            </w:r>
            <w:r>
              <w:rPr>
                <w:noProof/>
                <w:webHidden/>
              </w:rPr>
              <w:fldChar w:fldCharType="separate"/>
            </w:r>
            <w:r w:rsidR="00BF38CF">
              <w:rPr>
                <w:noProof/>
                <w:webHidden/>
              </w:rPr>
              <w:t>17</w:t>
            </w:r>
            <w:r>
              <w:rPr>
                <w:noProof/>
                <w:webHidden/>
              </w:rPr>
              <w:fldChar w:fldCharType="end"/>
            </w:r>
          </w:hyperlink>
        </w:p>
        <w:p w14:paraId="0ABCAF50" w14:textId="3D634BBB" w:rsidR="00A8262C" w:rsidRDefault="00A8262C">
          <w:pPr>
            <w:pStyle w:val="TOC2"/>
            <w:tabs>
              <w:tab w:val="right" w:leader="dot" w:pos="9016"/>
            </w:tabs>
            <w:rPr>
              <w:noProof/>
            </w:rPr>
          </w:pPr>
          <w:hyperlink w:anchor="_Toc225846403" w:history="1">
            <w:r w:rsidRPr="00562274">
              <w:rPr>
                <w:rStyle w:val="Hyperlink"/>
                <w:noProof/>
                <w:lang w:val="en-US"/>
              </w:rPr>
              <w:t>4.2 Evaluation Using Accounting Rate of Return</w:t>
            </w:r>
            <w:r>
              <w:rPr>
                <w:noProof/>
                <w:webHidden/>
              </w:rPr>
              <w:tab/>
            </w:r>
            <w:r>
              <w:rPr>
                <w:noProof/>
                <w:webHidden/>
              </w:rPr>
              <w:fldChar w:fldCharType="begin"/>
            </w:r>
            <w:r>
              <w:rPr>
                <w:noProof/>
                <w:webHidden/>
              </w:rPr>
              <w:instrText xml:space="preserve"> PAGEREF _Toc225846403 \h </w:instrText>
            </w:r>
            <w:r>
              <w:rPr>
                <w:noProof/>
                <w:webHidden/>
              </w:rPr>
            </w:r>
            <w:r>
              <w:rPr>
                <w:noProof/>
                <w:webHidden/>
              </w:rPr>
              <w:fldChar w:fldCharType="separate"/>
            </w:r>
            <w:r w:rsidR="00BF38CF">
              <w:rPr>
                <w:noProof/>
                <w:webHidden/>
              </w:rPr>
              <w:t>17</w:t>
            </w:r>
            <w:r>
              <w:rPr>
                <w:noProof/>
                <w:webHidden/>
              </w:rPr>
              <w:fldChar w:fldCharType="end"/>
            </w:r>
          </w:hyperlink>
        </w:p>
        <w:p w14:paraId="039E4497" w14:textId="3445416A" w:rsidR="00A8262C" w:rsidRDefault="00A8262C">
          <w:pPr>
            <w:pStyle w:val="TOC2"/>
            <w:tabs>
              <w:tab w:val="right" w:leader="dot" w:pos="9016"/>
            </w:tabs>
            <w:rPr>
              <w:noProof/>
            </w:rPr>
          </w:pPr>
          <w:hyperlink w:anchor="_Toc225846404" w:history="1">
            <w:r w:rsidRPr="00562274">
              <w:rPr>
                <w:rStyle w:val="Hyperlink"/>
                <w:noProof/>
                <w:lang w:val="en-US"/>
              </w:rPr>
              <w:t>4.3 Net Present Value Analysis</w:t>
            </w:r>
            <w:r>
              <w:rPr>
                <w:noProof/>
                <w:webHidden/>
              </w:rPr>
              <w:tab/>
            </w:r>
            <w:r>
              <w:rPr>
                <w:noProof/>
                <w:webHidden/>
              </w:rPr>
              <w:fldChar w:fldCharType="begin"/>
            </w:r>
            <w:r>
              <w:rPr>
                <w:noProof/>
                <w:webHidden/>
              </w:rPr>
              <w:instrText xml:space="preserve"> PAGEREF _Toc225846404 \h </w:instrText>
            </w:r>
            <w:r>
              <w:rPr>
                <w:noProof/>
                <w:webHidden/>
              </w:rPr>
            </w:r>
            <w:r>
              <w:rPr>
                <w:noProof/>
                <w:webHidden/>
              </w:rPr>
              <w:fldChar w:fldCharType="separate"/>
            </w:r>
            <w:r w:rsidR="00BF38CF">
              <w:rPr>
                <w:noProof/>
                <w:webHidden/>
              </w:rPr>
              <w:t>18</w:t>
            </w:r>
            <w:r>
              <w:rPr>
                <w:noProof/>
                <w:webHidden/>
              </w:rPr>
              <w:fldChar w:fldCharType="end"/>
            </w:r>
          </w:hyperlink>
        </w:p>
        <w:p w14:paraId="69BA14FE" w14:textId="5C15721E" w:rsidR="00A8262C" w:rsidRDefault="00A8262C">
          <w:pPr>
            <w:pStyle w:val="TOC2"/>
            <w:tabs>
              <w:tab w:val="right" w:leader="dot" w:pos="9016"/>
            </w:tabs>
            <w:rPr>
              <w:noProof/>
            </w:rPr>
          </w:pPr>
          <w:hyperlink w:anchor="_Toc225846405" w:history="1">
            <w:r w:rsidRPr="00562274">
              <w:rPr>
                <w:rStyle w:val="Hyperlink"/>
                <w:noProof/>
                <w:lang w:val="en-US"/>
              </w:rPr>
              <w:t>4.4 Profitability Index Assessment</w:t>
            </w:r>
            <w:r>
              <w:rPr>
                <w:noProof/>
                <w:webHidden/>
              </w:rPr>
              <w:tab/>
            </w:r>
            <w:r>
              <w:rPr>
                <w:noProof/>
                <w:webHidden/>
              </w:rPr>
              <w:fldChar w:fldCharType="begin"/>
            </w:r>
            <w:r>
              <w:rPr>
                <w:noProof/>
                <w:webHidden/>
              </w:rPr>
              <w:instrText xml:space="preserve"> PAGEREF _Toc225846405 \h </w:instrText>
            </w:r>
            <w:r>
              <w:rPr>
                <w:noProof/>
                <w:webHidden/>
              </w:rPr>
            </w:r>
            <w:r>
              <w:rPr>
                <w:noProof/>
                <w:webHidden/>
              </w:rPr>
              <w:fldChar w:fldCharType="separate"/>
            </w:r>
            <w:r w:rsidR="00BF38CF">
              <w:rPr>
                <w:noProof/>
                <w:webHidden/>
              </w:rPr>
              <w:t>18</w:t>
            </w:r>
            <w:r>
              <w:rPr>
                <w:noProof/>
                <w:webHidden/>
              </w:rPr>
              <w:fldChar w:fldCharType="end"/>
            </w:r>
          </w:hyperlink>
        </w:p>
        <w:p w14:paraId="22C440B2" w14:textId="516AEEDC" w:rsidR="00A8262C" w:rsidRDefault="00A8262C">
          <w:pPr>
            <w:pStyle w:val="TOC2"/>
            <w:tabs>
              <w:tab w:val="right" w:leader="dot" w:pos="9016"/>
            </w:tabs>
            <w:rPr>
              <w:noProof/>
            </w:rPr>
          </w:pPr>
          <w:hyperlink w:anchor="_Toc225846406" w:history="1">
            <w:r w:rsidRPr="00562274">
              <w:rPr>
                <w:rStyle w:val="Hyperlink"/>
                <w:noProof/>
                <w:lang w:val="en-US"/>
              </w:rPr>
              <w:t>4.5 Internal Rate of Return Analysis</w:t>
            </w:r>
            <w:r>
              <w:rPr>
                <w:noProof/>
                <w:webHidden/>
              </w:rPr>
              <w:tab/>
            </w:r>
            <w:r>
              <w:rPr>
                <w:noProof/>
                <w:webHidden/>
              </w:rPr>
              <w:fldChar w:fldCharType="begin"/>
            </w:r>
            <w:r>
              <w:rPr>
                <w:noProof/>
                <w:webHidden/>
              </w:rPr>
              <w:instrText xml:space="preserve"> PAGEREF _Toc225846406 \h </w:instrText>
            </w:r>
            <w:r>
              <w:rPr>
                <w:noProof/>
                <w:webHidden/>
              </w:rPr>
            </w:r>
            <w:r>
              <w:rPr>
                <w:noProof/>
                <w:webHidden/>
              </w:rPr>
              <w:fldChar w:fldCharType="separate"/>
            </w:r>
            <w:r w:rsidR="00BF38CF">
              <w:rPr>
                <w:noProof/>
                <w:webHidden/>
              </w:rPr>
              <w:t>18</w:t>
            </w:r>
            <w:r>
              <w:rPr>
                <w:noProof/>
                <w:webHidden/>
              </w:rPr>
              <w:fldChar w:fldCharType="end"/>
            </w:r>
          </w:hyperlink>
        </w:p>
        <w:p w14:paraId="5DF2C022" w14:textId="2F2F5ED5" w:rsidR="00A8262C" w:rsidRDefault="00A8262C">
          <w:pPr>
            <w:pStyle w:val="TOC2"/>
            <w:tabs>
              <w:tab w:val="right" w:leader="dot" w:pos="9016"/>
            </w:tabs>
            <w:rPr>
              <w:noProof/>
            </w:rPr>
          </w:pPr>
          <w:hyperlink w:anchor="_Toc225846407" w:history="1">
            <w:r w:rsidRPr="00562274">
              <w:rPr>
                <w:rStyle w:val="Hyperlink"/>
                <w:noProof/>
                <w:lang w:val="en-US"/>
              </w:rPr>
              <w:t>4.6 Overall Project Comparison and Recommendation</w:t>
            </w:r>
            <w:r>
              <w:rPr>
                <w:noProof/>
                <w:webHidden/>
              </w:rPr>
              <w:tab/>
            </w:r>
            <w:r>
              <w:rPr>
                <w:noProof/>
                <w:webHidden/>
              </w:rPr>
              <w:fldChar w:fldCharType="begin"/>
            </w:r>
            <w:r>
              <w:rPr>
                <w:noProof/>
                <w:webHidden/>
              </w:rPr>
              <w:instrText xml:space="preserve"> PAGEREF _Toc225846407 \h </w:instrText>
            </w:r>
            <w:r>
              <w:rPr>
                <w:noProof/>
                <w:webHidden/>
              </w:rPr>
            </w:r>
            <w:r>
              <w:rPr>
                <w:noProof/>
                <w:webHidden/>
              </w:rPr>
              <w:fldChar w:fldCharType="separate"/>
            </w:r>
            <w:r w:rsidR="00BF38CF">
              <w:rPr>
                <w:noProof/>
                <w:webHidden/>
              </w:rPr>
              <w:t>18</w:t>
            </w:r>
            <w:r>
              <w:rPr>
                <w:noProof/>
                <w:webHidden/>
              </w:rPr>
              <w:fldChar w:fldCharType="end"/>
            </w:r>
          </w:hyperlink>
        </w:p>
        <w:p w14:paraId="44C1BF87" w14:textId="1FA95FDD" w:rsidR="00A8262C" w:rsidRDefault="00A8262C">
          <w:pPr>
            <w:pStyle w:val="TOC2"/>
            <w:tabs>
              <w:tab w:val="right" w:leader="dot" w:pos="9016"/>
            </w:tabs>
            <w:rPr>
              <w:noProof/>
            </w:rPr>
          </w:pPr>
          <w:hyperlink w:anchor="_Toc225846408" w:history="1">
            <w:r w:rsidRPr="00562274">
              <w:rPr>
                <w:rStyle w:val="Hyperlink"/>
                <w:noProof/>
                <w:lang w:val="en-US"/>
              </w:rPr>
              <w:t>4.7 Capital Rationing Decision</w:t>
            </w:r>
            <w:r>
              <w:rPr>
                <w:noProof/>
                <w:webHidden/>
              </w:rPr>
              <w:tab/>
            </w:r>
            <w:r>
              <w:rPr>
                <w:noProof/>
                <w:webHidden/>
              </w:rPr>
              <w:fldChar w:fldCharType="begin"/>
            </w:r>
            <w:r>
              <w:rPr>
                <w:noProof/>
                <w:webHidden/>
              </w:rPr>
              <w:instrText xml:space="preserve"> PAGEREF _Toc225846408 \h </w:instrText>
            </w:r>
            <w:r>
              <w:rPr>
                <w:noProof/>
                <w:webHidden/>
              </w:rPr>
            </w:r>
            <w:r>
              <w:rPr>
                <w:noProof/>
                <w:webHidden/>
              </w:rPr>
              <w:fldChar w:fldCharType="separate"/>
            </w:r>
            <w:r w:rsidR="00BF38CF">
              <w:rPr>
                <w:noProof/>
                <w:webHidden/>
              </w:rPr>
              <w:t>19</w:t>
            </w:r>
            <w:r>
              <w:rPr>
                <w:noProof/>
                <w:webHidden/>
              </w:rPr>
              <w:fldChar w:fldCharType="end"/>
            </w:r>
          </w:hyperlink>
        </w:p>
        <w:p w14:paraId="57DD7C74" w14:textId="633F4862" w:rsidR="00A8262C" w:rsidRDefault="00A8262C">
          <w:pPr>
            <w:pStyle w:val="TOC2"/>
            <w:tabs>
              <w:tab w:val="right" w:leader="dot" w:pos="9016"/>
            </w:tabs>
            <w:rPr>
              <w:noProof/>
            </w:rPr>
          </w:pPr>
          <w:hyperlink w:anchor="_Toc225846409" w:history="1">
            <w:r w:rsidRPr="00562274">
              <w:rPr>
                <w:rStyle w:val="Hyperlink"/>
                <w:noProof/>
                <w:lang w:val="en-US"/>
              </w:rPr>
              <w:t>4.8 Strategic and Non-Financial Considerations</w:t>
            </w:r>
            <w:r>
              <w:rPr>
                <w:noProof/>
                <w:webHidden/>
              </w:rPr>
              <w:tab/>
            </w:r>
            <w:r>
              <w:rPr>
                <w:noProof/>
                <w:webHidden/>
              </w:rPr>
              <w:fldChar w:fldCharType="begin"/>
            </w:r>
            <w:r>
              <w:rPr>
                <w:noProof/>
                <w:webHidden/>
              </w:rPr>
              <w:instrText xml:space="preserve"> PAGEREF _Toc225846409 \h </w:instrText>
            </w:r>
            <w:r>
              <w:rPr>
                <w:noProof/>
                <w:webHidden/>
              </w:rPr>
            </w:r>
            <w:r>
              <w:rPr>
                <w:noProof/>
                <w:webHidden/>
              </w:rPr>
              <w:fldChar w:fldCharType="separate"/>
            </w:r>
            <w:r w:rsidR="00BF38CF">
              <w:rPr>
                <w:noProof/>
                <w:webHidden/>
              </w:rPr>
              <w:t>19</w:t>
            </w:r>
            <w:r>
              <w:rPr>
                <w:noProof/>
                <w:webHidden/>
              </w:rPr>
              <w:fldChar w:fldCharType="end"/>
            </w:r>
          </w:hyperlink>
        </w:p>
        <w:p w14:paraId="66FC42E2" w14:textId="7185898E" w:rsidR="00A8262C" w:rsidRDefault="00A8262C" w:rsidP="00A31EC4">
          <w:pPr>
            <w:pStyle w:val="TOC1"/>
          </w:pPr>
          <w:hyperlink w:anchor="_Toc225846410" w:history="1">
            <w:r w:rsidRPr="00562274">
              <w:rPr>
                <w:rStyle w:val="Hyperlink"/>
              </w:rPr>
              <w:t>Conclusion</w:t>
            </w:r>
            <w:r>
              <w:rPr>
                <w:webHidden/>
              </w:rPr>
              <w:tab/>
            </w:r>
            <w:r>
              <w:rPr>
                <w:webHidden/>
              </w:rPr>
              <w:fldChar w:fldCharType="begin"/>
            </w:r>
            <w:r>
              <w:rPr>
                <w:webHidden/>
              </w:rPr>
              <w:instrText xml:space="preserve"> PAGEREF _Toc225846410 \h </w:instrText>
            </w:r>
            <w:r>
              <w:rPr>
                <w:webHidden/>
              </w:rPr>
            </w:r>
            <w:r>
              <w:rPr>
                <w:webHidden/>
              </w:rPr>
              <w:fldChar w:fldCharType="separate"/>
            </w:r>
            <w:r w:rsidR="00BF38CF">
              <w:rPr>
                <w:webHidden/>
              </w:rPr>
              <w:t>20</w:t>
            </w:r>
            <w:r>
              <w:rPr>
                <w:webHidden/>
              </w:rPr>
              <w:fldChar w:fldCharType="end"/>
            </w:r>
          </w:hyperlink>
        </w:p>
        <w:p w14:paraId="769EC2A6" w14:textId="060B885D" w:rsidR="00A8262C" w:rsidRDefault="00A8262C" w:rsidP="00A31EC4">
          <w:pPr>
            <w:pStyle w:val="TOC1"/>
          </w:pPr>
          <w:hyperlink w:anchor="_Toc225846411" w:history="1">
            <w:r w:rsidRPr="00562274">
              <w:rPr>
                <w:rStyle w:val="Hyperlink"/>
              </w:rPr>
              <w:t>Reference List</w:t>
            </w:r>
            <w:r>
              <w:rPr>
                <w:webHidden/>
              </w:rPr>
              <w:tab/>
            </w:r>
            <w:r>
              <w:rPr>
                <w:webHidden/>
              </w:rPr>
              <w:fldChar w:fldCharType="begin"/>
            </w:r>
            <w:r>
              <w:rPr>
                <w:webHidden/>
              </w:rPr>
              <w:instrText xml:space="preserve"> PAGEREF _Toc225846411 \h </w:instrText>
            </w:r>
            <w:r>
              <w:rPr>
                <w:webHidden/>
              </w:rPr>
            </w:r>
            <w:r>
              <w:rPr>
                <w:webHidden/>
              </w:rPr>
              <w:fldChar w:fldCharType="separate"/>
            </w:r>
            <w:r w:rsidR="00BF38CF">
              <w:rPr>
                <w:webHidden/>
              </w:rPr>
              <w:t>21</w:t>
            </w:r>
            <w:r>
              <w:rPr>
                <w:webHidden/>
              </w:rPr>
              <w:fldChar w:fldCharType="end"/>
            </w:r>
          </w:hyperlink>
        </w:p>
        <w:p w14:paraId="439E3F62" w14:textId="23919F52" w:rsidR="00A8262C" w:rsidRDefault="00A8262C" w:rsidP="00A31EC4">
          <w:pPr>
            <w:pStyle w:val="TOC1"/>
          </w:pPr>
          <w:hyperlink w:anchor="_Toc225846412" w:history="1">
            <w:r w:rsidRPr="00562274">
              <w:rPr>
                <w:rStyle w:val="Hyperlink"/>
              </w:rPr>
              <w:t>Appendices</w:t>
            </w:r>
            <w:r>
              <w:rPr>
                <w:webHidden/>
              </w:rPr>
              <w:tab/>
            </w:r>
            <w:r>
              <w:rPr>
                <w:webHidden/>
              </w:rPr>
              <w:fldChar w:fldCharType="begin"/>
            </w:r>
            <w:r>
              <w:rPr>
                <w:webHidden/>
              </w:rPr>
              <w:instrText xml:space="preserve"> PAGEREF _Toc225846412 \h </w:instrText>
            </w:r>
            <w:r>
              <w:rPr>
                <w:webHidden/>
              </w:rPr>
            </w:r>
            <w:r>
              <w:rPr>
                <w:webHidden/>
              </w:rPr>
              <w:fldChar w:fldCharType="separate"/>
            </w:r>
            <w:r w:rsidR="00BF38CF">
              <w:rPr>
                <w:webHidden/>
              </w:rPr>
              <w:t>26</w:t>
            </w:r>
            <w:r>
              <w:rPr>
                <w:webHidden/>
              </w:rPr>
              <w:fldChar w:fldCharType="end"/>
            </w:r>
          </w:hyperlink>
        </w:p>
        <w:p w14:paraId="28F26DCB" w14:textId="205F88BF" w:rsidR="00A8262C" w:rsidRDefault="00A8262C">
          <w:pPr>
            <w:pStyle w:val="TOC2"/>
            <w:tabs>
              <w:tab w:val="right" w:leader="dot" w:pos="9016"/>
            </w:tabs>
            <w:rPr>
              <w:noProof/>
            </w:rPr>
          </w:pPr>
          <w:hyperlink w:anchor="_Toc225846413" w:history="1">
            <w:r w:rsidRPr="00562274">
              <w:rPr>
                <w:rStyle w:val="Hyperlink"/>
                <w:noProof/>
                <w:lang w:val="en-US"/>
              </w:rPr>
              <w:t>Appendix 1 – Financial health and ratio analysis</w:t>
            </w:r>
            <w:r>
              <w:rPr>
                <w:noProof/>
                <w:webHidden/>
              </w:rPr>
              <w:tab/>
            </w:r>
            <w:r>
              <w:rPr>
                <w:noProof/>
                <w:webHidden/>
              </w:rPr>
              <w:fldChar w:fldCharType="begin"/>
            </w:r>
            <w:r>
              <w:rPr>
                <w:noProof/>
                <w:webHidden/>
              </w:rPr>
              <w:instrText xml:space="preserve"> PAGEREF _Toc225846413 \h </w:instrText>
            </w:r>
            <w:r>
              <w:rPr>
                <w:noProof/>
                <w:webHidden/>
              </w:rPr>
            </w:r>
            <w:r>
              <w:rPr>
                <w:noProof/>
                <w:webHidden/>
              </w:rPr>
              <w:fldChar w:fldCharType="separate"/>
            </w:r>
            <w:r w:rsidR="00BF38CF">
              <w:rPr>
                <w:noProof/>
                <w:webHidden/>
              </w:rPr>
              <w:t>26</w:t>
            </w:r>
            <w:r>
              <w:rPr>
                <w:noProof/>
                <w:webHidden/>
              </w:rPr>
              <w:fldChar w:fldCharType="end"/>
            </w:r>
          </w:hyperlink>
        </w:p>
        <w:p w14:paraId="776ABA64" w14:textId="553E8380" w:rsidR="00A8262C" w:rsidRDefault="00A8262C">
          <w:pPr>
            <w:pStyle w:val="TOC2"/>
            <w:tabs>
              <w:tab w:val="right" w:leader="dot" w:pos="9016"/>
            </w:tabs>
            <w:rPr>
              <w:noProof/>
            </w:rPr>
          </w:pPr>
          <w:hyperlink w:anchor="_Toc225846414" w:history="1">
            <w:r w:rsidRPr="00562274">
              <w:rPr>
                <w:rStyle w:val="Hyperlink"/>
                <w:noProof/>
                <w:lang w:val="en-US"/>
              </w:rPr>
              <w:t>Appendix 2 – Cash Operating Cycle analysis</w:t>
            </w:r>
            <w:r>
              <w:rPr>
                <w:noProof/>
                <w:webHidden/>
              </w:rPr>
              <w:tab/>
            </w:r>
            <w:r>
              <w:rPr>
                <w:noProof/>
                <w:webHidden/>
              </w:rPr>
              <w:fldChar w:fldCharType="begin"/>
            </w:r>
            <w:r>
              <w:rPr>
                <w:noProof/>
                <w:webHidden/>
              </w:rPr>
              <w:instrText xml:space="preserve"> PAGEREF _Toc225846414 \h </w:instrText>
            </w:r>
            <w:r>
              <w:rPr>
                <w:noProof/>
                <w:webHidden/>
              </w:rPr>
            </w:r>
            <w:r>
              <w:rPr>
                <w:noProof/>
                <w:webHidden/>
              </w:rPr>
              <w:fldChar w:fldCharType="separate"/>
            </w:r>
            <w:r w:rsidR="00BF38CF">
              <w:rPr>
                <w:noProof/>
                <w:webHidden/>
              </w:rPr>
              <w:t>28</w:t>
            </w:r>
            <w:r>
              <w:rPr>
                <w:noProof/>
                <w:webHidden/>
              </w:rPr>
              <w:fldChar w:fldCharType="end"/>
            </w:r>
          </w:hyperlink>
        </w:p>
        <w:p w14:paraId="547D90A1" w14:textId="14B3D3F8" w:rsidR="00A8262C" w:rsidRDefault="00A8262C">
          <w:pPr>
            <w:pStyle w:val="TOC2"/>
            <w:tabs>
              <w:tab w:val="right" w:leader="dot" w:pos="9016"/>
            </w:tabs>
            <w:rPr>
              <w:noProof/>
            </w:rPr>
          </w:pPr>
          <w:hyperlink w:anchor="_Toc225846415" w:history="1">
            <w:r w:rsidRPr="00562274">
              <w:rPr>
                <w:rStyle w:val="Hyperlink"/>
                <w:noProof/>
                <w:lang w:val="en-US"/>
              </w:rPr>
              <w:t>Appendix 3 – Project appraisal and capital budgeting</w:t>
            </w:r>
            <w:r>
              <w:rPr>
                <w:noProof/>
                <w:webHidden/>
              </w:rPr>
              <w:tab/>
            </w:r>
            <w:r>
              <w:rPr>
                <w:noProof/>
                <w:webHidden/>
              </w:rPr>
              <w:fldChar w:fldCharType="begin"/>
            </w:r>
            <w:r>
              <w:rPr>
                <w:noProof/>
                <w:webHidden/>
              </w:rPr>
              <w:instrText xml:space="preserve"> PAGEREF _Toc225846415 \h </w:instrText>
            </w:r>
            <w:r>
              <w:rPr>
                <w:noProof/>
                <w:webHidden/>
              </w:rPr>
            </w:r>
            <w:r>
              <w:rPr>
                <w:noProof/>
                <w:webHidden/>
              </w:rPr>
              <w:fldChar w:fldCharType="separate"/>
            </w:r>
            <w:r w:rsidR="00BF38CF">
              <w:rPr>
                <w:noProof/>
                <w:webHidden/>
              </w:rPr>
              <w:t>29</w:t>
            </w:r>
            <w:r>
              <w:rPr>
                <w:noProof/>
                <w:webHidden/>
              </w:rPr>
              <w:fldChar w:fldCharType="end"/>
            </w:r>
          </w:hyperlink>
        </w:p>
        <w:p w14:paraId="39E31D09" w14:textId="77777777" w:rsidR="005B7639" w:rsidRDefault="00A8262C" w:rsidP="005B7639">
          <w:pPr>
            <w:rPr>
              <w:b/>
              <w:bCs/>
              <w:noProof/>
            </w:rPr>
          </w:pPr>
          <w:r>
            <w:rPr>
              <w:b/>
              <w:bCs/>
              <w:noProof/>
            </w:rPr>
            <w:fldChar w:fldCharType="end"/>
          </w:r>
        </w:p>
      </w:sdtContent>
    </w:sdt>
    <w:p w14:paraId="3470CAF4" w14:textId="64876964" w:rsidR="00766B03" w:rsidRPr="005B7639" w:rsidRDefault="00766B03" w:rsidP="005B7639">
      <w:r>
        <w:rPr>
          <w:lang w:val="en-US"/>
        </w:rPr>
        <w:br w:type="page"/>
      </w:r>
    </w:p>
    <w:p w14:paraId="2F2A3687" w14:textId="77777777" w:rsidR="00A07CA1" w:rsidRPr="00A07CA1" w:rsidRDefault="00A07CA1" w:rsidP="00A07CA1">
      <w:pPr>
        <w:pStyle w:val="Heading1"/>
        <w:rPr>
          <w:lang w:val="en-US"/>
        </w:rPr>
      </w:pPr>
      <w:bookmarkStart w:id="0" w:name="_Toc225846373"/>
      <w:r w:rsidRPr="00A07CA1">
        <w:rPr>
          <w:lang w:val="en-US"/>
        </w:rPr>
        <w:t>Introduction</w:t>
      </w:r>
      <w:bookmarkEnd w:id="0"/>
    </w:p>
    <w:p w14:paraId="6EA4851D" w14:textId="1A6B4A18" w:rsidR="00766B03" w:rsidRDefault="00910D4C" w:rsidP="00F858BB">
      <w:pPr>
        <w:rPr>
          <w:lang w:val="en-US"/>
        </w:rPr>
      </w:pPr>
      <w:r>
        <w:rPr>
          <w:lang w:val="en-US"/>
        </w:rPr>
        <w:t xml:space="preserve">The focus of this report is to evaluate the current financial position of the multinational EV manufacturer Tesla. This includes a thorough and critical financial evaluation of the company within the past five years period (2021-2025). This is a critical challenge that is posed by the </w:t>
      </w:r>
      <w:r w:rsidRPr="00F858BB">
        <w:rPr>
          <w:lang w:val="en-US"/>
        </w:rPr>
        <w:t>Chief Financial Officer (CFO)</w:t>
      </w:r>
      <w:r>
        <w:rPr>
          <w:lang w:val="en-US"/>
        </w:rPr>
        <w:t xml:space="preserve"> who has relied upon three critical aspects of evaluation in this report. Firstly, the report is relying upon critical health checks based on key financial ratios and their interpretations. Secondly, it relied on the working capital management of the company based on the cash conversion cycle. Thirdly, it focuses on different capital budgeting methods to evaluate viable investment options for the company among available ones.</w:t>
      </w:r>
    </w:p>
    <w:p w14:paraId="2A718D04" w14:textId="77777777" w:rsidR="005A5F9C" w:rsidRPr="005A5F9C" w:rsidRDefault="005A5F9C" w:rsidP="00A07CA1">
      <w:pPr>
        <w:pStyle w:val="Heading1"/>
        <w:rPr>
          <w:lang w:val="en-US"/>
        </w:rPr>
      </w:pPr>
      <w:bookmarkStart w:id="1" w:name="_Toc225846374"/>
      <w:r w:rsidRPr="005A5F9C">
        <w:rPr>
          <w:lang w:val="en-US"/>
        </w:rPr>
        <w:t>1. Financial Health Check</w:t>
      </w:r>
      <w:bookmarkEnd w:id="1"/>
    </w:p>
    <w:p w14:paraId="0B5FC6CA" w14:textId="71B3DCC9" w:rsidR="00A07CA1" w:rsidRDefault="005A5F9C" w:rsidP="00910D4C">
      <w:pPr>
        <w:pStyle w:val="Heading2"/>
        <w:rPr>
          <w:lang w:val="en-US"/>
        </w:rPr>
      </w:pPr>
      <w:bookmarkStart w:id="2" w:name="_Toc225846375"/>
      <w:r w:rsidRPr="005A5F9C">
        <w:rPr>
          <w:lang w:val="en-US"/>
        </w:rPr>
        <w:t>1.1 Profitability Analysis</w:t>
      </w:r>
      <w:bookmarkEnd w:id="2"/>
    </w:p>
    <w:p w14:paraId="3930C9A1" w14:textId="50C44205" w:rsidR="00A07CA1" w:rsidRDefault="00A31EC4" w:rsidP="00A07CA1">
      <w:pPr>
        <w:jc w:val="center"/>
        <w:rPr>
          <w:lang w:val="en-US"/>
        </w:rPr>
      </w:pPr>
      <w:r>
        <w:rPr>
          <w:noProof/>
          <w:lang w:val="en-US"/>
        </w:rPr>
        <w:drawing>
          <wp:inline distT="0" distB="0" distL="0" distR="0" wp14:anchorId="5AE992B1" wp14:editId="596D4A32">
            <wp:extent cx="5541645" cy="3408045"/>
            <wp:effectExtent l="0" t="0" r="1905" b="1905"/>
            <wp:docPr id="44443273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41645" cy="3408045"/>
                    </a:xfrm>
                    <a:prstGeom prst="rect">
                      <a:avLst/>
                    </a:prstGeom>
                    <a:noFill/>
                  </pic:spPr>
                </pic:pic>
              </a:graphicData>
            </a:graphic>
          </wp:inline>
        </w:drawing>
      </w:r>
    </w:p>
    <w:p w14:paraId="16998F5C" w14:textId="4E8BD3AF" w:rsidR="002C70E6" w:rsidRDefault="002C70E6" w:rsidP="00A07CA1">
      <w:pPr>
        <w:jc w:val="center"/>
        <w:rPr>
          <w:b/>
          <w:bCs/>
          <w:lang w:val="en-US"/>
        </w:rPr>
      </w:pPr>
      <w:r>
        <w:rPr>
          <w:b/>
          <w:bCs/>
          <w:lang w:val="en-US"/>
        </w:rPr>
        <w:t xml:space="preserve">Fig 1: Profitability </w:t>
      </w:r>
      <w:r w:rsidR="00A31EC4">
        <w:rPr>
          <w:b/>
          <w:bCs/>
          <w:lang w:val="en-US"/>
        </w:rPr>
        <w:t>Analysis</w:t>
      </w:r>
    </w:p>
    <w:p w14:paraId="271A9E57" w14:textId="1E8DE294" w:rsidR="002C70E6" w:rsidRPr="002C70E6" w:rsidRDefault="002C70E6" w:rsidP="00A07CA1">
      <w:pPr>
        <w:jc w:val="center"/>
        <w:rPr>
          <w:lang w:val="en-US"/>
        </w:rPr>
      </w:pPr>
      <w:r>
        <w:rPr>
          <w:lang w:val="en-US"/>
        </w:rPr>
        <w:t>(Source: Excel)</w:t>
      </w:r>
    </w:p>
    <w:p w14:paraId="523B2731" w14:textId="5E8B3EAC" w:rsidR="005A5F9C" w:rsidRPr="005A5F9C" w:rsidRDefault="005A5F9C" w:rsidP="005A5F9C">
      <w:pPr>
        <w:rPr>
          <w:lang w:val="en-US"/>
        </w:rPr>
      </w:pPr>
      <w:r w:rsidRPr="005A5F9C">
        <w:rPr>
          <w:lang w:val="en-US"/>
        </w:rPr>
        <w:t xml:space="preserve">The company also got better at </w:t>
      </w:r>
      <w:r w:rsidR="00A07CA1">
        <w:rPr>
          <w:lang w:val="en-US"/>
        </w:rPr>
        <w:t>managing</w:t>
      </w:r>
      <w:r w:rsidRPr="005A5F9C">
        <w:rPr>
          <w:lang w:val="en-US"/>
        </w:rPr>
        <w:t xml:space="preserve"> </w:t>
      </w:r>
      <w:r w:rsidR="008E6CE6" w:rsidRPr="005A5F9C">
        <w:rPr>
          <w:lang w:val="en-US"/>
        </w:rPr>
        <w:t>costs,</w:t>
      </w:r>
      <w:r w:rsidRPr="005A5F9C">
        <w:rPr>
          <w:lang w:val="en-US"/>
        </w:rPr>
        <w:t xml:space="preserve"> which helped the operating margin go from 5% in 2021 to 17% in 2024. Then it went down to 12% in 2025, which might mean costs are going up or people are not buying as many cars</w:t>
      </w:r>
      <w:r w:rsidR="00B527ED">
        <w:rPr>
          <w:lang w:val="en-US"/>
        </w:rPr>
        <w:t xml:space="preserve"> (</w:t>
      </w:r>
      <w:r w:rsidR="00B527ED" w:rsidRPr="00695017">
        <w:t xml:space="preserve">Andoko </w:t>
      </w:r>
      <w:r w:rsidR="00B527ED">
        <w:t>and</w:t>
      </w:r>
      <w:r w:rsidR="00B527ED" w:rsidRPr="00695017">
        <w:t xml:space="preserve"> Angeline, 2023)</w:t>
      </w:r>
      <w:r w:rsidRPr="005A5F9C">
        <w:rPr>
          <w:lang w:val="en-US"/>
        </w:rPr>
        <w:t>.</w:t>
      </w:r>
      <w:r w:rsidR="00A07CA1">
        <w:rPr>
          <w:lang w:val="en-US"/>
        </w:rPr>
        <w:t xml:space="preserve"> </w:t>
      </w:r>
      <w:r w:rsidRPr="005A5F9C">
        <w:rPr>
          <w:lang w:val="en-US"/>
        </w:rPr>
        <w:t>The net profit margin did something</w:t>
      </w:r>
      <w:r w:rsidR="00A07CA1">
        <w:rPr>
          <w:lang w:val="en-US"/>
        </w:rPr>
        <w:t xml:space="preserve"> critical, as i</w:t>
      </w:r>
      <w:r w:rsidRPr="005A5F9C">
        <w:rPr>
          <w:lang w:val="en-US"/>
        </w:rPr>
        <w:t>t went up from 4% in 2021 to 15% in 2023 and 2024</w:t>
      </w:r>
      <w:r w:rsidR="00A07CA1">
        <w:rPr>
          <w:lang w:val="en-US"/>
        </w:rPr>
        <w:t xml:space="preserve"> and t</w:t>
      </w:r>
      <w:r w:rsidR="008E6CE6" w:rsidRPr="005A5F9C">
        <w:rPr>
          <w:lang w:val="en-US"/>
        </w:rPr>
        <w:t>hen it went</w:t>
      </w:r>
      <w:r w:rsidRPr="005A5F9C">
        <w:rPr>
          <w:lang w:val="en-US"/>
        </w:rPr>
        <w:t xml:space="preserve"> down to 10% in 2025. This could be because costs are going </w:t>
      </w:r>
      <w:r w:rsidR="008E6CE6" w:rsidRPr="005A5F9C">
        <w:rPr>
          <w:lang w:val="en-US"/>
        </w:rPr>
        <w:t>up and</w:t>
      </w:r>
      <w:r w:rsidRPr="005A5F9C">
        <w:rPr>
          <w:lang w:val="en-US"/>
        </w:rPr>
        <w:t xml:space="preserve"> there is competition in the electric car market or Tesla is changing its prices to keep selling cars. Tesla</w:t>
      </w:r>
      <w:r w:rsidR="006E1EAA">
        <w:rPr>
          <w:lang w:val="en-US"/>
        </w:rPr>
        <w:t>’</w:t>
      </w:r>
      <w:r w:rsidRPr="005A5F9C">
        <w:rPr>
          <w:lang w:val="en-US"/>
        </w:rPr>
        <w:t>s Return on Equity</w:t>
      </w:r>
      <w:r w:rsidR="006E1EAA">
        <w:rPr>
          <w:lang w:val="en-US"/>
        </w:rPr>
        <w:t xml:space="preserve"> (ROE)</w:t>
      </w:r>
      <w:r w:rsidRPr="005A5F9C">
        <w:rPr>
          <w:lang w:val="en-US"/>
        </w:rPr>
        <w:t xml:space="preserve"> which</w:t>
      </w:r>
      <w:r w:rsidR="006E1EAA">
        <w:rPr>
          <w:lang w:val="en-US"/>
        </w:rPr>
        <w:t xml:space="preserve"> is</w:t>
      </w:r>
      <w:r w:rsidRPr="005A5F9C">
        <w:rPr>
          <w:lang w:val="en-US"/>
        </w:rPr>
        <w:t xml:space="preserve"> like a report card for how well the company uses the money investors give it went up </w:t>
      </w:r>
      <w:r w:rsidR="008E6CE6" w:rsidRPr="005A5F9C">
        <w:rPr>
          <w:lang w:val="en-US"/>
        </w:rPr>
        <w:t>fast</w:t>
      </w:r>
      <w:r w:rsidRPr="005A5F9C">
        <w:rPr>
          <w:lang w:val="en-US"/>
        </w:rPr>
        <w:t xml:space="preserve"> from 5% in 2021 to 27% in </w:t>
      </w:r>
      <w:r w:rsidR="008E6CE6" w:rsidRPr="005A5F9C">
        <w:rPr>
          <w:lang w:val="en-US"/>
        </w:rPr>
        <w:t>2024</w:t>
      </w:r>
      <w:r w:rsidR="00B527ED">
        <w:rPr>
          <w:lang w:val="en-US"/>
        </w:rPr>
        <w:t xml:space="preserve"> (</w:t>
      </w:r>
      <w:r w:rsidR="00B527ED" w:rsidRPr="00695017">
        <w:t>Singh</w:t>
      </w:r>
      <w:r w:rsidR="00B527ED">
        <w:t xml:space="preserve"> </w:t>
      </w:r>
      <w:r w:rsidR="00B527ED">
        <w:rPr>
          <w:i/>
          <w:iCs/>
        </w:rPr>
        <w:t>et al.,</w:t>
      </w:r>
      <w:r w:rsidR="00B527ED">
        <w:t xml:space="preserve"> 2024)</w:t>
      </w:r>
      <w:r w:rsidR="008E6CE6" w:rsidRPr="005A5F9C">
        <w:rPr>
          <w:lang w:val="en-US"/>
        </w:rPr>
        <w:t>.</w:t>
      </w:r>
      <w:r w:rsidRPr="005A5F9C">
        <w:rPr>
          <w:lang w:val="en-US"/>
        </w:rPr>
        <w:t xml:space="preserve"> Then it went down to 17% in 2025, which might worry investors if it keeps going down.</w:t>
      </w:r>
    </w:p>
    <w:p w14:paraId="425B518D" w14:textId="3D392675" w:rsidR="005A5F9C" w:rsidRPr="005A5F9C" w:rsidRDefault="005A5F9C" w:rsidP="005A5F9C">
      <w:pPr>
        <w:rPr>
          <w:lang w:val="en-US"/>
        </w:rPr>
      </w:pPr>
      <w:r w:rsidRPr="005A5F9C">
        <w:rPr>
          <w:lang w:val="en-US"/>
        </w:rPr>
        <w:t>So</w:t>
      </w:r>
      <w:r w:rsidR="008E6CE6">
        <w:rPr>
          <w:lang w:val="en-US"/>
        </w:rPr>
        <w:t>,</w:t>
      </w:r>
      <w:r w:rsidRPr="005A5F9C">
        <w:rPr>
          <w:lang w:val="en-US"/>
        </w:rPr>
        <w:t xml:space="preserve"> Tesla was making a lot of money but now it is having some problems </w:t>
      </w:r>
      <w:r w:rsidR="006E1EAA">
        <w:rPr>
          <w:lang w:val="en-US"/>
        </w:rPr>
        <w:t xml:space="preserve">recently </w:t>
      </w:r>
      <w:r w:rsidRPr="005A5F9C">
        <w:rPr>
          <w:lang w:val="en-US"/>
        </w:rPr>
        <w:t xml:space="preserve">keeping those </w:t>
      </w:r>
      <w:r w:rsidR="008E6CE6" w:rsidRPr="005A5F9C">
        <w:rPr>
          <w:lang w:val="en-US"/>
        </w:rPr>
        <w:t>margins,</w:t>
      </w:r>
      <w:r w:rsidRPr="005A5F9C">
        <w:rPr>
          <w:lang w:val="en-US"/>
        </w:rPr>
        <w:t xml:space="preserve"> especially since the electric car market is getting more competitive.</w:t>
      </w:r>
    </w:p>
    <w:p w14:paraId="44546464" w14:textId="77777777" w:rsidR="005A5F9C" w:rsidRPr="005A5F9C" w:rsidRDefault="005A5F9C" w:rsidP="00A07CA1">
      <w:pPr>
        <w:pStyle w:val="Heading2"/>
        <w:rPr>
          <w:lang w:val="en-US"/>
        </w:rPr>
      </w:pPr>
      <w:bookmarkStart w:id="3" w:name="_Toc225846376"/>
      <w:r w:rsidRPr="005A5F9C">
        <w:rPr>
          <w:lang w:val="en-US"/>
        </w:rPr>
        <w:t>1.2 Liquidity Analysis</w:t>
      </w:r>
      <w:bookmarkEnd w:id="3"/>
    </w:p>
    <w:p w14:paraId="321A199A" w14:textId="1BADBB1A" w:rsidR="002C70E6" w:rsidRDefault="00A31EC4" w:rsidP="002C70E6">
      <w:pPr>
        <w:jc w:val="center"/>
        <w:rPr>
          <w:b/>
          <w:bCs/>
          <w:lang w:val="en-US"/>
        </w:rPr>
      </w:pPr>
      <w:r>
        <w:rPr>
          <w:b/>
          <w:bCs/>
          <w:noProof/>
          <w:lang w:val="en-US"/>
        </w:rPr>
        <w:drawing>
          <wp:inline distT="0" distB="0" distL="0" distR="0" wp14:anchorId="6B42D355" wp14:editId="4F556FC5">
            <wp:extent cx="4828540" cy="3194685"/>
            <wp:effectExtent l="0" t="0" r="0" b="5715"/>
            <wp:docPr id="195493875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8540" cy="3194685"/>
                    </a:xfrm>
                    <a:prstGeom prst="rect">
                      <a:avLst/>
                    </a:prstGeom>
                    <a:noFill/>
                  </pic:spPr>
                </pic:pic>
              </a:graphicData>
            </a:graphic>
          </wp:inline>
        </w:drawing>
      </w:r>
    </w:p>
    <w:p w14:paraId="00B79BF7" w14:textId="0B8E6C8B" w:rsidR="002C70E6" w:rsidRDefault="002C70E6" w:rsidP="002C70E6">
      <w:pPr>
        <w:jc w:val="center"/>
        <w:rPr>
          <w:b/>
          <w:bCs/>
          <w:lang w:val="en-US"/>
        </w:rPr>
      </w:pPr>
      <w:r>
        <w:rPr>
          <w:b/>
          <w:bCs/>
          <w:lang w:val="en-US"/>
        </w:rPr>
        <w:t xml:space="preserve">Fig 2: Liquidity </w:t>
      </w:r>
      <w:r w:rsidR="00A31EC4">
        <w:rPr>
          <w:b/>
          <w:bCs/>
          <w:lang w:val="en-US"/>
        </w:rPr>
        <w:t>Analysis</w:t>
      </w:r>
    </w:p>
    <w:p w14:paraId="749C25D2" w14:textId="1EE6FCE1" w:rsidR="005A5F9C" w:rsidRPr="005A5F9C" w:rsidRDefault="002C70E6" w:rsidP="002C70E6">
      <w:pPr>
        <w:jc w:val="center"/>
        <w:rPr>
          <w:lang w:val="en-US"/>
        </w:rPr>
      </w:pPr>
      <w:r>
        <w:rPr>
          <w:lang w:val="en-US"/>
        </w:rPr>
        <w:t>(Source: Excel)</w:t>
      </w:r>
    </w:p>
    <w:p w14:paraId="2563CCCC" w14:textId="3F0141B9" w:rsidR="005A5F9C" w:rsidRPr="005A5F9C" w:rsidRDefault="008E6CE6" w:rsidP="005A5F9C">
      <w:pPr>
        <w:rPr>
          <w:lang w:val="en-US"/>
        </w:rPr>
      </w:pPr>
      <w:r>
        <w:rPr>
          <w:lang w:val="en-US"/>
        </w:rPr>
        <w:t>Looking</w:t>
      </w:r>
      <w:r w:rsidR="005A5F9C" w:rsidRPr="005A5F9C">
        <w:rPr>
          <w:lang w:val="en-US"/>
        </w:rPr>
        <w:t xml:space="preserve"> at how much cash Tesla </w:t>
      </w:r>
      <w:r w:rsidRPr="005A5F9C">
        <w:rPr>
          <w:lang w:val="en-US"/>
        </w:rPr>
        <w:t>has;</w:t>
      </w:r>
      <w:r w:rsidR="005A5F9C" w:rsidRPr="005A5F9C">
        <w:rPr>
          <w:lang w:val="en-US"/>
        </w:rPr>
        <w:t xml:space="preserve"> </w:t>
      </w:r>
      <w:r>
        <w:rPr>
          <w:lang w:val="en-US"/>
        </w:rPr>
        <w:t>it is observed</w:t>
      </w:r>
      <w:r w:rsidR="005A5F9C" w:rsidRPr="005A5F9C">
        <w:rPr>
          <w:lang w:val="en-US"/>
        </w:rPr>
        <w:t xml:space="preserve"> that its short-term financial situation is getting a little weaker. The current ratio, which is a measure of how cash and other easy-to-</w:t>
      </w:r>
      <w:r w:rsidRPr="005A5F9C">
        <w:rPr>
          <w:lang w:val="en-US"/>
        </w:rPr>
        <w:t>selling</w:t>
      </w:r>
      <w:r w:rsidR="005A5F9C" w:rsidRPr="005A5F9C">
        <w:rPr>
          <w:lang w:val="en-US"/>
        </w:rPr>
        <w:t xml:space="preserve"> things Tesla has compared to what it owes went down from 2.16 in 2021 to 1.38 in 2025</w:t>
      </w:r>
      <w:r w:rsidR="001F7108">
        <w:rPr>
          <w:lang w:val="en-US"/>
        </w:rPr>
        <w:t xml:space="preserve"> (</w:t>
      </w:r>
      <w:r w:rsidR="001F7108" w:rsidRPr="00630AA5">
        <w:t>Rohmawati</w:t>
      </w:r>
      <w:r w:rsidR="001F7108">
        <w:t xml:space="preserve"> </w:t>
      </w:r>
      <w:r w:rsidR="001F7108">
        <w:rPr>
          <w:i/>
          <w:iCs/>
        </w:rPr>
        <w:t>et al.,</w:t>
      </w:r>
      <w:r w:rsidR="001F7108">
        <w:t xml:space="preserve"> 2024)</w:t>
      </w:r>
      <w:r w:rsidR="005A5F9C" w:rsidRPr="005A5F9C">
        <w:rPr>
          <w:lang w:val="en-US"/>
        </w:rPr>
        <w:t xml:space="preserve">. The quick ratio, which is similar but does not include </w:t>
      </w:r>
      <w:r w:rsidRPr="005A5F9C">
        <w:rPr>
          <w:lang w:val="en-US"/>
        </w:rPr>
        <w:t>inventory,</w:t>
      </w:r>
      <w:r w:rsidR="005A5F9C" w:rsidRPr="005A5F9C">
        <w:rPr>
          <w:lang w:val="en-US"/>
        </w:rPr>
        <w:t xml:space="preserve"> also went down from 1.77 to 1.08. </w:t>
      </w:r>
      <w:r w:rsidR="001F7108">
        <w:rPr>
          <w:lang w:val="en-US"/>
        </w:rPr>
        <w:t>B</w:t>
      </w:r>
      <w:r w:rsidR="005A5F9C" w:rsidRPr="005A5F9C">
        <w:rPr>
          <w:lang w:val="en-US"/>
        </w:rPr>
        <w:t xml:space="preserve">oth numbers are still above </w:t>
      </w:r>
      <w:r w:rsidRPr="005A5F9C">
        <w:rPr>
          <w:lang w:val="en-US"/>
        </w:rPr>
        <w:t>1, which</w:t>
      </w:r>
      <w:r w:rsidR="005A5F9C" w:rsidRPr="005A5F9C">
        <w:rPr>
          <w:lang w:val="en-US"/>
        </w:rPr>
        <w:t xml:space="preserve"> means Tesla has cash and other </w:t>
      </w:r>
      <w:r w:rsidR="006E1EAA">
        <w:rPr>
          <w:lang w:val="en-US"/>
        </w:rPr>
        <w:t>assets</w:t>
      </w:r>
      <w:r w:rsidR="005A5F9C" w:rsidRPr="005A5F9C">
        <w:rPr>
          <w:lang w:val="en-US"/>
        </w:rPr>
        <w:t xml:space="preserve"> to </w:t>
      </w:r>
      <w:r w:rsidR="001F7108" w:rsidRPr="005A5F9C">
        <w:rPr>
          <w:lang w:val="en-US"/>
        </w:rPr>
        <w:t>pay for</w:t>
      </w:r>
      <w:r w:rsidR="005A5F9C" w:rsidRPr="005A5F9C">
        <w:rPr>
          <w:lang w:val="en-US"/>
        </w:rPr>
        <w:t xml:space="preserve"> what it </w:t>
      </w:r>
      <w:r w:rsidR="00A31EC4" w:rsidRPr="005A5F9C">
        <w:rPr>
          <w:lang w:val="en-US"/>
        </w:rPr>
        <w:t>owns</w:t>
      </w:r>
      <w:r w:rsidR="006E1EAA">
        <w:rPr>
          <w:lang w:val="en-US"/>
        </w:rPr>
        <w:t xml:space="preserve"> in short terms</w:t>
      </w:r>
      <w:r w:rsidR="001F7108">
        <w:rPr>
          <w:lang w:val="en-US"/>
        </w:rPr>
        <w:t xml:space="preserve"> (</w:t>
      </w:r>
      <w:r w:rsidR="001F7108" w:rsidRPr="00630AA5">
        <w:t>Ikhsan, 2022)</w:t>
      </w:r>
      <w:r w:rsidR="006E1EAA">
        <w:rPr>
          <w:lang w:val="en-US"/>
        </w:rPr>
        <w:t>. But t</w:t>
      </w:r>
      <w:r w:rsidR="005A5F9C" w:rsidRPr="005A5F9C">
        <w:rPr>
          <w:lang w:val="en-US"/>
        </w:rPr>
        <w:t xml:space="preserve">he fact that they are going </w:t>
      </w:r>
      <w:r w:rsidR="006E1EAA" w:rsidRPr="005A5F9C">
        <w:rPr>
          <w:lang w:val="en-US"/>
        </w:rPr>
        <w:t>down</w:t>
      </w:r>
      <w:r w:rsidR="005A5F9C" w:rsidRPr="005A5F9C">
        <w:rPr>
          <w:lang w:val="en-US"/>
        </w:rPr>
        <w:t xml:space="preserve"> means Tesla has less flexibility with its money</w:t>
      </w:r>
      <w:r w:rsidR="006E1EAA">
        <w:rPr>
          <w:lang w:val="en-US"/>
        </w:rPr>
        <w:t xml:space="preserve"> currently</w:t>
      </w:r>
      <w:r w:rsidR="005A5F9C" w:rsidRPr="005A5F9C">
        <w:rPr>
          <w:lang w:val="en-US"/>
        </w:rPr>
        <w:t>.</w:t>
      </w:r>
    </w:p>
    <w:p w14:paraId="00B469FB" w14:textId="4736F0C0" w:rsidR="005A5F9C" w:rsidRPr="005A5F9C" w:rsidRDefault="005A5F9C" w:rsidP="005A5F9C">
      <w:pPr>
        <w:rPr>
          <w:lang w:val="en-US"/>
        </w:rPr>
      </w:pPr>
      <w:r w:rsidRPr="005A5F9C">
        <w:rPr>
          <w:lang w:val="en-US"/>
        </w:rPr>
        <w:t xml:space="preserve">This might be happening because Tesla needs money to run its daily </w:t>
      </w:r>
      <w:r w:rsidR="008E6CE6" w:rsidRPr="005A5F9C">
        <w:rPr>
          <w:lang w:val="en-US"/>
        </w:rPr>
        <w:t>operations,</w:t>
      </w:r>
      <w:r w:rsidRPr="005A5F9C">
        <w:rPr>
          <w:lang w:val="en-US"/>
        </w:rPr>
        <w:t xml:space="preserve"> has more inventory or owes more money in the short term</w:t>
      </w:r>
      <w:r w:rsidR="001F7108">
        <w:rPr>
          <w:lang w:val="en-US"/>
        </w:rPr>
        <w:t xml:space="preserve"> (</w:t>
      </w:r>
      <w:r w:rsidR="001F7108" w:rsidRPr="00630AA5">
        <w:t>Li, 2025)</w:t>
      </w:r>
      <w:r w:rsidRPr="005A5F9C">
        <w:rPr>
          <w:lang w:val="en-US"/>
        </w:rPr>
        <w:t xml:space="preserve">. The quick ratio going down faster might mean Tesla is relying much on inventory, which is not as easy to turn into cash as some other </w:t>
      </w:r>
      <w:r w:rsidR="006E1EAA">
        <w:rPr>
          <w:lang w:val="en-US"/>
        </w:rPr>
        <w:t>assets</w:t>
      </w:r>
      <w:r w:rsidR="001F7108">
        <w:rPr>
          <w:lang w:val="en-US"/>
        </w:rPr>
        <w:t xml:space="preserve"> (</w:t>
      </w:r>
      <w:r w:rsidR="001F7108" w:rsidRPr="00630AA5">
        <w:t>Huang, 2023)</w:t>
      </w:r>
      <w:r w:rsidRPr="005A5F9C">
        <w:rPr>
          <w:lang w:val="en-US"/>
        </w:rPr>
        <w:t xml:space="preserve">. Tesla still has </w:t>
      </w:r>
      <w:r w:rsidR="008E6CE6" w:rsidRPr="005A5F9C">
        <w:rPr>
          <w:lang w:val="en-US"/>
        </w:rPr>
        <w:t>cash,</w:t>
      </w:r>
      <w:r w:rsidRPr="005A5F9C">
        <w:rPr>
          <w:lang w:val="en-US"/>
        </w:rPr>
        <w:t xml:space="preserve"> but the trend is not good and means the company needs to manage its daily operations better.</w:t>
      </w:r>
    </w:p>
    <w:p w14:paraId="24527AAE" w14:textId="77777777" w:rsidR="005A5F9C" w:rsidRPr="005A5F9C" w:rsidRDefault="005A5F9C" w:rsidP="00A07CA1">
      <w:pPr>
        <w:pStyle w:val="Heading2"/>
        <w:rPr>
          <w:lang w:val="en-US"/>
        </w:rPr>
      </w:pPr>
      <w:bookmarkStart w:id="4" w:name="_Toc225846377"/>
      <w:r w:rsidRPr="005A5F9C">
        <w:rPr>
          <w:lang w:val="en-US"/>
        </w:rPr>
        <w:t>1.3 Efficiency Analysis</w:t>
      </w:r>
      <w:bookmarkEnd w:id="4"/>
    </w:p>
    <w:p w14:paraId="0B393D68" w14:textId="3905584F" w:rsidR="005A5F9C" w:rsidRDefault="00A31EC4" w:rsidP="00A07CA1">
      <w:pPr>
        <w:jc w:val="center"/>
        <w:rPr>
          <w:lang w:val="en-US"/>
        </w:rPr>
      </w:pPr>
      <w:r>
        <w:rPr>
          <w:noProof/>
          <w:lang w:val="en-US"/>
        </w:rPr>
        <w:drawing>
          <wp:inline distT="0" distB="0" distL="0" distR="0" wp14:anchorId="7A4B6199" wp14:editId="7D0B63EC">
            <wp:extent cx="4852670" cy="3237230"/>
            <wp:effectExtent l="0" t="0" r="5080" b="1270"/>
            <wp:docPr id="54721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52670" cy="3237230"/>
                    </a:xfrm>
                    <a:prstGeom prst="rect">
                      <a:avLst/>
                    </a:prstGeom>
                    <a:noFill/>
                  </pic:spPr>
                </pic:pic>
              </a:graphicData>
            </a:graphic>
          </wp:inline>
        </w:drawing>
      </w:r>
    </w:p>
    <w:p w14:paraId="1573DC55" w14:textId="17215989" w:rsidR="002C70E6" w:rsidRDefault="002C70E6" w:rsidP="002C70E6">
      <w:pPr>
        <w:jc w:val="center"/>
        <w:rPr>
          <w:b/>
          <w:bCs/>
          <w:lang w:val="en-US"/>
        </w:rPr>
      </w:pPr>
      <w:r>
        <w:rPr>
          <w:b/>
          <w:bCs/>
          <w:lang w:val="en-US"/>
        </w:rPr>
        <w:t xml:space="preserve">Fig 3: Efficiency </w:t>
      </w:r>
      <w:r w:rsidR="00A31EC4">
        <w:rPr>
          <w:b/>
          <w:bCs/>
          <w:lang w:val="en-US"/>
        </w:rPr>
        <w:t>Analysis</w:t>
      </w:r>
    </w:p>
    <w:p w14:paraId="7C7AFE1F" w14:textId="18D8601B" w:rsidR="002C70E6" w:rsidRPr="005A5F9C" w:rsidRDefault="002C70E6" w:rsidP="002C70E6">
      <w:pPr>
        <w:jc w:val="center"/>
        <w:rPr>
          <w:lang w:val="en-US"/>
        </w:rPr>
      </w:pPr>
      <w:r>
        <w:rPr>
          <w:lang w:val="en-US"/>
        </w:rPr>
        <w:t>(Source: Excel)</w:t>
      </w:r>
    </w:p>
    <w:p w14:paraId="2DF575BE" w14:textId="6255BAD9" w:rsidR="005A5F9C" w:rsidRPr="005A5F9C" w:rsidRDefault="008E6CE6" w:rsidP="005A5F9C">
      <w:pPr>
        <w:rPr>
          <w:lang w:val="en-US"/>
        </w:rPr>
      </w:pPr>
      <w:r>
        <w:rPr>
          <w:lang w:val="en-US"/>
        </w:rPr>
        <w:t>Looking</w:t>
      </w:r>
      <w:r w:rsidR="005A5F9C" w:rsidRPr="005A5F9C">
        <w:rPr>
          <w:lang w:val="en-US"/>
        </w:rPr>
        <w:t xml:space="preserve"> at how Tesla uses its </w:t>
      </w:r>
      <w:r w:rsidRPr="005A5F9C">
        <w:rPr>
          <w:lang w:val="en-US"/>
        </w:rPr>
        <w:t>assets,</w:t>
      </w:r>
      <w:r w:rsidR="005A5F9C" w:rsidRPr="005A5F9C">
        <w:rPr>
          <w:lang w:val="en-US"/>
        </w:rPr>
        <w:t xml:space="preserve"> </w:t>
      </w:r>
      <w:r>
        <w:rPr>
          <w:lang w:val="en-US"/>
        </w:rPr>
        <w:t>it is observed</w:t>
      </w:r>
      <w:r w:rsidR="005A5F9C" w:rsidRPr="005A5F9C">
        <w:rPr>
          <w:lang w:val="en-US"/>
        </w:rPr>
        <w:t xml:space="preserve"> that the company </w:t>
      </w:r>
      <w:r w:rsidRPr="005A5F9C">
        <w:rPr>
          <w:lang w:val="en-US"/>
        </w:rPr>
        <w:t>has got</w:t>
      </w:r>
      <w:r w:rsidR="005A5F9C" w:rsidRPr="005A5F9C">
        <w:rPr>
          <w:lang w:val="en-US"/>
        </w:rPr>
        <w:t xml:space="preserve"> a lot better at making money from what it owns but lately it has got a little worse. The asset turnover ratio, which is like a measure of how </w:t>
      </w:r>
      <w:r w:rsidR="006E1EAA">
        <w:rPr>
          <w:lang w:val="en-US"/>
        </w:rPr>
        <w:t xml:space="preserve">much </w:t>
      </w:r>
      <w:r w:rsidR="005A5F9C" w:rsidRPr="005A5F9C">
        <w:rPr>
          <w:lang w:val="en-US"/>
        </w:rPr>
        <w:t xml:space="preserve">money Tesla makes from its </w:t>
      </w:r>
      <w:r w:rsidRPr="005A5F9C">
        <w:rPr>
          <w:lang w:val="en-US"/>
        </w:rPr>
        <w:t>assets</w:t>
      </w:r>
      <w:r w:rsidR="001F7108">
        <w:rPr>
          <w:lang w:val="en-US"/>
        </w:rPr>
        <w:t xml:space="preserve"> (</w:t>
      </w:r>
      <w:r w:rsidR="001F7108" w:rsidRPr="00630AA5">
        <w:t xml:space="preserve">Utami </w:t>
      </w:r>
      <w:r w:rsidR="001F7108">
        <w:t>and</w:t>
      </w:r>
      <w:r w:rsidR="001F7108" w:rsidRPr="00630AA5">
        <w:t xml:space="preserve"> Muslih, 2022)</w:t>
      </w:r>
      <w:r w:rsidRPr="005A5F9C">
        <w:rPr>
          <w:lang w:val="en-US"/>
        </w:rPr>
        <w:t>,</w:t>
      </w:r>
      <w:r w:rsidR="005A5F9C" w:rsidRPr="005A5F9C">
        <w:rPr>
          <w:lang w:val="en-US"/>
        </w:rPr>
        <w:t xml:space="preserve"> went up from 0.69 in 2021 to 0.99 in 2024. This is good because it </w:t>
      </w:r>
      <w:r w:rsidR="006E1EAA">
        <w:rPr>
          <w:lang w:val="en-US"/>
        </w:rPr>
        <w:t>implies that</w:t>
      </w:r>
      <w:r w:rsidR="005A5F9C" w:rsidRPr="005A5F9C">
        <w:rPr>
          <w:lang w:val="en-US"/>
        </w:rPr>
        <w:t xml:space="preserve"> Tesla was using its assets </w:t>
      </w:r>
      <w:r w:rsidRPr="005A5F9C">
        <w:rPr>
          <w:lang w:val="en-US"/>
        </w:rPr>
        <w:t>efficiently,</w:t>
      </w:r>
      <w:r w:rsidR="005A5F9C" w:rsidRPr="005A5F9C">
        <w:rPr>
          <w:lang w:val="en-US"/>
        </w:rPr>
        <w:t xml:space="preserve"> which is what happens when a company gets bigger and better at what it does</w:t>
      </w:r>
      <w:r w:rsidR="00F8214E">
        <w:rPr>
          <w:lang w:val="en-US"/>
        </w:rPr>
        <w:t xml:space="preserve"> (</w:t>
      </w:r>
      <w:r w:rsidR="00F8214E" w:rsidRPr="00F33836">
        <w:t xml:space="preserve">Fang, </w:t>
      </w:r>
      <w:r w:rsidR="00F8214E">
        <w:t>2</w:t>
      </w:r>
      <w:r w:rsidR="00F8214E" w:rsidRPr="00F33836">
        <w:t>022)</w:t>
      </w:r>
      <w:r w:rsidR="005A5F9C" w:rsidRPr="005A5F9C">
        <w:rPr>
          <w:lang w:val="en-US"/>
        </w:rPr>
        <w:t>.</w:t>
      </w:r>
    </w:p>
    <w:p w14:paraId="3CB2C9A3" w14:textId="29760BC5" w:rsidR="005A5F9C" w:rsidRPr="005A5F9C" w:rsidRDefault="005A5F9C" w:rsidP="005A5F9C">
      <w:pPr>
        <w:rPr>
          <w:lang w:val="en-US"/>
        </w:rPr>
      </w:pPr>
      <w:r w:rsidRPr="005A5F9C">
        <w:rPr>
          <w:lang w:val="en-US"/>
        </w:rPr>
        <w:t xml:space="preserve">Then the ratio went down to 0.87 in 2025, which might mean Tesla is buying too many assets </w:t>
      </w:r>
      <w:r w:rsidR="006E1EAA">
        <w:rPr>
          <w:lang w:val="en-US"/>
        </w:rPr>
        <w:t>or</w:t>
      </w:r>
      <w:r w:rsidRPr="005A5F9C">
        <w:rPr>
          <w:lang w:val="en-US"/>
        </w:rPr>
        <w:t xml:space="preserve"> not making enough money from them. This could be because the company </w:t>
      </w:r>
      <w:r w:rsidR="00931226" w:rsidRPr="005A5F9C">
        <w:rPr>
          <w:lang w:val="en-US"/>
        </w:rPr>
        <w:t>produces many products (automobiles, spare parts and so on) and they are</w:t>
      </w:r>
      <w:r w:rsidRPr="005A5F9C">
        <w:rPr>
          <w:lang w:val="en-US"/>
        </w:rPr>
        <w:t xml:space="preserve"> not selling them fast enough or because it is not using its assets as well as it could</w:t>
      </w:r>
      <w:r w:rsidR="00F8214E">
        <w:rPr>
          <w:lang w:val="en-US"/>
        </w:rPr>
        <w:t xml:space="preserve"> (</w:t>
      </w:r>
      <w:r w:rsidR="00F8214E" w:rsidRPr="00F33836">
        <w:t>Cao, 2025)</w:t>
      </w:r>
      <w:r w:rsidRPr="005A5F9C">
        <w:rPr>
          <w:lang w:val="en-US"/>
        </w:rPr>
        <w:t xml:space="preserve">. Tesla is </w:t>
      </w:r>
      <w:r w:rsidR="008E6CE6" w:rsidRPr="005A5F9C">
        <w:rPr>
          <w:lang w:val="en-US"/>
        </w:rPr>
        <w:t>still pretty good</w:t>
      </w:r>
      <w:r w:rsidRPr="005A5F9C">
        <w:rPr>
          <w:lang w:val="en-US"/>
        </w:rPr>
        <w:t xml:space="preserve"> at using its assets </w:t>
      </w:r>
      <w:r w:rsidR="00931226">
        <w:rPr>
          <w:lang w:val="en-US"/>
        </w:rPr>
        <w:t>considering the value of the ratios;</w:t>
      </w:r>
      <w:r w:rsidRPr="005A5F9C">
        <w:rPr>
          <w:lang w:val="en-US"/>
        </w:rPr>
        <w:t xml:space="preserve"> but the fact that it is getting a little worse means the company needs to pay attention and make some changes.</w:t>
      </w:r>
    </w:p>
    <w:p w14:paraId="31EE389C" w14:textId="77777777" w:rsidR="005A5F9C" w:rsidRPr="005A5F9C" w:rsidRDefault="005A5F9C" w:rsidP="00A07CA1">
      <w:pPr>
        <w:pStyle w:val="Heading2"/>
        <w:rPr>
          <w:lang w:val="en-US"/>
        </w:rPr>
      </w:pPr>
      <w:bookmarkStart w:id="5" w:name="_Toc225846378"/>
      <w:r w:rsidRPr="005A5F9C">
        <w:rPr>
          <w:lang w:val="en-US"/>
        </w:rPr>
        <w:t>1.4 Leverage and Solvency Analysis</w:t>
      </w:r>
      <w:bookmarkEnd w:id="5"/>
    </w:p>
    <w:p w14:paraId="1AFE9848" w14:textId="1A2E0EEC" w:rsidR="005A5F9C" w:rsidRDefault="00A31EC4" w:rsidP="00A07CA1">
      <w:pPr>
        <w:jc w:val="center"/>
        <w:rPr>
          <w:lang w:val="en-US"/>
        </w:rPr>
      </w:pPr>
      <w:r>
        <w:rPr>
          <w:noProof/>
          <w:lang w:val="en-US"/>
        </w:rPr>
        <w:drawing>
          <wp:inline distT="0" distB="0" distL="0" distR="0" wp14:anchorId="3804D482" wp14:editId="441CA68C">
            <wp:extent cx="4999355" cy="3383280"/>
            <wp:effectExtent l="0" t="0" r="0" b="7620"/>
            <wp:docPr id="78819791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99355" cy="3383280"/>
                    </a:xfrm>
                    <a:prstGeom prst="rect">
                      <a:avLst/>
                    </a:prstGeom>
                    <a:noFill/>
                  </pic:spPr>
                </pic:pic>
              </a:graphicData>
            </a:graphic>
          </wp:inline>
        </w:drawing>
      </w:r>
    </w:p>
    <w:p w14:paraId="65767CCF" w14:textId="02DA007F" w:rsidR="002C70E6" w:rsidRDefault="002C70E6" w:rsidP="002C70E6">
      <w:pPr>
        <w:jc w:val="center"/>
        <w:rPr>
          <w:b/>
          <w:bCs/>
          <w:lang w:val="en-US"/>
        </w:rPr>
      </w:pPr>
      <w:r>
        <w:rPr>
          <w:b/>
          <w:bCs/>
          <w:lang w:val="en-US"/>
        </w:rPr>
        <w:t xml:space="preserve">Fig 4: Leverage </w:t>
      </w:r>
      <w:r w:rsidR="00A31EC4">
        <w:rPr>
          <w:b/>
          <w:bCs/>
          <w:lang w:val="en-US"/>
        </w:rPr>
        <w:t>Analysis</w:t>
      </w:r>
    </w:p>
    <w:p w14:paraId="41B8B14C" w14:textId="0D9F06FD" w:rsidR="002C70E6" w:rsidRPr="005A5F9C" w:rsidRDefault="002C70E6" w:rsidP="002C70E6">
      <w:pPr>
        <w:jc w:val="center"/>
        <w:rPr>
          <w:lang w:val="en-US"/>
        </w:rPr>
      </w:pPr>
      <w:r>
        <w:rPr>
          <w:lang w:val="en-US"/>
        </w:rPr>
        <w:t>(Source: Excel)</w:t>
      </w:r>
    </w:p>
    <w:p w14:paraId="3424D34E" w14:textId="7CDD388E" w:rsidR="005A5F9C" w:rsidRPr="005A5F9C" w:rsidRDefault="00931226" w:rsidP="005A5F9C">
      <w:pPr>
        <w:rPr>
          <w:lang w:val="en-US"/>
        </w:rPr>
      </w:pPr>
      <w:r w:rsidRPr="005A5F9C">
        <w:rPr>
          <w:lang w:val="en-US"/>
        </w:rPr>
        <w:t>Tesla’s</w:t>
      </w:r>
      <w:r w:rsidR="005A5F9C" w:rsidRPr="005A5F9C">
        <w:rPr>
          <w:lang w:val="en-US"/>
        </w:rPr>
        <w:t xml:space="preserve"> capital structure has changed a lot over the five years. The debt-to-equity ratio was </w:t>
      </w:r>
      <w:r w:rsidR="008E6CE6" w:rsidRPr="005A5F9C">
        <w:rPr>
          <w:lang w:val="en-US"/>
        </w:rPr>
        <w:t>low</w:t>
      </w:r>
      <w:r w:rsidR="005A5F9C" w:rsidRPr="005A5F9C">
        <w:rPr>
          <w:lang w:val="en-US"/>
        </w:rPr>
        <w:t xml:space="preserve"> from 2021 to </w:t>
      </w:r>
      <w:r w:rsidR="008E6CE6" w:rsidRPr="005A5F9C">
        <w:rPr>
          <w:lang w:val="en-US"/>
        </w:rPr>
        <w:t>2024,</w:t>
      </w:r>
      <w:r w:rsidR="005A5F9C" w:rsidRPr="005A5F9C">
        <w:rPr>
          <w:lang w:val="en-US"/>
        </w:rPr>
        <w:t xml:space="preserve"> going from 0.13 to 0.18. This means Tesla was not relying much on debt to finance its operations</w:t>
      </w:r>
      <w:r w:rsidR="00F8214E">
        <w:rPr>
          <w:lang w:val="en-US"/>
        </w:rPr>
        <w:t xml:space="preserve"> (</w:t>
      </w:r>
      <w:r w:rsidR="00F8214E" w:rsidRPr="00F33836">
        <w:t>Susilawati</w:t>
      </w:r>
      <w:r w:rsidR="00F8214E">
        <w:t xml:space="preserve"> </w:t>
      </w:r>
      <w:r w:rsidR="00F8214E">
        <w:rPr>
          <w:i/>
          <w:iCs/>
        </w:rPr>
        <w:t>et al.,</w:t>
      </w:r>
      <w:r w:rsidR="00F8214E">
        <w:t xml:space="preserve"> 2022)</w:t>
      </w:r>
      <w:r w:rsidR="005A5F9C" w:rsidRPr="005A5F9C">
        <w:rPr>
          <w:lang w:val="en-US"/>
        </w:rPr>
        <w:t>. Then the ratio jumped to 0.28 in 2025, which shows the company is now borrowing more money from outside.</w:t>
      </w:r>
    </w:p>
    <w:p w14:paraId="03CB2650" w14:textId="5BE06DDB" w:rsidR="005A5F9C" w:rsidRPr="005A5F9C" w:rsidRDefault="005A5F9C" w:rsidP="005A5F9C">
      <w:pPr>
        <w:rPr>
          <w:lang w:val="en-US"/>
        </w:rPr>
      </w:pPr>
      <w:r w:rsidRPr="005A5F9C">
        <w:rPr>
          <w:lang w:val="en-US"/>
        </w:rPr>
        <w:t xml:space="preserve">The interest coverage ratios were very strong during this time reaching a high of 72.42 in 2024. Then it dropped to 17.51 in 2025. </w:t>
      </w:r>
      <w:r w:rsidR="00F8214E">
        <w:rPr>
          <w:lang w:val="en-US"/>
        </w:rPr>
        <w:t>T</w:t>
      </w:r>
      <w:r w:rsidRPr="005A5F9C">
        <w:rPr>
          <w:lang w:val="en-US"/>
        </w:rPr>
        <w:t>he overall performance of Tesla's profitability has deteriorated and so has its interest coverage ratio. This indicates that as Tesla continues to borrow, interest expense to a company is increasing and indicates financial stress</w:t>
      </w:r>
      <w:r w:rsidR="00F8214E">
        <w:rPr>
          <w:lang w:val="en-US"/>
        </w:rPr>
        <w:t xml:space="preserve"> (</w:t>
      </w:r>
      <w:r w:rsidR="00F8214E" w:rsidRPr="00F33836">
        <w:t>Firdaus</w:t>
      </w:r>
      <w:r w:rsidR="00F8214E">
        <w:t xml:space="preserve"> and</w:t>
      </w:r>
      <w:r w:rsidR="00F8214E" w:rsidRPr="00F33836">
        <w:t xml:space="preserve"> Tanjung, 2022)</w:t>
      </w:r>
      <w:r w:rsidRPr="005A5F9C">
        <w:rPr>
          <w:lang w:val="en-US"/>
        </w:rPr>
        <w:t>. Similarly to profit, due to the declining profit levels of Tesla, the company is becoming more financially risky due to increased borrowings.</w:t>
      </w:r>
    </w:p>
    <w:p w14:paraId="23898FC6" w14:textId="77777777" w:rsidR="005A5F9C" w:rsidRPr="005A5F9C" w:rsidRDefault="005A5F9C" w:rsidP="005A5F9C">
      <w:pPr>
        <w:rPr>
          <w:lang w:val="en-US"/>
        </w:rPr>
      </w:pPr>
      <w:r w:rsidRPr="005A5F9C">
        <w:rPr>
          <w:lang w:val="en-US"/>
        </w:rPr>
        <w:t>While Tesla remains in good financial standing, the continued increase in borrowings puts the company at increased risk.</w:t>
      </w:r>
    </w:p>
    <w:p w14:paraId="6F5D680F" w14:textId="77777777" w:rsidR="005A5F9C" w:rsidRPr="005A5F9C" w:rsidRDefault="005A5F9C" w:rsidP="00A07CA1">
      <w:pPr>
        <w:pStyle w:val="Heading2"/>
        <w:rPr>
          <w:lang w:val="en-US"/>
        </w:rPr>
      </w:pPr>
      <w:bookmarkStart w:id="6" w:name="_Toc225846379"/>
      <w:r w:rsidRPr="005A5F9C">
        <w:rPr>
          <w:lang w:val="en-US"/>
        </w:rPr>
        <w:t>1.5 Investor and Market Performance</w:t>
      </w:r>
      <w:bookmarkEnd w:id="6"/>
    </w:p>
    <w:p w14:paraId="6D6DEC13" w14:textId="733B41A0" w:rsidR="005A5F9C" w:rsidRDefault="00A31EC4" w:rsidP="00A07CA1">
      <w:pPr>
        <w:jc w:val="center"/>
        <w:rPr>
          <w:lang w:val="en-US"/>
        </w:rPr>
      </w:pPr>
      <w:r>
        <w:rPr>
          <w:noProof/>
          <w:lang w:val="en-US"/>
        </w:rPr>
        <w:drawing>
          <wp:inline distT="0" distB="0" distL="0" distR="0" wp14:anchorId="2EBFEB0A" wp14:editId="1861991A">
            <wp:extent cx="5090795" cy="3347085"/>
            <wp:effectExtent l="0" t="0" r="0" b="5715"/>
            <wp:docPr id="15207815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090795" cy="3347085"/>
                    </a:xfrm>
                    <a:prstGeom prst="rect">
                      <a:avLst/>
                    </a:prstGeom>
                    <a:noFill/>
                  </pic:spPr>
                </pic:pic>
              </a:graphicData>
            </a:graphic>
          </wp:inline>
        </w:drawing>
      </w:r>
    </w:p>
    <w:p w14:paraId="224C2290" w14:textId="5A265160" w:rsidR="002C70E6" w:rsidRDefault="002C70E6" w:rsidP="002C70E6">
      <w:pPr>
        <w:jc w:val="center"/>
        <w:rPr>
          <w:b/>
          <w:bCs/>
          <w:lang w:val="en-US"/>
        </w:rPr>
      </w:pPr>
      <w:r>
        <w:rPr>
          <w:b/>
          <w:bCs/>
          <w:lang w:val="en-US"/>
        </w:rPr>
        <w:t xml:space="preserve">Fig 5: Investor </w:t>
      </w:r>
      <w:r w:rsidR="00A31EC4">
        <w:rPr>
          <w:b/>
          <w:bCs/>
          <w:lang w:val="en-US"/>
        </w:rPr>
        <w:t>Valuation Analysis</w:t>
      </w:r>
    </w:p>
    <w:p w14:paraId="61F8D68F" w14:textId="5DD6B664" w:rsidR="002C70E6" w:rsidRPr="005A5F9C" w:rsidRDefault="002C70E6" w:rsidP="002C70E6">
      <w:pPr>
        <w:jc w:val="center"/>
        <w:rPr>
          <w:lang w:val="en-US"/>
        </w:rPr>
      </w:pPr>
      <w:r>
        <w:rPr>
          <w:lang w:val="en-US"/>
        </w:rPr>
        <w:t>(Source: Excel)</w:t>
      </w:r>
    </w:p>
    <w:p w14:paraId="58A2830C" w14:textId="49A1EDD4" w:rsidR="00F858BB" w:rsidRPr="00F858BB" w:rsidRDefault="00F858BB" w:rsidP="00F858BB">
      <w:pPr>
        <w:rPr>
          <w:lang w:val="en-US"/>
        </w:rPr>
      </w:pPr>
      <w:r w:rsidRPr="00F858BB">
        <w:rPr>
          <w:lang w:val="en-US"/>
        </w:rPr>
        <w:t>According to multiple key metrics, Tesla has been inconsistent throughout the period, with 2021 through 2023 showing upward movements of its earnings per share although the $1.63 to $4.30 decline down to $1.08 by 2025 mirrors Tesla's continuing decline in net income. </w:t>
      </w:r>
    </w:p>
    <w:p w14:paraId="4288D901" w14:textId="3202663D" w:rsidR="005A5F9C" w:rsidRPr="005A5F9C" w:rsidRDefault="00F858BB" w:rsidP="00F858BB">
      <w:pPr>
        <w:rPr>
          <w:lang w:val="en-US"/>
        </w:rPr>
      </w:pPr>
      <w:r w:rsidRPr="00F858BB">
        <w:rPr>
          <w:lang w:val="en-US"/>
        </w:rPr>
        <w:t>Despite the decrease in earnings per share, the P/E ratio increased dramatically reaching a level of 398.53 by 2025. Therefore, it can be said that the level of confidence among investors regarding Tesla's future is very high and</w:t>
      </w:r>
      <w:r>
        <w:rPr>
          <w:lang w:val="en-US"/>
        </w:rPr>
        <w:t xml:space="preserve"> </w:t>
      </w:r>
      <w:r w:rsidRPr="00F858BB">
        <w:rPr>
          <w:lang w:val="en-US"/>
        </w:rPr>
        <w:t>the company's future growth and ongoing innovation (Ferniawan et al.) will be significant factors that drive Tesla's stock price higher or lower depending on future actual results vs expectations. </w:t>
      </w:r>
    </w:p>
    <w:p w14:paraId="16F9E17E" w14:textId="77777777" w:rsidR="005A5F9C" w:rsidRPr="005A5F9C" w:rsidRDefault="005A5F9C" w:rsidP="00A07CA1">
      <w:pPr>
        <w:pStyle w:val="Heading2"/>
        <w:rPr>
          <w:lang w:val="en-US"/>
        </w:rPr>
      </w:pPr>
      <w:bookmarkStart w:id="7" w:name="_Toc225846380"/>
      <w:r w:rsidRPr="005A5F9C">
        <w:rPr>
          <w:lang w:val="en-US"/>
        </w:rPr>
        <w:t>1.6 Cash Flow Analysis</w:t>
      </w:r>
      <w:bookmarkEnd w:id="7"/>
    </w:p>
    <w:p w14:paraId="0B4C685B" w14:textId="780F5D12" w:rsidR="005A5F9C" w:rsidRDefault="00A31EC4" w:rsidP="00A07CA1">
      <w:pPr>
        <w:jc w:val="center"/>
        <w:rPr>
          <w:lang w:val="en-US"/>
        </w:rPr>
      </w:pPr>
      <w:r>
        <w:rPr>
          <w:noProof/>
          <w:lang w:val="en-US"/>
        </w:rPr>
        <w:drawing>
          <wp:inline distT="0" distB="0" distL="0" distR="0" wp14:anchorId="6C6A1C77" wp14:editId="014CBD86">
            <wp:extent cx="5114925" cy="3328670"/>
            <wp:effectExtent l="0" t="0" r="9525" b="5080"/>
            <wp:docPr id="39425606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14925" cy="3328670"/>
                    </a:xfrm>
                    <a:prstGeom prst="rect">
                      <a:avLst/>
                    </a:prstGeom>
                    <a:noFill/>
                  </pic:spPr>
                </pic:pic>
              </a:graphicData>
            </a:graphic>
          </wp:inline>
        </w:drawing>
      </w:r>
    </w:p>
    <w:p w14:paraId="35D70E42" w14:textId="63E5D3FF" w:rsidR="002C70E6" w:rsidRDefault="002C70E6" w:rsidP="002C70E6">
      <w:pPr>
        <w:jc w:val="center"/>
        <w:rPr>
          <w:b/>
          <w:bCs/>
          <w:lang w:val="en-US"/>
        </w:rPr>
      </w:pPr>
      <w:r>
        <w:rPr>
          <w:b/>
          <w:bCs/>
          <w:lang w:val="en-US"/>
        </w:rPr>
        <w:t xml:space="preserve">Fig 6: Cash </w:t>
      </w:r>
      <w:r w:rsidR="00A31EC4">
        <w:rPr>
          <w:b/>
          <w:bCs/>
          <w:lang w:val="en-US"/>
        </w:rPr>
        <w:t>Flow Performance Analysis</w:t>
      </w:r>
    </w:p>
    <w:p w14:paraId="3C52215F" w14:textId="164ABE2A" w:rsidR="002C70E6" w:rsidRPr="005A5F9C" w:rsidRDefault="002C70E6" w:rsidP="002C70E6">
      <w:pPr>
        <w:jc w:val="center"/>
        <w:rPr>
          <w:lang w:val="en-US"/>
        </w:rPr>
      </w:pPr>
      <w:r>
        <w:rPr>
          <w:lang w:val="en-US"/>
        </w:rPr>
        <w:t>(Source: Excel)</w:t>
      </w:r>
    </w:p>
    <w:p w14:paraId="4E2884B4" w14:textId="5B5C8A7B" w:rsidR="00F858BB" w:rsidRPr="00F858BB" w:rsidRDefault="00F858BB" w:rsidP="00F858BB">
      <w:pPr>
        <w:rPr>
          <w:lang w:val="en-US"/>
        </w:rPr>
      </w:pPr>
      <w:r w:rsidRPr="00F858BB">
        <w:rPr>
          <w:lang w:val="en-US"/>
        </w:rPr>
        <w:t>As far as cash flow is concerned, Tesla reflects how successful they have been as a business, and from an operational perspective, has seen many positive operating cash inflows for each of the previous four years with the cumulative cash flow amount increasing from $11,497 million in 2021 to $14,747 million in 2025 (Tesla, 2026; The Wall Street Journal, 2026). Therefore, even though profit was negatively impacted in this time span, Teslas has still generated very large amounts of positive cash flow through operations.</w:t>
      </w:r>
    </w:p>
    <w:p w14:paraId="25DAEBD5" w14:textId="47DF44BB" w:rsidR="00F858BB" w:rsidRPr="00F858BB" w:rsidRDefault="00F858BB" w:rsidP="00F858BB">
      <w:pPr>
        <w:rPr>
          <w:lang w:val="en-US"/>
        </w:rPr>
      </w:pPr>
      <w:r w:rsidRPr="00F858BB">
        <w:rPr>
          <w:lang w:val="en-US"/>
        </w:rPr>
        <w:t>Tesla's cash flow margin has risen from 16% of revenues in 2021 to 21% of revenues in 2025, indicating that the corporation continues to become more effective at converting dollars of revenue into cash. Such efficiencies illustrate that Tesla has effectively run its business and will continue to be fiscally sound. Furthermore, Tesla has maintained an excellent level of cash conversion efficiency, which can be viewed as further proof of Tesla making a profit regardless of being able to report profit.</w:t>
      </w:r>
    </w:p>
    <w:p w14:paraId="469D42AB" w14:textId="1F3C76E5" w:rsidR="005A5F9C" w:rsidRPr="005A5F9C" w:rsidRDefault="00F858BB" w:rsidP="00F858BB">
      <w:pPr>
        <w:rPr>
          <w:lang w:val="en-US"/>
        </w:rPr>
      </w:pPr>
      <w:r w:rsidRPr="00F858BB">
        <w:rPr>
          <w:lang w:val="en-US"/>
        </w:rPr>
        <w:t>In contrast, cash conversion efficiency has been somewhat volatile, decreasing from 3.04 in 2021 to 1.06 in 2024 and reversing back to 1.77 in 2025, which indicates that Tesla may have overestimated their earning power. Nonetheless, overall strong cash flow is positive for Tesla and will enable the company to invest in future endeavors and meet financial obligations.</w:t>
      </w:r>
    </w:p>
    <w:p w14:paraId="1A1362CE" w14:textId="03E15F39" w:rsidR="005A5F9C" w:rsidRPr="005A5F9C" w:rsidRDefault="00A07CA1" w:rsidP="00A07CA1">
      <w:pPr>
        <w:pStyle w:val="Heading2"/>
        <w:rPr>
          <w:lang w:val="en-US"/>
        </w:rPr>
      </w:pPr>
      <w:bookmarkStart w:id="8" w:name="_Toc225846381"/>
      <w:r>
        <w:rPr>
          <w:lang w:val="en-US"/>
        </w:rPr>
        <w:t xml:space="preserve">1.7 </w:t>
      </w:r>
      <w:r w:rsidR="005A5F9C" w:rsidRPr="005A5F9C">
        <w:rPr>
          <w:lang w:val="en-US"/>
        </w:rPr>
        <w:t>Overall Financial Position and Key Issues</w:t>
      </w:r>
      <w:bookmarkEnd w:id="8"/>
    </w:p>
    <w:p w14:paraId="74C233A7" w14:textId="77777777" w:rsidR="005A5F9C" w:rsidRPr="005A5F9C" w:rsidRDefault="005A5F9C" w:rsidP="005A5F9C">
      <w:pPr>
        <w:rPr>
          <w:lang w:val="en-US"/>
        </w:rPr>
      </w:pPr>
      <w:r w:rsidRPr="005A5F9C">
        <w:rPr>
          <w:lang w:val="en-US"/>
        </w:rPr>
        <w:t>In summary Teslas financial performance over the five years has been a mix of good and bad. The company has grown its revenue. Been profitable and it has used its assets efficiently. It has also generated a lot of cash which's good for investing in its future and paying its debts.</w:t>
      </w:r>
    </w:p>
    <w:p w14:paraId="59447E0F" w14:textId="0B88F1B5" w:rsidR="005A5F9C" w:rsidRPr="005A5F9C" w:rsidRDefault="005A5F9C" w:rsidP="005A5F9C">
      <w:pPr>
        <w:rPr>
          <w:lang w:val="en-US"/>
        </w:rPr>
      </w:pPr>
      <w:r w:rsidRPr="005A5F9C">
        <w:rPr>
          <w:lang w:val="en-US"/>
        </w:rPr>
        <w:t xml:space="preserve">There are some concerns. Teslas profitability has been going down. Its liquidity is getting weaker. The company is also borrowing money, which increases its financial </w:t>
      </w:r>
      <w:r w:rsidR="008E6CE6" w:rsidRPr="005A5F9C">
        <w:rPr>
          <w:lang w:val="en-US"/>
        </w:rPr>
        <w:t>risk.</w:t>
      </w:r>
      <w:r w:rsidRPr="005A5F9C">
        <w:rPr>
          <w:lang w:val="en-US"/>
        </w:rPr>
        <w:t xml:space="preserve"> The fact that the stock price is so high compared to its earnings means that investors might be expecting too much from the company.</w:t>
      </w:r>
    </w:p>
    <w:p w14:paraId="78882779" w14:textId="20FDF1C0" w:rsidR="00766B03" w:rsidRDefault="005A5F9C" w:rsidP="005A5F9C">
      <w:pPr>
        <w:rPr>
          <w:lang w:val="en-US"/>
        </w:rPr>
      </w:pPr>
      <w:r w:rsidRPr="005A5F9C">
        <w:rPr>
          <w:lang w:val="en-US"/>
        </w:rPr>
        <w:t xml:space="preserve">Tesla needs to focus on making its operations more efficient using its assets better and managing its cash flow carefully. It also needs to make sure that investors have expectations about the companys future. If Tesla can do these things, it will </w:t>
      </w:r>
      <w:r w:rsidR="008E6CE6" w:rsidRPr="005A5F9C">
        <w:rPr>
          <w:lang w:val="en-US"/>
        </w:rPr>
        <w:t>be</w:t>
      </w:r>
      <w:r w:rsidRPr="005A5F9C">
        <w:rPr>
          <w:lang w:val="en-US"/>
        </w:rPr>
        <w:t xml:space="preserve"> </w:t>
      </w:r>
      <w:r w:rsidR="008E6CE6" w:rsidRPr="005A5F9C">
        <w:rPr>
          <w:lang w:val="en-US"/>
        </w:rPr>
        <w:t>able</w:t>
      </w:r>
      <w:r w:rsidRPr="005A5F9C">
        <w:rPr>
          <w:lang w:val="en-US"/>
        </w:rPr>
        <w:t xml:space="preserve"> to keep growing and creating value for its investors. If it does not the company might face some challenges in the future.</w:t>
      </w:r>
    </w:p>
    <w:p w14:paraId="35B0FF46" w14:textId="77777777" w:rsidR="008E6CE6" w:rsidRPr="008E6CE6" w:rsidRDefault="008E6CE6" w:rsidP="00A07CA1">
      <w:pPr>
        <w:pStyle w:val="Heading1"/>
        <w:rPr>
          <w:lang w:val="en-US"/>
        </w:rPr>
      </w:pPr>
      <w:bookmarkStart w:id="9" w:name="_Toc225846382"/>
      <w:r w:rsidRPr="008E6CE6">
        <w:rPr>
          <w:lang w:val="en-US"/>
        </w:rPr>
        <w:t>2. Working Capital Management Analysis</w:t>
      </w:r>
      <w:bookmarkEnd w:id="9"/>
    </w:p>
    <w:p w14:paraId="00074B9D" w14:textId="77777777" w:rsidR="008E6CE6" w:rsidRPr="008E6CE6" w:rsidRDefault="008E6CE6" w:rsidP="00A07CA1">
      <w:pPr>
        <w:pStyle w:val="Heading2"/>
        <w:rPr>
          <w:lang w:val="en-US"/>
        </w:rPr>
      </w:pPr>
      <w:bookmarkStart w:id="10" w:name="_Toc225846383"/>
      <w:r w:rsidRPr="008E6CE6">
        <w:rPr>
          <w:lang w:val="en-US"/>
        </w:rPr>
        <w:t>2.1 Cash Operating Cycle Assessment</w:t>
      </w:r>
      <w:bookmarkEnd w:id="10"/>
    </w:p>
    <w:p w14:paraId="32EC6342" w14:textId="03B9DDAA" w:rsidR="008E6CE6" w:rsidRDefault="00F55645" w:rsidP="00A07CA1">
      <w:pPr>
        <w:jc w:val="center"/>
        <w:rPr>
          <w:lang w:val="en-US"/>
        </w:rPr>
      </w:pPr>
      <w:r>
        <w:rPr>
          <w:noProof/>
          <w14:ligatures w14:val="standardContextual"/>
        </w:rPr>
        <w:drawing>
          <wp:inline distT="0" distB="0" distL="0" distR="0" wp14:anchorId="0C798692" wp14:editId="7FB315DD">
            <wp:extent cx="5715000" cy="4165600"/>
            <wp:effectExtent l="0" t="0" r="0" b="6350"/>
            <wp:docPr id="1807488964" name="Chart 1">
              <a:extLst xmlns:a="http://schemas.openxmlformats.org/drawingml/2006/main">
                <a:ext uri="{FF2B5EF4-FFF2-40B4-BE49-F238E27FC236}">
                  <a16:creationId xmlns:a16="http://schemas.microsoft.com/office/drawing/2014/main" id="{5AF2DED0-AD90-3325-B2E0-9827B278C3A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39471821" w14:textId="5B5260AE" w:rsidR="002C70E6" w:rsidRDefault="002C70E6" w:rsidP="002C70E6">
      <w:pPr>
        <w:jc w:val="center"/>
        <w:rPr>
          <w:b/>
          <w:bCs/>
          <w:lang w:val="en-US"/>
        </w:rPr>
      </w:pPr>
      <w:r>
        <w:rPr>
          <w:b/>
          <w:bCs/>
          <w:lang w:val="en-US"/>
        </w:rPr>
        <w:t>Fig 7: Cash Operating Cycle analysis</w:t>
      </w:r>
    </w:p>
    <w:p w14:paraId="1C95C8DA" w14:textId="77758805" w:rsidR="002C70E6" w:rsidRPr="008E6CE6" w:rsidRDefault="002C70E6" w:rsidP="002C70E6">
      <w:pPr>
        <w:jc w:val="center"/>
        <w:rPr>
          <w:lang w:val="en-US"/>
        </w:rPr>
      </w:pPr>
      <w:r>
        <w:rPr>
          <w:lang w:val="en-US"/>
        </w:rPr>
        <w:t>(Source: Excel)</w:t>
      </w:r>
    </w:p>
    <w:p w14:paraId="31A8AEAD" w14:textId="4C54C097" w:rsidR="008E6CE6" w:rsidRPr="008E6CE6" w:rsidRDefault="008E6CE6" w:rsidP="008E6CE6">
      <w:pPr>
        <w:rPr>
          <w:lang w:val="en-US"/>
        </w:rPr>
      </w:pPr>
      <w:r w:rsidRPr="008E6CE6">
        <w:rPr>
          <w:lang w:val="en-US"/>
        </w:rPr>
        <w:t xml:space="preserve">The cash operating </w:t>
      </w:r>
      <w:r w:rsidR="00780F35">
        <w:rPr>
          <w:lang w:val="en-US"/>
        </w:rPr>
        <w:t xml:space="preserve">or conversion </w:t>
      </w:r>
      <w:r w:rsidRPr="008E6CE6">
        <w:rPr>
          <w:lang w:val="en-US"/>
        </w:rPr>
        <w:t>cycle</w:t>
      </w:r>
      <w:r w:rsidR="00780F35">
        <w:rPr>
          <w:lang w:val="en-US"/>
        </w:rPr>
        <w:t xml:space="preserve"> (CCC)</w:t>
      </w:r>
      <w:r w:rsidRPr="008E6CE6">
        <w:rPr>
          <w:lang w:val="en-US"/>
        </w:rPr>
        <w:t xml:space="preserve"> is the time it takes for Tesla to turn the </w:t>
      </w:r>
      <w:r w:rsidR="00780F35">
        <w:rPr>
          <w:lang w:val="en-US"/>
        </w:rPr>
        <w:t>assets</w:t>
      </w:r>
      <w:r w:rsidRPr="008E6CE6">
        <w:rPr>
          <w:lang w:val="en-US"/>
        </w:rPr>
        <w:t xml:space="preserve"> like inventory into cash from sales. Tesla's cash operating cycle has been negati</w:t>
      </w:r>
      <w:r w:rsidR="00A31EC4">
        <w:rPr>
          <w:lang w:val="en-US"/>
        </w:rPr>
        <w:t>ve</w:t>
      </w:r>
      <w:r w:rsidRPr="008E6CE6">
        <w:rPr>
          <w:lang w:val="en-US"/>
        </w:rPr>
        <w:t xml:space="preserve"> for the past five years. In 2021, its cash operating cycle was -67.47 days; in 2022, it was -22.33 days; in 2023, it was -0.49 days; in 2024, it was -8.55 days; and in 2025, it was -0.92 days. A negative cash operating cycle means Tesla is receiving cash from its customers before it pays its suppliers</w:t>
      </w:r>
      <w:r w:rsidR="00780F35">
        <w:rPr>
          <w:lang w:val="en-US"/>
        </w:rPr>
        <w:t xml:space="preserve"> (</w:t>
      </w:r>
      <w:r w:rsidR="00780F35" w:rsidRPr="00546567">
        <w:t xml:space="preserve">Zaher </w:t>
      </w:r>
      <w:r w:rsidR="00780F35">
        <w:t>and</w:t>
      </w:r>
      <w:r w:rsidR="00780F35" w:rsidRPr="00546567">
        <w:t xml:space="preserve"> Illescas, 2022</w:t>
      </w:r>
      <w:r w:rsidR="00780F35">
        <w:t xml:space="preserve">; </w:t>
      </w:r>
      <w:r w:rsidR="00780F35" w:rsidRPr="00546567">
        <w:t>Habib</w:t>
      </w:r>
      <w:r w:rsidR="00780F35">
        <w:t xml:space="preserve"> </w:t>
      </w:r>
      <w:r w:rsidR="00780F35">
        <w:rPr>
          <w:i/>
          <w:iCs/>
        </w:rPr>
        <w:t>et al.,</w:t>
      </w:r>
      <w:r w:rsidR="00780F35">
        <w:t xml:space="preserve"> 2022)</w:t>
      </w:r>
      <w:r w:rsidRPr="008E6CE6">
        <w:rPr>
          <w:lang w:val="en-US"/>
        </w:rPr>
        <w:t>. This is a sign that Tesla is managing its working capital well.</w:t>
      </w:r>
    </w:p>
    <w:p w14:paraId="0D350F67" w14:textId="4E01494D" w:rsidR="008E6CE6" w:rsidRPr="008E6CE6" w:rsidRDefault="008E6CE6" w:rsidP="008E6CE6">
      <w:pPr>
        <w:rPr>
          <w:lang w:val="en-US"/>
        </w:rPr>
      </w:pPr>
      <w:r w:rsidRPr="008E6CE6">
        <w:rPr>
          <w:lang w:val="en-US"/>
        </w:rPr>
        <w:t>In 2021</w:t>
      </w:r>
      <w:r w:rsidR="00A07CA1">
        <w:rPr>
          <w:lang w:val="en-US"/>
        </w:rPr>
        <w:t>,</w:t>
      </w:r>
      <w:r w:rsidRPr="008E6CE6">
        <w:rPr>
          <w:lang w:val="en-US"/>
        </w:rPr>
        <w:t xml:space="preserve"> Tesla</w:t>
      </w:r>
      <w:r w:rsidR="00A07CA1">
        <w:rPr>
          <w:lang w:val="en-US"/>
        </w:rPr>
        <w:t>’</w:t>
      </w:r>
      <w:r w:rsidRPr="008E6CE6">
        <w:rPr>
          <w:lang w:val="en-US"/>
        </w:rPr>
        <w:t>s cash operating cycle was very negative which means the company was very efficient. This was probably because a lot of people wanted to buy Teslas products and the company was getting paid by customers before it had to pay its suppliers</w:t>
      </w:r>
      <w:r w:rsidR="00780F35">
        <w:rPr>
          <w:lang w:val="en-US"/>
        </w:rPr>
        <w:t xml:space="preserve"> (</w:t>
      </w:r>
      <w:r w:rsidR="00780F35" w:rsidRPr="00546567">
        <w:t xml:space="preserve">Akpadaka </w:t>
      </w:r>
      <w:r w:rsidR="00780F35">
        <w:t>and</w:t>
      </w:r>
      <w:r w:rsidR="00780F35" w:rsidRPr="00546567">
        <w:t xml:space="preserve"> Edeh, 2024)</w:t>
      </w:r>
      <w:r w:rsidRPr="008E6CE6">
        <w:rPr>
          <w:lang w:val="en-US"/>
        </w:rPr>
        <w:t>. Over time</w:t>
      </w:r>
      <w:r w:rsidR="00780F35">
        <w:rPr>
          <w:lang w:val="en-US"/>
        </w:rPr>
        <w:t>,</w:t>
      </w:r>
      <w:r w:rsidRPr="008E6CE6">
        <w:rPr>
          <w:lang w:val="en-US"/>
        </w:rPr>
        <w:t xml:space="preserve"> the cash operating cycle got less negative which means Tesla is not as efficient as it used to be. By 2025 the cash operating cycle is zero, which means Tesla is not getting as much help from its suppliers.</w:t>
      </w:r>
    </w:p>
    <w:p w14:paraId="479CA328" w14:textId="77777777" w:rsidR="008E6CE6" w:rsidRPr="008E6CE6" w:rsidRDefault="008E6CE6" w:rsidP="00A07CA1">
      <w:pPr>
        <w:pStyle w:val="Heading2"/>
        <w:rPr>
          <w:lang w:val="en-US"/>
        </w:rPr>
      </w:pPr>
      <w:bookmarkStart w:id="11" w:name="_Toc225846384"/>
      <w:r w:rsidRPr="008E6CE6">
        <w:rPr>
          <w:lang w:val="en-US"/>
        </w:rPr>
        <w:t>2.2 Receivables Management</w:t>
      </w:r>
      <w:bookmarkEnd w:id="11"/>
    </w:p>
    <w:p w14:paraId="5F2C0CF9" w14:textId="1B101F05" w:rsidR="008E6CE6" w:rsidRPr="008E6CE6" w:rsidRDefault="00780F35" w:rsidP="008E6CE6">
      <w:pPr>
        <w:rPr>
          <w:lang w:val="en-US"/>
        </w:rPr>
      </w:pPr>
      <w:r>
        <w:rPr>
          <w:lang w:val="en-US"/>
        </w:rPr>
        <w:t>Receivable days observations show that T</w:t>
      </w:r>
      <w:r w:rsidR="008E6CE6" w:rsidRPr="008E6CE6">
        <w:rPr>
          <w:lang w:val="en-US"/>
        </w:rPr>
        <w:t>esla collects cash from customers quickly. It only takes a day to get paid. In 2021 it took 2.52 days to get paid. In the years after that it took less than 1.5 days. This is because Tesla sells its products directly to customers and gets paid upfront.</w:t>
      </w:r>
    </w:p>
    <w:p w14:paraId="37FA8553" w14:textId="77777777" w:rsidR="008E6CE6" w:rsidRPr="008E6CE6" w:rsidRDefault="008E6CE6" w:rsidP="008E6CE6">
      <w:pPr>
        <w:rPr>
          <w:lang w:val="en-US"/>
        </w:rPr>
      </w:pPr>
      <w:r w:rsidRPr="008E6CE6">
        <w:rPr>
          <w:lang w:val="en-US"/>
        </w:rPr>
        <w:t>The fact that Tesla collects cash quickly means it has a lot of liquidity and does not have to worry as much about customers not paying. This also gives Tesla an advantage over companies because it does not have to tie up a lot of money in accounts receivable.</w:t>
      </w:r>
    </w:p>
    <w:p w14:paraId="20D984F7" w14:textId="77777777" w:rsidR="008E6CE6" w:rsidRPr="008E6CE6" w:rsidRDefault="008E6CE6" w:rsidP="00A07CA1">
      <w:pPr>
        <w:pStyle w:val="Heading2"/>
        <w:rPr>
          <w:lang w:val="en-US"/>
        </w:rPr>
      </w:pPr>
      <w:bookmarkStart w:id="12" w:name="_Toc225846385"/>
      <w:r w:rsidRPr="008E6CE6">
        <w:rPr>
          <w:lang w:val="en-US"/>
        </w:rPr>
        <w:t>2.3 Inventory Management</w:t>
      </w:r>
      <w:bookmarkEnd w:id="12"/>
    </w:p>
    <w:p w14:paraId="53CEB9F7" w14:textId="7F1652DA" w:rsidR="008E6CE6" w:rsidRPr="008E6CE6" w:rsidRDefault="008E6CE6" w:rsidP="008E6CE6">
      <w:pPr>
        <w:rPr>
          <w:lang w:val="en-US"/>
        </w:rPr>
      </w:pPr>
      <w:r w:rsidRPr="008E6CE6">
        <w:rPr>
          <w:lang w:val="en-US"/>
        </w:rPr>
        <w:t>The number of inventory days for Tesla is an important factor; for example, Tesla had 'days of inventory' of 60 days in 2021, and in 2022 had 59.47 days, which indicates that Tesla improved on its efficiency regarding the selling of its items and how well it manages its inventory during this period. After 2022, Tesla continued to see a slight increase in its 'days of inventory', but this increased amount has continued to be approximately 62 days.</w:t>
      </w:r>
    </w:p>
    <w:p w14:paraId="3CC12873" w14:textId="03CDEAE6" w:rsidR="008E6CE6" w:rsidRPr="008E6CE6" w:rsidRDefault="008E6CE6" w:rsidP="008E6CE6">
      <w:pPr>
        <w:rPr>
          <w:lang w:val="en-US"/>
        </w:rPr>
      </w:pPr>
      <w:r w:rsidRPr="008E6CE6">
        <w:rPr>
          <w:lang w:val="en-US"/>
        </w:rPr>
        <w:t>For Tesla, having an appropriate amount of inventory is a very important factor for, as having too much inventory you will have a high cost of carrying it or having too little may not let the company meet customer demand for the products you sell. Based on this, Tesla has appeared to have reached a balance point; however, the company has not made any material improvements in managing its inventory.</w:t>
      </w:r>
    </w:p>
    <w:p w14:paraId="593996F2" w14:textId="77777777" w:rsidR="008E6CE6" w:rsidRPr="008E6CE6" w:rsidRDefault="008E6CE6" w:rsidP="008E6CE6">
      <w:pPr>
        <w:rPr>
          <w:lang w:val="en-US"/>
        </w:rPr>
      </w:pPr>
      <w:r w:rsidRPr="008E6CE6">
        <w:rPr>
          <w:lang w:val="en-US"/>
        </w:rPr>
        <w:t>Some factors might be contributing to Tesla's struggles with inventory management include their inability to procure the necessary parts in a timely manner, producing more than they have historically produced, and/or that they are being overly cautious with them building an appropriate level of inventory (in the event that something occurs and they cannot operate a production line).</w:t>
      </w:r>
    </w:p>
    <w:p w14:paraId="1160B395" w14:textId="77777777" w:rsidR="008E6CE6" w:rsidRPr="008E6CE6" w:rsidRDefault="008E6CE6" w:rsidP="00A07CA1">
      <w:pPr>
        <w:pStyle w:val="Heading2"/>
        <w:rPr>
          <w:lang w:val="en-US"/>
        </w:rPr>
      </w:pPr>
      <w:bookmarkStart w:id="13" w:name="_Toc225846386"/>
      <w:r w:rsidRPr="008E6CE6">
        <w:rPr>
          <w:lang w:val="en-US"/>
        </w:rPr>
        <w:t>2.4 Payables Management</w:t>
      </w:r>
      <w:bookmarkEnd w:id="13"/>
    </w:p>
    <w:p w14:paraId="45D623A9" w14:textId="729023C7" w:rsidR="008E6CE6" w:rsidRPr="008E6CE6" w:rsidRDefault="008E6CE6" w:rsidP="008E6CE6">
      <w:pPr>
        <w:rPr>
          <w:lang w:val="en-US"/>
        </w:rPr>
      </w:pPr>
      <w:r w:rsidRPr="008E6CE6">
        <w:rPr>
          <w:lang w:val="en-US"/>
        </w:rPr>
        <w:t>The number of days it takes Tesla to pay its suppliers has become progressively shorter over time; from 135.29 in 2021 to only 64.45 in 2025, demonstrating that they have reduced their reliance on supplier credits as a source of funds needed to operate</w:t>
      </w:r>
      <w:r w:rsidR="00510340">
        <w:rPr>
          <w:lang w:val="en-US"/>
        </w:rPr>
        <w:t xml:space="preserve"> (</w:t>
      </w:r>
      <w:r w:rsidR="00510340" w:rsidRPr="00267874">
        <w:t xml:space="preserve">Burnie </w:t>
      </w:r>
      <w:r w:rsidR="00510340">
        <w:t>and</w:t>
      </w:r>
      <w:r w:rsidR="00510340" w:rsidRPr="00267874">
        <w:t xml:space="preserve"> Ridder, 2023)</w:t>
      </w:r>
      <w:r w:rsidRPr="008E6CE6">
        <w:rPr>
          <w:lang w:val="en-US"/>
        </w:rPr>
        <w:t>.</w:t>
      </w:r>
    </w:p>
    <w:p w14:paraId="4322DDA4" w14:textId="545FAB78" w:rsidR="008E6CE6" w:rsidRPr="008E6CE6" w:rsidRDefault="008E6CE6" w:rsidP="008E6CE6">
      <w:pPr>
        <w:rPr>
          <w:lang w:val="en-US"/>
        </w:rPr>
      </w:pPr>
      <w:r w:rsidRPr="008E6CE6">
        <w:rPr>
          <w:lang w:val="en-US"/>
        </w:rPr>
        <w:t xml:space="preserve">In 2021 Tesla took a time to pay its suppliers. This could mean that Tesla had a lot of power over its suppliers or it was waiting to pay them so it could keep </w:t>
      </w:r>
      <w:r w:rsidR="00510340">
        <w:rPr>
          <w:lang w:val="en-US"/>
        </w:rPr>
        <w:t>its cash position</w:t>
      </w:r>
      <w:r w:rsidRPr="008E6CE6">
        <w:rPr>
          <w:lang w:val="en-US"/>
        </w:rPr>
        <w:t xml:space="preserve">. </w:t>
      </w:r>
      <w:r w:rsidR="00510340">
        <w:rPr>
          <w:lang w:val="en-US"/>
        </w:rPr>
        <w:t>This implies that n</w:t>
      </w:r>
      <w:r w:rsidRPr="008E6CE6">
        <w:rPr>
          <w:lang w:val="en-US"/>
        </w:rPr>
        <w:t>ow Tesla is paying its suppliers faster</w:t>
      </w:r>
      <w:r w:rsidR="00510340">
        <w:rPr>
          <w:lang w:val="en-US"/>
        </w:rPr>
        <w:t xml:space="preserve"> than earlier</w:t>
      </w:r>
      <w:r w:rsidRPr="008E6CE6">
        <w:rPr>
          <w:lang w:val="en-US"/>
        </w:rPr>
        <w:t>. This could be because the company wants to have relationships with its suppliers or it wants to make sure it can get the parts it needs.</w:t>
      </w:r>
    </w:p>
    <w:p w14:paraId="5B49A59A" w14:textId="77777777" w:rsidR="008E6CE6" w:rsidRPr="008E6CE6" w:rsidRDefault="008E6CE6" w:rsidP="00A07CA1">
      <w:pPr>
        <w:pStyle w:val="Heading2"/>
        <w:rPr>
          <w:lang w:val="en-US"/>
        </w:rPr>
      </w:pPr>
      <w:bookmarkStart w:id="14" w:name="_Toc225846387"/>
      <w:r w:rsidRPr="008E6CE6">
        <w:rPr>
          <w:lang w:val="en-US"/>
        </w:rPr>
        <w:t>2.5 Overall Working Capital Efficiency</w:t>
      </w:r>
      <w:bookmarkEnd w:id="14"/>
    </w:p>
    <w:p w14:paraId="3362FEEE" w14:textId="535B13F1" w:rsidR="008E6CE6" w:rsidRPr="008E6CE6" w:rsidRDefault="008E6CE6" w:rsidP="008E6CE6">
      <w:pPr>
        <w:rPr>
          <w:lang w:val="en-US"/>
        </w:rPr>
      </w:pPr>
      <w:r w:rsidRPr="008E6CE6">
        <w:rPr>
          <w:lang w:val="en-US"/>
        </w:rPr>
        <w:t xml:space="preserve">Tesla has excellent control over its cash resources. This is evidenced by the company's cash operating cycle typically being negative or close to zero; therefore, it has </w:t>
      </w:r>
      <w:r w:rsidR="00510340">
        <w:rPr>
          <w:lang w:val="en-US"/>
        </w:rPr>
        <w:t>significantly lower portion of its cash</w:t>
      </w:r>
      <w:r w:rsidRPr="008E6CE6">
        <w:rPr>
          <w:lang w:val="en-US"/>
        </w:rPr>
        <w:t xml:space="preserve"> invested in working capital. Tesla collects cash from customers much more quickly than it takes to pay their suppliers.</w:t>
      </w:r>
    </w:p>
    <w:p w14:paraId="77DABF35" w14:textId="5F94BE0B" w:rsidR="008E6CE6" w:rsidRPr="008E6CE6" w:rsidRDefault="008E6CE6" w:rsidP="008E6CE6">
      <w:pPr>
        <w:rPr>
          <w:lang w:val="en-US"/>
        </w:rPr>
      </w:pPr>
      <w:r w:rsidRPr="008E6CE6">
        <w:rPr>
          <w:lang w:val="en-US"/>
        </w:rPr>
        <w:t>However, due to the current economic climate, this may change. The cash operating cycle is moving toward zero as Tesla pays suppliers more quickly while holding the same amount of inventory and taking longer to collect cash from customers</w:t>
      </w:r>
      <w:r w:rsidR="00510340">
        <w:rPr>
          <w:lang w:val="en-US"/>
        </w:rPr>
        <w:t xml:space="preserve"> (</w:t>
      </w:r>
      <w:r w:rsidR="00510340" w:rsidRPr="00546567">
        <w:t xml:space="preserve">Zaher </w:t>
      </w:r>
      <w:r w:rsidR="00510340">
        <w:t>and</w:t>
      </w:r>
      <w:r w:rsidR="00510340" w:rsidRPr="00546567">
        <w:t xml:space="preserve"> Illescas, 2022)</w:t>
      </w:r>
      <w:r w:rsidRPr="008E6CE6">
        <w:rPr>
          <w:lang w:val="en-US"/>
        </w:rPr>
        <w:t>. This will decrease the amount of cash on hand (liquidity) and result in a need for more capital. If revenue growth slows down, this could create additional issues for Tesla.</w:t>
      </w:r>
    </w:p>
    <w:p w14:paraId="27B604AA" w14:textId="77777777" w:rsidR="008E6CE6" w:rsidRPr="008E6CE6" w:rsidRDefault="008E6CE6" w:rsidP="00A07CA1">
      <w:pPr>
        <w:pStyle w:val="Heading2"/>
        <w:rPr>
          <w:lang w:val="en-US"/>
        </w:rPr>
      </w:pPr>
      <w:bookmarkStart w:id="15" w:name="_Toc225846388"/>
      <w:r w:rsidRPr="008E6CE6">
        <w:rPr>
          <w:lang w:val="en-US"/>
        </w:rPr>
        <w:t>2.6 Recommendations for Improvement</w:t>
      </w:r>
      <w:bookmarkEnd w:id="15"/>
    </w:p>
    <w:p w14:paraId="0CDDB8D7" w14:textId="0BE2E0AF" w:rsidR="008E6CE6" w:rsidRPr="008E6CE6" w:rsidRDefault="008E6CE6" w:rsidP="008E6CE6">
      <w:pPr>
        <w:rPr>
          <w:lang w:val="en-US"/>
        </w:rPr>
      </w:pPr>
      <w:r w:rsidRPr="008E6CE6">
        <w:rPr>
          <w:lang w:val="en-US"/>
        </w:rPr>
        <w:t>In order to manage its working capital better Tesla needs to focus on each part of the cash operating cycle. First the company needs to keep collecting money from its customers. It should also be careful when it sells things on credit</w:t>
      </w:r>
      <w:r w:rsidR="00510340">
        <w:rPr>
          <w:lang w:val="en-US"/>
        </w:rPr>
        <w:t xml:space="preserve"> (</w:t>
      </w:r>
      <w:r w:rsidR="00510340" w:rsidRPr="00630AA5">
        <w:t>Li, 2025)</w:t>
      </w:r>
      <w:r w:rsidRPr="008E6CE6">
        <w:rPr>
          <w:lang w:val="en-US"/>
        </w:rPr>
        <w:t>. Tesla can use payment systems and have strict rules about credit to keep its receivable days low.</w:t>
      </w:r>
    </w:p>
    <w:p w14:paraId="3108C3BB" w14:textId="04578A28" w:rsidR="008E6CE6" w:rsidRPr="008E6CE6" w:rsidRDefault="008E6CE6" w:rsidP="008E6CE6">
      <w:pPr>
        <w:rPr>
          <w:lang w:val="en-US"/>
        </w:rPr>
      </w:pPr>
      <w:r w:rsidRPr="008E6CE6">
        <w:rPr>
          <w:lang w:val="en-US"/>
        </w:rPr>
        <w:t>Second Tesla can improve its inventory management. The company can use in-time practices to predict demand better and use digital technology to manage its supply chain</w:t>
      </w:r>
      <w:r w:rsidR="00510340">
        <w:rPr>
          <w:lang w:val="en-US"/>
        </w:rPr>
        <w:t xml:space="preserve"> (</w:t>
      </w:r>
      <w:r w:rsidR="00510340" w:rsidRPr="00267874">
        <w:t>Ramadani</w:t>
      </w:r>
      <w:r w:rsidR="00510340">
        <w:t xml:space="preserve"> </w:t>
      </w:r>
      <w:r w:rsidR="00510340">
        <w:rPr>
          <w:i/>
          <w:iCs/>
        </w:rPr>
        <w:t>et al.,</w:t>
      </w:r>
      <w:r w:rsidR="00510340">
        <w:t xml:space="preserve"> 2024)</w:t>
      </w:r>
      <w:r w:rsidRPr="008E6CE6">
        <w:rPr>
          <w:lang w:val="en-US"/>
        </w:rPr>
        <w:t>. If Tesla can reduce its inventory days a little bit, it can free up a lot of money.</w:t>
      </w:r>
    </w:p>
    <w:p w14:paraId="3849BC8B" w14:textId="48EF8605" w:rsidR="008E6CE6" w:rsidRPr="008E6CE6" w:rsidRDefault="008E6CE6" w:rsidP="008E6CE6">
      <w:pPr>
        <w:rPr>
          <w:lang w:val="en-US"/>
        </w:rPr>
      </w:pPr>
      <w:r w:rsidRPr="008E6CE6">
        <w:rPr>
          <w:lang w:val="en-US"/>
        </w:rPr>
        <w:t>Third Tesla needs to manage its payables. The company should try to renegotiate its contracts with suppliers when it can. Tesla wants to have relationships with its suppliers, but it also wants to pay them later if it can. This can help the company get back some of the benefits it used to have.</w:t>
      </w:r>
    </w:p>
    <w:p w14:paraId="7FD2F1A4" w14:textId="77777777" w:rsidR="008E6CE6" w:rsidRPr="008E6CE6" w:rsidRDefault="008E6CE6" w:rsidP="00A07CA1">
      <w:pPr>
        <w:pStyle w:val="Heading2"/>
        <w:rPr>
          <w:lang w:val="en-US"/>
        </w:rPr>
      </w:pPr>
      <w:bookmarkStart w:id="16" w:name="_Toc225846389"/>
      <w:r w:rsidRPr="008E6CE6">
        <w:rPr>
          <w:lang w:val="en-US"/>
        </w:rPr>
        <w:t>2.7 Short-Term vs Long-Term Financing</w:t>
      </w:r>
      <w:bookmarkEnd w:id="16"/>
    </w:p>
    <w:p w14:paraId="5A8D15EA" w14:textId="77777777" w:rsidR="008E6CE6" w:rsidRPr="008E6CE6" w:rsidRDefault="008E6CE6" w:rsidP="008E6CE6">
      <w:pPr>
        <w:rPr>
          <w:lang w:val="en-US"/>
        </w:rPr>
      </w:pPr>
      <w:r w:rsidRPr="008E6CE6">
        <w:rPr>
          <w:lang w:val="en-US"/>
        </w:rPr>
        <w:t>The way Tesla manages its working capital will affect how it borrows money. As the cash operating cycle gets closer to zero the company might need to use short-term financing options like trade credit or bank loans to pay for its operations.</w:t>
      </w:r>
    </w:p>
    <w:p w14:paraId="0D8AB270" w14:textId="21B8FD0F" w:rsidR="005A5F9C" w:rsidRDefault="008E6CE6" w:rsidP="008E6CE6">
      <w:pPr>
        <w:rPr>
          <w:lang w:val="en-US"/>
        </w:rPr>
      </w:pPr>
      <w:r w:rsidRPr="008E6CE6">
        <w:rPr>
          <w:lang w:val="en-US"/>
        </w:rPr>
        <w:t>Short-term financing can put Tesla at risk of having more financial issues if it looks to also have enough funds available in the future via financing methods such as going public or getting a longer-term loan for stability.</w:t>
      </w:r>
      <w:r>
        <w:rPr>
          <w:lang w:val="en-US"/>
        </w:rPr>
        <w:t xml:space="preserve"> </w:t>
      </w:r>
      <w:r w:rsidRPr="008E6CE6">
        <w:rPr>
          <w:lang w:val="en-US"/>
        </w:rPr>
        <w:t>Long-term financing will help achieve both stable equity growth and strong working capital management for Tesla.</w:t>
      </w:r>
    </w:p>
    <w:p w14:paraId="14199807" w14:textId="77777777" w:rsidR="007978F7" w:rsidRPr="007978F7" w:rsidRDefault="007978F7" w:rsidP="007978F7">
      <w:pPr>
        <w:pStyle w:val="Heading1"/>
        <w:rPr>
          <w:lang w:val="en-US"/>
        </w:rPr>
      </w:pPr>
      <w:bookmarkStart w:id="17" w:name="_Toc225846390"/>
      <w:r w:rsidRPr="007978F7">
        <w:rPr>
          <w:lang w:val="en-US"/>
        </w:rPr>
        <w:t>3. Strategic Financial Restructuring Plan</w:t>
      </w:r>
      <w:bookmarkEnd w:id="17"/>
    </w:p>
    <w:p w14:paraId="34EA111F" w14:textId="77777777" w:rsidR="007978F7" w:rsidRPr="007978F7" w:rsidRDefault="007978F7" w:rsidP="007978F7">
      <w:pPr>
        <w:pStyle w:val="Heading2"/>
        <w:rPr>
          <w:lang w:val="en-US"/>
        </w:rPr>
      </w:pPr>
      <w:bookmarkStart w:id="18" w:name="_Toc225846391"/>
      <w:r w:rsidRPr="007978F7">
        <w:rPr>
          <w:lang w:val="en-US"/>
        </w:rPr>
        <w:t>3.1 Rationale for Financial Restructuring</w:t>
      </w:r>
      <w:bookmarkEnd w:id="18"/>
    </w:p>
    <w:p w14:paraId="129F9E2B" w14:textId="63259A33" w:rsidR="007978F7" w:rsidRPr="007978F7" w:rsidRDefault="007978F7" w:rsidP="007978F7">
      <w:pPr>
        <w:rPr>
          <w:lang w:val="en-US"/>
        </w:rPr>
      </w:pPr>
      <w:r w:rsidRPr="007978F7">
        <w:rPr>
          <w:lang w:val="en-US"/>
        </w:rPr>
        <w:t>The financial health of Tesla is not good. There are three problems</w:t>
      </w:r>
      <w:r w:rsidR="00510340">
        <w:rPr>
          <w:lang w:val="en-US"/>
        </w:rPr>
        <w:t>;</w:t>
      </w:r>
      <w:r w:rsidRPr="007978F7">
        <w:rPr>
          <w:lang w:val="en-US"/>
        </w:rPr>
        <w:t xml:space="preserve"> </w:t>
      </w:r>
      <w:r w:rsidR="00510340">
        <w:rPr>
          <w:lang w:val="en-US"/>
        </w:rPr>
        <w:t>f</w:t>
      </w:r>
      <w:r w:rsidRPr="007978F7">
        <w:rPr>
          <w:lang w:val="en-US"/>
        </w:rPr>
        <w:t>irst</w:t>
      </w:r>
      <w:r w:rsidR="00510340">
        <w:rPr>
          <w:lang w:val="en-US"/>
        </w:rPr>
        <w:t>ly,</w:t>
      </w:r>
      <w:r w:rsidRPr="007978F7">
        <w:rPr>
          <w:lang w:val="en-US"/>
        </w:rPr>
        <w:t xml:space="preserve"> the company is not making as much money as it used to. The operating margins have gone down a lot in the year. Second the company is having trouble with cash flow. This means it is hard for Tesla to pay its bills on time. Third, the company has a lot of debt</w:t>
      </w:r>
      <w:r w:rsidR="00510340">
        <w:rPr>
          <w:lang w:val="en-US"/>
        </w:rPr>
        <w:t>, which</w:t>
      </w:r>
      <w:r w:rsidRPr="007978F7">
        <w:rPr>
          <w:lang w:val="en-US"/>
        </w:rPr>
        <w:t xml:space="preserve"> is making it hard for Tesla to pay its interest payments. For Tesla to stop costly losses and begin growing it's necessary for them to alter their current finance plan. Tesla is in a competitive market, and it needs to be smart about how it spends its money.</w:t>
      </w:r>
    </w:p>
    <w:p w14:paraId="10838B2D" w14:textId="77777777" w:rsidR="007978F7" w:rsidRPr="007978F7" w:rsidRDefault="007978F7" w:rsidP="007978F7">
      <w:pPr>
        <w:pStyle w:val="Heading2"/>
        <w:rPr>
          <w:lang w:val="en-US"/>
        </w:rPr>
      </w:pPr>
      <w:bookmarkStart w:id="19" w:name="_Toc225846392"/>
      <w:r w:rsidRPr="007978F7">
        <w:rPr>
          <w:lang w:val="en-US"/>
        </w:rPr>
        <w:t>3.2 Equity Injection and Capital Rebalancing</w:t>
      </w:r>
      <w:bookmarkEnd w:id="19"/>
    </w:p>
    <w:p w14:paraId="1DBBA265" w14:textId="2BB91A47" w:rsidR="007978F7" w:rsidRPr="007978F7" w:rsidRDefault="001D11C9" w:rsidP="007978F7">
      <w:pPr>
        <w:rPr>
          <w:lang w:val="en-US"/>
        </w:rPr>
      </w:pPr>
      <w:r w:rsidRPr="001D11C9">
        <w:rPr>
          <w:lang w:val="en-US"/>
        </w:rPr>
        <w:t>To help address the financial challenges faced by Tesla, the company can solicit further investment from shareholders by issuing additional shares. Tesla's current high stock price indicates a strong demand for the company's equity, illustrating how investors view Tesla as an attractive investment opportunity at this time; therefore, Tesla should issue new shares to raise funds for investment in research and development, pay down debt, and provide cash for other large expenditures (Palacín-Sánchez et al., 2023). Issuing equity may seem like a negative action for current shareholders as they dilute their ownership interest, however, long-term success will drive demand for Tesla's stock, resulting in wealth creation for all shareholders.</w:t>
      </w:r>
    </w:p>
    <w:p w14:paraId="4251CB4B" w14:textId="77777777" w:rsidR="007978F7" w:rsidRPr="007978F7" w:rsidRDefault="007978F7" w:rsidP="007978F7">
      <w:pPr>
        <w:pStyle w:val="Heading2"/>
        <w:rPr>
          <w:lang w:val="en-US"/>
        </w:rPr>
      </w:pPr>
      <w:bookmarkStart w:id="20" w:name="_Toc225846393"/>
      <w:r w:rsidRPr="007978F7">
        <w:rPr>
          <w:lang w:val="en-US"/>
        </w:rPr>
        <w:t>3.3 Debt Restructuring and Optimisation</w:t>
      </w:r>
      <w:bookmarkEnd w:id="20"/>
    </w:p>
    <w:p w14:paraId="4F1A2519" w14:textId="492ECE97" w:rsidR="001D11C9" w:rsidRPr="001D11C9" w:rsidRDefault="001D11C9" w:rsidP="001D11C9">
      <w:pPr>
        <w:rPr>
          <w:lang w:val="en-US"/>
        </w:rPr>
      </w:pPr>
      <w:r w:rsidRPr="001D11C9">
        <w:rPr>
          <w:lang w:val="en-US"/>
        </w:rPr>
        <w:t>Tesla has debt and needs to manage it carefully. One way to do this is to refinance the debt and extend the period when the company must repay the debt (Mehmood and De Luca, 2025). By doing this, Tesla would have a more stable cash flow and less risk of defaulting on loans.</w:t>
      </w:r>
    </w:p>
    <w:p w14:paraId="6DAE5A0E" w14:textId="390E0D25" w:rsidR="007978F7" w:rsidRPr="007978F7" w:rsidRDefault="001D11C9" w:rsidP="001D11C9">
      <w:pPr>
        <w:rPr>
          <w:lang w:val="en-US"/>
        </w:rPr>
      </w:pPr>
      <w:r w:rsidRPr="001D11C9">
        <w:rPr>
          <w:lang w:val="en-US"/>
        </w:rPr>
        <w:t>Another way Tesla can manage its debt is to get lower interest rates on its loans. This could help Tesla save money and make it easier for them to pay their bills. The main goal should be that the overall amount of debt will always be manageable, not to eliminate all of Tesla's debt. Having some debt can also provide opportunity for Tesla to save taxes (Mehmood and De Luca, 2025). However, Tesla should avoid accumulating excessive amounts of debt so as not to put their ability to repay the debt in jeopardy.</w:t>
      </w:r>
    </w:p>
    <w:p w14:paraId="54C1ADD7" w14:textId="77777777" w:rsidR="007978F7" w:rsidRPr="007978F7" w:rsidRDefault="007978F7" w:rsidP="007978F7">
      <w:pPr>
        <w:pStyle w:val="Heading2"/>
        <w:rPr>
          <w:lang w:val="en-US"/>
        </w:rPr>
      </w:pPr>
      <w:bookmarkStart w:id="21" w:name="_Toc225846394"/>
      <w:r w:rsidRPr="007978F7">
        <w:rPr>
          <w:lang w:val="en-US"/>
        </w:rPr>
        <w:t>3.4 Strategic Divestiture and Asset Optimisation</w:t>
      </w:r>
      <w:bookmarkEnd w:id="21"/>
    </w:p>
    <w:p w14:paraId="778916B1" w14:textId="7F6BF84D" w:rsidR="001D11C9" w:rsidRPr="001D11C9" w:rsidRDefault="001D11C9" w:rsidP="001D11C9">
      <w:pPr>
        <w:rPr>
          <w:lang w:val="en-US"/>
        </w:rPr>
      </w:pPr>
      <w:r w:rsidRPr="001D11C9">
        <w:rPr>
          <w:lang w:val="en-US"/>
        </w:rPr>
        <w:t xml:space="preserve">Tesla can address its issues by </w:t>
      </w:r>
      <w:r>
        <w:rPr>
          <w:lang w:val="en-US"/>
        </w:rPr>
        <w:t>avoiding</w:t>
      </w:r>
      <w:r w:rsidRPr="001D11C9">
        <w:rPr>
          <w:lang w:val="en-US"/>
        </w:rPr>
        <w:t xml:space="preserve"> underperforming and unprofitable investments. Since Tesla has rapidly expanded and operates multiple different segments, some of these units are experiencing significant financial difficulties.</w:t>
      </w:r>
    </w:p>
    <w:p w14:paraId="4935FCB0" w14:textId="7683B14C" w:rsidR="007978F7" w:rsidRPr="007978F7" w:rsidRDefault="001D11C9" w:rsidP="001D11C9">
      <w:pPr>
        <w:rPr>
          <w:lang w:val="en-US"/>
        </w:rPr>
      </w:pPr>
      <w:r w:rsidRPr="001D11C9">
        <w:rPr>
          <w:lang w:val="en-US"/>
        </w:rPr>
        <w:t>By dive</w:t>
      </w:r>
      <w:r>
        <w:rPr>
          <w:lang w:val="en-US"/>
        </w:rPr>
        <w:t>rg</w:t>
      </w:r>
      <w:r w:rsidRPr="001D11C9">
        <w:rPr>
          <w:lang w:val="en-US"/>
        </w:rPr>
        <w:t>ing from unprofitable segments, Tesla can utili</w:t>
      </w:r>
      <w:r>
        <w:rPr>
          <w:lang w:val="en-US"/>
        </w:rPr>
        <w:t>s</w:t>
      </w:r>
      <w:r w:rsidRPr="001D11C9">
        <w:rPr>
          <w:lang w:val="en-US"/>
        </w:rPr>
        <w:t>e the capital generated from their sale to fund investments in growth areas. By reallocating capital to generate profits and increased operational efficiencies, Tesla will improve their bottom line.</w:t>
      </w:r>
      <w:r>
        <w:rPr>
          <w:lang w:val="en-US"/>
        </w:rPr>
        <w:t xml:space="preserve"> </w:t>
      </w:r>
      <w:r w:rsidRPr="001D11C9">
        <w:rPr>
          <w:lang w:val="en-US"/>
        </w:rPr>
        <w:t>By utili</w:t>
      </w:r>
      <w:r>
        <w:rPr>
          <w:lang w:val="en-US"/>
        </w:rPr>
        <w:t>s</w:t>
      </w:r>
      <w:r w:rsidRPr="001D11C9">
        <w:rPr>
          <w:lang w:val="en-US"/>
        </w:rPr>
        <w:t xml:space="preserve">ing the existing resources that they already own, including their manufacturing and assembly facilities as well as their capital equipment, Tesla will generate more profits and will be able to accomplish their corporate goals. </w:t>
      </w:r>
    </w:p>
    <w:p w14:paraId="372BB824" w14:textId="77777777" w:rsidR="007978F7" w:rsidRPr="007978F7" w:rsidRDefault="007978F7" w:rsidP="007978F7">
      <w:pPr>
        <w:pStyle w:val="Heading2"/>
        <w:rPr>
          <w:lang w:val="en-US"/>
        </w:rPr>
      </w:pPr>
      <w:bookmarkStart w:id="22" w:name="_Toc225846395"/>
      <w:r w:rsidRPr="007978F7">
        <w:rPr>
          <w:lang w:val="en-US"/>
        </w:rPr>
        <w:t>3.5 Strategic Partnerships and Mergers</w:t>
      </w:r>
      <w:bookmarkEnd w:id="22"/>
    </w:p>
    <w:p w14:paraId="23440C81" w14:textId="43433641" w:rsidR="007978F7" w:rsidRPr="007978F7" w:rsidRDefault="001D11C9" w:rsidP="007978F7">
      <w:pPr>
        <w:rPr>
          <w:lang w:val="en-US"/>
        </w:rPr>
      </w:pPr>
      <w:r w:rsidRPr="001D11C9">
        <w:rPr>
          <w:lang w:val="en-US"/>
        </w:rPr>
        <w:t>In addition to selling off its unprofitable segments, Tesla can also partner with other companies rather than completely acquiring businesses. This is particularly important as it relates to Tesla's entry into new markets to sell its vehicles. Partners may also help mitigate Tesla’s market-entry risks by providing support in establishing retail operations within that market (Choudhary et al. 2025) and supply essential parts for the manufacture of Tesla's vehicles.</w:t>
      </w:r>
    </w:p>
    <w:p w14:paraId="1B4F8B96" w14:textId="0D50B719" w:rsidR="007978F7" w:rsidRPr="007978F7" w:rsidRDefault="00910D4C" w:rsidP="00D75C5C">
      <w:pPr>
        <w:rPr>
          <w:lang w:val="en-US"/>
        </w:rPr>
      </w:pPr>
      <w:r>
        <w:rPr>
          <w:lang w:val="en-US"/>
        </w:rPr>
        <w:t xml:space="preserve">For instance, the company may rely on other partners to produce parts or batteries on their behalf, which may eventually reduce the required operating costs and ensure sufficient available parts at their disposal </w:t>
      </w:r>
      <w:r w:rsidRPr="00910D4C">
        <w:rPr>
          <w:lang w:val="en-US"/>
        </w:rPr>
        <w:t>(Choudhary et al., 2025)</w:t>
      </w:r>
      <w:r>
        <w:rPr>
          <w:lang w:val="en-US"/>
        </w:rPr>
        <w:t xml:space="preserve">. This will also help them reduce production time. Such partnerships are far less risky than acquiring companies that would cause high capital or investments of acquisition. This also helps the company to check their long-term liabilities. </w:t>
      </w:r>
    </w:p>
    <w:p w14:paraId="55AABA01" w14:textId="77777777" w:rsidR="007978F7" w:rsidRPr="007978F7" w:rsidRDefault="007978F7" w:rsidP="007978F7">
      <w:pPr>
        <w:pStyle w:val="Heading2"/>
        <w:rPr>
          <w:lang w:val="en-US"/>
        </w:rPr>
      </w:pPr>
      <w:bookmarkStart w:id="23" w:name="_Toc225846396"/>
      <w:r w:rsidRPr="007978F7">
        <w:rPr>
          <w:lang w:val="en-US"/>
        </w:rPr>
        <w:t>3.6 Impact on Shareholder Value</w:t>
      </w:r>
      <w:bookmarkEnd w:id="23"/>
    </w:p>
    <w:p w14:paraId="75C484B1" w14:textId="500DF691" w:rsidR="00910D4C" w:rsidRDefault="00910D4C" w:rsidP="00D75C5C">
      <w:pPr>
        <w:rPr>
          <w:lang w:val="en-US"/>
        </w:rPr>
      </w:pPr>
      <w:r>
        <w:rPr>
          <w:lang w:val="en-US"/>
        </w:rPr>
        <w:t>The focused strategies are aiming towards less risk exposure, more profit generation and continuous growth of the company. Thus, in the eyes of the investors, these are much more beneficial</w:t>
      </w:r>
      <w:r w:rsidR="009B2E02">
        <w:rPr>
          <w:lang w:val="en-US"/>
        </w:rPr>
        <w:t xml:space="preserve"> and will help the company with continuous cash flow. The company can also focus on diversifying their value proposition through innovation and new products. Proper management of the debt levels would help the company to reduce and control the overall financial risks and maintain steady operations </w:t>
      </w:r>
      <w:r w:rsidR="009B2E02" w:rsidRPr="00D75C5C">
        <w:rPr>
          <w:lang w:val="en-US"/>
        </w:rPr>
        <w:t>(Palacín-Sánchez et al., 2023)</w:t>
      </w:r>
      <w:r w:rsidR="009B2E02">
        <w:rPr>
          <w:lang w:val="en-US"/>
        </w:rPr>
        <w:t xml:space="preserve">. There is also a requirement for a proper evaluation of the long-term impacts of the restructuring strategy. For instance, selling more equity would dilute shares of the current shareholders that may affect their share value. It may also cause reduction in profitability in short-term due to associated costs </w:t>
      </w:r>
      <w:r w:rsidR="009B2E02" w:rsidRPr="00D75C5C">
        <w:rPr>
          <w:lang w:val="en-US"/>
        </w:rPr>
        <w:t>(Palacín-Sánchez et al., 2023)</w:t>
      </w:r>
      <w:r w:rsidR="009B2E02">
        <w:rPr>
          <w:lang w:val="en-US"/>
        </w:rPr>
        <w:t>. However, in long-term better stability and growth are possible to be attained.</w:t>
      </w:r>
    </w:p>
    <w:p w14:paraId="47EADFBA" w14:textId="77777777" w:rsidR="007978F7" w:rsidRPr="007978F7" w:rsidRDefault="007978F7" w:rsidP="007978F7">
      <w:pPr>
        <w:pStyle w:val="Heading2"/>
        <w:rPr>
          <w:lang w:val="en-US"/>
        </w:rPr>
      </w:pPr>
      <w:bookmarkStart w:id="24" w:name="_Toc225846397"/>
      <w:r w:rsidRPr="007978F7">
        <w:rPr>
          <w:lang w:val="en-US"/>
        </w:rPr>
        <w:t>3.7 Impact on Debt Structure and Financial Stability</w:t>
      </w:r>
      <w:bookmarkEnd w:id="24"/>
    </w:p>
    <w:p w14:paraId="417B7010" w14:textId="1969C750" w:rsidR="007978F7" w:rsidRPr="007978F7" w:rsidRDefault="009B2E02" w:rsidP="00D75C5C">
      <w:pPr>
        <w:rPr>
          <w:lang w:val="en-US"/>
        </w:rPr>
      </w:pPr>
      <w:r>
        <w:rPr>
          <w:lang w:val="en-US"/>
        </w:rPr>
        <w:t xml:space="preserve">A balance between equity and debt is a very viable and stable strategy. A proper mixing of these two financing strategies would diversify the portfolio and thus dilute any associate risks properly. Thus, demand or market fluctuations in the EV market would be possible to be well tackled by the company in future. Moreover, the company would have an excellent opportunity to reduce the dependence on short-term financing options. Hence, it would also help to manage any outstanding debts and have better leverage financially </w:t>
      </w:r>
      <w:r w:rsidRPr="00D75C5C">
        <w:rPr>
          <w:lang w:val="en-US"/>
        </w:rPr>
        <w:t>Palacín-Sánchez &amp; et al., 2023)</w:t>
      </w:r>
      <w:r>
        <w:rPr>
          <w:lang w:val="en-US"/>
        </w:rPr>
        <w:t xml:space="preserve">. Thus, focusing on innovation and launching new products would become more possible for the company. </w:t>
      </w:r>
    </w:p>
    <w:p w14:paraId="3786DB1F" w14:textId="77777777" w:rsidR="007978F7" w:rsidRPr="007978F7" w:rsidRDefault="007978F7" w:rsidP="007978F7">
      <w:pPr>
        <w:pStyle w:val="Heading2"/>
        <w:rPr>
          <w:lang w:val="en-US"/>
        </w:rPr>
      </w:pPr>
      <w:bookmarkStart w:id="25" w:name="_Toc225846398"/>
      <w:r w:rsidRPr="007978F7">
        <w:rPr>
          <w:lang w:val="en-US"/>
        </w:rPr>
        <w:t>3.8 Operational Flexibility and Strategic Agility</w:t>
      </w:r>
      <w:bookmarkEnd w:id="25"/>
    </w:p>
    <w:p w14:paraId="16F0ABF5" w14:textId="1AC2D0B6" w:rsidR="007978F7" w:rsidRPr="007978F7" w:rsidRDefault="009B2E02" w:rsidP="00D75C5C">
      <w:pPr>
        <w:rPr>
          <w:lang w:val="en-US"/>
        </w:rPr>
      </w:pPr>
      <w:r>
        <w:rPr>
          <w:lang w:val="en-US"/>
        </w:rPr>
        <w:t xml:space="preserve">Having </w:t>
      </w:r>
      <w:r w:rsidR="00514AFD">
        <w:rPr>
          <w:lang w:val="en-US"/>
        </w:rPr>
        <w:t>sufficient funds</w:t>
      </w:r>
      <w:r>
        <w:rPr>
          <w:lang w:val="en-US"/>
        </w:rPr>
        <w:t xml:space="preserve"> and resources would imply that the company would be more capable to rapidly evolve, which is a critical requirement of the technology market. Sufficient funds and financing through different options would hence give the company </w:t>
      </w:r>
      <w:r w:rsidR="00514AFD">
        <w:rPr>
          <w:lang w:val="en-US"/>
        </w:rPr>
        <w:t>enough</w:t>
      </w:r>
      <w:r>
        <w:rPr>
          <w:lang w:val="en-US"/>
        </w:rPr>
        <w:t xml:space="preserve"> agility and flexibility to make operational decisions. As a multi-national technology-oriented company this </w:t>
      </w:r>
      <w:r w:rsidR="00514AFD">
        <w:rPr>
          <w:lang w:val="en-US"/>
        </w:rPr>
        <w:t>capability would be a major competitive advantage for the company.</w:t>
      </w:r>
    </w:p>
    <w:p w14:paraId="2A018A4E" w14:textId="77777777" w:rsidR="007978F7" w:rsidRPr="007978F7" w:rsidRDefault="007978F7" w:rsidP="007978F7">
      <w:pPr>
        <w:pStyle w:val="Heading2"/>
        <w:rPr>
          <w:lang w:val="en-US"/>
        </w:rPr>
      </w:pPr>
      <w:bookmarkStart w:id="26" w:name="_Toc225846399"/>
      <w:r w:rsidRPr="007978F7">
        <w:rPr>
          <w:lang w:val="en-US"/>
        </w:rPr>
        <w:t>3.9 International Considerations</w:t>
      </w:r>
      <w:bookmarkEnd w:id="26"/>
    </w:p>
    <w:p w14:paraId="1445753C" w14:textId="791DDECC" w:rsidR="007978F7" w:rsidRPr="007978F7" w:rsidRDefault="007978F7" w:rsidP="007978F7">
      <w:pPr>
        <w:rPr>
          <w:lang w:val="en-US"/>
        </w:rPr>
      </w:pPr>
      <w:r w:rsidRPr="007978F7">
        <w:rPr>
          <w:lang w:val="en-US"/>
        </w:rPr>
        <w:t xml:space="preserve">Tesla is a </w:t>
      </w:r>
      <w:r w:rsidR="008566ED">
        <w:rPr>
          <w:lang w:val="en-US"/>
        </w:rPr>
        <w:t xml:space="preserve">multi-national </w:t>
      </w:r>
      <w:r w:rsidRPr="007978F7">
        <w:rPr>
          <w:lang w:val="en-US"/>
        </w:rPr>
        <w:t>company</w:t>
      </w:r>
      <w:r w:rsidR="008566ED">
        <w:rPr>
          <w:lang w:val="en-US"/>
        </w:rPr>
        <w:t>,</w:t>
      </w:r>
      <w:r w:rsidRPr="007978F7">
        <w:rPr>
          <w:lang w:val="en-US"/>
        </w:rPr>
        <w:t xml:space="preserve"> </w:t>
      </w:r>
      <w:r w:rsidR="00514AFD">
        <w:rPr>
          <w:lang w:val="en-US"/>
        </w:rPr>
        <w:t>and so it is crucial for the company to have clear understanding and strategy for the different international market challenges</w:t>
      </w:r>
      <w:r w:rsidRPr="007978F7">
        <w:rPr>
          <w:lang w:val="en-US"/>
        </w:rPr>
        <w:t xml:space="preserve">. For </w:t>
      </w:r>
      <w:r w:rsidR="00514AFD">
        <w:rPr>
          <w:lang w:val="en-US"/>
        </w:rPr>
        <w:t>instance</w:t>
      </w:r>
      <w:r w:rsidRPr="007978F7">
        <w:rPr>
          <w:lang w:val="en-US"/>
        </w:rPr>
        <w:t xml:space="preserve">, </w:t>
      </w:r>
      <w:r w:rsidR="00514AFD">
        <w:rPr>
          <w:lang w:val="en-US"/>
        </w:rPr>
        <w:t>variations in ex</w:t>
      </w:r>
      <w:r w:rsidRPr="007978F7">
        <w:rPr>
          <w:lang w:val="en-US"/>
        </w:rPr>
        <w:t>change</w:t>
      </w:r>
      <w:r w:rsidR="00514AFD">
        <w:rPr>
          <w:lang w:val="en-US"/>
        </w:rPr>
        <w:t xml:space="preserve"> rate</w:t>
      </w:r>
      <w:r w:rsidRPr="007978F7">
        <w:rPr>
          <w:lang w:val="en-US"/>
        </w:rPr>
        <w:t xml:space="preserve">s </w:t>
      </w:r>
      <w:r w:rsidR="00514AFD">
        <w:rPr>
          <w:lang w:val="en-US"/>
        </w:rPr>
        <w:t>of</w:t>
      </w:r>
      <w:r w:rsidRPr="007978F7">
        <w:rPr>
          <w:lang w:val="en-US"/>
        </w:rPr>
        <w:t xml:space="preserve"> currency values </w:t>
      </w:r>
      <w:r w:rsidR="00514AFD">
        <w:rPr>
          <w:lang w:val="en-US"/>
        </w:rPr>
        <w:t>would</w:t>
      </w:r>
      <w:r w:rsidRPr="007978F7">
        <w:rPr>
          <w:lang w:val="en-US"/>
        </w:rPr>
        <w:t xml:space="preserve"> affect </w:t>
      </w:r>
      <w:r w:rsidR="00514AFD">
        <w:rPr>
          <w:lang w:val="en-US"/>
        </w:rPr>
        <w:t>the sales and profit made by the company in different markets</w:t>
      </w:r>
      <w:r w:rsidR="008566ED">
        <w:rPr>
          <w:lang w:val="en-US"/>
        </w:rPr>
        <w:t xml:space="preserve"> (</w:t>
      </w:r>
      <w:r w:rsidR="008566ED" w:rsidRPr="000D7A83">
        <w:t>Al Amosh, 2025)</w:t>
      </w:r>
      <w:r w:rsidRPr="007978F7">
        <w:rPr>
          <w:lang w:val="en-US"/>
        </w:rPr>
        <w:t xml:space="preserve">. </w:t>
      </w:r>
      <w:r w:rsidR="00514AFD">
        <w:rPr>
          <w:lang w:val="en-US"/>
        </w:rPr>
        <w:t xml:space="preserve"> Further, monetary policies like t</w:t>
      </w:r>
      <w:r w:rsidRPr="007978F7">
        <w:rPr>
          <w:lang w:val="en-US"/>
        </w:rPr>
        <w:t>ax</w:t>
      </w:r>
      <w:r w:rsidR="00514AFD">
        <w:rPr>
          <w:lang w:val="en-US"/>
        </w:rPr>
        <w:t>ation in different markets</w:t>
      </w:r>
      <w:r w:rsidRPr="007978F7">
        <w:rPr>
          <w:lang w:val="en-US"/>
        </w:rPr>
        <w:t xml:space="preserve"> </w:t>
      </w:r>
      <w:r w:rsidR="00514AFD">
        <w:rPr>
          <w:lang w:val="en-US"/>
        </w:rPr>
        <w:t>would decide how</w:t>
      </w:r>
      <w:r w:rsidRPr="007978F7">
        <w:rPr>
          <w:lang w:val="en-US"/>
        </w:rPr>
        <w:t xml:space="preserve"> Tesla can use these laws to its advantage</w:t>
      </w:r>
      <w:r w:rsidR="008566ED">
        <w:rPr>
          <w:lang w:val="en-US"/>
        </w:rPr>
        <w:t xml:space="preserve"> (</w:t>
      </w:r>
      <w:r w:rsidR="008566ED" w:rsidRPr="000D7A83">
        <w:t>Kalra</w:t>
      </w:r>
      <w:r w:rsidR="008566ED">
        <w:t xml:space="preserve"> and</w:t>
      </w:r>
      <w:r w:rsidR="008566ED" w:rsidRPr="000D7A83">
        <w:t xml:space="preserve"> Afzal, 2023)</w:t>
      </w:r>
      <w:r w:rsidRPr="007978F7">
        <w:rPr>
          <w:lang w:val="en-US"/>
        </w:rPr>
        <w:t>. Inflation is another</w:t>
      </w:r>
      <w:r w:rsidR="00514AFD">
        <w:rPr>
          <w:lang w:val="en-US"/>
        </w:rPr>
        <w:t xml:space="preserve"> such</w:t>
      </w:r>
      <w:r w:rsidRPr="007978F7">
        <w:rPr>
          <w:lang w:val="en-US"/>
        </w:rPr>
        <w:t xml:space="preserve"> challenge for Tesla. </w:t>
      </w:r>
      <w:r w:rsidR="00514AFD">
        <w:rPr>
          <w:lang w:val="en-US"/>
        </w:rPr>
        <w:t>Material and other expenses are much dependent on the rates of inflation in different regions and hence affect how much revenue or profit the company makes in different markets</w:t>
      </w:r>
      <w:r w:rsidRPr="007978F7">
        <w:rPr>
          <w:lang w:val="en-US"/>
        </w:rPr>
        <w:t xml:space="preserve"> </w:t>
      </w:r>
      <w:r w:rsidR="008566ED">
        <w:rPr>
          <w:lang w:val="en-US"/>
        </w:rPr>
        <w:t>(</w:t>
      </w:r>
      <w:r w:rsidR="008566ED" w:rsidRPr="000D7A83">
        <w:t>Rumasukun, 2024)</w:t>
      </w:r>
      <w:r w:rsidRPr="007978F7">
        <w:rPr>
          <w:lang w:val="en-US"/>
        </w:rPr>
        <w:t>. This means Tesla needs to be smart about how it buys its parts and manages its expenses.</w:t>
      </w:r>
    </w:p>
    <w:p w14:paraId="47AF4A2D" w14:textId="77777777" w:rsidR="007978F7" w:rsidRPr="007978F7" w:rsidRDefault="007978F7" w:rsidP="007978F7">
      <w:pPr>
        <w:pStyle w:val="Heading2"/>
        <w:rPr>
          <w:lang w:val="en-US"/>
        </w:rPr>
      </w:pPr>
      <w:bookmarkStart w:id="27" w:name="_Toc225846400"/>
      <w:r w:rsidRPr="007978F7">
        <w:rPr>
          <w:lang w:val="en-US"/>
        </w:rPr>
        <w:t>3.10 Ethical and Corporate Social Responsibility (CSR) Considerations</w:t>
      </w:r>
      <w:bookmarkEnd w:id="27"/>
    </w:p>
    <w:p w14:paraId="2ABD6FD9" w14:textId="58D0EFE7" w:rsidR="007978F7" w:rsidRPr="007978F7" w:rsidRDefault="007978F7" w:rsidP="007978F7">
      <w:pPr>
        <w:rPr>
          <w:lang w:val="en-US"/>
        </w:rPr>
      </w:pPr>
      <w:r w:rsidRPr="007978F7">
        <w:rPr>
          <w:lang w:val="en-US"/>
        </w:rPr>
        <w:t xml:space="preserve">As a company that makes cars Tesla has a responsibility to be sustainable and environmentally friendly. </w:t>
      </w:r>
      <w:r w:rsidR="00514AFD">
        <w:rPr>
          <w:lang w:val="en-US"/>
        </w:rPr>
        <w:t>Especially, for an electric vehicle company like Tesla sustainability and eco-friendliness of the products and operations is a major concern across its stakeholders</w:t>
      </w:r>
      <w:r w:rsidRPr="007978F7">
        <w:rPr>
          <w:lang w:val="en-US"/>
        </w:rPr>
        <w:t>.</w:t>
      </w:r>
    </w:p>
    <w:p w14:paraId="6FA9D7A6" w14:textId="49ADBC1F" w:rsidR="007978F7" w:rsidRPr="007978F7" w:rsidRDefault="007978F7" w:rsidP="007978F7">
      <w:pPr>
        <w:rPr>
          <w:lang w:val="en-US"/>
        </w:rPr>
      </w:pPr>
      <w:r w:rsidRPr="007978F7">
        <w:rPr>
          <w:lang w:val="en-US"/>
        </w:rPr>
        <w:t>For example, if Tesla sells some of its assets</w:t>
      </w:r>
      <w:r w:rsidR="008566ED">
        <w:rPr>
          <w:lang w:val="en-US"/>
        </w:rPr>
        <w:t xml:space="preserve"> or </w:t>
      </w:r>
      <w:r w:rsidR="00D75C5C">
        <w:rPr>
          <w:lang w:val="en-US"/>
        </w:rPr>
        <w:t>sells</w:t>
      </w:r>
      <w:r w:rsidR="008566ED">
        <w:rPr>
          <w:lang w:val="en-US"/>
        </w:rPr>
        <w:t xml:space="preserve"> any vehicle or product</w:t>
      </w:r>
      <w:r w:rsidRPr="007978F7">
        <w:rPr>
          <w:lang w:val="en-US"/>
        </w:rPr>
        <w:t xml:space="preserve"> it </w:t>
      </w:r>
      <w:r w:rsidR="00514AFD">
        <w:rPr>
          <w:lang w:val="en-US"/>
        </w:rPr>
        <w:t>is crucial for its customers</w:t>
      </w:r>
      <w:r w:rsidRPr="007978F7">
        <w:rPr>
          <w:lang w:val="en-US"/>
        </w:rPr>
        <w:t xml:space="preserve"> how that will affect the environment</w:t>
      </w:r>
      <w:r w:rsidR="008566ED">
        <w:rPr>
          <w:lang w:val="en-US"/>
        </w:rPr>
        <w:t xml:space="preserve"> (</w:t>
      </w:r>
      <w:r w:rsidR="008566ED" w:rsidRPr="000D7A83">
        <w:t>W</w:t>
      </w:r>
      <w:r w:rsidR="008566ED">
        <w:t xml:space="preserve">u </w:t>
      </w:r>
      <w:r w:rsidR="008566ED">
        <w:rPr>
          <w:i/>
          <w:iCs/>
        </w:rPr>
        <w:t>et al.,</w:t>
      </w:r>
      <w:r w:rsidR="008566ED">
        <w:t xml:space="preserve"> 2022)</w:t>
      </w:r>
      <w:r w:rsidRPr="007978F7">
        <w:rPr>
          <w:lang w:val="en-US"/>
        </w:rPr>
        <w:t xml:space="preserve">. When Tesla </w:t>
      </w:r>
      <w:r w:rsidR="00514AFD">
        <w:rPr>
          <w:lang w:val="en-US"/>
        </w:rPr>
        <w:t>partbers</w:t>
      </w:r>
      <w:r w:rsidRPr="007978F7">
        <w:rPr>
          <w:lang w:val="en-US"/>
        </w:rPr>
        <w:t xml:space="preserve"> with other companies </w:t>
      </w:r>
      <w:r w:rsidR="00514AFD">
        <w:rPr>
          <w:lang w:val="en-US"/>
        </w:rPr>
        <w:t>it is also necessary</w:t>
      </w:r>
      <w:r w:rsidRPr="007978F7">
        <w:rPr>
          <w:lang w:val="en-US"/>
        </w:rPr>
        <w:t xml:space="preserve"> </w:t>
      </w:r>
      <w:r w:rsidR="00514AFD">
        <w:rPr>
          <w:lang w:val="en-US"/>
        </w:rPr>
        <w:t>to ensure</w:t>
      </w:r>
      <w:r w:rsidRPr="007978F7">
        <w:rPr>
          <w:lang w:val="en-US"/>
        </w:rPr>
        <w:t xml:space="preserve"> </w:t>
      </w:r>
      <w:r w:rsidR="00514AFD">
        <w:rPr>
          <w:lang w:val="en-US"/>
        </w:rPr>
        <w:t xml:space="preserve">that </w:t>
      </w:r>
      <w:r w:rsidRPr="007978F7">
        <w:rPr>
          <w:lang w:val="en-US"/>
        </w:rPr>
        <w:t>they are following ethical practices.</w:t>
      </w:r>
      <w:r w:rsidR="00514AFD">
        <w:rPr>
          <w:lang w:val="en-US"/>
        </w:rPr>
        <w:t xml:space="preserve"> Transparency and ethical governance are crucial factors for the company considering the marjet that it serves into. </w:t>
      </w:r>
      <w:r w:rsidRPr="007978F7">
        <w:rPr>
          <w:lang w:val="en-US"/>
        </w:rPr>
        <w:t xml:space="preserve">If Tesla invests in technologies and renewable energy it can help the environment and make more money in the long term. </w:t>
      </w:r>
    </w:p>
    <w:p w14:paraId="35718C23" w14:textId="77777777" w:rsidR="00B72139" w:rsidRPr="00B72139" w:rsidRDefault="00B72139" w:rsidP="00B72139">
      <w:pPr>
        <w:pStyle w:val="Heading1"/>
        <w:rPr>
          <w:lang w:val="en-US"/>
        </w:rPr>
      </w:pPr>
      <w:bookmarkStart w:id="28" w:name="_Toc225846401"/>
      <w:r w:rsidRPr="00B72139">
        <w:rPr>
          <w:lang w:val="en-US"/>
        </w:rPr>
        <w:t>4. Investment Appraisal and Capital Budgeting</w:t>
      </w:r>
      <w:bookmarkEnd w:id="28"/>
    </w:p>
    <w:p w14:paraId="6019DB87" w14:textId="05847B6D" w:rsidR="00B72139" w:rsidRPr="00B72139" w:rsidRDefault="00B72139" w:rsidP="00B72139">
      <w:pPr>
        <w:rPr>
          <w:lang w:val="en-US"/>
        </w:rPr>
      </w:pPr>
      <w:r w:rsidRPr="00B72139">
        <w:rPr>
          <w:lang w:val="en-US"/>
        </w:rPr>
        <w:t>Investment appraisal is a job for the Chief Financial Officer of Tesla especially in an industry like electric vehicles that needs a lot of money and innovation. Given Teslas decline in profits, tightening cash situation and increasing debt investment decisions must focus on creating value, managing risk and aligning with strategy. This evaluates three investment projects</w:t>
      </w:r>
      <w:r>
        <w:rPr>
          <w:lang w:val="en-US"/>
        </w:rPr>
        <w:t xml:space="preserve"> </w:t>
      </w:r>
      <w:r w:rsidRPr="00B72139">
        <w:rPr>
          <w:lang w:val="en-US"/>
        </w:rPr>
        <w:t>A, B and C</w:t>
      </w:r>
      <w:r>
        <w:rPr>
          <w:lang w:val="en-US"/>
        </w:rPr>
        <w:t xml:space="preserve"> </w:t>
      </w:r>
      <w:r w:rsidRPr="00B72139">
        <w:rPr>
          <w:lang w:val="en-US"/>
        </w:rPr>
        <w:t>using methods: Payback Period (PBP) Accounting Rate of Return (ARR) Net Present Value (NPV) Profitability Index (PI) and Internal Rate of Return (IRR). Then it makes a capital rationing decision under a £100 million limit.</w:t>
      </w:r>
    </w:p>
    <w:p w14:paraId="10F9186C" w14:textId="1690D134" w:rsidR="002C70E6" w:rsidRDefault="00A31EC4" w:rsidP="002C70E6">
      <w:pPr>
        <w:jc w:val="center"/>
        <w:rPr>
          <w:b/>
          <w:bCs/>
          <w:lang w:val="en-US"/>
        </w:rPr>
      </w:pPr>
      <w:r>
        <w:rPr>
          <w:b/>
          <w:bCs/>
          <w:noProof/>
          <w:lang w:val="en-US"/>
        </w:rPr>
        <w:drawing>
          <wp:inline distT="0" distB="0" distL="0" distR="0" wp14:anchorId="23F5A4E2" wp14:editId="5A700586">
            <wp:extent cx="4048125" cy="3432175"/>
            <wp:effectExtent l="0" t="0" r="9525" b="0"/>
            <wp:docPr id="5608502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048125" cy="3432175"/>
                    </a:xfrm>
                    <a:prstGeom prst="rect">
                      <a:avLst/>
                    </a:prstGeom>
                    <a:noFill/>
                  </pic:spPr>
                </pic:pic>
              </a:graphicData>
            </a:graphic>
          </wp:inline>
        </w:drawing>
      </w:r>
    </w:p>
    <w:p w14:paraId="133E75D5" w14:textId="0AFFC36E" w:rsidR="002C70E6" w:rsidRDefault="002C70E6" w:rsidP="002C70E6">
      <w:pPr>
        <w:jc w:val="center"/>
        <w:rPr>
          <w:b/>
          <w:bCs/>
          <w:lang w:val="en-US"/>
        </w:rPr>
      </w:pPr>
      <w:r>
        <w:rPr>
          <w:b/>
          <w:bCs/>
          <w:lang w:val="en-US"/>
        </w:rPr>
        <w:t>Fig 8: Project A appraisal</w:t>
      </w:r>
    </w:p>
    <w:p w14:paraId="5B07A874" w14:textId="5E3B233A" w:rsidR="00B72139" w:rsidRDefault="002C70E6" w:rsidP="002C70E6">
      <w:pPr>
        <w:jc w:val="center"/>
        <w:rPr>
          <w:lang w:val="en-US"/>
        </w:rPr>
      </w:pPr>
      <w:r>
        <w:rPr>
          <w:lang w:val="en-US"/>
        </w:rPr>
        <w:t>(Source: Excel)</w:t>
      </w:r>
    </w:p>
    <w:p w14:paraId="62AE9092" w14:textId="20F855A2" w:rsidR="002C70E6" w:rsidRDefault="00A31EC4" w:rsidP="002C70E6">
      <w:pPr>
        <w:jc w:val="center"/>
        <w:rPr>
          <w:b/>
          <w:bCs/>
          <w:lang w:val="en-US"/>
        </w:rPr>
      </w:pPr>
      <w:r>
        <w:rPr>
          <w:b/>
          <w:bCs/>
          <w:noProof/>
          <w:lang w:val="en-US"/>
        </w:rPr>
        <w:drawing>
          <wp:inline distT="0" distB="0" distL="0" distR="0" wp14:anchorId="589982C3" wp14:editId="62D5039C">
            <wp:extent cx="4078605" cy="3450590"/>
            <wp:effectExtent l="0" t="0" r="0" b="0"/>
            <wp:docPr id="457511707"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078605" cy="3450590"/>
                    </a:xfrm>
                    <a:prstGeom prst="rect">
                      <a:avLst/>
                    </a:prstGeom>
                    <a:noFill/>
                  </pic:spPr>
                </pic:pic>
              </a:graphicData>
            </a:graphic>
          </wp:inline>
        </w:drawing>
      </w:r>
    </w:p>
    <w:p w14:paraId="78230C00" w14:textId="3F2AA952" w:rsidR="002C70E6" w:rsidRDefault="002C70E6" w:rsidP="002C70E6">
      <w:pPr>
        <w:jc w:val="center"/>
        <w:rPr>
          <w:b/>
          <w:bCs/>
          <w:lang w:val="en-US"/>
        </w:rPr>
      </w:pPr>
      <w:r>
        <w:rPr>
          <w:b/>
          <w:bCs/>
          <w:lang w:val="en-US"/>
        </w:rPr>
        <w:t>Fig 9: Project B appraisal</w:t>
      </w:r>
    </w:p>
    <w:p w14:paraId="668ADBE7" w14:textId="73904918" w:rsidR="002C70E6" w:rsidRDefault="002C70E6" w:rsidP="002C70E6">
      <w:pPr>
        <w:jc w:val="center"/>
        <w:rPr>
          <w:lang w:val="en-US"/>
        </w:rPr>
      </w:pPr>
      <w:r>
        <w:rPr>
          <w:lang w:val="en-US"/>
        </w:rPr>
        <w:t>(Source: Excel)</w:t>
      </w:r>
    </w:p>
    <w:p w14:paraId="6A0388B1" w14:textId="7FA8CCB8" w:rsidR="002C70E6" w:rsidRDefault="00A31EC4" w:rsidP="002C70E6">
      <w:pPr>
        <w:jc w:val="center"/>
        <w:rPr>
          <w:b/>
          <w:bCs/>
          <w:lang w:val="en-US"/>
        </w:rPr>
      </w:pPr>
      <w:r>
        <w:rPr>
          <w:b/>
          <w:bCs/>
          <w:noProof/>
          <w:lang w:val="en-US"/>
        </w:rPr>
        <w:drawing>
          <wp:inline distT="0" distB="0" distL="0" distR="0" wp14:anchorId="386ED581" wp14:editId="5F84AB34">
            <wp:extent cx="4041775" cy="3450590"/>
            <wp:effectExtent l="0" t="0" r="0" b="0"/>
            <wp:docPr id="715474933"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41775" cy="3450590"/>
                    </a:xfrm>
                    <a:prstGeom prst="rect">
                      <a:avLst/>
                    </a:prstGeom>
                    <a:noFill/>
                  </pic:spPr>
                </pic:pic>
              </a:graphicData>
            </a:graphic>
          </wp:inline>
        </w:drawing>
      </w:r>
    </w:p>
    <w:p w14:paraId="05E2A4C9" w14:textId="5DED0C73" w:rsidR="002C70E6" w:rsidRDefault="002C70E6" w:rsidP="002C70E6">
      <w:pPr>
        <w:jc w:val="center"/>
        <w:rPr>
          <w:b/>
          <w:bCs/>
          <w:lang w:val="en-US"/>
        </w:rPr>
      </w:pPr>
      <w:r>
        <w:rPr>
          <w:b/>
          <w:bCs/>
          <w:lang w:val="en-US"/>
        </w:rPr>
        <w:t>Fig 10: Project C appraisal</w:t>
      </w:r>
    </w:p>
    <w:p w14:paraId="1CE7DBA9" w14:textId="62D86F73" w:rsidR="002C70E6" w:rsidRPr="00B72139" w:rsidRDefault="002C70E6" w:rsidP="002C70E6">
      <w:pPr>
        <w:jc w:val="center"/>
        <w:rPr>
          <w:lang w:val="en-US"/>
        </w:rPr>
      </w:pPr>
      <w:r>
        <w:rPr>
          <w:lang w:val="en-US"/>
        </w:rPr>
        <w:t>(Source: Excel)</w:t>
      </w:r>
    </w:p>
    <w:p w14:paraId="4FD63EE2" w14:textId="77777777" w:rsidR="00B72139" w:rsidRPr="00B72139" w:rsidRDefault="00B72139" w:rsidP="00B72139">
      <w:pPr>
        <w:pStyle w:val="Heading2"/>
        <w:rPr>
          <w:lang w:val="en-US"/>
        </w:rPr>
      </w:pPr>
      <w:bookmarkStart w:id="29" w:name="_Toc225846402"/>
      <w:r w:rsidRPr="00B72139">
        <w:rPr>
          <w:lang w:val="en-US"/>
        </w:rPr>
        <w:t>4.1 Evaluation Using Payback Period</w:t>
      </w:r>
      <w:bookmarkEnd w:id="29"/>
    </w:p>
    <w:p w14:paraId="09D11B63" w14:textId="35F09D98" w:rsidR="00B72139" w:rsidRPr="00B72139" w:rsidRDefault="00D75C5C" w:rsidP="00D75C5C">
      <w:pPr>
        <w:rPr>
          <w:lang w:val="en-US"/>
        </w:rPr>
      </w:pPr>
      <w:r w:rsidRPr="00D75C5C">
        <w:rPr>
          <w:lang w:val="en-US"/>
        </w:rPr>
        <w:t>Payback Period Measures the Time Needed to Recover an Investment through Cash Flows; Provides Insight into Liquidity Risks</w:t>
      </w:r>
      <w:r>
        <w:rPr>
          <w:lang w:val="en-US"/>
        </w:rPr>
        <w:t xml:space="preserve"> </w:t>
      </w:r>
      <w:r w:rsidRPr="00D75C5C">
        <w:rPr>
          <w:lang w:val="en-US"/>
        </w:rPr>
        <w:t>(Sinaga et al., 2023).</w:t>
      </w:r>
      <w:r>
        <w:rPr>
          <w:lang w:val="en-US"/>
        </w:rPr>
        <w:t xml:space="preserve"> </w:t>
      </w:r>
      <w:r w:rsidRPr="00D75C5C">
        <w:rPr>
          <w:lang w:val="en-US"/>
        </w:rPr>
        <w:t xml:space="preserve">The Project A payback period is 4.50 years, Project B's is 4.55 years, and Project C's is considerably less at 3.60 years. A shorter payback period generally indicates less risk especially as Telsa's cash position deteriorates; therefore, the rapid cash recovery of Project C increases Telsa's financial flexibility and reduces risk. However, the payback period does not include cash flow generated once the initial investment has been recovered; therefore, it ignores the time value of money. </w:t>
      </w:r>
    </w:p>
    <w:p w14:paraId="361459B7" w14:textId="77777777" w:rsidR="00B72139" w:rsidRPr="00B72139" w:rsidRDefault="00B72139" w:rsidP="00B72139">
      <w:pPr>
        <w:pStyle w:val="Heading2"/>
        <w:rPr>
          <w:lang w:val="en-US"/>
        </w:rPr>
      </w:pPr>
      <w:bookmarkStart w:id="30" w:name="_Toc225846403"/>
      <w:r w:rsidRPr="00B72139">
        <w:rPr>
          <w:lang w:val="en-US"/>
        </w:rPr>
        <w:t>4.2 Evaluation Using Accounting Rate of Return</w:t>
      </w:r>
      <w:bookmarkEnd w:id="30"/>
    </w:p>
    <w:p w14:paraId="45C29686" w14:textId="2F118197" w:rsidR="00B72139" w:rsidRPr="00B72139" w:rsidRDefault="00D75C5C" w:rsidP="00B72139">
      <w:pPr>
        <w:rPr>
          <w:lang w:val="en-US"/>
        </w:rPr>
      </w:pPr>
      <w:r w:rsidRPr="00D75C5C">
        <w:rPr>
          <w:lang w:val="en-US"/>
        </w:rPr>
        <w:t>The ARR compares the profit with the amount of the initial investment; ARR for Project A is 1.60% and Project C is considerably higher at 6% which indicates a far higher probability of success for Project C than for Project A. With the continued decline in Telsa's return on equity, all projects must generate positive returns to enable Telsa to provide acceptable returns to shareholders. Project C's high ARR indicates it is more efficient at creating profit than Project A (Sinaga et al., 2023). However, the ARR is based on accounting numbers and therefore does not consider the time value of money.</w:t>
      </w:r>
    </w:p>
    <w:p w14:paraId="551572BD" w14:textId="46A6916B" w:rsidR="00B72139" w:rsidRPr="00B72139" w:rsidRDefault="00B72139" w:rsidP="00B72139">
      <w:pPr>
        <w:pStyle w:val="Heading2"/>
        <w:rPr>
          <w:lang w:val="en-US"/>
        </w:rPr>
      </w:pPr>
      <w:bookmarkStart w:id="31" w:name="_Toc225846404"/>
      <w:r w:rsidRPr="00B72139">
        <w:rPr>
          <w:lang w:val="en-US"/>
        </w:rPr>
        <w:t>4.3 Net Present Value Analysis</w:t>
      </w:r>
      <w:bookmarkEnd w:id="31"/>
    </w:p>
    <w:p w14:paraId="45D4473A" w14:textId="7686F491" w:rsidR="00B72139" w:rsidRPr="00B72139" w:rsidRDefault="00B72139" w:rsidP="00B72139">
      <w:pPr>
        <w:rPr>
          <w:lang w:val="en-US"/>
        </w:rPr>
      </w:pPr>
      <w:r w:rsidRPr="00B72139">
        <w:rPr>
          <w:lang w:val="en-US"/>
        </w:rPr>
        <w:t>Net Present Value is a method of investment appraisal as it considers the time value of money and directly measures value creation. At an interest rate of 10 percent all three projects will return money back to the investors with CAPM. The NPV of project A is -8,676,000, project B is - 8,301,000 and project C's has the largest negative NPV at -1,984,000 which means that none of the three projects will reach the target return on investment required by Tesla. However, Project C is superior as it minimises value destruction. From a CFO perspective NPV should be the decision criterion. The results suggest that Tesla should ideally reject all projects unless there are strategic justifications</w:t>
      </w:r>
      <w:r w:rsidR="008566ED">
        <w:rPr>
          <w:lang w:val="en-US"/>
        </w:rPr>
        <w:t xml:space="preserve"> (</w:t>
      </w:r>
      <w:r w:rsidR="008566ED" w:rsidRPr="000D7A83">
        <w:t xml:space="preserve">Kadam </w:t>
      </w:r>
      <w:r w:rsidR="008566ED">
        <w:t>and</w:t>
      </w:r>
      <w:r w:rsidR="008566ED" w:rsidRPr="000D7A83">
        <w:t xml:space="preserve"> Singh, 2025)</w:t>
      </w:r>
      <w:r w:rsidRPr="00B72139">
        <w:rPr>
          <w:lang w:val="en-US"/>
        </w:rPr>
        <w:t>. Given Teslas growth strategy such considerations are highly relevant.</w:t>
      </w:r>
    </w:p>
    <w:p w14:paraId="7BBD4306" w14:textId="77777777" w:rsidR="00B72139" w:rsidRPr="00B72139" w:rsidRDefault="00B72139" w:rsidP="00B72139">
      <w:pPr>
        <w:pStyle w:val="Heading2"/>
        <w:rPr>
          <w:lang w:val="en-US"/>
        </w:rPr>
      </w:pPr>
      <w:bookmarkStart w:id="32" w:name="_Toc225846405"/>
      <w:r w:rsidRPr="00B72139">
        <w:rPr>
          <w:lang w:val="en-US"/>
        </w:rPr>
        <w:t>4.4 Profitability Index Assessment</w:t>
      </w:r>
      <w:bookmarkEnd w:id="32"/>
    </w:p>
    <w:p w14:paraId="26C13DE9" w14:textId="4049735C" w:rsidR="00B72139" w:rsidRPr="00B72139" w:rsidRDefault="00B72139" w:rsidP="00B72139">
      <w:pPr>
        <w:rPr>
          <w:lang w:val="en-US"/>
        </w:rPr>
      </w:pPr>
      <w:r w:rsidRPr="00B72139">
        <w:rPr>
          <w:lang w:val="en-US"/>
        </w:rPr>
        <w:t>The profitability index is a measure that looks at the value created for each unit of investment. This is especially useful when there is not a lot of money to invest. Project A has a profitability index of 82.65 percent Project B has 83.40 percent and Project C has the highest at 96.03 percent. Even though none of the projects have a profitability index of than 1 which would mean they are creating value Project C is still the best at using money wisely</w:t>
      </w:r>
      <w:r w:rsidR="008566ED">
        <w:rPr>
          <w:lang w:val="en-US"/>
        </w:rPr>
        <w:t xml:space="preserve"> (</w:t>
      </w:r>
      <w:r w:rsidR="008566ED" w:rsidRPr="000D7A83">
        <w:t>Tulhayat</w:t>
      </w:r>
      <w:r w:rsidR="008566ED">
        <w:t xml:space="preserve"> </w:t>
      </w:r>
      <w:r w:rsidR="008566ED">
        <w:rPr>
          <w:i/>
          <w:iCs/>
        </w:rPr>
        <w:t>et al.,</w:t>
      </w:r>
      <w:r w:rsidR="008566ED">
        <w:t xml:space="preserve"> 2025)</w:t>
      </w:r>
      <w:r w:rsidRPr="00B72139">
        <w:rPr>
          <w:lang w:val="en-US"/>
        </w:rPr>
        <w:t>.</w:t>
      </w:r>
    </w:p>
    <w:p w14:paraId="5E70C984" w14:textId="59977FFB" w:rsidR="00B72139" w:rsidRPr="00B72139" w:rsidRDefault="00B72139" w:rsidP="00B72139">
      <w:pPr>
        <w:rPr>
          <w:lang w:val="en-US"/>
        </w:rPr>
      </w:pPr>
      <w:r w:rsidRPr="00B72139">
        <w:rPr>
          <w:lang w:val="en-US"/>
        </w:rPr>
        <w:t>This is like what we found with the present value. It shows that Project C is the choice out of the three. The profitability index of Project C is higher, which means it gives returns for each pound invested. This makes it a better choice when money is limited.</w:t>
      </w:r>
    </w:p>
    <w:p w14:paraId="27EFBDCC" w14:textId="77777777" w:rsidR="00B72139" w:rsidRPr="00B72139" w:rsidRDefault="00B72139" w:rsidP="00B72139">
      <w:pPr>
        <w:pStyle w:val="Heading2"/>
        <w:rPr>
          <w:lang w:val="en-US"/>
        </w:rPr>
      </w:pPr>
      <w:bookmarkStart w:id="33" w:name="_Toc225846406"/>
      <w:r w:rsidRPr="00B72139">
        <w:rPr>
          <w:lang w:val="en-US"/>
        </w:rPr>
        <w:t>4.5 Internal Rate of Return Analysis</w:t>
      </w:r>
      <w:bookmarkEnd w:id="33"/>
    </w:p>
    <w:p w14:paraId="335103B7" w14:textId="0729F9CA" w:rsidR="00B72139" w:rsidRPr="00B72139" w:rsidRDefault="00B72139" w:rsidP="00B72139">
      <w:pPr>
        <w:rPr>
          <w:lang w:val="en-US"/>
        </w:rPr>
      </w:pPr>
      <w:r w:rsidRPr="00B72139">
        <w:rPr>
          <w:lang w:val="en-US"/>
        </w:rPr>
        <w:t>The internal rate that provides an internal rate of capital to project A, B, and C with an internal rate (operation) of less than 10% gives all three projects an internal return greater than 10%; therefore, they don't provide an internal rate or internal return on data</w:t>
      </w:r>
      <w:r w:rsidR="008566ED">
        <w:rPr>
          <w:lang w:val="en-US"/>
        </w:rPr>
        <w:t xml:space="preserve"> (</w:t>
      </w:r>
      <w:r w:rsidR="008566ED" w:rsidRPr="000D7A83">
        <w:t>Sinaga</w:t>
      </w:r>
      <w:r w:rsidR="008566ED">
        <w:t xml:space="preserve"> </w:t>
      </w:r>
      <w:r w:rsidR="008566ED">
        <w:rPr>
          <w:i/>
          <w:iCs/>
        </w:rPr>
        <w:t>et al.,</w:t>
      </w:r>
      <w:r w:rsidR="008566ED">
        <w:t xml:space="preserve"> 2023)</w:t>
      </w:r>
      <w:r w:rsidRPr="00B72139">
        <w:rPr>
          <w:lang w:val="en-US"/>
        </w:rPr>
        <w:t>. However, Project Cs internal rate of return is much higher than the two, which means it is doing better. In terms Project C is closer to being a good investment and would be a good choice if the cost of capital was a bit lower or if the cash flow projections were better.</w:t>
      </w:r>
    </w:p>
    <w:p w14:paraId="46085DB2" w14:textId="77777777" w:rsidR="00B72139" w:rsidRPr="00B72139" w:rsidRDefault="00B72139" w:rsidP="00B72139">
      <w:pPr>
        <w:pStyle w:val="Heading2"/>
        <w:rPr>
          <w:lang w:val="en-US"/>
        </w:rPr>
      </w:pPr>
      <w:bookmarkStart w:id="34" w:name="_Toc225846407"/>
      <w:r w:rsidRPr="00B72139">
        <w:rPr>
          <w:lang w:val="en-US"/>
        </w:rPr>
        <w:t>4.6 Overall Project Comparison and Recommendation</w:t>
      </w:r>
      <w:bookmarkEnd w:id="34"/>
    </w:p>
    <w:p w14:paraId="49FF43D0" w14:textId="698A6BA5" w:rsidR="00B72139" w:rsidRPr="00B72139" w:rsidRDefault="00B72139" w:rsidP="00B72139">
      <w:pPr>
        <w:rPr>
          <w:lang w:val="en-US"/>
        </w:rPr>
      </w:pPr>
      <w:r w:rsidRPr="00B72139">
        <w:rPr>
          <w:lang w:val="en-US"/>
        </w:rPr>
        <w:t>When we compare all the projects using methods, we see that Project C is the best choice. It has the payback period, the highest accounting rate of return, the least negative net present value, the highest profitability index and the highest internal rate of return. This makes us confident in our conclusion. Even though Project C is the choice it still does not meet the required rate of return, which is a concern. Yeah, but there are a ton of other companies managing their electric vehicle development efficiently and effectively at the same time. In our opinion, Project C's cash flow is expected to be solid for the next couple of years. To put it plainly, that is exactly what Tesla requires to expand into new product lines. So, we can justify investing in Project C even if it does not meet all the requirements.</w:t>
      </w:r>
    </w:p>
    <w:p w14:paraId="60D96DB5" w14:textId="77777777" w:rsidR="00B72139" w:rsidRPr="00B72139" w:rsidRDefault="00B72139" w:rsidP="00B72139">
      <w:pPr>
        <w:pStyle w:val="Heading2"/>
        <w:rPr>
          <w:lang w:val="en-US"/>
        </w:rPr>
      </w:pPr>
      <w:bookmarkStart w:id="35" w:name="_Toc225846408"/>
      <w:r w:rsidRPr="00B72139">
        <w:rPr>
          <w:lang w:val="en-US"/>
        </w:rPr>
        <w:t>4.7 Capital Rationing Decision</w:t>
      </w:r>
      <w:bookmarkEnd w:id="35"/>
    </w:p>
    <w:p w14:paraId="1052AF38" w14:textId="2D7C18A0" w:rsidR="00B72139" w:rsidRPr="00B72139" w:rsidRDefault="00B72139" w:rsidP="00B72139">
      <w:pPr>
        <w:rPr>
          <w:lang w:val="en-US"/>
        </w:rPr>
      </w:pPr>
      <w:r w:rsidRPr="00B72139">
        <w:rPr>
          <w:lang w:val="en-US"/>
        </w:rPr>
        <w:t>Tesla can only invest a maximum of 100 million pounds, so it needs to choose two projects that're the best. The goal is to get the highest total net present value with the money available</w:t>
      </w:r>
      <w:r w:rsidR="00642BF1">
        <w:rPr>
          <w:lang w:val="en-US"/>
        </w:rPr>
        <w:t xml:space="preserve"> (</w:t>
      </w:r>
      <w:r w:rsidR="00642BF1" w:rsidRPr="00860BF5">
        <w:t xml:space="preserve">Jamal </w:t>
      </w:r>
      <w:r w:rsidR="00642BF1">
        <w:t>and</w:t>
      </w:r>
      <w:r w:rsidR="00642BF1" w:rsidRPr="00860BF5">
        <w:t xml:space="preserve"> Sudrajat, 2022)</w:t>
      </w:r>
      <w:r w:rsidRPr="00B72139">
        <w:rPr>
          <w:lang w:val="en-US"/>
        </w:rPr>
        <w:t>. The total net present values for the combinations are Projects A and B have a net present value of -16.977 million pounds Projects A and C have -10.660 million pounds and Projects B and C have the least negative total net present value of -10.285 million pounds.</w:t>
      </w:r>
    </w:p>
    <w:p w14:paraId="4F18B17D" w14:textId="77777777" w:rsidR="00B72139" w:rsidRPr="00B72139" w:rsidRDefault="00B72139" w:rsidP="00B72139">
      <w:pPr>
        <w:rPr>
          <w:lang w:val="en-US"/>
        </w:rPr>
      </w:pPr>
      <w:r w:rsidRPr="00B72139">
        <w:rPr>
          <w:lang w:val="en-US"/>
        </w:rPr>
        <w:t>Based on this the best combination is Projects B and C as it minimises losses and gives a balance between growth-oriented cash flows. Project B gives cash flows every year, which helps with financial stability while Project C gives higher returns and growth potential. This combination also fits with Teslas situation. Project B helps with liquidity through cash flows while Project C helps with profitability and growth. Together they make a balanced investment portfolio.</w:t>
      </w:r>
    </w:p>
    <w:p w14:paraId="015DE074" w14:textId="77777777" w:rsidR="00B72139" w:rsidRPr="00B72139" w:rsidRDefault="00B72139" w:rsidP="00B72139">
      <w:pPr>
        <w:pStyle w:val="Heading2"/>
        <w:rPr>
          <w:lang w:val="en-US"/>
        </w:rPr>
      </w:pPr>
      <w:bookmarkStart w:id="36" w:name="_Toc225846409"/>
      <w:r w:rsidRPr="00B72139">
        <w:rPr>
          <w:lang w:val="en-US"/>
        </w:rPr>
        <w:t>4.8 Strategic and Non-Financial Considerations</w:t>
      </w:r>
      <w:bookmarkEnd w:id="36"/>
    </w:p>
    <w:p w14:paraId="57879568" w14:textId="57675224" w:rsidR="00514AFD" w:rsidRPr="00514AFD" w:rsidRDefault="00514AFD" w:rsidP="00514AFD">
      <w:pPr>
        <w:rPr>
          <w:lang w:val="en-US"/>
        </w:rPr>
      </w:pPr>
      <w:r w:rsidRPr="00514AFD">
        <w:rPr>
          <w:lang w:val="en-US"/>
        </w:rPr>
        <w:t>Financial factors matter a lot when making investment decisions in the electric vehicle sector.</w:t>
      </w:r>
      <w:r>
        <w:rPr>
          <w:lang w:val="en-US"/>
        </w:rPr>
        <w:t xml:space="preserve"> </w:t>
      </w:r>
      <w:r w:rsidRPr="00514AFD">
        <w:rPr>
          <w:lang w:val="en-US"/>
        </w:rPr>
        <w:t>When thinking about investing in this area things like government incentives are important</w:t>
      </w:r>
      <w:r>
        <w:rPr>
          <w:lang w:val="en-US"/>
        </w:rPr>
        <w:t xml:space="preserve"> and c</w:t>
      </w:r>
      <w:r w:rsidRPr="00514AFD">
        <w:rPr>
          <w:lang w:val="en-US"/>
        </w:rPr>
        <w:t>hanges in these incentives can</w:t>
      </w:r>
      <w:r>
        <w:rPr>
          <w:lang w:val="en-US"/>
        </w:rPr>
        <w:t xml:space="preserve"> b</w:t>
      </w:r>
      <w:r w:rsidRPr="00514AFD">
        <w:rPr>
          <w:lang w:val="en-US"/>
        </w:rPr>
        <w:t>reak a project.</w:t>
      </w:r>
      <w:r>
        <w:rPr>
          <w:lang w:val="en-US"/>
        </w:rPr>
        <w:t xml:space="preserve"> </w:t>
      </w:r>
      <w:r w:rsidRPr="00514AFD">
        <w:rPr>
          <w:lang w:val="en-US"/>
        </w:rPr>
        <w:t>Also changes in regulations and trade policies can affect how much it costs to do business and how easily you can sell your products.</w:t>
      </w:r>
      <w:r>
        <w:rPr>
          <w:lang w:val="en-US"/>
        </w:rPr>
        <w:t xml:space="preserve"> </w:t>
      </w:r>
      <w:r w:rsidRPr="00514AFD">
        <w:rPr>
          <w:lang w:val="en-US"/>
        </w:rPr>
        <w:t>Customer loyalty and brand reputation are also crucial.</w:t>
      </w:r>
      <w:r>
        <w:rPr>
          <w:lang w:val="en-US"/>
        </w:rPr>
        <w:t xml:space="preserve"> </w:t>
      </w:r>
      <w:r w:rsidRPr="00514AFD">
        <w:rPr>
          <w:lang w:val="en-US"/>
        </w:rPr>
        <w:t>Investments that improve product quality offer solutions and support sustainability will help Tesla stay ahead and build demand over time.</w:t>
      </w:r>
      <w:r>
        <w:rPr>
          <w:lang w:val="en-US"/>
        </w:rPr>
        <w:t xml:space="preserve"> </w:t>
      </w:r>
      <w:r w:rsidRPr="00514AFD">
        <w:rPr>
          <w:lang w:val="en-US"/>
        </w:rPr>
        <w:t>Project C seems to fit with these goals because of its growth potential.</w:t>
      </w:r>
      <w:r>
        <w:rPr>
          <w:lang w:val="en-US"/>
        </w:rPr>
        <w:t xml:space="preserve"> </w:t>
      </w:r>
      <w:r w:rsidRPr="00514AFD">
        <w:rPr>
          <w:lang w:val="en-US"/>
        </w:rPr>
        <w:t>Another thing to consider is technological uncertainty.</w:t>
      </w:r>
      <w:r>
        <w:rPr>
          <w:lang w:val="en-US"/>
        </w:rPr>
        <w:t xml:space="preserve"> </w:t>
      </w:r>
      <w:r w:rsidRPr="00514AFD">
        <w:rPr>
          <w:lang w:val="en-US"/>
        </w:rPr>
        <w:t>With advancements in battery tech and autonomous driving investment is needed to stay competitive.</w:t>
      </w:r>
      <w:r>
        <w:rPr>
          <w:lang w:val="en-US"/>
        </w:rPr>
        <w:t xml:space="preserve"> </w:t>
      </w:r>
      <w:r w:rsidRPr="00514AFD">
        <w:rPr>
          <w:lang w:val="en-US"/>
        </w:rPr>
        <w:t>Projects that help you stay ahead are necessary.</w:t>
      </w:r>
    </w:p>
    <w:p w14:paraId="077B95A5" w14:textId="77777777" w:rsidR="00514AFD" w:rsidRPr="00514AFD" w:rsidRDefault="00514AFD" w:rsidP="00514AFD">
      <w:pPr>
        <w:rPr>
          <w:lang w:val="en-US"/>
        </w:rPr>
      </w:pPr>
    </w:p>
    <w:p w14:paraId="1D4359CE" w14:textId="3D519E29" w:rsidR="008E6CE6" w:rsidRDefault="00514AFD" w:rsidP="00514AFD">
      <w:pPr>
        <w:rPr>
          <w:lang w:val="en-US"/>
        </w:rPr>
      </w:pPr>
      <w:r>
        <w:rPr>
          <w:lang w:val="en-US"/>
        </w:rPr>
        <w:t>B</w:t>
      </w:r>
      <w:r w:rsidRPr="00514AFD">
        <w:rPr>
          <w:lang w:val="en-US"/>
        </w:rPr>
        <w:t>ased on metrics Project C seems to be the best choice.</w:t>
      </w:r>
      <w:r>
        <w:rPr>
          <w:lang w:val="en-US"/>
        </w:rPr>
        <w:t xml:space="preserve"> </w:t>
      </w:r>
      <w:r w:rsidRPr="00514AFD">
        <w:rPr>
          <w:lang w:val="en-US"/>
        </w:rPr>
        <w:t>This is even though all projects have net present values at the required rate of return.</w:t>
      </w:r>
      <w:r>
        <w:rPr>
          <w:lang w:val="en-US"/>
        </w:rPr>
        <w:t xml:space="preserve"> </w:t>
      </w:r>
      <w:r w:rsidRPr="00514AFD">
        <w:rPr>
          <w:lang w:val="en-US"/>
        </w:rPr>
        <w:t>If you can only invest an amount doing Projects B and C together is a good idea.</w:t>
      </w:r>
      <w:r>
        <w:rPr>
          <w:lang w:val="en-US"/>
        </w:rPr>
        <w:t xml:space="preserve"> </w:t>
      </w:r>
      <w:r w:rsidRPr="00514AFD">
        <w:rPr>
          <w:lang w:val="en-US"/>
        </w:rPr>
        <w:t>This combination gets the value out of your budget and balances stability with growth.</w:t>
      </w:r>
      <w:r>
        <w:rPr>
          <w:lang w:val="en-US"/>
        </w:rPr>
        <w:t xml:space="preserve"> </w:t>
      </w:r>
      <w:r w:rsidRPr="00514AFD">
        <w:rPr>
          <w:lang w:val="en-US"/>
        </w:rPr>
        <w:t>T</w:t>
      </w:r>
      <w:r>
        <w:rPr>
          <w:lang w:val="en-US"/>
        </w:rPr>
        <w:t>hough t</w:t>
      </w:r>
      <w:r w:rsidRPr="00514AFD">
        <w:rPr>
          <w:lang w:val="en-US"/>
        </w:rPr>
        <w:t>here are some reasons to hesitate with Project C, from a strategic standpoint pursuing Project C makes sense.</w:t>
      </w:r>
      <w:r>
        <w:rPr>
          <w:lang w:val="en-US"/>
        </w:rPr>
        <w:t xml:space="preserve"> </w:t>
      </w:r>
      <w:r w:rsidRPr="00514AFD">
        <w:rPr>
          <w:lang w:val="en-US"/>
        </w:rPr>
        <w:t>The company needs to stay and grow its market share even if short-term results aren't super profitable.</w:t>
      </w:r>
    </w:p>
    <w:p w14:paraId="3A9AFE5B" w14:textId="77777777" w:rsidR="00126423" w:rsidRPr="00126423" w:rsidRDefault="00126423" w:rsidP="00126423">
      <w:pPr>
        <w:pStyle w:val="Heading1"/>
        <w:rPr>
          <w:lang w:val="en-US"/>
        </w:rPr>
      </w:pPr>
      <w:bookmarkStart w:id="37" w:name="_Toc225846410"/>
      <w:r w:rsidRPr="00126423">
        <w:rPr>
          <w:lang w:val="en-US"/>
        </w:rPr>
        <w:t>Conclusion</w:t>
      </w:r>
      <w:bookmarkEnd w:id="37"/>
    </w:p>
    <w:p w14:paraId="7C1B775F" w14:textId="58DDB7D6" w:rsidR="0060278E" w:rsidRDefault="003538F5" w:rsidP="00A31EC4">
      <w:pPr>
        <w:rPr>
          <w:lang w:val="en-US"/>
        </w:rPr>
      </w:pPr>
      <w:r>
        <w:rPr>
          <w:lang w:val="en-US"/>
        </w:rPr>
        <w:t>In summary, in terms of financial position and cashflow, Tesla is still in a string position as a company. Moreover, the diversified market position of the company offers a great dilution of risks. However, the company needs to have better management of its assets and go for stronger debt and asset management strategies. Moreover, project C is observed to be the best choice for the company among the different viable options that the company is having currently. Also, on having a greater fund at their disposal as investment, a combination of projects B and C seems to be the best option to go for.</w:t>
      </w:r>
      <w:r w:rsidR="0060278E">
        <w:rPr>
          <w:lang w:val="en-US"/>
        </w:rPr>
        <w:br w:type="page"/>
      </w:r>
    </w:p>
    <w:p w14:paraId="7D809A55" w14:textId="52D05AEF" w:rsidR="0060278E" w:rsidRDefault="0060278E" w:rsidP="0060278E">
      <w:pPr>
        <w:pStyle w:val="Heading1"/>
        <w:rPr>
          <w:lang w:val="en-US"/>
        </w:rPr>
      </w:pPr>
      <w:bookmarkStart w:id="38" w:name="_Toc225846411"/>
      <w:r>
        <w:rPr>
          <w:lang w:val="en-US"/>
        </w:rPr>
        <w:t>Reference List</w:t>
      </w:r>
      <w:bookmarkEnd w:id="38"/>
    </w:p>
    <w:p w14:paraId="7E34EDE0" w14:textId="77777777" w:rsidR="0060278E" w:rsidRDefault="0060278E" w:rsidP="0060278E">
      <w:r w:rsidRPr="00546567">
        <w:t xml:space="preserve">Akpadaka, O., </w:t>
      </w:r>
      <w:r>
        <w:t>and</w:t>
      </w:r>
      <w:r w:rsidRPr="00546567">
        <w:t xml:space="preserve"> Edeh, P. O. (2024). Impact of Cash Conversion Cycle and Financial Stability on Firm Value. </w:t>
      </w:r>
      <w:r w:rsidRPr="00546567">
        <w:rPr>
          <w:i/>
          <w:iCs/>
        </w:rPr>
        <w:t>Journal of Accounting and Financial Management</w:t>
      </w:r>
      <w:r w:rsidRPr="00546567">
        <w:t>, </w:t>
      </w:r>
      <w:r w:rsidRPr="00546567">
        <w:rPr>
          <w:i/>
          <w:iCs/>
        </w:rPr>
        <w:t>10</w:t>
      </w:r>
      <w:r w:rsidRPr="00546567">
        <w:t>, 123-141.</w:t>
      </w:r>
      <w:r>
        <w:t xml:space="preserve"> </w:t>
      </w:r>
      <w:hyperlink r:id="rId18" w:history="1">
        <w:r w:rsidRPr="00100F12">
          <w:rPr>
            <w:rStyle w:val="Hyperlink"/>
          </w:rPr>
          <w:t>https://www.researchgate.net/profile/Ovbe-Akpadaka/publication/383262033_Impact_of_Cash_Conversion_Cycle_and_Financial_Stability_on_Firm_Value/links/66c4c856ccd355055fe1342b/Impact-of-Cash-Conversion-Cycle-and-Financial-Stability-on-Firm-Value.pdf</w:t>
        </w:r>
      </w:hyperlink>
    </w:p>
    <w:p w14:paraId="4F96A9FA" w14:textId="77777777" w:rsidR="0060278E" w:rsidRDefault="0060278E" w:rsidP="0060278E">
      <w:r w:rsidRPr="000D7A83">
        <w:t>Al Amosh, H. (2025). Exchange rate volatility and ESG performance: an international empirical analysis. </w:t>
      </w:r>
      <w:r w:rsidRPr="000D7A83">
        <w:rPr>
          <w:i/>
          <w:iCs/>
        </w:rPr>
        <w:t>Journal of Corporate Accounting &amp; Finance</w:t>
      </w:r>
      <w:r w:rsidRPr="000D7A83">
        <w:t>, </w:t>
      </w:r>
      <w:r w:rsidRPr="000D7A83">
        <w:rPr>
          <w:i/>
          <w:iCs/>
        </w:rPr>
        <w:t>36</w:t>
      </w:r>
      <w:r w:rsidRPr="000D7A83">
        <w:t>(3), 14-28.</w:t>
      </w:r>
      <w:r>
        <w:t xml:space="preserve"> </w:t>
      </w:r>
      <w:hyperlink r:id="rId19" w:history="1">
        <w:r w:rsidRPr="00100F12">
          <w:rPr>
            <w:rStyle w:val="Hyperlink"/>
          </w:rPr>
          <w:t>https://onlinelibrary.wiley.com/doi/pdf/10.1002/jcaf.22774</w:t>
        </w:r>
      </w:hyperlink>
    </w:p>
    <w:p w14:paraId="6203C28C" w14:textId="77777777" w:rsidR="0060278E" w:rsidRDefault="0060278E" w:rsidP="0060278E">
      <w:r w:rsidRPr="00695017">
        <w:t xml:space="preserve">Andoko, A., </w:t>
      </w:r>
      <w:r>
        <w:t>and</w:t>
      </w:r>
      <w:r w:rsidRPr="00695017">
        <w:t xml:space="preserve"> Angeline, A. (2023). The Influence of Debt to Equity Ratio, Operating Profit Margin Ratio and Operating Expense Toward Entity Income Tax of Infrastructure, Utility </w:t>
      </w:r>
      <w:r>
        <w:t>a</w:t>
      </w:r>
      <w:r w:rsidRPr="00695017">
        <w:t xml:space="preserve">nd Transportation Companies Listed </w:t>
      </w:r>
      <w:r>
        <w:t>o</w:t>
      </w:r>
      <w:r w:rsidRPr="00695017">
        <w:t xml:space="preserve">n </w:t>
      </w:r>
      <w:r>
        <w:t>t</w:t>
      </w:r>
      <w:r w:rsidRPr="00695017">
        <w:t>he Indonesia Stock Exchange. </w:t>
      </w:r>
      <w:r w:rsidRPr="00695017">
        <w:rPr>
          <w:i/>
          <w:iCs/>
        </w:rPr>
        <w:t>IJOSPOL-International Journal of Social, Policy and Law</w:t>
      </w:r>
      <w:r w:rsidRPr="00695017">
        <w:t>, </w:t>
      </w:r>
      <w:r w:rsidRPr="00695017">
        <w:rPr>
          <w:i/>
          <w:iCs/>
        </w:rPr>
        <w:t>4</w:t>
      </w:r>
      <w:r w:rsidRPr="00695017">
        <w:t>(1), 58-68.</w:t>
      </w:r>
      <w:r>
        <w:t xml:space="preserve"> </w:t>
      </w:r>
      <w:hyperlink r:id="rId20" w:history="1">
        <w:r w:rsidRPr="00100F12">
          <w:rPr>
            <w:rStyle w:val="Hyperlink"/>
          </w:rPr>
          <w:t>https://ijospl.org/index.php/ijospl/article/download/115/79</w:t>
        </w:r>
      </w:hyperlink>
    </w:p>
    <w:p w14:paraId="454B4FD3" w14:textId="77777777" w:rsidR="0060278E" w:rsidRDefault="0060278E" w:rsidP="0060278E">
      <w:r w:rsidRPr="00267874">
        <w:t xml:space="preserve">Burnie, D. A., </w:t>
      </w:r>
      <w:r>
        <w:t>and</w:t>
      </w:r>
      <w:r w:rsidRPr="00267874">
        <w:t xml:space="preserve"> Ridder, A. D. (2023). Accounts payable management. In </w:t>
      </w:r>
      <w:r w:rsidRPr="00267874">
        <w:rPr>
          <w:i/>
          <w:iCs/>
        </w:rPr>
        <w:t>Working capital management: Concepts and strategies</w:t>
      </w:r>
      <w:r w:rsidRPr="00267874">
        <w:t> (pp. 283-307).</w:t>
      </w:r>
      <w:r>
        <w:t xml:space="preserve"> </w:t>
      </w:r>
      <w:hyperlink r:id="rId21" w:history="1">
        <w:r w:rsidRPr="00100F12">
          <w:rPr>
            <w:rStyle w:val="Hyperlink"/>
          </w:rPr>
          <w:t>https://www.researchgate.net/profile/Adri-Ridder/publication/369723213_Accounts_Payable_Management/links/67bb1955461fb56424e76018/Accounts-Payable-Management.pdf</w:t>
        </w:r>
      </w:hyperlink>
    </w:p>
    <w:p w14:paraId="754218C2" w14:textId="77777777" w:rsidR="0060278E" w:rsidRDefault="0060278E" w:rsidP="0060278E">
      <w:r w:rsidRPr="00F33836">
        <w:t>Cao, X. (2025, August). A Comparative Analysis of Financial Performance of Tesla and BYD Based on Financial Statements Ratios. In </w:t>
      </w:r>
      <w:r w:rsidRPr="00F33836">
        <w:rPr>
          <w:i/>
          <w:iCs/>
        </w:rPr>
        <w:t>2025 5th International Conference on Enterprise Management and Economic Development (ICEMED 2025)</w:t>
      </w:r>
      <w:r w:rsidRPr="00F33836">
        <w:t> (pp. 544-559). Atlantis Press.</w:t>
      </w:r>
      <w:r>
        <w:t xml:space="preserve"> </w:t>
      </w:r>
      <w:hyperlink r:id="rId22" w:history="1">
        <w:r w:rsidRPr="00100F12">
          <w:rPr>
            <w:rStyle w:val="Hyperlink"/>
          </w:rPr>
          <w:t>https://www.atlantis-press.com/article/126014981.pdf</w:t>
        </w:r>
      </w:hyperlink>
    </w:p>
    <w:p w14:paraId="03BCB2C8" w14:textId="77777777" w:rsidR="0060278E" w:rsidRDefault="0060278E" w:rsidP="0060278E">
      <w:r w:rsidRPr="000D7A83">
        <w:t xml:space="preserve">Choudhary, P., Jain, N. K., </w:t>
      </w:r>
      <w:r>
        <w:t>and</w:t>
      </w:r>
      <w:r w:rsidRPr="000D7A83">
        <w:t xml:space="preserve"> Yadav, P. (2025). Advancing green business expansion through strategic mergers and acquisitions leveraging sustainability and government policy for enhanced innovation and resilience. </w:t>
      </w:r>
      <w:r w:rsidRPr="000D7A83">
        <w:rPr>
          <w:i/>
          <w:iCs/>
        </w:rPr>
        <w:t>Discover Environment</w:t>
      </w:r>
      <w:r w:rsidRPr="000D7A83">
        <w:t>, </w:t>
      </w:r>
      <w:r w:rsidRPr="000D7A83">
        <w:rPr>
          <w:i/>
          <w:iCs/>
        </w:rPr>
        <w:t>3</w:t>
      </w:r>
      <w:r w:rsidRPr="000D7A83">
        <w:t>(1), 287.</w:t>
      </w:r>
      <w:r>
        <w:t xml:space="preserve"> </w:t>
      </w:r>
      <w:hyperlink r:id="rId23" w:history="1">
        <w:r w:rsidRPr="00100F12">
          <w:rPr>
            <w:rStyle w:val="Hyperlink"/>
          </w:rPr>
          <w:t>https://link.springer.com/content/pdf/10.1007/s44274-025-00480-8.pdf</w:t>
        </w:r>
      </w:hyperlink>
    </w:p>
    <w:p w14:paraId="79235022" w14:textId="77777777" w:rsidR="0060278E" w:rsidRDefault="0060278E" w:rsidP="0060278E">
      <w:r w:rsidRPr="00F33836">
        <w:t>Fang, J. (2022, July). An Overall Financial Analysis of Tesla. In </w:t>
      </w:r>
      <w:r w:rsidRPr="00F33836">
        <w:rPr>
          <w:i/>
          <w:iCs/>
        </w:rPr>
        <w:t>2022 2nd International Conference on Enterprise Management and Economic Development (ICEMED 2022)</w:t>
      </w:r>
      <w:r w:rsidRPr="00F33836">
        <w:t> (pp. 1233-1238). Atlantis Press.</w:t>
      </w:r>
      <w:r>
        <w:t xml:space="preserve"> </w:t>
      </w:r>
      <w:hyperlink r:id="rId24" w:history="1">
        <w:r w:rsidRPr="00100F12">
          <w:rPr>
            <w:rStyle w:val="Hyperlink"/>
          </w:rPr>
          <w:t>https://www.atlantis-press.com/article/125975330.pdf</w:t>
        </w:r>
      </w:hyperlink>
    </w:p>
    <w:p w14:paraId="5AC6325E" w14:textId="77777777" w:rsidR="0060278E" w:rsidRDefault="0060278E" w:rsidP="0060278E">
      <w:r w:rsidRPr="00F33836">
        <w:t xml:space="preserve">Ferniawan, M. F., Kusumawati, A., </w:t>
      </w:r>
      <w:r>
        <w:t>and</w:t>
      </w:r>
      <w:r w:rsidRPr="00F33836">
        <w:t xml:space="preserve"> Madein, A. (2024). The influence of earnings per share (EPS), price earnings ratio (PER), price to book value (PBV), and debt equity ratio (DER) on the stock return. </w:t>
      </w:r>
      <w:r w:rsidRPr="00F33836">
        <w:rPr>
          <w:i/>
          <w:iCs/>
        </w:rPr>
        <w:t>Akrual: Jurnal Bisnis dan Akuntansi Kontemporer</w:t>
      </w:r>
      <w:r w:rsidRPr="00F33836">
        <w:t>, 114-130.</w:t>
      </w:r>
      <w:r>
        <w:t xml:space="preserve"> </w:t>
      </w:r>
      <w:hyperlink r:id="rId25" w:history="1">
        <w:r w:rsidRPr="00100F12">
          <w:rPr>
            <w:rStyle w:val="Hyperlink"/>
          </w:rPr>
          <w:t>http://journal.unhas.ac.id/index.php/akrual/article/download/32073/11233</w:t>
        </w:r>
      </w:hyperlink>
    </w:p>
    <w:p w14:paraId="00873078" w14:textId="77777777" w:rsidR="0060278E" w:rsidRDefault="0060278E" w:rsidP="0060278E">
      <w:pPr>
        <w:spacing w:line="480" w:lineRule="auto"/>
      </w:pPr>
      <w:r w:rsidRPr="00F33836">
        <w:t xml:space="preserve">Firdaus, I., </w:t>
      </w:r>
      <w:r>
        <w:t>and</w:t>
      </w:r>
      <w:r w:rsidRPr="00F33836">
        <w:t xml:space="preserve"> Tanjung, J. (2022). The Influence of Liquidity, Solvency, Activity, Profitability, And Sales Growth on Company Value. </w:t>
      </w:r>
      <w:r w:rsidRPr="00F33836">
        <w:rPr>
          <w:i/>
          <w:iCs/>
        </w:rPr>
        <w:t>International Journal of Multidisciplinary Research and Analysis</w:t>
      </w:r>
      <w:r w:rsidRPr="00F33836">
        <w:t>, </w:t>
      </w:r>
      <w:r w:rsidRPr="00F33836">
        <w:rPr>
          <w:i/>
          <w:iCs/>
        </w:rPr>
        <w:t>5</w:t>
      </w:r>
      <w:r w:rsidRPr="00F33836">
        <w:t>(06), 1491-1501.</w:t>
      </w:r>
      <w:r>
        <w:t xml:space="preserve"> </w:t>
      </w:r>
      <w:hyperlink r:id="rId26" w:history="1">
        <w:r w:rsidRPr="00100F12">
          <w:rPr>
            <w:rStyle w:val="Hyperlink"/>
          </w:rPr>
          <w:t>https://pdfs.semanticscholar.org/55ba/0a9611eaf7c8c6f7c1659e10140305bdcac9.pdf</w:t>
        </w:r>
      </w:hyperlink>
    </w:p>
    <w:p w14:paraId="5D5B29C8" w14:textId="77777777" w:rsidR="0060278E" w:rsidRDefault="0060278E" w:rsidP="0060278E">
      <w:r w:rsidRPr="00546567">
        <w:t xml:space="preserve">Habib, A., Khan, M. A., Popp, J., </w:t>
      </w:r>
      <w:r>
        <w:t>and</w:t>
      </w:r>
      <w:r w:rsidRPr="00546567">
        <w:t xml:space="preserve"> Rákos, M. (2022). The influence of operating capital and cash holding on firm profitability. </w:t>
      </w:r>
      <w:r w:rsidRPr="00546567">
        <w:rPr>
          <w:i/>
          <w:iCs/>
        </w:rPr>
        <w:t>Economies</w:t>
      </w:r>
      <w:r w:rsidRPr="00546567">
        <w:t>, </w:t>
      </w:r>
      <w:r w:rsidRPr="00546567">
        <w:rPr>
          <w:i/>
          <w:iCs/>
        </w:rPr>
        <w:t>10</w:t>
      </w:r>
      <w:r w:rsidRPr="00546567">
        <w:t>(3), 69.</w:t>
      </w:r>
      <w:r>
        <w:t xml:space="preserve"> </w:t>
      </w:r>
      <w:hyperlink r:id="rId27" w:history="1">
        <w:r w:rsidRPr="00100F12">
          <w:rPr>
            <w:rStyle w:val="Hyperlink"/>
          </w:rPr>
          <w:t>https://www.mdpi.com/2227-7099/10/3/69</w:t>
        </w:r>
      </w:hyperlink>
    </w:p>
    <w:p w14:paraId="0D5ED4B9" w14:textId="77777777" w:rsidR="0060278E" w:rsidRDefault="0060278E" w:rsidP="0060278E">
      <w:r w:rsidRPr="00630AA5">
        <w:t>Huang, W. (2023). Understanding Tesla’s Financial Strength: Analysis of Financial Reports and DuPont Analysis. </w:t>
      </w:r>
      <w:r w:rsidRPr="00630AA5">
        <w:rPr>
          <w:i/>
          <w:iCs/>
        </w:rPr>
        <w:t>Highlights in Business, Economics and Management</w:t>
      </w:r>
      <w:r w:rsidRPr="00630AA5">
        <w:t>, </w:t>
      </w:r>
      <w:r w:rsidRPr="00630AA5">
        <w:rPr>
          <w:i/>
          <w:iCs/>
        </w:rPr>
        <w:t>6</w:t>
      </w:r>
      <w:r w:rsidRPr="00630AA5">
        <w:t>, 250-261.</w:t>
      </w:r>
      <w:r>
        <w:t xml:space="preserve"> </w:t>
      </w:r>
      <w:hyperlink r:id="rId28" w:history="1">
        <w:r w:rsidRPr="00100F12">
          <w:rPr>
            <w:rStyle w:val="Hyperlink"/>
          </w:rPr>
          <w:t>https://pdfs.semanticscholar.org/13d2/10f4a9e7d5c3806b1f364c066b5617a3823c.pdf</w:t>
        </w:r>
      </w:hyperlink>
    </w:p>
    <w:p w14:paraId="0A136DD7" w14:textId="77777777" w:rsidR="0060278E" w:rsidRDefault="0060278E" w:rsidP="0060278E">
      <w:r w:rsidRPr="00630AA5">
        <w:t>Ikhsan, S. (2022). The Effect of Return on Equity, Current Ratio, and Earnings Volatility on Capital Structure. </w:t>
      </w:r>
      <w:r w:rsidRPr="00630AA5">
        <w:rPr>
          <w:i/>
          <w:iCs/>
        </w:rPr>
        <w:t>International Journal of Social Science and Business</w:t>
      </w:r>
      <w:r w:rsidRPr="00630AA5">
        <w:t>, </w:t>
      </w:r>
      <w:r w:rsidRPr="00630AA5">
        <w:rPr>
          <w:i/>
          <w:iCs/>
        </w:rPr>
        <w:t>6</w:t>
      </w:r>
      <w:r w:rsidRPr="00630AA5">
        <w:t>(4), 478-485.</w:t>
      </w:r>
      <w:r>
        <w:t xml:space="preserve"> </w:t>
      </w:r>
      <w:hyperlink r:id="rId29" w:history="1">
        <w:r w:rsidRPr="00100F12">
          <w:rPr>
            <w:rStyle w:val="Hyperlink"/>
          </w:rPr>
          <w:t>https://ejournal.undiksha.ac.id/index.php/IJSSB/article/download/50318/24910</w:t>
        </w:r>
      </w:hyperlink>
    </w:p>
    <w:p w14:paraId="2669802A" w14:textId="77777777" w:rsidR="0060278E" w:rsidRDefault="0060278E" w:rsidP="0060278E">
      <w:r w:rsidRPr="00860BF5">
        <w:t xml:space="preserve">Jamal, M. N., </w:t>
      </w:r>
      <w:r>
        <w:t>and</w:t>
      </w:r>
      <w:r w:rsidRPr="00860BF5">
        <w:t xml:space="preserve"> Sudrajat, O. Y. (2022). Project Capital Rationing using Discounted Cash Flow Method, Sensitivity Analysis and Monte Carlo Simulation: Case Study Tambura Oil Development. </w:t>
      </w:r>
      <w:r w:rsidRPr="00860BF5">
        <w:rPr>
          <w:i/>
          <w:iCs/>
        </w:rPr>
        <w:t>European Journal of Business and Management Research</w:t>
      </w:r>
      <w:r w:rsidRPr="00860BF5">
        <w:t>, </w:t>
      </w:r>
      <w:r w:rsidRPr="00860BF5">
        <w:rPr>
          <w:i/>
          <w:iCs/>
        </w:rPr>
        <w:t>7</w:t>
      </w:r>
      <w:r w:rsidRPr="00860BF5">
        <w:t>(6), 287-296.</w:t>
      </w:r>
      <w:r>
        <w:t xml:space="preserve"> </w:t>
      </w:r>
      <w:hyperlink r:id="rId30" w:history="1">
        <w:r w:rsidRPr="00100F12">
          <w:rPr>
            <w:rStyle w:val="Hyperlink"/>
          </w:rPr>
          <w:t>https://eu-opensci.org/index.php/ejbmr/article/download/51760/7585</w:t>
        </w:r>
      </w:hyperlink>
    </w:p>
    <w:p w14:paraId="3866816F" w14:textId="77777777" w:rsidR="0060278E" w:rsidRDefault="0060278E" w:rsidP="0060278E">
      <w:r w:rsidRPr="000D7A83">
        <w:t xml:space="preserve">Kadam, M., </w:t>
      </w:r>
      <w:r>
        <w:t>and</w:t>
      </w:r>
      <w:r w:rsidRPr="000D7A83">
        <w:t xml:space="preserve"> Singh, N. (2025). A Study of Identification of Capital Budgeting Tools Applied in Investment Decision. </w:t>
      </w:r>
      <w:r w:rsidRPr="000D7A83">
        <w:rPr>
          <w:i/>
          <w:iCs/>
        </w:rPr>
        <w:t>Bioscan</w:t>
      </w:r>
      <w:r w:rsidRPr="000D7A83">
        <w:t>, </w:t>
      </w:r>
      <w:r w:rsidRPr="000D7A83">
        <w:rPr>
          <w:i/>
          <w:iCs/>
        </w:rPr>
        <w:t>20</w:t>
      </w:r>
      <w:r w:rsidRPr="000D7A83">
        <w:t>, 671-676.</w:t>
      </w:r>
      <w:r>
        <w:t xml:space="preserve"> </w:t>
      </w:r>
      <w:hyperlink r:id="rId31" w:history="1">
        <w:r w:rsidRPr="00100F12">
          <w:rPr>
            <w:rStyle w:val="Hyperlink"/>
          </w:rPr>
          <w:t>https://www.researchgate.net/profile/Madhuri-Kadam-2/publication/390561020_A_Study_of_Identification_of_Capital_Budgeting_Tools_applied_in_Investment_Decision/links/68621f87e4632b045dc87e5d/A-Study-of-Identification-of-Capital-Budgeting-Tools-applied-in-Investment-Decision.pdf</w:t>
        </w:r>
      </w:hyperlink>
    </w:p>
    <w:p w14:paraId="4F803F50" w14:textId="77777777" w:rsidR="0060278E" w:rsidRDefault="0060278E" w:rsidP="0060278E">
      <w:r w:rsidRPr="000D7A83">
        <w:t xml:space="preserve">Kalra, A., </w:t>
      </w:r>
      <w:r>
        <w:t>and</w:t>
      </w:r>
      <w:r w:rsidRPr="000D7A83">
        <w:t xml:space="preserve"> Afzal, M. N. I. (2023). Transfer pricing practices in multinational corporations and their effects on developing countries' tax revenue: a systematic literature review. </w:t>
      </w:r>
      <w:r w:rsidRPr="000D7A83">
        <w:rPr>
          <w:i/>
          <w:iCs/>
        </w:rPr>
        <w:t>International Trade, Politics and Development</w:t>
      </w:r>
      <w:r w:rsidRPr="000D7A83">
        <w:t>, </w:t>
      </w:r>
      <w:r w:rsidRPr="000D7A83">
        <w:rPr>
          <w:i/>
          <w:iCs/>
        </w:rPr>
        <w:t>7</w:t>
      </w:r>
      <w:r w:rsidRPr="000D7A83">
        <w:t>(3), 172-190.</w:t>
      </w:r>
      <w:r>
        <w:t xml:space="preserve"> </w:t>
      </w:r>
      <w:hyperlink r:id="rId32" w:history="1">
        <w:r w:rsidRPr="00100F12">
          <w:rPr>
            <w:rStyle w:val="Hyperlink"/>
          </w:rPr>
          <w:t>https://www.emerald.com/itpd/article-pdf/7/3/172/1187930/itpd-04-2023-0011.pdf</w:t>
        </w:r>
      </w:hyperlink>
    </w:p>
    <w:p w14:paraId="0609BE8D" w14:textId="77777777" w:rsidR="0060278E" w:rsidRDefault="0060278E" w:rsidP="0060278E">
      <w:r w:rsidRPr="00630AA5">
        <w:t>Li, Y. (2025, February). Financial Analysis of the Company Tesla. In </w:t>
      </w:r>
      <w:r w:rsidRPr="00630AA5">
        <w:rPr>
          <w:i/>
          <w:iCs/>
        </w:rPr>
        <w:t>International Workshop on Navigating the Digital Business Frontier for Sustainable Financial Innovation (ICDEBA 2024)</w:t>
      </w:r>
      <w:r w:rsidRPr="00630AA5">
        <w:t> (pp. 566-575). Atlantis Press.</w:t>
      </w:r>
      <w:r>
        <w:t xml:space="preserve"> </w:t>
      </w:r>
      <w:hyperlink r:id="rId33" w:history="1">
        <w:r w:rsidRPr="00100F12">
          <w:rPr>
            <w:rStyle w:val="Hyperlink"/>
          </w:rPr>
          <w:t>https://www.atlantis-press.com/article/126008536.pdf</w:t>
        </w:r>
      </w:hyperlink>
    </w:p>
    <w:p w14:paraId="3EDFDC92" w14:textId="77777777" w:rsidR="0060278E" w:rsidRDefault="0060278E" w:rsidP="0060278E">
      <w:r w:rsidRPr="00267874">
        <w:t xml:space="preserve">Mehmood, A., </w:t>
      </w:r>
      <w:r>
        <w:t>and</w:t>
      </w:r>
      <w:r w:rsidRPr="00267874">
        <w:t xml:space="preserve"> De Luca, F. (2025). Financial distress prediction in private firms: developing a model for troubled debt restructuring. </w:t>
      </w:r>
      <w:r w:rsidRPr="00267874">
        <w:rPr>
          <w:i/>
          <w:iCs/>
        </w:rPr>
        <w:t>Journal of Applied Accounting Research</w:t>
      </w:r>
      <w:r w:rsidRPr="00267874">
        <w:t>, </w:t>
      </w:r>
      <w:r w:rsidRPr="00267874">
        <w:rPr>
          <w:i/>
          <w:iCs/>
        </w:rPr>
        <w:t>26</w:t>
      </w:r>
      <w:r w:rsidRPr="00267874">
        <w:t>(6), 205-222.</w:t>
      </w:r>
      <w:r>
        <w:t xml:space="preserve"> </w:t>
      </w:r>
      <w:hyperlink r:id="rId34" w:history="1">
        <w:r w:rsidRPr="00100F12">
          <w:rPr>
            <w:rStyle w:val="Hyperlink"/>
          </w:rPr>
          <w:t>https://www.emerald.com/jaar/article-pdf/26/6/205/9873185/jaar-12-2022-0325.pdf</w:t>
        </w:r>
      </w:hyperlink>
    </w:p>
    <w:p w14:paraId="2D1DB378" w14:textId="77777777" w:rsidR="0060278E" w:rsidRDefault="0060278E" w:rsidP="0060278E">
      <w:r w:rsidRPr="00267874">
        <w:t xml:space="preserve">Palacín-Sánchez, M. J., Alencar-García, A., </w:t>
      </w:r>
      <w:r>
        <w:t>and</w:t>
      </w:r>
      <w:r w:rsidRPr="00267874">
        <w:t xml:space="preserve"> Canto-Cuevas, F. J. (2023). Financial distress and corporate restructuring: a case study. </w:t>
      </w:r>
      <w:r w:rsidRPr="00267874">
        <w:rPr>
          <w:i/>
          <w:iCs/>
        </w:rPr>
        <w:t>Cuadernos de Gestión</w:t>
      </w:r>
      <w:r w:rsidRPr="00267874">
        <w:t>, </w:t>
      </w:r>
      <w:r w:rsidRPr="00267874">
        <w:rPr>
          <w:i/>
          <w:iCs/>
        </w:rPr>
        <w:t>23</w:t>
      </w:r>
      <w:r w:rsidRPr="00267874">
        <w:t>(2), 81-91.</w:t>
      </w:r>
      <w:r>
        <w:t xml:space="preserve"> </w:t>
      </w:r>
      <w:hyperlink r:id="rId35" w:history="1">
        <w:r w:rsidRPr="00100F12">
          <w:rPr>
            <w:rStyle w:val="Hyperlink"/>
          </w:rPr>
          <w:t>https://ojs.ehu.eus/index.php/CG/article/download/24871/22255</w:t>
        </w:r>
      </w:hyperlink>
    </w:p>
    <w:p w14:paraId="677AC1AE" w14:textId="77777777" w:rsidR="0060278E" w:rsidRDefault="0060278E" w:rsidP="0060278E">
      <w:r w:rsidRPr="00267874">
        <w:t xml:space="preserve">Ramadani, R. A., Hati, B. K., </w:t>
      </w:r>
      <w:r>
        <w:t>and</w:t>
      </w:r>
      <w:r w:rsidRPr="00267874">
        <w:t xml:space="preserve"> Setiawan, Z. (2024). Warehousing and inventory management analysis: case study Tesla. INC. </w:t>
      </w:r>
      <w:r w:rsidRPr="00267874">
        <w:rPr>
          <w:i/>
          <w:iCs/>
        </w:rPr>
        <w:t>Jurnal media akademik (JMA)</w:t>
      </w:r>
      <w:r w:rsidRPr="00267874">
        <w:t>, </w:t>
      </w:r>
      <w:r w:rsidRPr="00267874">
        <w:rPr>
          <w:i/>
          <w:iCs/>
        </w:rPr>
        <w:t>2</w:t>
      </w:r>
      <w:r w:rsidRPr="00267874">
        <w:t>(9).</w:t>
      </w:r>
      <w:r>
        <w:t xml:space="preserve"> </w:t>
      </w:r>
      <w:hyperlink r:id="rId36" w:history="1">
        <w:r w:rsidRPr="00100F12">
          <w:rPr>
            <w:rStyle w:val="Hyperlink"/>
          </w:rPr>
          <w:t>https://jurnal.mediaakademik.com/index.php/jma/article/download/773/718</w:t>
        </w:r>
      </w:hyperlink>
    </w:p>
    <w:p w14:paraId="6B652E2A" w14:textId="77777777" w:rsidR="0060278E" w:rsidRDefault="0060278E" w:rsidP="0060278E">
      <w:r w:rsidRPr="00630AA5">
        <w:t xml:space="preserve">Rohmawati, L., Mursito, B., </w:t>
      </w:r>
      <w:r>
        <w:t>and</w:t>
      </w:r>
      <w:r w:rsidRPr="00630AA5">
        <w:t xml:space="preserve"> Pawenang, S. (2024). Effect of Current Ratio, Debt to Equity Ratio and Debt to Asset Ratio on Return on Assets in Mining Companies in the Coal Sub-Sector. </w:t>
      </w:r>
      <w:r w:rsidRPr="00630AA5">
        <w:rPr>
          <w:i/>
          <w:iCs/>
        </w:rPr>
        <w:t>Al-Kharaj: Jurnal Ekonomi, Keuangan &amp; Bisnis Syariah</w:t>
      </w:r>
      <w:r w:rsidRPr="00630AA5">
        <w:t>, </w:t>
      </w:r>
      <w:r w:rsidRPr="00630AA5">
        <w:rPr>
          <w:i/>
          <w:iCs/>
        </w:rPr>
        <w:t>6</w:t>
      </w:r>
      <w:r w:rsidRPr="00630AA5">
        <w:t>(1), 184-197.</w:t>
      </w:r>
      <w:r>
        <w:t xml:space="preserve"> </w:t>
      </w:r>
      <w:hyperlink r:id="rId37" w:history="1">
        <w:r w:rsidRPr="00100F12">
          <w:rPr>
            <w:rStyle w:val="Hyperlink"/>
          </w:rPr>
          <w:t>https://journal.laaroiba.com/index.php/alkharaj/article/download/3480/2663</w:t>
        </w:r>
      </w:hyperlink>
    </w:p>
    <w:p w14:paraId="23A8E810" w14:textId="77777777" w:rsidR="0060278E" w:rsidRDefault="0060278E" w:rsidP="0060278E">
      <w:r w:rsidRPr="00535F47">
        <w:t>Ruguru, A. N. (2023). Effect of cash conversion cycle on profitability: A case study of binathman household supermarkets in Kenya. </w:t>
      </w:r>
      <w:r w:rsidRPr="00535F47">
        <w:rPr>
          <w:i/>
          <w:iCs/>
        </w:rPr>
        <w:t>South Sahara Multidisciplinary Journal</w:t>
      </w:r>
      <w:r w:rsidRPr="00535F47">
        <w:t>, </w:t>
      </w:r>
      <w:r w:rsidRPr="00535F47">
        <w:rPr>
          <w:i/>
          <w:iCs/>
        </w:rPr>
        <w:t>1</w:t>
      </w:r>
      <w:r w:rsidRPr="00535F47">
        <w:t>(1), 8-16.</w:t>
      </w:r>
      <w:r>
        <w:t xml:space="preserve"> </w:t>
      </w:r>
      <w:hyperlink r:id="rId38" w:history="1">
        <w:r w:rsidRPr="00100F12">
          <w:rPr>
            <w:rStyle w:val="Hyperlink"/>
          </w:rPr>
          <w:t>https://ssapub.com/index.php/ssmj/article/download/2/2</w:t>
        </w:r>
      </w:hyperlink>
    </w:p>
    <w:p w14:paraId="21DB6962" w14:textId="77777777" w:rsidR="0060278E" w:rsidRDefault="0060278E" w:rsidP="0060278E">
      <w:r w:rsidRPr="000D7A83">
        <w:t>Rumasukun, M. R. (2024). The effect of global monetary policy changes on the financial strategy of international companies. </w:t>
      </w:r>
      <w:r w:rsidRPr="000D7A83">
        <w:rPr>
          <w:i/>
          <w:iCs/>
        </w:rPr>
        <w:t>Golden Ratio of Mapping Idea and Literature Format</w:t>
      </w:r>
      <w:r w:rsidRPr="000D7A83">
        <w:t>, </w:t>
      </w:r>
      <w:r w:rsidRPr="000D7A83">
        <w:rPr>
          <w:i/>
          <w:iCs/>
        </w:rPr>
        <w:t>4</w:t>
      </w:r>
      <w:r w:rsidRPr="000D7A83">
        <w:t>(2), 167-182.</w:t>
      </w:r>
      <w:r>
        <w:t xml:space="preserve"> </w:t>
      </w:r>
      <w:hyperlink r:id="rId39" w:history="1">
        <w:r w:rsidRPr="00100F12">
          <w:rPr>
            <w:rStyle w:val="Hyperlink"/>
          </w:rPr>
          <w:t>https://www.goldenratio.id/index.php/grmilf/article/download/397/289</w:t>
        </w:r>
      </w:hyperlink>
    </w:p>
    <w:p w14:paraId="79669796" w14:textId="77777777" w:rsidR="0060278E" w:rsidRDefault="0060278E" w:rsidP="0060278E">
      <w:r w:rsidRPr="00267874">
        <w:t xml:space="preserve">Sayal, A., Tong, L. Y., Johri, A., Ahmed, A., Husain, S., Qureshi, S. K., </w:t>
      </w:r>
      <w:r>
        <w:t>and</w:t>
      </w:r>
      <w:r w:rsidRPr="00267874">
        <w:t xml:space="preserve"> Ahmad, V. (2025). Optimizing inventory management in the automotive industry: A comparative study of crisp and fuzzy systems. </w:t>
      </w:r>
      <w:r w:rsidRPr="00267874">
        <w:rPr>
          <w:i/>
          <w:iCs/>
        </w:rPr>
        <w:t>F1000Research</w:t>
      </w:r>
      <w:r w:rsidRPr="00267874">
        <w:t>, </w:t>
      </w:r>
      <w:r w:rsidRPr="00267874">
        <w:rPr>
          <w:i/>
          <w:iCs/>
        </w:rPr>
        <w:t>14</w:t>
      </w:r>
      <w:r w:rsidRPr="00267874">
        <w:t>, 1330.</w:t>
      </w:r>
      <w:r>
        <w:t xml:space="preserve"> </w:t>
      </w:r>
      <w:hyperlink r:id="rId40" w:history="1">
        <w:r w:rsidRPr="00100F12">
          <w:rPr>
            <w:rStyle w:val="Hyperlink"/>
          </w:rPr>
          <w:t>https://f1000research.com/articles/14-1330/pdf</w:t>
        </w:r>
      </w:hyperlink>
    </w:p>
    <w:p w14:paraId="6FD23E2A" w14:textId="77777777" w:rsidR="0060278E" w:rsidRDefault="0060278E" w:rsidP="0060278E">
      <w:r w:rsidRPr="000D7A83">
        <w:t xml:space="preserve">Sinaga, A. S., Sari, M. M., Hutasuhut, A. A., Zahara, S. T., Amanda, A., Fitri, A., </w:t>
      </w:r>
      <w:r>
        <w:t>and</w:t>
      </w:r>
      <w:r w:rsidRPr="000D7A83">
        <w:t xml:space="preserve"> Caesario, M. A. (2023). Comparison of capital budgeting methods: NPV, IRR, PAYBACK PERIOD. </w:t>
      </w:r>
      <w:r w:rsidRPr="000D7A83">
        <w:rPr>
          <w:i/>
          <w:iCs/>
        </w:rPr>
        <w:t>World Journal of Advanced Research and Reviews</w:t>
      </w:r>
      <w:r w:rsidRPr="000D7A83">
        <w:t>, </w:t>
      </w:r>
      <w:r w:rsidRPr="000D7A83">
        <w:rPr>
          <w:i/>
          <w:iCs/>
        </w:rPr>
        <w:t>19</w:t>
      </w:r>
      <w:r w:rsidRPr="000D7A83">
        <w:t>(2), 1078-1081.</w:t>
      </w:r>
      <w:r>
        <w:t xml:space="preserve"> </w:t>
      </w:r>
      <w:hyperlink r:id="rId41" w:history="1">
        <w:r w:rsidRPr="00100F12">
          <w:rPr>
            <w:rStyle w:val="Hyperlink"/>
          </w:rPr>
          <w:t>https://pdfs.semanticscholar.org/35f5/923a958b071288b38d4e960e8268477ec19a.pdf</w:t>
        </w:r>
      </w:hyperlink>
    </w:p>
    <w:p w14:paraId="6FA7C804" w14:textId="77777777" w:rsidR="0060278E" w:rsidRDefault="0060278E" w:rsidP="0060278E">
      <w:r w:rsidRPr="00695017">
        <w:t xml:space="preserve">Singh, R., Gupta, C. P., </w:t>
      </w:r>
      <w:r>
        <w:t>and</w:t>
      </w:r>
      <w:r w:rsidRPr="00695017">
        <w:t xml:space="preserve"> Chaudhary, P. (2024). Defining Return on Assets (ROA) in empirical corporate finance research: a critical review. </w:t>
      </w:r>
      <w:r w:rsidRPr="00695017">
        <w:rPr>
          <w:i/>
          <w:iCs/>
        </w:rPr>
        <w:t>Empirical Economics Letters</w:t>
      </w:r>
      <w:r w:rsidRPr="00695017">
        <w:t>.</w:t>
      </w:r>
      <w:r>
        <w:t xml:space="preserve"> </w:t>
      </w:r>
      <w:hyperlink r:id="rId42" w:history="1">
        <w:r w:rsidRPr="00100F12">
          <w:rPr>
            <w:rStyle w:val="Hyperlink"/>
          </w:rPr>
          <w:t>https://papers.ssrn.com/sol3/Delivery.cfm?abstractid=4638078</w:t>
        </w:r>
      </w:hyperlink>
    </w:p>
    <w:p w14:paraId="12B13DEA" w14:textId="77777777" w:rsidR="0060278E" w:rsidRDefault="0060278E" w:rsidP="0060278E">
      <w:r w:rsidRPr="00F33836">
        <w:t xml:space="preserve">Susilawati, D., Shavab, F. A., </w:t>
      </w:r>
      <w:r>
        <w:t>and</w:t>
      </w:r>
      <w:r w:rsidRPr="00F33836">
        <w:t xml:space="preserve"> Mustika, M. (2022). The effect of debt to equity ratio and current ratio on return on assets. </w:t>
      </w:r>
      <w:r w:rsidRPr="00F33836">
        <w:rPr>
          <w:i/>
          <w:iCs/>
        </w:rPr>
        <w:t>Journal of Applied Business, Taxation and Economics Research</w:t>
      </w:r>
      <w:r w:rsidRPr="00F33836">
        <w:t>, </w:t>
      </w:r>
      <w:r w:rsidRPr="00F33836">
        <w:rPr>
          <w:i/>
          <w:iCs/>
        </w:rPr>
        <w:t>1</w:t>
      </w:r>
      <w:r w:rsidRPr="00F33836">
        <w:t>(4), 325-337.</w:t>
      </w:r>
      <w:r>
        <w:t xml:space="preserve"> </w:t>
      </w:r>
      <w:hyperlink r:id="rId43" w:history="1">
        <w:r w:rsidRPr="00100F12">
          <w:rPr>
            <w:rStyle w:val="Hyperlink"/>
          </w:rPr>
          <w:t>https://equatorscience.com/index.php/jabter/article/download/61/49</w:t>
        </w:r>
      </w:hyperlink>
    </w:p>
    <w:p w14:paraId="34A0E23F" w14:textId="77777777" w:rsidR="0060278E" w:rsidRDefault="0060278E" w:rsidP="0060278E">
      <w:pPr>
        <w:rPr>
          <w:lang w:val="en-US"/>
        </w:rPr>
      </w:pPr>
      <w:r>
        <w:rPr>
          <w:lang w:val="en-US"/>
        </w:rPr>
        <w:t xml:space="preserve">Tesla (2026). Tesla Investor Relations. Available at: </w:t>
      </w:r>
      <w:hyperlink r:id="rId44" w:history="1">
        <w:r w:rsidRPr="00357E81">
          <w:rPr>
            <w:rStyle w:val="Hyperlink"/>
            <w:lang w:val="en-US"/>
          </w:rPr>
          <w:t>https://ir.tesla.com/</w:t>
        </w:r>
      </w:hyperlink>
    </w:p>
    <w:p w14:paraId="1B14531F" w14:textId="77777777" w:rsidR="0060278E" w:rsidRDefault="0060278E" w:rsidP="0060278E">
      <w:pPr>
        <w:rPr>
          <w:lang w:val="en-US"/>
        </w:rPr>
      </w:pPr>
      <w:r>
        <w:rPr>
          <w:lang w:val="en-US"/>
        </w:rPr>
        <w:t xml:space="preserve">The Wall Street Journal (2026). Tesla Inc. (TSLA) – US: Nasdaq. Available at: </w:t>
      </w:r>
      <w:hyperlink r:id="rId45" w:history="1">
        <w:r w:rsidRPr="00357E81">
          <w:rPr>
            <w:rStyle w:val="Hyperlink"/>
            <w:lang w:val="en-US"/>
          </w:rPr>
          <w:t>https://www.wsj.com/market-data/quotes/TSLA/financials/annual/income-statement</w:t>
        </w:r>
      </w:hyperlink>
    </w:p>
    <w:p w14:paraId="75C583A1" w14:textId="77777777" w:rsidR="0060278E" w:rsidRDefault="0060278E" w:rsidP="0060278E">
      <w:r w:rsidRPr="000D7A83">
        <w:t xml:space="preserve">Tulhayat, J. M., Azis, F., </w:t>
      </w:r>
      <w:r>
        <w:t>and</w:t>
      </w:r>
      <w:r w:rsidRPr="000D7A83">
        <w:t xml:space="preserve"> Musa, K. S. P. (2025). Investment Feasibility Analysis in MSMEs Using Payback Period and Profitability Index Approaches: Case Study on Jalangkote Master. </w:t>
      </w:r>
      <w:r w:rsidRPr="000D7A83">
        <w:rPr>
          <w:i/>
          <w:iCs/>
        </w:rPr>
        <w:t>SIMAK</w:t>
      </w:r>
      <w:r w:rsidRPr="000D7A83">
        <w:t>, </w:t>
      </w:r>
      <w:r w:rsidRPr="000D7A83">
        <w:rPr>
          <w:i/>
          <w:iCs/>
        </w:rPr>
        <w:t>23</w:t>
      </w:r>
      <w:r w:rsidRPr="000D7A83">
        <w:t>(02), 103-116.</w:t>
      </w:r>
      <w:r>
        <w:t xml:space="preserve"> </w:t>
      </w:r>
      <w:hyperlink r:id="rId46" w:history="1">
        <w:r w:rsidRPr="00100F12">
          <w:rPr>
            <w:rStyle w:val="Hyperlink"/>
          </w:rPr>
          <w:t>http://ojs.feb.uajm.ac.id/index.php/simak/article/download/658/342</w:t>
        </w:r>
      </w:hyperlink>
    </w:p>
    <w:p w14:paraId="3557C09C" w14:textId="77777777" w:rsidR="0060278E" w:rsidRDefault="0060278E" w:rsidP="0060278E">
      <w:r w:rsidRPr="00630AA5">
        <w:t xml:space="preserve">Utami, R. P., </w:t>
      </w:r>
      <w:r>
        <w:t>and</w:t>
      </w:r>
      <w:r w:rsidRPr="00630AA5">
        <w:t xml:space="preserve"> Muslih, M. (2022). The effect of total asset turnover ratio, return on asset, and dividend policy on the investment opportunity set (IOS). In </w:t>
      </w:r>
      <w:r w:rsidRPr="00630AA5">
        <w:rPr>
          <w:i/>
          <w:iCs/>
        </w:rPr>
        <w:t>International Conference on Industrial Engineering and Operations Management</w:t>
      </w:r>
      <w:r w:rsidRPr="00630AA5">
        <w:t>.</w:t>
      </w:r>
      <w:r>
        <w:t xml:space="preserve"> </w:t>
      </w:r>
      <w:hyperlink r:id="rId47" w:history="1">
        <w:r w:rsidRPr="00100F12">
          <w:rPr>
            <w:rStyle w:val="Hyperlink"/>
          </w:rPr>
          <w:t>http://ieomsociety.org/proceedings/2022malaysia/644.pdf</w:t>
        </w:r>
      </w:hyperlink>
    </w:p>
    <w:p w14:paraId="0284E3BD" w14:textId="77777777" w:rsidR="0060278E" w:rsidRDefault="0060278E" w:rsidP="0060278E">
      <w:r w:rsidRPr="000D7A83">
        <w:t>W</w:t>
      </w:r>
      <w:r>
        <w:t>u</w:t>
      </w:r>
      <w:r w:rsidRPr="000D7A83">
        <w:t>, Z. Q., N</w:t>
      </w:r>
      <w:r>
        <w:t>guyen</w:t>
      </w:r>
      <w:r w:rsidRPr="000D7A83">
        <w:t>, P. Q., P</w:t>
      </w:r>
      <w:r>
        <w:t>hanksemsan</w:t>
      </w:r>
      <w:r w:rsidRPr="000D7A83">
        <w:t>, I., &amp; W</w:t>
      </w:r>
      <w:r>
        <w:t>olf</w:t>
      </w:r>
      <w:r w:rsidRPr="000D7A83">
        <w:t>, E. (2022). Driving Sustainability and Electric Vehicles Evolution: Tesla Company's Success Strategies.</w:t>
      </w:r>
      <w:r>
        <w:t xml:space="preserve"> </w:t>
      </w:r>
      <w:hyperlink r:id="rId48" w:history="1">
        <w:r w:rsidRPr="00100F12">
          <w:rPr>
            <w:rStyle w:val="Hyperlink"/>
          </w:rPr>
          <w:t>http://dspace.fcu.edu.tw/bitstream/2376/4771/1/M0900581110106.pdf</w:t>
        </w:r>
      </w:hyperlink>
      <w:r>
        <w:t xml:space="preserve"> </w:t>
      </w:r>
    </w:p>
    <w:p w14:paraId="3F216C94" w14:textId="77777777" w:rsidR="0060278E" w:rsidRDefault="0060278E" w:rsidP="0060278E">
      <w:pPr>
        <w:rPr>
          <w:lang w:val="en-US"/>
        </w:rPr>
      </w:pPr>
      <w:r>
        <w:rPr>
          <w:lang w:val="en-US"/>
        </w:rPr>
        <w:t xml:space="preserve">Yahoo Finance (2026). Tesla Inc. (TSLA). Available at: </w:t>
      </w:r>
      <w:hyperlink r:id="rId49" w:history="1">
        <w:r w:rsidRPr="00357E81">
          <w:rPr>
            <w:rStyle w:val="Hyperlink"/>
            <w:lang w:val="en-US"/>
          </w:rPr>
          <w:t>https://finance.yahoo.com/quote/TSLA/financials/</w:t>
        </w:r>
      </w:hyperlink>
      <w:r>
        <w:rPr>
          <w:lang w:val="en-US"/>
        </w:rPr>
        <w:t xml:space="preserve"> </w:t>
      </w:r>
    </w:p>
    <w:p w14:paraId="3301B877" w14:textId="30E2F458" w:rsidR="0060278E" w:rsidRPr="00A31EC4" w:rsidRDefault="0060278E" w:rsidP="00A31EC4">
      <w:r w:rsidRPr="00546567">
        <w:t xml:space="preserve">Zaher, H., </w:t>
      </w:r>
      <w:r>
        <w:t>and</w:t>
      </w:r>
      <w:r w:rsidRPr="00546567">
        <w:t xml:space="preserve"> Illescas, G. M. (2022). The Cash Conversion Cycle: A Systematic Literature Review. </w:t>
      </w:r>
      <w:r w:rsidRPr="00546567">
        <w:rPr>
          <w:i/>
          <w:iCs/>
        </w:rPr>
        <w:t>Economic and Social Development: Book of Proceedings</w:t>
      </w:r>
      <w:r w:rsidRPr="00546567">
        <w:t>, 18-35.</w:t>
      </w:r>
      <w:r>
        <w:t xml:space="preserve"> </w:t>
      </w:r>
      <w:hyperlink r:id="rId50" w:anchor="page=23" w:history="1">
        <w:r w:rsidRPr="00100F12">
          <w:rPr>
            <w:rStyle w:val="Hyperlink"/>
          </w:rPr>
          <w:t>https://www.researchgate.net/profile/Ana-Markuz/publication/367203897_PROJECT_MANAGER'S_SOCIAL_RESPONSIBILITY_ENSURING_WORK-LIFE_BALANCE_AND_EQUAL_OPPORTUNITY_IN_PROJECT/links/63c7f2a0e922c50e99a376bb/PROJECT-MANAGERS-SOCIAL-RESPONSIBILITY-ENSURING-WORK-LIFE-BALANCE-AND-EQUAL-OPPORTUNITY-IN-PROJECT.pdf#page=23</w:t>
        </w:r>
      </w:hyperlink>
      <w:r>
        <w:rPr>
          <w:lang w:val="en-US"/>
        </w:rPr>
        <w:br w:type="page"/>
      </w:r>
    </w:p>
    <w:p w14:paraId="165EB084" w14:textId="3E2E18EC" w:rsidR="0060278E" w:rsidRDefault="0060278E" w:rsidP="0060278E">
      <w:pPr>
        <w:pStyle w:val="Heading1"/>
        <w:rPr>
          <w:lang w:val="en-US"/>
        </w:rPr>
      </w:pPr>
      <w:bookmarkStart w:id="39" w:name="_Toc225846412"/>
      <w:r>
        <w:rPr>
          <w:lang w:val="en-US"/>
        </w:rPr>
        <w:t>Appendices</w:t>
      </w:r>
      <w:bookmarkEnd w:id="39"/>
    </w:p>
    <w:p w14:paraId="632A498F" w14:textId="37744397" w:rsidR="0060278E" w:rsidRDefault="0060278E" w:rsidP="0060278E">
      <w:pPr>
        <w:pStyle w:val="Heading2"/>
        <w:rPr>
          <w:lang w:val="en-US"/>
        </w:rPr>
      </w:pPr>
      <w:bookmarkStart w:id="40" w:name="_Toc225846413"/>
      <w:r>
        <w:rPr>
          <w:lang w:val="en-US"/>
        </w:rPr>
        <w:t>Appendix 1 – Financial health and ratio analysis</w:t>
      </w:r>
      <w:bookmarkEnd w:id="40"/>
    </w:p>
    <w:tbl>
      <w:tblPr>
        <w:tblW w:w="9252" w:type="dxa"/>
        <w:tblLook w:val="04A0" w:firstRow="1" w:lastRow="0" w:firstColumn="1" w:lastColumn="0" w:noHBand="0" w:noVBand="1"/>
      </w:tblPr>
      <w:tblGrid>
        <w:gridCol w:w="2698"/>
        <w:gridCol w:w="1833"/>
        <w:gridCol w:w="993"/>
        <w:gridCol w:w="850"/>
        <w:gridCol w:w="992"/>
        <w:gridCol w:w="943"/>
        <w:gridCol w:w="943"/>
      </w:tblGrid>
      <w:tr w:rsidR="00851218" w:rsidRPr="00851218" w14:paraId="3EF98661" w14:textId="77777777" w:rsidTr="00A31EC4">
        <w:trPr>
          <w:trHeight w:val="300"/>
        </w:trPr>
        <w:tc>
          <w:tcPr>
            <w:tcW w:w="0" w:type="auto"/>
            <w:tcBorders>
              <w:top w:val="single" w:sz="4" w:space="0" w:color="auto"/>
              <w:left w:val="single" w:sz="4" w:space="0" w:color="auto"/>
              <w:bottom w:val="single" w:sz="4" w:space="0" w:color="auto"/>
              <w:right w:val="single" w:sz="4" w:space="0" w:color="auto"/>
            </w:tcBorders>
            <w:noWrap/>
            <w:vAlign w:val="bottom"/>
            <w:hideMark/>
          </w:tcPr>
          <w:p w14:paraId="0935BCC3"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Finance ($million)</w:t>
            </w:r>
          </w:p>
        </w:tc>
        <w:tc>
          <w:tcPr>
            <w:tcW w:w="1833" w:type="dxa"/>
            <w:tcBorders>
              <w:top w:val="single" w:sz="4" w:space="0" w:color="auto"/>
              <w:left w:val="nil"/>
              <w:bottom w:val="single" w:sz="4" w:space="0" w:color="auto"/>
              <w:right w:val="single" w:sz="4" w:space="0" w:color="auto"/>
            </w:tcBorders>
            <w:noWrap/>
            <w:vAlign w:val="bottom"/>
            <w:hideMark/>
          </w:tcPr>
          <w:p w14:paraId="6D974354"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 </w:t>
            </w:r>
          </w:p>
        </w:tc>
        <w:tc>
          <w:tcPr>
            <w:tcW w:w="993" w:type="dxa"/>
            <w:tcBorders>
              <w:top w:val="single" w:sz="4" w:space="0" w:color="auto"/>
              <w:left w:val="nil"/>
              <w:bottom w:val="single" w:sz="4" w:space="0" w:color="auto"/>
              <w:right w:val="single" w:sz="4" w:space="0" w:color="auto"/>
            </w:tcBorders>
            <w:noWrap/>
            <w:vAlign w:val="bottom"/>
            <w:hideMark/>
          </w:tcPr>
          <w:p w14:paraId="5EFEDA16"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2021</w:t>
            </w:r>
          </w:p>
        </w:tc>
        <w:tc>
          <w:tcPr>
            <w:tcW w:w="850" w:type="dxa"/>
            <w:tcBorders>
              <w:top w:val="single" w:sz="4" w:space="0" w:color="auto"/>
              <w:left w:val="nil"/>
              <w:bottom w:val="single" w:sz="4" w:space="0" w:color="auto"/>
              <w:right w:val="single" w:sz="4" w:space="0" w:color="auto"/>
            </w:tcBorders>
            <w:noWrap/>
            <w:vAlign w:val="bottom"/>
            <w:hideMark/>
          </w:tcPr>
          <w:p w14:paraId="72015F79"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2022</w:t>
            </w:r>
          </w:p>
        </w:tc>
        <w:tc>
          <w:tcPr>
            <w:tcW w:w="992" w:type="dxa"/>
            <w:tcBorders>
              <w:top w:val="single" w:sz="4" w:space="0" w:color="auto"/>
              <w:left w:val="nil"/>
              <w:bottom w:val="single" w:sz="4" w:space="0" w:color="auto"/>
              <w:right w:val="single" w:sz="4" w:space="0" w:color="auto"/>
            </w:tcBorders>
            <w:noWrap/>
            <w:vAlign w:val="bottom"/>
            <w:hideMark/>
          </w:tcPr>
          <w:p w14:paraId="39B88ADC"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2023</w:t>
            </w:r>
          </w:p>
        </w:tc>
        <w:tc>
          <w:tcPr>
            <w:tcW w:w="943" w:type="dxa"/>
            <w:tcBorders>
              <w:top w:val="single" w:sz="4" w:space="0" w:color="auto"/>
              <w:left w:val="nil"/>
              <w:bottom w:val="single" w:sz="4" w:space="0" w:color="auto"/>
              <w:right w:val="single" w:sz="4" w:space="0" w:color="auto"/>
            </w:tcBorders>
            <w:noWrap/>
            <w:vAlign w:val="bottom"/>
            <w:hideMark/>
          </w:tcPr>
          <w:p w14:paraId="77B3F4F5"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2024</w:t>
            </w:r>
          </w:p>
        </w:tc>
        <w:tc>
          <w:tcPr>
            <w:tcW w:w="943" w:type="dxa"/>
            <w:tcBorders>
              <w:top w:val="single" w:sz="4" w:space="0" w:color="auto"/>
              <w:left w:val="nil"/>
              <w:bottom w:val="single" w:sz="4" w:space="0" w:color="auto"/>
              <w:right w:val="single" w:sz="4" w:space="0" w:color="auto"/>
            </w:tcBorders>
            <w:noWrap/>
            <w:vAlign w:val="bottom"/>
            <w:hideMark/>
          </w:tcPr>
          <w:p w14:paraId="4DC94F71"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2025</w:t>
            </w:r>
          </w:p>
        </w:tc>
      </w:tr>
      <w:tr w:rsidR="00851218" w:rsidRPr="00851218" w14:paraId="0A8BBA84"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5A51966" w14:textId="77777777" w:rsidR="00851218" w:rsidRPr="00851218" w:rsidRDefault="00851218" w:rsidP="00851218">
            <w:pPr>
              <w:spacing w:after="0" w:line="240" w:lineRule="auto"/>
              <w:jc w:val="left"/>
              <w:rPr>
                <w:rFonts w:ascii="Aptos Narrow" w:eastAsia="Times New Roman" w:hAnsi="Aptos Narrow" w:cs="Times New Roman"/>
                <w:b/>
                <w:bCs/>
                <w:i/>
                <w:iCs/>
                <w:color w:val="000000"/>
                <w:sz w:val="22"/>
                <w:lang w:eastAsia="en-GB"/>
              </w:rPr>
            </w:pPr>
            <w:r w:rsidRPr="00851218">
              <w:rPr>
                <w:rFonts w:ascii="Aptos Narrow" w:eastAsia="Times New Roman" w:hAnsi="Aptos Narrow" w:cs="Times New Roman"/>
                <w:b/>
                <w:bCs/>
                <w:i/>
                <w:iCs/>
                <w:color w:val="000000"/>
                <w:sz w:val="22"/>
                <w:lang w:eastAsia="en-GB"/>
              </w:rPr>
              <w:t>From Income Statement:</w:t>
            </w:r>
          </w:p>
        </w:tc>
        <w:tc>
          <w:tcPr>
            <w:tcW w:w="1833" w:type="dxa"/>
            <w:tcBorders>
              <w:top w:val="nil"/>
              <w:left w:val="nil"/>
              <w:bottom w:val="single" w:sz="4" w:space="0" w:color="auto"/>
              <w:right w:val="single" w:sz="4" w:space="0" w:color="auto"/>
            </w:tcBorders>
            <w:noWrap/>
            <w:vAlign w:val="bottom"/>
            <w:hideMark/>
          </w:tcPr>
          <w:p w14:paraId="29CC0F95"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147EA37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5950F77F"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1233ADFD"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63A67722"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04354459"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 </w:t>
            </w:r>
          </w:p>
        </w:tc>
      </w:tr>
      <w:tr w:rsidR="00851218" w:rsidRPr="00851218" w14:paraId="56134C81"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2D7F0590"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Revenue</w:t>
            </w:r>
          </w:p>
        </w:tc>
        <w:tc>
          <w:tcPr>
            <w:tcW w:w="1833" w:type="dxa"/>
            <w:tcBorders>
              <w:top w:val="nil"/>
              <w:left w:val="nil"/>
              <w:bottom w:val="single" w:sz="4" w:space="0" w:color="auto"/>
              <w:right w:val="single" w:sz="4" w:space="0" w:color="auto"/>
            </w:tcBorders>
            <w:noWrap/>
            <w:vAlign w:val="bottom"/>
            <w:hideMark/>
          </w:tcPr>
          <w:p w14:paraId="7D053435"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4BB0DFB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53,823</w:t>
            </w:r>
          </w:p>
        </w:tc>
        <w:tc>
          <w:tcPr>
            <w:tcW w:w="850" w:type="dxa"/>
            <w:tcBorders>
              <w:top w:val="nil"/>
              <w:left w:val="nil"/>
              <w:bottom w:val="single" w:sz="4" w:space="0" w:color="auto"/>
              <w:right w:val="single" w:sz="4" w:space="0" w:color="auto"/>
            </w:tcBorders>
            <w:noWrap/>
            <w:vAlign w:val="bottom"/>
            <w:hideMark/>
          </w:tcPr>
          <w:p w14:paraId="5B838975"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81,462</w:t>
            </w:r>
          </w:p>
        </w:tc>
        <w:tc>
          <w:tcPr>
            <w:tcW w:w="992" w:type="dxa"/>
            <w:tcBorders>
              <w:top w:val="nil"/>
              <w:left w:val="nil"/>
              <w:bottom w:val="single" w:sz="4" w:space="0" w:color="auto"/>
              <w:right w:val="single" w:sz="4" w:space="0" w:color="auto"/>
            </w:tcBorders>
            <w:noWrap/>
            <w:vAlign w:val="bottom"/>
            <w:hideMark/>
          </w:tcPr>
          <w:p w14:paraId="603D31C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96,773</w:t>
            </w:r>
          </w:p>
        </w:tc>
        <w:tc>
          <w:tcPr>
            <w:tcW w:w="943" w:type="dxa"/>
            <w:tcBorders>
              <w:top w:val="nil"/>
              <w:left w:val="nil"/>
              <w:bottom w:val="single" w:sz="4" w:space="0" w:color="auto"/>
              <w:right w:val="single" w:sz="4" w:space="0" w:color="auto"/>
            </w:tcBorders>
            <w:noWrap/>
            <w:vAlign w:val="bottom"/>
            <w:hideMark/>
          </w:tcPr>
          <w:p w14:paraId="26AABAA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97,690</w:t>
            </w:r>
          </w:p>
        </w:tc>
        <w:tc>
          <w:tcPr>
            <w:tcW w:w="943" w:type="dxa"/>
            <w:tcBorders>
              <w:top w:val="nil"/>
              <w:left w:val="nil"/>
              <w:bottom w:val="single" w:sz="4" w:space="0" w:color="auto"/>
              <w:right w:val="single" w:sz="4" w:space="0" w:color="auto"/>
            </w:tcBorders>
            <w:noWrap/>
            <w:vAlign w:val="bottom"/>
            <w:hideMark/>
          </w:tcPr>
          <w:p w14:paraId="7EC7E7C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94,827</w:t>
            </w:r>
          </w:p>
        </w:tc>
      </w:tr>
      <w:tr w:rsidR="00851218" w:rsidRPr="00851218" w14:paraId="42551F18"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3D6AC5E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Operating Profit/EBIT</w:t>
            </w:r>
          </w:p>
        </w:tc>
        <w:tc>
          <w:tcPr>
            <w:tcW w:w="1833" w:type="dxa"/>
            <w:tcBorders>
              <w:top w:val="nil"/>
              <w:left w:val="nil"/>
              <w:bottom w:val="single" w:sz="4" w:space="0" w:color="auto"/>
              <w:right w:val="single" w:sz="4" w:space="0" w:color="auto"/>
            </w:tcBorders>
            <w:noWrap/>
            <w:vAlign w:val="bottom"/>
            <w:hideMark/>
          </w:tcPr>
          <w:p w14:paraId="4437355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15061F3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6,496</w:t>
            </w:r>
          </w:p>
        </w:tc>
        <w:tc>
          <w:tcPr>
            <w:tcW w:w="850" w:type="dxa"/>
            <w:tcBorders>
              <w:top w:val="nil"/>
              <w:left w:val="nil"/>
              <w:bottom w:val="single" w:sz="4" w:space="0" w:color="auto"/>
              <w:right w:val="single" w:sz="4" w:space="0" w:color="auto"/>
            </w:tcBorders>
            <w:noWrap/>
            <w:vAlign w:val="bottom"/>
            <w:hideMark/>
          </w:tcPr>
          <w:p w14:paraId="26E7C42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13,832</w:t>
            </w:r>
          </w:p>
        </w:tc>
        <w:tc>
          <w:tcPr>
            <w:tcW w:w="992" w:type="dxa"/>
            <w:tcBorders>
              <w:top w:val="nil"/>
              <w:left w:val="nil"/>
              <w:bottom w:val="single" w:sz="4" w:space="0" w:color="auto"/>
              <w:right w:val="single" w:sz="4" w:space="0" w:color="auto"/>
            </w:tcBorders>
            <w:noWrap/>
            <w:vAlign w:val="bottom"/>
            <w:hideMark/>
          </w:tcPr>
          <w:p w14:paraId="245C600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8,891</w:t>
            </w:r>
          </w:p>
        </w:tc>
        <w:tc>
          <w:tcPr>
            <w:tcW w:w="943" w:type="dxa"/>
            <w:tcBorders>
              <w:top w:val="nil"/>
              <w:left w:val="nil"/>
              <w:bottom w:val="single" w:sz="4" w:space="0" w:color="auto"/>
              <w:right w:val="single" w:sz="4" w:space="0" w:color="auto"/>
            </w:tcBorders>
            <w:noWrap/>
            <w:vAlign w:val="bottom"/>
            <w:hideMark/>
          </w:tcPr>
          <w:p w14:paraId="06DD13A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7,760</w:t>
            </w:r>
          </w:p>
        </w:tc>
        <w:tc>
          <w:tcPr>
            <w:tcW w:w="943" w:type="dxa"/>
            <w:tcBorders>
              <w:top w:val="nil"/>
              <w:left w:val="nil"/>
              <w:bottom w:val="single" w:sz="4" w:space="0" w:color="auto"/>
              <w:right w:val="single" w:sz="4" w:space="0" w:color="auto"/>
            </w:tcBorders>
            <w:noWrap/>
            <w:vAlign w:val="bottom"/>
            <w:hideMark/>
          </w:tcPr>
          <w:p w14:paraId="6A4709F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4,849</w:t>
            </w:r>
          </w:p>
        </w:tc>
      </w:tr>
      <w:tr w:rsidR="00851218" w:rsidRPr="00851218" w14:paraId="7C1BFBBB"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5696AC91"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Net Profit</w:t>
            </w:r>
          </w:p>
        </w:tc>
        <w:tc>
          <w:tcPr>
            <w:tcW w:w="1833" w:type="dxa"/>
            <w:tcBorders>
              <w:top w:val="nil"/>
              <w:left w:val="nil"/>
              <w:bottom w:val="single" w:sz="4" w:space="0" w:color="auto"/>
              <w:right w:val="single" w:sz="4" w:space="0" w:color="auto"/>
            </w:tcBorders>
            <w:noWrap/>
            <w:vAlign w:val="bottom"/>
            <w:hideMark/>
          </w:tcPr>
          <w:p w14:paraId="6D671023"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25E30A46"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5,524</w:t>
            </w:r>
          </w:p>
        </w:tc>
        <w:tc>
          <w:tcPr>
            <w:tcW w:w="850" w:type="dxa"/>
            <w:tcBorders>
              <w:top w:val="nil"/>
              <w:left w:val="nil"/>
              <w:bottom w:val="single" w:sz="4" w:space="0" w:color="auto"/>
              <w:right w:val="single" w:sz="4" w:space="0" w:color="auto"/>
            </w:tcBorders>
            <w:noWrap/>
            <w:vAlign w:val="bottom"/>
            <w:hideMark/>
          </w:tcPr>
          <w:p w14:paraId="120DE72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12,583</w:t>
            </w:r>
          </w:p>
        </w:tc>
        <w:tc>
          <w:tcPr>
            <w:tcW w:w="992" w:type="dxa"/>
            <w:tcBorders>
              <w:top w:val="nil"/>
              <w:left w:val="nil"/>
              <w:bottom w:val="single" w:sz="4" w:space="0" w:color="auto"/>
              <w:right w:val="single" w:sz="4" w:space="0" w:color="auto"/>
            </w:tcBorders>
            <w:noWrap/>
            <w:vAlign w:val="bottom"/>
            <w:hideMark/>
          </w:tcPr>
          <w:p w14:paraId="3A68FD0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14,999</w:t>
            </w:r>
          </w:p>
        </w:tc>
        <w:tc>
          <w:tcPr>
            <w:tcW w:w="943" w:type="dxa"/>
            <w:tcBorders>
              <w:top w:val="nil"/>
              <w:left w:val="nil"/>
              <w:bottom w:val="single" w:sz="4" w:space="0" w:color="auto"/>
              <w:right w:val="single" w:sz="4" w:space="0" w:color="auto"/>
            </w:tcBorders>
            <w:noWrap/>
            <w:vAlign w:val="bottom"/>
            <w:hideMark/>
          </w:tcPr>
          <w:p w14:paraId="68C01B8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7,130</w:t>
            </w:r>
          </w:p>
        </w:tc>
        <w:tc>
          <w:tcPr>
            <w:tcW w:w="943" w:type="dxa"/>
            <w:tcBorders>
              <w:top w:val="nil"/>
              <w:left w:val="nil"/>
              <w:bottom w:val="single" w:sz="4" w:space="0" w:color="auto"/>
              <w:right w:val="single" w:sz="4" w:space="0" w:color="auto"/>
            </w:tcBorders>
            <w:noWrap/>
            <w:vAlign w:val="bottom"/>
            <w:hideMark/>
          </w:tcPr>
          <w:p w14:paraId="2CEC30E1"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3,794</w:t>
            </w:r>
          </w:p>
        </w:tc>
      </w:tr>
      <w:tr w:rsidR="00851218" w:rsidRPr="00851218" w14:paraId="36672CE2"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58952686"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Interest Expense</w:t>
            </w:r>
          </w:p>
        </w:tc>
        <w:tc>
          <w:tcPr>
            <w:tcW w:w="1833" w:type="dxa"/>
            <w:tcBorders>
              <w:top w:val="nil"/>
              <w:left w:val="nil"/>
              <w:bottom w:val="single" w:sz="4" w:space="0" w:color="auto"/>
              <w:right w:val="single" w:sz="4" w:space="0" w:color="auto"/>
            </w:tcBorders>
            <w:noWrap/>
            <w:vAlign w:val="bottom"/>
            <w:hideMark/>
          </w:tcPr>
          <w:p w14:paraId="6CF3CA9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5FB073AC"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371</w:t>
            </w:r>
          </w:p>
        </w:tc>
        <w:tc>
          <w:tcPr>
            <w:tcW w:w="850" w:type="dxa"/>
            <w:tcBorders>
              <w:top w:val="nil"/>
              <w:left w:val="nil"/>
              <w:bottom w:val="single" w:sz="4" w:space="0" w:color="auto"/>
              <w:right w:val="single" w:sz="4" w:space="0" w:color="auto"/>
            </w:tcBorders>
            <w:noWrap/>
            <w:vAlign w:val="bottom"/>
            <w:hideMark/>
          </w:tcPr>
          <w:p w14:paraId="0F5285E6"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191</w:t>
            </w:r>
          </w:p>
        </w:tc>
        <w:tc>
          <w:tcPr>
            <w:tcW w:w="992" w:type="dxa"/>
            <w:tcBorders>
              <w:top w:val="nil"/>
              <w:left w:val="nil"/>
              <w:bottom w:val="single" w:sz="4" w:space="0" w:color="auto"/>
              <w:right w:val="single" w:sz="4" w:space="0" w:color="auto"/>
            </w:tcBorders>
            <w:noWrap/>
            <w:vAlign w:val="bottom"/>
            <w:hideMark/>
          </w:tcPr>
          <w:p w14:paraId="6BE7780F"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156</w:t>
            </w:r>
          </w:p>
        </w:tc>
        <w:tc>
          <w:tcPr>
            <w:tcW w:w="943" w:type="dxa"/>
            <w:tcBorders>
              <w:top w:val="nil"/>
              <w:left w:val="nil"/>
              <w:bottom w:val="single" w:sz="4" w:space="0" w:color="auto"/>
              <w:right w:val="single" w:sz="4" w:space="0" w:color="auto"/>
            </w:tcBorders>
            <w:noWrap/>
            <w:vAlign w:val="bottom"/>
            <w:hideMark/>
          </w:tcPr>
          <w:p w14:paraId="29F5B76F"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350</w:t>
            </w:r>
          </w:p>
        </w:tc>
        <w:tc>
          <w:tcPr>
            <w:tcW w:w="943" w:type="dxa"/>
            <w:tcBorders>
              <w:top w:val="nil"/>
              <w:left w:val="nil"/>
              <w:bottom w:val="single" w:sz="4" w:space="0" w:color="auto"/>
              <w:right w:val="single" w:sz="4" w:space="0" w:color="auto"/>
            </w:tcBorders>
            <w:noWrap/>
            <w:vAlign w:val="bottom"/>
            <w:hideMark/>
          </w:tcPr>
          <w:p w14:paraId="528AEB06"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338</w:t>
            </w:r>
          </w:p>
        </w:tc>
      </w:tr>
      <w:tr w:rsidR="00851218" w:rsidRPr="00851218" w14:paraId="25F08F2B"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2F319C90"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EPS ($)</w:t>
            </w:r>
          </w:p>
        </w:tc>
        <w:tc>
          <w:tcPr>
            <w:tcW w:w="1833" w:type="dxa"/>
            <w:tcBorders>
              <w:top w:val="nil"/>
              <w:left w:val="nil"/>
              <w:bottom w:val="single" w:sz="4" w:space="0" w:color="auto"/>
              <w:right w:val="single" w:sz="4" w:space="0" w:color="auto"/>
            </w:tcBorders>
            <w:noWrap/>
            <w:vAlign w:val="bottom"/>
            <w:hideMark/>
          </w:tcPr>
          <w:p w14:paraId="1D501E93"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25B1B436"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1.63</w:t>
            </w:r>
          </w:p>
        </w:tc>
        <w:tc>
          <w:tcPr>
            <w:tcW w:w="850" w:type="dxa"/>
            <w:tcBorders>
              <w:top w:val="nil"/>
              <w:left w:val="nil"/>
              <w:bottom w:val="single" w:sz="4" w:space="0" w:color="auto"/>
              <w:right w:val="single" w:sz="4" w:space="0" w:color="auto"/>
            </w:tcBorders>
            <w:noWrap/>
            <w:vAlign w:val="bottom"/>
            <w:hideMark/>
          </w:tcPr>
          <w:p w14:paraId="2D5B480C"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3.62</w:t>
            </w:r>
          </w:p>
        </w:tc>
        <w:tc>
          <w:tcPr>
            <w:tcW w:w="992" w:type="dxa"/>
            <w:tcBorders>
              <w:top w:val="nil"/>
              <w:left w:val="nil"/>
              <w:bottom w:val="single" w:sz="4" w:space="0" w:color="auto"/>
              <w:right w:val="single" w:sz="4" w:space="0" w:color="auto"/>
            </w:tcBorders>
            <w:noWrap/>
            <w:vAlign w:val="bottom"/>
            <w:hideMark/>
          </w:tcPr>
          <w:p w14:paraId="21E7B25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4.3</w:t>
            </w:r>
          </w:p>
        </w:tc>
        <w:tc>
          <w:tcPr>
            <w:tcW w:w="943" w:type="dxa"/>
            <w:tcBorders>
              <w:top w:val="nil"/>
              <w:left w:val="nil"/>
              <w:bottom w:val="single" w:sz="4" w:space="0" w:color="auto"/>
              <w:right w:val="single" w:sz="4" w:space="0" w:color="auto"/>
            </w:tcBorders>
            <w:noWrap/>
            <w:vAlign w:val="bottom"/>
            <w:hideMark/>
          </w:tcPr>
          <w:p w14:paraId="50B0FC4F"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2.04</w:t>
            </w:r>
          </w:p>
        </w:tc>
        <w:tc>
          <w:tcPr>
            <w:tcW w:w="943" w:type="dxa"/>
            <w:tcBorders>
              <w:top w:val="nil"/>
              <w:left w:val="nil"/>
              <w:bottom w:val="single" w:sz="4" w:space="0" w:color="auto"/>
              <w:right w:val="single" w:sz="4" w:space="0" w:color="auto"/>
            </w:tcBorders>
            <w:noWrap/>
            <w:vAlign w:val="bottom"/>
            <w:hideMark/>
          </w:tcPr>
          <w:p w14:paraId="30CC3A9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1.08</w:t>
            </w:r>
          </w:p>
        </w:tc>
      </w:tr>
      <w:tr w:rsidR="00851218" w:rsidRPr="00851218" w14:paraId="5CE50FB2"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18B13612" w14:textId="77777777" w:rsidR="00851218" w:rsidRPr="00851218" w:rsidRDefault="00851218" w:rsidP="00851218">
            <w:pPr>
              <w:spacing w:after="0" w:line="240" w:lineRule="auto"/>
              <w:jc w:val="left"/>
              <w:rPr>
                <w:rFonts w:ascii="Aptos Narrow" w:eastAsia="Times New Roman" w:hAnsi="Aptos Narrow" w:cs="Times New Roman"/>
                <w:b/>
                <w:bCs/>
                <w:i/>
                <w:iCs/>
                <w:color w:val="000000"/>
                <w:sz w:val="22"/>
                <w:lang w:eastAsia="en-GB"/>
              </w:rPr>
            </w:pPr>
            <w:r w:rsidRPr="00851218">
              <w:rPr>
                <w:rFonts w:ascii="Aptos Narrow" w:eastAsia="Times New Roman" w:hAnsi="Aptos Narrow" w:cs="Times New Roman"/>
                <w:b/>
                <w:bCs/>
                <w:i/>
                <w:iCs/>
                <w:color w:val="000000"/>
                <w:sz w:val="22"/>
                <w:lang w:eastAsia="en-GB"/>
              </w:rPr>
              <w:t>From Balance Sheet:</w:t>
            </w:r>
          </w:p>
        </w:tc>
        <w:tc>
          <w:tcPr>
            <w:tcW w:w="1833" w:type="dxa"/>
            <w:tcBorders>
              <w:top w:val="nil"/>
              <w:left w:val="nil"/>
              <w:bottom w:val="single" w:sz="4" w:space="0" w:color="auto"/>
              <w:right w:val="single" w:sz="4" w:space="0" w:color="auto"/>
            </w:tcBorders>
            <w:noWrap/>
            <w:vAlign w:val="bottom"/>
            <w:hideMark/>
          </w:tcPr>
          <w:p w14:paraId="61741506"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3D5761C5"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5C4E8D3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4C8B8DB5"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20C82AB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3A1BF07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633D3B93"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5A98134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Total Assets</w:t>
            </w:r>
          </w:p>
        </w:tc>
        <w:tc>
          <w:tcPr>
            <w:tcW w:w="1833" w:type="dxa"/>
            <w:tcBorders>
              <w:top w:val="nil"/>
              <w:left w:val="nil"/>
              <w:bottom w:val="single" w:sz="4" w:space="0" w:color="auto"/>
              <w:right w:val="single" w:sz="4" w:space="0" w:color="auto"/>
            </w:tcBorders>
            <w:noWrap/>
            <w:vAlign w:val="bottom"/>
            <w:hideMark/>
          </w:tcPr>
          <w:p w14:paraId="17286F0D"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0538FA8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62,131</w:t>
            </w:r>
          </w:p>
        </w:tc>
        <w:tc>
          <w:tcPr>
            <w:tcW w:w="850" w:type="dxa"/>
            <w:tcBorders>
              <w:top w:val="nil"/>
              <w:left w:val="nil"/>
              <w:bottom w:val="single" w:sz="4" w:space="0" w:color="auto"/>
              <w:right w:val="single" w:sz="4" w:space="0" w:color="auto"/>
            </w:tcBorders>
            <w:noWrap/>
            <w:vAlign w:val="bottom"/>
            <w:hideMark/>
          </w:tcPr>
          <w:p w14:paraId="75F0A8DE"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82,338</w:t>
            </w:r>
          </w:p>
        </w:tc>
        <w:tc>
          <w:tcPr>
            <w:tcW w:w="992" w:type="dxa"/>
            <w:tcBorders>
              <w:top w:val="nil"/>
              <w:left w:val="nil"/>
              <w:bottom w:val="single" w:sz="4" w:space="0" w:color="auto"/>
              <w:right w:val="single" w:sz="4" w:space="0" w:color="auto"/>
            </w:tcBorders>
            <w:noWrap/>
            <w:vAlign w:val="bottom"/>
            <w:hideMark/>
          </w:tcPr>
          <w:p w14:paraId="2C8B4EF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106,618</w:t>
            </w:r>
          </w:p>
        </w:tc>
        <w:tc>
          <w:tcPr>
            <w:tcW w:w="943" w:type="dxa"/>
            <w:tcBorders>
              <w:top w:val="nil"/>
              <w:left w:val="nil"/>
              <w:bottom w:val="single" w:sz="4" w:space="0" w:color="auto"/>
              <w:right w:val="single" w:sz="4" w:space="0" w:color="auto"/>
            </w:tcBorders>
            <w:noWrap/>
            <w:vAlign w:val="bottom"/>
            <w:hideMark/>
          </w:tcPr>
          <w:p w14:paraId="77609551"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122,070</w:t>
            </w:r>
          </w:p>
        </w:tc>
        <w:tc>
          <w:tcPr>
            <w:tcW w:w="943" w:type="dxa"/>
            <w:tcBorders>
              <w:top w:val="nil"/>
              <w:left w:val="nil"/>
              <w:bottom w:val="single" w:sz="4" w:space="0" w:color="auto"/>
              <w:right w:val="single" w:sz="4" w:space="0" w:color="auto"/>
            </w:tcBorders>
            <w:noWrap/>
            <w:vAlign w:val="bottom"/>
            <w:hideMark/>
          </w:tcPr>
          <w:p w14:paraId="4F4D4AD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137,806</w:t>
            </w:r>
          </w:p>
        </w:tc>
      </w:tr>
      <w:tr w:rsidR="00851218" w:rsidRPr="00851218" w14:paraId="5D408658"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3F2360F3"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Current Assets</w:t>
            </w:r>
          </w:p>
        </w:tc>
        <w:tc>
          <w:tcPr>
            <w:tcW w:w="1833" w:type="dxa"/>
            <w:tcBorders>
              <w:top w:val="nil"/>
              <w:left w:val="nil"/>
              <w:bottom w:val="single" w:sz="4" w:space="0" w:color="auto"/>
              <w:right w:val="single" w:sz="4" w:space="0" w:color="auto"/>
            </w:tcBorders>
            <w:noWrap/>
            <w:vAlign w:val="bottom"/>
            <w:hideMark/>
          </w:tcPr>
          <w:p w14:paraId="4B4B2F5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1E64912C"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27,100</w:t>
            </w:r>
          </w:p>
        </w:tc>
        <w:tc>
          <w:tcPr>
            <w:tcW w:w="850" w:type="dxa"/>
            <w:tcBorders>
              <w:top w:val="nil"/>
              <w:left w:val="nil"/>
              <w:bottom w:val="single" w:sz="4" w:space="0" w:color="auto"/>
              <w:right w:val="single" w:sz="4" w:space="0" w:color="auto"/>
            </w:tcBorders>
            <w:noWrap/>
            <w:vAlign w:val="bottom"/>
            <w:hideMark/>
          </w:tcPr>
          <w:p w14:paraId="13221A08"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40,917</w:t>
            </w:r>
          </w:p>
        </w:tc>
        <w:tc>
          <w:tcPr>
            <w:tcW w:w="992" w:type="dxa"/>
            <w:tcBorders>
              <w:top w:val="nil"/>
              <w:left w:val="nil"/>
              <w:bottom w:val="single" w:sz="4" w:space="0" w:color="auto"/>
              <w:right w:val="single" w:sz="4" w:space="0" w:color="auto"/>
            </w:tcBorders>
            <w:noWrap/>
            <w:vAlign w:val="bottom"/>
            <w:hideMark/>
          </w:tcPr>
          <w:p w14:paraId="1E4D5E9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49,616</w:t>
            </w:r>
          </w:p>
        </w:tc>
        <w:tc>
          <w:tcPr>
            <w:tcW w:w="943" w:type="dxa"/>
            <w:tcBorders>
              <w:top w:val="nil"/>
              <w:left w:val="nil"/>
              <w:bottom w:val="single" w:sz="4" w:space="0" w:color="auto"/>
              <w:right w:val="single" w:sz="4" w:space="0" w:color="auto"/>
            </w:tcBorders>
            <w:noWrap/>
            <w:vAlign w:val="bottom"/>
            <w:hideMark/>
          </w:tcPr>
          <w:p w14:paraId="19330E8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58,360</w:t>
            </w:r>
          </w:p>
        </w:tc>
        <w:tc>
          <w:tcPr>
            <w:tcW w:w="943" w:type="dxa"/>
            <w:tcBorders>
              <w:top w:val="nil"/>
              <w:left w:val="nil"/>
              <w:bottom w:val="single" w:sz="4" w:space="0" w:color="auto"/>
              <w:right w:val="single" w:sz="4" w:space="0" w:color="auto"/>
            </w:tcBorders>
            <w:noWrap/>
            <w:vAlign w:val="bottom"/>
            <w:hideMark/>
          </w:tcPr>
          <w:p w14:paraId="56C1A0BE"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68,642</w:t>
            </w:r>
          </w:p>
        </w:tc>
      </w:tr>
      <w:tr w:rsidR="00851218" w:rsidRPr="00851218" w14:paraId="4138B0C8"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F6EB856"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Current Liabilities</w:t>
            </w:r>
          </w:p>
        </w:tc>
        <w:tc>
          <w:tcPr>
            <w:tcW w:w="1833" w:type="dxa"/>
            <w:tcBorders>
              <w:top w:val="nil"/>
              <w:left w:val="nil"/>
              <w:bottom w:val="single" w:sz="4" w:space="0" w:color="auto"/>
              <w:right w:val="single" w:sz="4" w:space="0" w:color="auto"/>
            </w:tcBorders>
            <w:noWrap/>
            <w:vAlign w:val="bottom"/>
            <w:hideMark/>
          </w:tcPr>
          <w:p w14:paraId="25A270F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63D496A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19,705</w:t>
            </w:r>
          </w:p>
        </w:tc>
        <w:tc>
          <w:tcPr>
            <w:tcW w:w="850" w:type="dxa"/>
            <w:tcBorders>
              <w:top w:val="nil"/>
              <w:left w:val="nil"/>
              <w:bottom w:val="single" w:sz="4" w:space="0" w:color="auto"/>
              <w:right w:val="single" w:sz="4" w:space="0" w:color="auto"/>
            </w:tcBorders>
            <w:noWrap/>
            <w:vAlign w:val="bottom"/>
            <w:hideMark/>
          </w:tcPr>
          <w:p w14:paraId="6DA3BC0F"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26,709</w:t>
            </w:r>
          </w:p>
        </w:tc>
        <w:tc>
          <w:tcPr>
            <w:tcW w:w="992" w:type="dxa"/>
            <w:tcBorders>
              <w:top w:val="nil"/>
              <w:left w:val="nil"/>
              <w:bottom w:val="single" w:sz="4" w:space="0" w:color="auto"/>
              <w:right w:val="single" w:sz="4" w:space="0" w:color="auto"/>
            </w:tcBorders>
            <w:noWrap/>
            <w:vAlign w:val="bottom"/>
            <w:hideMark/>
          </w:tcPr>
          <w:p w14:paraId="3D728B4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28,748</w:t>
            </w:r>
          </w:p>
        </w:tc>
        <w:tc>
          <w:tcPr>
            <w:tcW w:w="943" w:type="dxa"/>
            <w:tcBorders>
              <w:top w:val="nil"/>
              <w:left w:val="nil"/>
              <w:bottom w:val="single" w:sz="4" w:space="0" w:color="auto"/>
              <w:right w:val="single" w:sz="4" w:space="0" w:color="auto"/>
            </w:tcBorders>
            <w:noWrap/>
            <w:vAlign w:val="bottom"/>
            <w:hideMark/>
          </w:tcPr>
          <w:p w14:paraId="6E55F82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28,821</w:t>
            </w:r>
          </w:p>
        </w:tc>
        <w:tc>
          <w:tcPr>
            <w:tcW w:w="943" w:type="dxa"/>
            <w:tcBorders>
              <w:top w:val="nil"/>
              <w:left w:val="nil"/>
              <w:bottom w:val="single" w:sz="4" w:space="0" w:color="auto"/>
              <w:right w:val="single" w:sz="4" w:space="0" w:color="auto"/>
            </w:tcBorders>
            <w:noWrap/>
            <w:vAlign w:val="bottom"/>
            <w:hideMark/>
          </w:tcPr>
          <w:p w14:paraId="731D2C48"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31,714</w:t>
            </w:r>
          </w:p>
        </w:tc>
      </w:tr>
      <w:tr w:rsidR="00851218" w:rsidRPr="00851218" w14:paraId="56A64B6E"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36E2AE6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Inventory</w:t>
            </w:r>
          </w:p>
        </w:tc>
        <w:tc>
          <w:tcPr>
            <w:tcW w:w="1833" w:type="dxa"/>
            <w:tcBorders>
              <w:top w:val="nil"/>
              <w:left w:val="nil"/>
              <w:bottom w:val="single" w:sz="4" w:space="0" w:color="auto"/>
              <w:right w:val="single" w:sz="4" w:space="0" w:color="auto"/>
            </w:tcBorders>
            <w:noWrap/>
            <w:vAlign w:val="bottom"/>
            <w:hideMark/>
          </w:tcPr>
          <w:p w14:paraId="3149F67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7D812AE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5,757</w:t>
            </w:r>
          </w:p>
        </w:tc>
        <w:tc>
          <w:tcPr>
            <w:tcW w:w="850" w:type="dxa"/>
            <w:tcBorders>
              <w:top w:val="nil"/>
              <w:left w:val="nil"/>
              <w:bottom w:val="single" w:sz="4" w:space="0" w:color="auto"/>
              <w:right w:val="single" w:sz="4" w:space="0" w:color="auto"/>
            </w:tcBorders>
            <w:noWrap/>
            <w:vAlign w:val="bottom"/>
            <w:hideMark/>
          </w:tcPr>
          <w:p w14:paraId="5F5749B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12,839</w:t>
            </w:r>
          </w:p>
        </w:tc>
        <w:tc>
          <w:tcPr>
            <w:tcW w:w="992" w:type="dxa"/>
            <w:tcBorders>
              <w:top w:val="nil"/>
              <w:left w:val="nil"/>
              <w:bottom w:val="single" w:sz="4" w:space="0" w:color="auto"/>
              <w:right w:val="single" w:sz="4" w:space="0" w:color="auto"/>
            </w:tcBorders>
            <w:noWrap/>
            <w:vAlign w:val="bottom"/>
            <w:hideMark/>
          </w:tcPr>
          <w:p w14:paraId="32B4BA7E"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13,626</w:t>
            </w:r>
          </w:p>
        </w:tc>
        <w:tc>
          <w:tcPr>
            <w:tcW w:w="943" w:type="dxa"/>
            <w:tcBorders>
              <w:top w:val="nil"/>
              <w:left w:val="nil"/>
              <w:bottom w:val="single" w:sz="4" w:space="0" w:color="auto"/>
              <w:right w:val="single" w:sz="4" w:space="0" w:color="auto"/>
            </w:tcBorders>
            <w:noWrap/>
            <w:vAlign w:val="bottom"/>
            <w:hideMark/>
          </w:tcPr>
          <w:p w14:paraId="5A633DA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12,017</w:t>
            </w:r>
          </w:p>
        </w:tc>
        <w:tc>
          <w:tcPr>
            <w:tcW w:w="943" w:type="dxa"/>
            <w:tcBorders>
              <w:top w:val="nil"/>
              <w:left w:val="nil"/>
              <w:bottom w:val="single" w:sz="4" w:space="0" w:color="auto"/>
              <w:right w:val="single" w:sz="4" w:space="0" w:color="auto"/>
            </w:tcBorders>
            <w:noWrap/>
            <w:vAlign w:val="bottom"/>
            <w:hideMark/>
          </w:tcPr>
          <w:p w14:paraId="2C410D41"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12,392</w:t>
            </w:r>
          </w:p>
        </w:tc>
      </w:tr>
      <w:tr w:rsidR="00851218" w:rsidRPr="00851218" w14:paraId="648918EC"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4A8AC7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Total Debt</w:t>
            </w:r>
          </w:p>
        </w:tc>
        <w:tc>
          <w:tcPr>
            <w:tcW w:w="1833" w:type="dxa"/>
            <w:tcBorders>
              <w:top w:val="nil"/>
              <w:left w:val="nil"/>
              <w:bottom w:val="single" w:sz="4" w:space="0" w:color="auto"/>
              <w:right w:val="single" w:sz="4" w:space="0" w:color="auto"/>
            </w:tcBorders>
            <w:noWrap/>
            <w:vAlign w:val="bottom"/>
            <w:hideMark/>
          </w:tcPr>
          <w:p w14:paraId="15EDA54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58EA704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8,873</w:t>
            </w:r>
          </w:p>
        </w:tc>
        <w:tc>
          <w:tcPr>
            <w:tcW w:w="850" w:type="dxa"/>
            <w:tcBorders>
              <w:top w:val="nil"/>
              <w:left w:val="nil"/>
              <w:bottom w:val="single" w:sz="4" w:space="0" w:color="auto"/>
              <w:right w:val="single" w:sz="4" w:space="0" w:color="auto"/>
            </w:tcBorders>
            <w:noWrap/>
            <w:vAlign w:val="bottom"/>
            <w:hideMark/>
          </w:tcPr>
          <w:p w14:paraId="34E24BAE"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5,748</w:t>
            </w:r>
          </w:p>
        </w:tc>
        <w:tc>
          <w:tcPr>
            <w:tcW w:w="992" w:type="dxa"/>
            <w:tcBorders>
              <w:top w:val="nil"/>
              <w:left w:val="nil"/>
              <w:bottom w:val="single" w:sz="4" w:space="0" w:color="auto"/>
              <w:right w:val="single" w:sz="4" w:space="0" w:color="auto"/>
            </w:tcBorders>
            <w:noWrap/>
            <w:vAlign w:val="bottom"/>
            <w:hideMark/>
          </w:tcPr>
          <w:p w14:paraId="687E1DA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9,573</w:t>
            </w:r>
          </w:p>
        </w:tc>
        <w:tc>
          <w:tcPr>
            <w:tcW w:w="943" w:type="dxa"/>
            <w:tcBorders>
              <w:top w:val="nil"/>
              <w:left w:val="nil"/>
              <w:bottom w:val="single" w:sz="4" w:space="0" w:color="auto"/>
              <w:right w:val="single" w:sz="4" w:space="0" w:color="auto"/>
            </w:tcBorders>
            <w:noWrap/>
            <w:vAlign w:val="bottom"/>
            <w:hideMark/>
          </w:tcPr>
          <w:p w14:paraId="4944D93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13,623</w:t>
            </w:r>
          </w:p>
        </w:tc>
        <w:tc>
          <w:tcPr>
            <w:tcW w:w="943" w:type="dxa"/>
            <w:tcBorders>
              <w:top w:val="nil"/>
              <w:left w:val="nil"/>
              <w:bottom w:val="single" w:sz="4" w:space="0" w:color="auto"/>
              <w:right w:val="single" w:sz="4" w:space="0" w:color="auto"/>
            </w:tcBorders>
            <w:noWrap/>
            <w:vAlign w:val="bottom"/>
            <w:hideMark/>
          </w:tcPr>
          <w:p w14:paraId="714E511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14,719</w:t>
            </w:r>
          </w:p>
        </w:tc>
      </w:tr>
      <w:tr w:rsidR="00851218" w:rsidRPr="00851218" w14:paraId="4DE4E120"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7A8DF976"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Total Equity</w:t>
            </w:r>
          </w:p>
        </w:tc>
        <w:tc>
          <w:tcPr>
            <w:tcW w:w="1833" w:type="dxa"/>
            <w:tcBorders>
              <w:top w:val="nil"/>
              <w:left w:val="nil"/>
              <w:bottom w:val="single" w:sz="4" w:space="0" w:color="auto"/>
              <w:right w:val="single" w:sz="4" w:space="0" w:color="auto"/>
            </w:tcBorders>
            <w:noWrap/>
            <w:vAlign w:val="bottom"/>
            <w:hideMark/>
          </w:tcPr>
          <w:p w14:paraId="33A81B01"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5320C80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31,583</w:t>
            </w:r>
          </w:p>
        </w:tc>
        <w:tc>
          <w:tcPr>
            <w:tcW w:w="850" w:type="dxa"/>
            <w:tcBorders>
              <w:top w:val="nil"/>
              <w:left w:val="nil"/>
              <w:bottom w:val="single" w:sz="4" w:space="0" w:color="auto"/>
              <w:right w:val="single" w:sz="4" w:space="0" w:color="auto"/>
            </w:tcBorders>
            <w:noWrap/>
            <w:vAlign w:val="bottom"/>
            <w:hideMark/>
          </w:tcPr>
          <w:p w14:paraId="2BA5DBF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45,898</w:t>
            </w:r>
          </w:p>
        </w:tc>
        <w:tc>
          <w:tcPr>
            <w:tcW w:w="992" w:type="dxa"/>
            <w:tcBorders>
              <w:top w:val="nil"/>
              <w:left w:val="nil"/>
              <w:bottom w:val="single" w:sz="4" w:space="0" w:color="auto"/>
              <w:right w:val="single" w:sz="4" w:space="0" w:color="auto"/>
            </w:tcBorders>
            <w:noWrap/>
            <w:vAlign w:val="bottom"/>
            <w:hideMark/>
          </w:tcPr>
          <w:p w14:paraId="14F4EB3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63,609</w:t>
            </w:r>
          </w:p>
        </w:tc>
        <w:tc>
          <w:tcPr>
            <w:tcW w:w="943" w:type="dxa"/>
            <w:tcBorders>
              <w:top w:val="nil"/>
              <w:left w:val="nil"/>
              <w:bottom w:val="single" w:sz="4" w:space="0" w:color="auto"/>
              <w:right w:val="single" w:sz="4" w:space="0" w:color="auto"/>
            </w:tcBorders>
            <w:noWrap/>
            <w:vAlign w:val="bottom"/>
            <w:hideMark/>
          </w:tcPr>
          <w:p w14:paraId="12EFD42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73,680</w:t>
            </w:r>
          </w:p>
        </w:tc>
        <w:tc>
          <w:tcPr>
            <w:tcW w:w="943" w:type="dxa"/>
            <w:tcBorders>
              <w:top w:val="nil"/>
              <w:left w:val="nil"/>
              <w:bottom w:val="single" w:sz="4" w:space="0" w:color="auto"/>
              <w:right w:val="single" w:sz="4" w:space="0" w:color="auto"/>
            </w:tcBorders>
            <w:noWrap/>
            <w:vAlign w:val="bottom"/>
            <w:hideMark/>
          </w:tcPr>
          <w:p w14:paraId="15AAA0B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82,865</w:t>
            </w:r>
          </w:p>
        </w:tc>
      </w:tr>
      <w:tr w:rsidR="00851218" w:rsidRPr="00851218" w14:paraId="1C498CA3"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609D757F" w14:textId="77777777" w:rsidR="00851218" w:rsidRPr="00851218" w:rsidRDefault="00851218" w:rsidP="00851218">
            <w:pPr>
              <w:spacing w:after="0" w:line="240" w:lineRule="auto"/>
              <w:jc w:val="left"/>
              <w:rPr>
                <w:rFonts w:ascii="Aptos Narrow" w:eastAsia="Times New Roman" w:hAnsi="Aptos Narrow" w:cs="Times New Roman"/>
                <w:b/>
                <w:bCs/>
                <w:i/>
                <w:iCs/>
                <w:color w:val="000000"/>
                <w:sz w:val="22"/>
                <w:lang w:eastAsia="en-GB"/>
              </w:rPr>
            </w:pPr>
            <w:r w:rsidRPr="00851218">
              <w:rPr>
                <w:rFonts w:ascii="Aptos Narrow" w:eastAsia="Times New Roman" w:hAnsi="Aptos Narrow" w:cs="Times New Roman"/>
                <w:b/>
                <w:bCs/>
                <w:i/>
                <w:iCs/>
                <w:color w:val="000000"/>
                <w:sz w:val="22"/>
                <w:lang w:eastAsia="en-GB"/>
              </w:rPr>
              <w:t>From Cash Flow Statement:</w:t>
            </w:r>
          </w:p>
        </w:tc>
        <w:tc>
          <w:tcPr>
            <w:tcW w:w="1833" w:type="dxa"/>
            <w:tcBorders>
              <w:top w:val="nil"/>
              <w:left w:val="nil"/>
              <w:bottom w:val="single" w:sz="4" w:space="0" w:color="auto"/>
              <w:right w:val="single" w:sz="4" w:space="0" w:color="auto"/>
            </w:tcBorders>
            <w:noWrap/>
            <w:vAlign w:val="bottom"/>
            <w:hideMark/>
          </w:tcPr>
          <w:p w14:paraId="13B1600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16BEC78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2FF9B36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19654294"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5CB7E36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159BFD1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1F75CE4F"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CA519E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Operating Cash Flow</w:t>
            </w:r>
          </w:p>
        </w:tc>
        <w:tc>
          <w:tcPr>
            <w:tcW w:w="1833" w:type="dxa"/>
            <w:tcBorders>
              <w:top w:val="nil"/>
              <w:left w:val="nil"/>
              <w:bottom w:val="single" w:sz="4" w:space="0" w:color="auto"/>
              <w:right w:val="single" w:sz="4" w:space="0" w:color="auto"/>
            </w:tcBorders>
            <w:noWrap/>
            <w:vAlign w:val="bottom"/>
            <w:hideMark/>
          </w:tcPr>
          <w:p w14:paraId="74DFF18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4E41F23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11,497</w:t>
            </w:r>
          </w:p>
        </w:tc>
        <w:tc>
          <w:tcPr>
            <w:tcW w:w="850" w:type="dxa"/>
            <w:tcBorders>
              <w:top w:val="nil"/>
              <w:left w:val="nil"/>
              <w:bottom w:val="single" w:sz="4" w:space="0" w:color="auto"/>
              <w:right w:val="single" w:sz="4" w:space="0" w:color="auto"/>
            </w:tcBorders>
            <w:noWrap/>
            <w:vAlign w:val="bottom"/>
            <w:hideMark/>
          </w:tcPr>
          <w:p w14:paraId="52F5A236"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14,724</w:t>
            </w:r>
          </w:p>
        </w:tc>
        <w:tc>
          <w:tcPr>
            <w:tcW w:w="992" w:type="dxa"/>
            <w:tcBorders>
              <w:top w:val="nil"/>
              <w:left w:val="nil"/>
              <w:bottom w:val="single" w:sz="4" w:space="0" w:color="auto"/>
              <w:right w:val="single" w:sz="4" w:space="0" w:color="auto"/>
            </w:tcBorders>
            <w:noWrap/>
            <w:vAlign w:val="bottom"/>
            <w:hideMark/>
          </w:tcPr>
          <w:p w14:paraId="345CCBF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13,256</w:t>
            </w:r>
          </w:p>
        </w:tc>
        <w:tc>
          <w:tcPr>
            <w:tcW w:w="943" w:type="dxa"/>
            <w:tcBorders>
              <w:top w:val="nil"/>
              <w:left w:val="nil"/>
              <w:bottom w:val="single" w:sz="4" w:space="0" w:color="auto"/>
              <w:right w:val="single" w:sz="4" w:space="0" w:color="auto"/>
            </w:tcBorders>
            <w:noWrap/>
            <w:vAlign w:val="bottom"/>
            <w:hideMark/>
          </w:tcPr>
          <w:p w14:paraId="670A3845"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14,923</w:t>
            </w:r>
          </w:p>
        </w:tc>
        <w:tc>
          <w:tcPr>
            <w:tcW w:w="943" w:type="dxa"/>
            <w:tcBorders>
              <w:top w:val="nil"/>
              <w:left w:val="nil"/>
              <w:bottom w:val="single" w:sz="4" w:space="0" w:color="auto"/>
              <w:right w:val="single" w:sz="4" w:space="0" w:color="auto"/>
            </w:tcBorders>
            <w:noWrap/>
            <w:vAlign w:val="bottom"/>
            <w:hideMark/>
          </w:tcPr>
          <w:p w14:paraId="0E1D91F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14,747</w:t>
            </w:r>
          </w:p>
        </w:tc>
      </w:tr>
      <w:tr w:rsidR="00851218" w:rsidRPr="00851218" w14:paraId="49FBE3AF"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5785FCE" w14:textId="77777777" w:rsidR="00851218" w:rsidRPr="00851218" w:rsidRDefault="00851218" w:rsidP="00851218">
            <w:pPr>
              <w:spacing w:after="0" w:line="240" w:lineRule="auto"/>
              <w:jc w:val="left"/>
              <w:rPr>
                <w:rFonts w:ascii="Aptos Narrow" w:eastAsia="Times New Roman" w:hAnsi="Aptos Narrow" w:cs="Times New Roman"/>
                <w:b/>
                <w:bCs/>
                <w:i/>
                <w:iCs/>
                <w:color w:val="000000"/>
                <w:sz w:val="22"/>
                <w:lang w:eastAsia="en-GB"/>
              </w:rPr>
            </w:pPr>
            <w:r w:rsidRPr="00851218">
              <w:rPr>
                <w:rFonts w:ascii="Aptos Narrow" w:eastAsia="Times New Roman" w:hAnsi="Aptos Narrow" w:cs="Times New Roman"/>
                <w:b/>
                <w:bCs/>
                <w:i/>
                <w:iCs/>
                <w:color w:val="000000"/>
                <w:sz w:val="22"/>
                <w:lang w:eastAsia="en-GB"/>
              </w:rPr>
              <w:t>From Market Data:</w:t>
            </w:r>
          </w:p>
        </w:tc>
        <w:tc>
          <w:tcPr>
            <w:tcW w:w="1833" w:type="dxa"/>
            <w:tcBorders>
              <w:top w:val="nil"/>
              <w:left w:val="nil"/>
              <w:bottom w:val="single" w:sz="4" w:space="0" w:color="auto"/>
              <w:right w:val="single" w:sz="4" w:space="0" w:color="auto"/>
            </w:tcBorders>
            <w:noWrap/>
            <w:vAlign w:val="bottom"/>
            <w:hideMark/>
          </w:tcPr>
          <w:p w14:paraId="760010A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7B8C37C0"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4D43B37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3948B9A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36079C01"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5CF8A5C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3D750339"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5F5A931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Share Price ($)</w:t>
            </w:r>
          </w:p>
        </w:tc>
        <w:tc>
          <w:tcPr>
            <w:tcW w:w="1833" w:type="dxa"/>
            <w:tcBorders>
              <w:top w:val="nil"/>
              <w:left w:val="nil"/>
              <w:bottom w:val="single" w:sz="4" w:space="0" w:color="auto"/>
              <w:right w:val="single" w:sz="4" w:space="0" w:color="auto"/>
            </w:tcBorders>
            <w:noWrap/>
            <w:vAlign w:val="bottom"/>
            <w:hideMark/>
          </w:tcPr>
          <w:p w14:paraId="30CA472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5B19776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312.24</w:t>
            </w:r>
          </w:p>
        </w:tc>
        <w:tc>
          <w:tcPr>
            <w:tcW w:w="850" w:type="dxa"/>
            <w:tcBorders>
              <w:top w:val="nil"/>
              <w:left w:val="nil"/>
              <w:bottom w:val="single" w:sz="4" w:space="0" w:color="auto"/>
              <w:right w:val="single" w:sz="4" w:space="0" w:color="auto"/>
            </w:tcBorders>
            <w:noWrap/>
            <w:vAlign w:val="bottom"/>
            <w:hideMark/>
          </w:tcPr>
          <w:p w14:paraId="7B07173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173.22</w:t>
            </w:r>
          </w:p>
        </w:tc>
        <w:tc>
          <w:tcPr>
            <w:tcW w:w="992" w:type="dxa"/>
            <w:tcBorders>
              <w:top w:val="nil"/>
              <w:left w:val="nil"/>
              <w:bottom w:val="single" w:sz="4" w:space="0" w:color="auto"/>
              <w:right w:val="single" w:sz="4" w:space="0" w:color="auto"/>
            </w:tcBorders>
            <w:noWrap/>
            <w:vAlign w:val="bottom"/>
            <w:hideMark/>
          </w:tcPr>
          <w:p w14:paraId="5A118C0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187.29</w:t>
            </w:r>
          </w:p>
        </w:tc>
        <w:tc>
          <w:tcPr>
            <w:tcW w:w="943" w:type="dxa"/>
            <w:tcBorders>
              <w:top w:val="nil"/>
              <w:left w:val="nil"/>
              <w:bottom w:val="single" w:sz="4" w:space="0" w:color="auto"/>
              <w:right w:val="single" w:sz="4" w:space="0" w:color="auto"/>
            </w:tcBorders>
            <w:noWrap/>
            <w:vAlign w:val="bottom"/>
            <w:hideMark/>
          </w:tcPr>
          <w:p w14:paraId="6E36425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404.60</w:t>
            </w:r>
          </w:p>
        </w:tc>
        <w:tc>
          <w:tcPr>
            <w:tcW w:w="943" w:type="dxa"/>
            <w:tcBorders>
              <w:top w:val="nil"/>
              <w:left w:val="nil"/>
              <w:bottom w:val="single" w:sz="4" w:space="0" w:color="auto"/>
              <w:right w:val="single" w:sz="4" w:space="0" w:color="auto"/>
            </w:tcBorders>
            <w:noWrap/>
            <w:vAlign w:val="bottom"/>
            <w:hideMark/>
          </w:tcPr>
          <w:p w14:paraId="329C9E6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430.41</w:t>
            </w:r>
          </w:p>
        </w:tc>
      </w:tr>
      <w:tr w:rsidR="00851218" w:rsidRPr="00851218" w14:paraId="3D456736" w14:textId="77777777" w:rsidTr="00A31EC4">
        <w:trPr>
          <w:trHeight w:val="300"/>
        </w:trPr>
        <w:tc>
          <w:tcPr>
            <w:tcW w:w="0" w:type="auto"/>
            <w:tcBorders>
              <w:top w:val="nil"/>
              <w:left w:val="nil"/>
              <w:bottom w:val="nil"/>
              <w:right w:val="nil"/>
            </w:tcBorders>
            <w:noWrap/>
            <w:vAlign w:val="bottom"/>
            <w:hideMark/>
          </w:tcPr>
          <w:p w14:paraId="4D097195"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p>
        </w:tc>
        <w:tc>
          <w:tcPr>
            <w:tcW w:w="1833" w:type="dxa"/>
            <w:tcBorders>
              <w:top w:val="nil"/>
              <w:left w:val="nil"/>
              <w:bottom w:val="nil"/>
              <w:right w:val="nil"/>
            </w:tcBorders>
            <w:noWrap/>
            <w:vAlign w:val="bottom"/>
            <w:hideMark/>
          </w:tcPr>
          <w:p w14:paraId="7E572CBA"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93" w:type="dxa"/>
            <w:tcBorders>
              <w:top w:val="nil"/>
              <w:left w:val="nil"/>
              <w:bottom w:val="nil"/>
              <w:right w:val="nil"/>
            </w:tcBorders>
            <w:noWrap/>
            <w:vAlign w:val="bottom"/>
            <w:hideMark/>
          </w:tcPr>
          <w:p w14:paraId="715BE656"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850" w:type="dxa"/>
            <w:tcBorders>
              <w:top w:val="nil"/>
              <w:left w:val="nil"/>
              <w:bottom w:val="nil"/>
              <w:right w:val="nil"/>
            </w:tcBorders>
            <w:noWrap/>
            <w:vAlign w:val="bottom"/>
            <w:hideMark/>
          </w:tcPr>
          <w:p w14:paraId="6DA05A5D"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92" w:type="dxa"/>
            <w:tcBorders>
              <w:top w:val="nil"/>
              <w:left w:val="nil"/>
              <w:bottom w:val="nil"/>
              <w:right w:val="nil"/>
            </w:tcBorders>
            <w:noWrap/>
            <w:vAlign w:val="bottom"/>
            <w:hideMark/>
          </w:tcPr>
          <w:p w14:paraId="3BB79BFE"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43" w:type="dxa"/>
            <w:tcBorders>
              <w:top w:val="nil"/>
              <w:left w:val="nil"/>
              <w:bottom w:val="nil"/>
              <w:right w:val="nil"/>
            </w:tcBorders>
            <w:noWrap/>
            <w:vAlign w:val="bottom"/>
            <w:hideMark/>
          </w:tcPr>
          <w:p w14:paraId="0DE84302"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43" w:type="dxa"/>
            <w:tcBorders>
              <w:top w:val="nil"/>
              <w:left w:val="nil"/>
              <w:bottom w:val="nil"/>
              <w:right w:val="nil"/>
            </w:tcBorders>
            <w:noWrap/>
            <w:vAlign w:val="bottom"/>
            <w:hideMark/>
          </w:tcPr>
          <w:p w14:paraId="225F4E23" w14:textId="77777777" w:rsidR="00851218" w:rsidRPr="00851218" w:rsidRDefault="00851218" w:rsidP="00851218">
            <w:pPr>
              <w:spacing w:after="0" w:line="240" w:lineRule="auto"/>
              <w:jc w:val="left"/>
              <w:rPr>
                <w:rFonts w:eastAsia="Times New Roman" w:cs="Times New Roman"/>
                <w:sz w:val="20"/>
                <w:szCs w:val="20"/>
                <w:lang w:eastAsia="en-GB"/>
              </w:rPr>
            </w:pPr>
          </w:p>
        </w:tc>
      </w:tr>
      <w:tr w:rsidR="00851218" w:rsidRPr="00851218" w14:paraId="59CB238A" w14:textId="77777777" w:rsidTr="00A31EC4">
        <w:trPr>
          <w:trHeight w:val="315"/>
        </w:trPr>
        <w:tc>
          <w:tcPr>
            <w:tcW w:w="0" w:type="auto"/>
            <w:tcBorders>
              <w:top w:val="nil"/>
              <w:left w:val="nil"/>
              <w:bottom w:val="nil"/>
              <w:right w:val="nil"/>
            </w:tcBorders>
            <w:noWrap/>
            <w:vAlign w:val="bottom"/>
            <w:hideMark/>
          </w:tcPr>
          <w:p w14:paraId="2A955BEF"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1833" w:type="dxa"/>
            <w:tcBorders>
              <w:top w:val="nil"/>
              <w:left w:val="nil"/>
              <w:bottom w:val="nil"/>
              <w:right w:val="nil"/>
            </w:tcBorders>
            <w:noWrap/>
            <w:vAlign w:val="bottom"/>
            <w:hideMark/>
          </w:tcPr>
          <w:p w14:paraId="3EF4A715"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93" w:type="dxa"/>
            <w:tcBorders>
              <w:top w:val="nil"/>
              <w:left w:val="single" w:sz="8" w:space="0" w:color="E5E5E5"/>
              <w:bottom w:val="single" w:sz="8" w:space="0" w:color="E5E5E5"/>
              <w:right w:val="nil"/>
            </w:tcBorders>
            <w:vAlign w:val="center"/>
            <w:hideMark/>
          </w:tcPr>
          <w:p w14:paraId="4ABAA081"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850" w:type="dxa"/>
            <w:tcBorders>
              <w:top w:val="nil"/>
              <w:left w:val="single" w:sz="8" w:space="0" w:color="E5E5E5"/>
              <w:bottom w:val="single" w:sz="8" w:space="0" w:color="E5E5E5"/>
              <w:right w:val="nil"/>
            </w:tcBorders>
            <w:vAlign w:val="center"/>
            <w:hideMark/>
          </w:tcPr>
          <w:p w14:paraId="74AC4077"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992" w:type="dxa"/>
            <w:tcBorders>
              <w:top w:val="nil"/>
              <w:left w:val="single" w:sz="8" w:space="0" w:color="E5E5E5"/>
              <w:bottom w:val="single" w:sz="8" w:space="0" w:color="E5E5E5"/>
              <w:right w:val="nil"/>
            </w:tcBorders>
            <w:vAlign w:val="center"/>
            <w:hideMark/>
          </w:tcPr>
          <w:p w14:paraId="0F31F9A3"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943" w:type="dxa"/>
            <w:tcBorders>
              <w:top w:val="nil"/>
              <w:left w:val="single" w:sz="8" w:space="0" w:color="E5E5E5"/>
              <w:bottom w:val="single" w:sz="8" w:space="0" w:color="E5E5E5"/>
              <w:right w:val="nil"/>
            </w:tcBorders>
            <w:vAlign w:val="center"/>
            <w:hideMark/>
          </w:tcPr>
          <w:p w14:paraId="0B42A4FB"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943" w:type="dxa"/>
            <w:tcBorders>
              <w:top w:val="nil"/>
              <w:left w:val="single" w:sz="8" w:space="0" w:color="E5E5E5"/>
              <w:bottom w:val="single" w:sz="8" w:space="0" w:color="E5E5E5"/>
              <w:right w:val="nil"/>
            </w:tcBorders>
            <w:vAlign w:val="center"/>
            <w:hideMark/>
          </w:tcPr>
          <w:p w14:paraId="16BFDE98"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r>
      <w:tr w:rsidR="00851218" w:rsidRPr="00851218" w14:paraId="540CA0B0" w14:textId="77777777" w:rsidTr="00A31EC4">
        <w:trPr>
          <w:trHeight w:val="315"/>
        </w:trPr>
        <w:tc>
          <w:tcPr>
            <w:tcW w:w="0" w:type="auto"/>
            <w:tcBorders>
              <w:top w:val="nil"/>
              <w:left w:val="nil"/>
              <w:bottom w:val="nil"/>
              <w:right w:val="nil"/>
            </w:tcBorders>
            <w:noWrap/>
            <w:vAlign w:val="bottom"/>
            <w:hideMark/>
          </w:tcPr>
          <w:p w14:paraId="611F596B"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p>
        </w:tc>
        <w:tc>
          <w:tcPr>
            <w:tcW w:w="1833" w:type="dxa"/>
            <w:tcBorders>
              <w:top w:val="nil"/>
              <w:left w:val="nil"/>
              <w:bottom w:val="nil"/>
              <w:right w:val="nil"/>
            </w:tcBorders>
            <w:noWrap/>
            <w:vAlign w:val="bottom"/>
            <w:hideMark/>
          </w:tcPr>
          <w:p w14:paraId="0AB65A7B"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93" w:type="dxa"/>
            <w:tcBorders>
              <w:top w:val="nil"/>
              <w:left w:val="single" w:sz="8" w:space="0" w:color="E5E5E5"/>
              <w:bottom w:val="single" w:sz="8" w:space="0" w:color="E5E5E5"/>
              <w:right w:val="nil"/>
            </w:tcBorders>
            <w:vAlign w:val="center"/>
            <w:hideMark/>
          </w:tcPr>
          <w:p w14:paraId="10B9D6C9"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850" w:type="dxa"/>
            <w:tcBorders>
              <w:top w:val="nil"/>
              <w:left w:val="single" w:sz="8" w:space="0" w:color="E5E5E5"/>
              <w:bottom w:val="single" w:sz="8" w:space="0" w:color="E5E5E5"/>
              <w:right w:val="nil"/>
            </w:tcBorders>
            <w:vAlign w:val="center"/>
            <w:hideMark/>
          </w:tcPr>
          <w:p w14:paraId="4471960A"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992" w:type="dxa"/>
            <w:tcBorders>
              <w:top w:val="nil"/>
              <w:left w:val="single" w:sz="8" w:space="0" w:color="E5E5E5"/>
              <w:bottom w:val="single" w:sz="8" w:space="0" w:color="E5E5E5"/>
              <w:right w:val="nil"/>
            </w:tcBorders>
            <w:vAlign w:val="center"/>
            <w:hideMark/>
          </w:tcPr>
          <w:p w14:paraId="5495E03D"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943" w:type="dxa"/>
            <w:tcBorders>
              <w:top w:val="nil"/>
              <w:left w:val="single" w:sz="8" w:space="0" w:color="E5E5E5"/>
              <w:bottom w:val="single" w:sz="8" w:space="0" w:color="E5E5E5"/>
              <w:right w:val="nil"/>
            </w:tcBorders>
            <w:vAlign w:val="center"/>
            <w:hideMark/>
          </w:tcPr>
          <w:p w14:paraId="14C85F80"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c>
          <w:tcPr>
            <w:tcW w:w="943" w:type="dxa"/>
            <w:tcBorders>
              <w:top w:val="nil"/>
              <w:left w:val="single" w:sz="8" w:space="0" w:color="E5E5E5"/>
              <w:bottom w:val="single" w:sz="8" w:space="0" w:color="E5E5E5"/>
              <w:right w:val="nil"/>
            </w:tcBorders>
            <w:vAlign w:val="center"/>
            <w:hideMark/>
          </w:tcPr>
          <w:p w14:paraId="66047515"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r w:rsidRPr="00851218">
              <w:rPr>
                <w:rFonts w:ascii="Arial" w:eastAsia="Times New Roman" w:hAnsi="Arial" w:cs="Arial"/>
                <w:color w:val="000000"/>
                <w:sz w:val="16"/>
                <w:szCs w:val="16"/>
                <w:lang w:eastAsia="en-GB"/>
              </w:rPr>
              <w:t> </w:t>
            </w:r>
          </w:p>
        </w:tc>
      </w:tr>
      <w:tr w:rsidR="00851218" w:rsidRPr="00851218" w14:paraId="5DDD4F7A" w14:textId="77777777" w:rsidTr="00A31EC4">
        <w:trPr>
          <w:trHeight w:val="300"/>
        </w:trPr>
        <w:tc>
          <w:tcPr>
            <w:tcW w:w="0" w:type="auto"/>
            <w:tcBorders>
              <w:top w:val="nil"/>
              <w:left w:val="nil"/>
              <w:bottom w:val="nil"/>
              <w:right w:val="nil"/>
            </w:tcBorders>
            <w:noWrap/>
            <w:vAlign w:val="bottom"/>
            <w:hideMark/>
          </w:tcPr>
          <w:p w14:paraId="037D55A9" w14:textId="77777777" w:rsidR="00851218" w:rsidRPr="00851218" w:rsidRDefault="00851218" w:rsidP="00851218">
            <w:pPr>
              <w:spacing w:after="0" w:line="240" w:lineRule="auto"/>
              <w:jc w:val="right"/>
              <w:rPr>
                <w:rFonts w:ascii="Arial" w:eastAsia="Times New Roman" w:hAnsi="Arial" w:cs="Arial"/>
                <w:color w:val="000000"/>
                <w:sz w:val="16"/>
                <w:szCs w:val="16"/>
                <w:lang w:eastAsia="en-GB"/>
              </w:rPr>
            </w:pPr>
          </w:p>
        </w:tc>
        <w:tc>
          <w:tcPr>
            <w:tcW w:w="1833" w:type="dxa"/>
            <w:tcBorders>
              <w:top w:val="nil"/>
              <w:left w:val="nil"/>
              <w:bottom w:val="nil"/>
              <w:right w:val="nil"/>
            </w:tcBorders>
            <w:noWrap/>
            <w:vAlign w:val="bottom"/>
            <w:hideMark/>
          </w:tcPr>
          <w:p w14:paraId="7A4BE013"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93" w:type="dxa"/>
            <w:tcBorders>
              <w:top w:val="nil"/>
              <w:left w:val="nil"/>
              <w:bottom w:val="nil"/>
              <w:right w:val="nil"/>
            </w:tcBorders>
            <w:noWrap/>
            <w:vAlign w:val="bottom"/>
            <w:hideMark/>
          </w:tcPr>
          <w:p w14:paraId="4BE03522"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850" w:type="dxa"/>
            <w:tcBorders>
              <w:top w:val="nil"/>
              <w:left w:val="nil"/>
              <w:bottom w:val="nil"/>
              <w:right w:val="nil"/>
            </w:tcBorders>
            <w:noWrap/>
            <w:vAlign w:val="bottom"/>
            <w:hideMark/>
          </w:tcPr>
          <w:p w14:paraId="7363397B"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92" w:type="dxa"/>
            <w:tcBorders>
              <w:top w:val="nil"/>
              <w:left w:val="nil"/>
              <w:bottom w:val="nil"/>
              <w:right w:val="nil"/>
            </w:tcBorders>
            <w:noWrap/>
            <w:vAlign w:val="bottom"/>
            <w:hideMark/>
          </w:tcPr>
          <w:p w14:paraId="40A1259C"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43" w:type="dxa"/>
            <w:tcBorders>
              <w:top w:val="nil"/>
              <w:left w:val="nil"/>
              <w:bottom w:val="nil"/>
              <w:right w:val="nil"/>
            </w:tcBorders>
            <w:noWrap/>
            <w:vAlign w:val="bottom"/>
            <w:hideMark/>
          </w:tcPr>
          <w:p w14:paraId="012CAA51" w14:textId="77777777" w:rsidR="00851218" w:rsidRPr="00851218" w:rsidRDefault="00851218" w:rsidP="00851218">
            <w:pPr>
              <w:spacing w:after="0" w:line="240" w:lineRule="auto"/>
              <w:jc w:val="left"/>
              <w:rPr>
                <w:rFonts w:eastAsia="Times New Roman" w:cs="Times New Roman"/>
                <w:sz w:val="20"/>
                <w:szCs w:val="20"/>
                <w:lang w:eastAsia="en-GB"/>
              </w:rPr>
            </w:pPr>
          </w:p>
        </w:tc>
        <w:tc>
          <w:tcPr>
            <w:tcW w:w="943" w:type="dxa"/>
            <w:tcBorders>
              <w:top w:val="nil"/>
              <w:left w:val="nil"/>
              <w:bottom w:val="nil"/>
              <w:right w:val="nil"/>
            </w:tcBorders>
            <w:noWrap/>
            <w:vAlign w:val="bottom"/>
            <w:hideMark/>
          </w:tcPr>
          <w:p w14:paraId="298E9455" w14:textId="77777777" w:rsidR="00851218" w:rsidRPr="00851218" w:rsidRDefault="00851218" w:rsidP="00851218">
            <w:pPr>
              <w:spacing w:after="0" w:line="240" w:lineRule="auto"/>
              <w:jc w:val="left"/>
              <w:rPr>
                <w:rFonts w:eastAsia="Times New Roman" w:cs="Times New Roman"/>
                <w:sz w:val="20"/>
                <w:szCs w:val="20"/>
                <w:lang w:eastAsia="en-GB"/>
              </w:rPr>
            </w:pPr>
          </w:p>
        </w:tc>
      </w:tr>
      <w:tr w:rsidR="00851218" w:rsidRPr="00851218" w14:paraId="4AB6FBD4" w14:textId="77777777" w:rsidTr="00A31EC4">
        <w:trPr>
          <w:trHeight w:val="300"/>
        </w:trPr>
        <w:tc>
          <w:tcPr>
            <w:tcW w:w="0" w:type="auto"/>
            <w:tcBorders>
              <w:top w:val="single" w:sz="4" w:space="0" w:color="auto"/>
              <w:left w:val="single" w:sz="4" w:space="0" w:color="auto"/>
              <w:bottom w:val="single" w:sz="4" w:space="0" w:color="auto"/>
              <w:right w:val="single" w:sz="4" w:space="0" w:color="auto"/>
            </w:tcBorders>
            <w:noWrap/>
            <w:vAlign w:val="bottom"/>
            <w:hideMark/>
          </w:tcPr>
          <w:p w14:paraId="0E3EF56B"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Ratios</w:t>
            </w:r>
          </w:p>
        </w:tc>
        <w:tc>
          <w:tcPr>
            <w:tcW w:w="1833" w:type="dxa"/>
            <w:tcBorders>
              <w:top w:val="single" w:sz="4" w:space="0" w:color="auto"/>
              <w:left w:val="nil"/>
              <w:bottom w:val="single" w:sz="4" w:space="0" w:color="auto"/>
              <w:right w:val="single" w:sz="4" w:space="0" w:color="auto"/>
            </w:tcBorders>
            <w:noWrap/>
            <w:vAlign w:val="bottom"/>
            <w:hideMark/>
          </w:tcPr>
          <w:p w14:paraId="2059CFD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single" w:sz="4" w:space="0" w:color="auto"/>
              <w:left w:val="nil"/>
              <w:bottom w:val="single" w:sz="4" w:space="0" w:color="auto"/>
              <w:right w:val="single" w:sz="4" w:space="0" w:color="auto"/>
            </w:tcBorders>
            <w:noWrap/>
            <w:vAlign w:val="bottom"/>
            <w:hideMark/>
          </w:tcPr>
          <w:p w14:paraId="3087D110"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2021</w:t>
            </w:r>
          </w:p>
        </w:tc>
        <w:tc>
          <w:tcPr>
            <w:tcW w:w="850" w:type="dxa"/>
            <w:tcBorders>
              <w:top w:val="single" w:sz="4" w:space="0" w:color="auto"/>
              <w:left w:val="nil"/>
              <w:bottom w:val="single" w:sz="4" w:space="0" w:color="auto"/>
              <w:right w:val="single" w:sz="4" w:space="0" w:color="auto"/>
            </w:tcBorders>
            <w:noWrap/>
            <w:vAlign w:val="bottom"/>
            <w:hideMark/>
          </w:tcPr>
          <w:p w14:paraId="656C17BF"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2022</w:t>
            </w:r>
          </w:p>
        </w:tc>
        <w:tc>
          <w:tcPr>
            <w:tcW w:w="992" w:type="dxa"/>
            <w:tcBorders>
              <w:top w:val="single" w:sz="4" w:space="0" w:color="auto"/>
              <w:left w:val="nil"/>
              <w:bottom w:val="single" w:sz="4" w:space="0" w:color="auto"/>
              <w:right w:val="single" w:sz="4" w:space="0" w:color="auto"/>
            </w:tcBorders>
            <w:noWrap/>
            <w:vAlign w:val="bottom"/>
            <w:hideMark/>
          </w:tcPr>
          <w:p w14:paraId="7ED7D86B"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2023</w:t>
            </w:r>
          </w:p>
        </w:tc>
        <w:tc>
          <w:tcPr>
            <w:tcW w:w="943" w:type="dxa"/>
            <w:tcBorders>
              <w:top w:val="single" w:sz="4" w:space="0" w:color="auto"/>
              <w:left w:val="nil"/>
              <w:bottom w:val="single" w:sz="4" w:space="0" w:color="auto"/>
              <w:right w:val="single" w:sz="4" w:space="0" w:color="auto"/>
            </w:tcBorders>
            <w:noWrap/>
            <w:vAlign w:val="bottom"/>
            <w:hideMark/>
          </w:tcPr>
          <w:p w14:paraId="39967F80"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2024</w:t>
            </w:r>
          </w:p>
        </w:tc>
        <w:tc>
          <w:tcPr>
            <w:tcW w:w="943" w:type="dxa"/>
            <w:tcBorders>
              <w:top w:val="single" w:sz="4" w:space="0" w:color="auto"/>
              <w:left w:val="nil"/>
              <w:bottom w:val="single" w:sz="4" w:space="0" w:color="auto"/>
              <w:right w:val="single" w:sz="4" w:space="0" w:color="auto"/>
            </w:tcBorders>
            <w:noWrap/>
            <w:vAlign w:val="bottom"/>
            <w:hideMark/>
          </w:tcPr>
          <w:p w14:paraId="5DA62A70" w14:textId="77777777" w:rsidR="00851218" w:rsidRPr="00851218" w:rsidRDefault="00851218" w:rsidP="00851218">
            <w:pPr>
              <w:spacing w:after="0" w:line="240" w:lineRule="auto"/>
              <w:jc w:val="righ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2025</w:t>
            </w:r>
          </w:p>
        </w:tc>
      </w:tr>
      <w:tr w:rsidR="00851218" w:rsidRPr="00851218" w14:paraId="20AC9074"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68E7D87E"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Profitability</w:t>
            </w:r>
          </w:p>
        </w:tc>
        <w:tc>
          <w:tcPr>
            <w:tcW w:w="1833" w:type="dxa"/>
            <w:tcBorders>
              <w:top w:val="nil"/>
              <w:left w:val="nil"/>
              <w:bottom w:val="single" w:sz="4" w:space="0" w:color="auto"/>
              <w:right w:val="single" w:sz="4" w:space="0" w:color="auto"/>
            </w:tcBorders>
            <w:noWrap/>
            <w:vAlign w:val="bottom"/>
            <w:hideMark/>
          </w:tcPr>
          <w:p w14:paraId="216949D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5F43994C"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3F5CD5AC"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677DF1E3"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65B5797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7E01A890"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4EE03F34"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172E7A9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Operating Margin</w:t>
            </w:r>
          </w:p>
        </w:tc>
        <w:tc>
          <w:tcPr>
            <w:tcW w:w="1833" w:type="dxa"/>
            <w:tcBorders>
              <w:top w:val="nil"/>
              <w:left w:val="nil"/>
              <w:bottom w:val="single" w:sz="4" w:space="0" w:color="auto"/>
              <w:right w:val="single" w:sz="4" w:space="0" w:color="auto"/>
            </w:tcBorders>
            <w:noWrap/>
            <w:vAlign w:val="bottom"/>
            <w:hideMark/>
          </w:tcPr>
          <w:p w14:paraId="6D220BD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Operating Profit/Revenue</w:t>
            </w:r>
          </w:p>
        </w:tc>
        <w:tc>
          <w:tcPr>
            <w:tcW w:w="993" w:type="dxa"/>
            <w:tcBorders>
              <w:top w:val="nil"/>
              <w:left w:val="nil"/>
              <w:bottom w:val="single" w:sz="4" w:space="0" w:color="auto"/>
              <w:right w:val="single" w:sz="4" w:space="0" w:color="auto"/>
            </w:tcBorders>
            <w:noWrap/>
            <w:vAlign w:val="bottom"/>
            <w:hideMark/>
          </w:tcPr>
          <w:p w14:paraId="4E2DCD5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0.12</w:t>
            </w:r>
          </w:p>
        </w:tc>
        <w:tc>
          <w:tcPr>
            <w:tcW w:w="850" w:type="dxa"/>
            <w:tcBorders>
              <w:top w:val="nil"/>
              <w:left w:val="nil"/>
              <w:bottom w:val="single" w:sz="4" w:space="0" w:color="auto"/>
              <w:right w:val="single" w:sz="4" w:space="0" w:color="auto"/>
            </w:tcBorders>
            <w:noWrap/>
            <w:vAlign w:val="bottom"/>
            <w:hideMark/>
          </w:tcPr>
          <w:p w14:paraId="4E2A608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0.17</w:t>
            </w:r>
          </w:p>
        </w:tc>
        <w:tc>
          <w:tcPr>
            <w:tcW w:w="992" w:type="dxa"/>
            <w:tcBorders>
              <w:top w:val="nil"/>
              <w:left w:val="nil"/>
              <w:bottom w:val="single" w:sz="4" w:space="0" w:color="auto"/>
              <w:right w:val="single" w:sz="4" w:space="0" w:color="auto"/>
            </w:tcBorders>
            <w:noWrap/>
            <w:vAlign w:val="bottom"/>
            <w:hideMark/>
          </w:tcPr>
          <w:p w14:paraId="4AC645E1"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0.09</w:t>
            </w:r>
          </w:p>
        </w:tc>
        <w:tc>
          <w:tcPr>
            <w:tcW w:w="943" w:type="dxa"/>
            <w:tcBorders>
              <w:top w:val="nil"/>
              <w:left w:val="nil"/>
              <w:bottom w:val="single" w:sz="4" w:space="0" w:color="auto"/>
              <w:right w:val="single" w:sz="4" w:space="0" w:color="auto"/>
            </w:tcBorders>
            <w:noWrap/>
            <w:vAlign w:val="bottom"/>
            <w:hideMark/>
          </w:tcPr>
          <w:p w14:paraId="3373A7F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0.08</w:t>
            </w:r>
          </w:p>
        </w:tc>
        <w:tc>
          <w:tcPr>
            <w:tcW w:w="943" w:type="dxa"/>
            <w:tcBorders>
              <w:top w:val="nil"/>
              <w:left w:val="nil"/>
              <w:bottom w:val="single" w:sz="4" w:space="0" w:color="auto"/>
              <w:right w:val="single" w:sz="4" w:space="0" w:color="auto"/>
            </w:tcBorders>
            <w:noWrap/>
            <w:vAlign w:val="bottom"/>
            <w:hideMark/>
          </w:tcPr>
          <w:p w14:paraId="76FFD01F"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0.05</w:t>
            </w:r>
          </w:p>
        </w:tc>
      </w:tr>
      <w:tr w:rsidR="00851218" w:rsidRPr="00851218" w14:paraId="5448594E"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BE5972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Net Margin</w:t>
            </w:r>
          </w:p>
        </w:tc>
        <w:tc>
          <w:tcPr>
            <w:tcW w:w="1833" w:type="dxa"/>
            <w:tcBorders>
              <w:top w:val="nil"/>
              <w:left w:val="nil"/>
              <w:bottom w:val="single" w:sz="4" w:space="0" w:color="auto"/>
              <w:right w:val="single" w:sz="4" w:space="0" w:color="auto"/>
            </w:tcBorders>
            <w:noWrap/>
            <w:vAlign w:val="bottom"/>
            <w:hideMark/>
          </w:tcPr>
          <w:p w14:paraId="01E507F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Net Profit/Revenue</w:t>
            </w:r>
          </w:p>
        </w:tc>
        <w:tc>
          <w:tcPr>
            <w:tcW w:w="993" w:type="dxa"/>
            <w:tcBorders>
              <w:top w:val="nil"/>
              <w:left w:val="nil"/>
              <w:bottom w:val="single" w:sz="4" w:space="0" w:color="auto"/>
              <w:right w:val="single" w:sz="4" w:space="0" w:color="auto"/>
            </w:tcBorders>
            <w:noWrap/>
            <w:vAlign w:val="bottom"/>
            <w:hideMark/>
          </w:tcPr>
          <w:p w14:paraId="4A6F632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0.10</w:t>
            </w:r>
          </w:p>
        </w:tc>
        <w:tc>
          <w:tcPr>
            <w:tcW w:w="850" w:type="dxa"/>
            <w:tcBorders>
              <w:top w:val="nil"/>
              <w:left w:val="nil"/>
              <w:bottom w:val="single" w:sz="4" w:space="0" w:color="auto"/>
              <w:right w:val="single" w:sz="4" w:space="0" w:color="auto"/>
            </w:tcBorders>
            <w:noWrap/>
            <w:vAlign w:val="bottom"/>
            <w:hideMark/>
          </w:tcPr>
          <w:p w14:paraId="2E3C840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0.15</w:t>
            </w:r>
          </w:p>
        </w:tc>
        <w:tc>
          <w:tcPr>
            <w:tcW w:w="992" w:type="dxa"/>
            <w:tcBorders>
              <w:top w:val="nil"/>
              <w:left w:val="nil"/>
              <w:bottom w:val="single" w:sz="4" w:space="0" w:color="auto"/>
              <w:right w:val="single" w:sz="4" w:space="0" w:color="auto"/>
            </w:tcBorders>
            <w:noWrap/>
            <w:vAlign w:val="bottom"/>
            <w:hideMark/>
          </w:tcPr>
          <w:p w14:paraId="62A1C061"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0.15</w:t>
            </w:r>
          </w:p>
        </w:tc>
        <w:tc>
          <w:tcPr>
            <w:tcW w:w="943" w:type="dxa"/>
            <w:tcBorders>
              <w:top w:val="nil"/>
              <w:left w:val="nil"/>
              <w:bottom w:val="single" w:sz="4" w:space="0" w:color="auto"/>
              <w:right w:val="single" w:sz="4" w:space="0" w:color="auto"/>
            </w:tcBorders>
            <w:noWrap/>
            <w:vAlign w:val="bottom"/>
            <w:hideMark/>
          </w:tcPr>
          <w:p w14:paraId="725E4026"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0.07</w:t>
            </w:r>
          </w:p>
        </w:tc>
        <w:tc>
          <w:tcPr>
            <w:tcW w:w="943" w:type="dxa"/>
            <w:tcBorders>
              <w:top w:val="nil"/>
              <w:left w:val="nil"/>
              <w:bottom w:val="single" w:sz="4" w:space="0" w:color="auto"/>
              <w:right w:val="single" w:sz="4" w:space="0" w:color="auto"/>
            </w:tcBorders>
            <w:noWrap/>
            <w:vAlign w:val="bottom"/>
            <w:hideMark/>
          </w:tcPr>
          <w:p w14:paraId="24CFD5C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0.04</w:t>
            </w:r>
          </w:p>
        </w:tc>
      </w:tr>
      <w:tr w:rsidR="00851218" w:rsidRPr="00851218" w14:paraId="235E9EED"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7696D96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ROE</w:t>
            </w:r>
          </w:p>
        </w:tc>
        <w:tc>
          <w:tcPr>
            <w:tcW w:w="1833" w:type="dxa"/>
            <w:tcBorders>
              <w:top w:val="nil"/>
              <w:left w:val="nil"/>
              <w:bottom w:val="single" w:sz="4" w:space="0" w:color="auto"/>
              <w:right w:val="single" w:sz="4" w:space="0" w:color="auto"/>
            </w:tcBorders>
            <w:noWrap/>
            <w:vAlign w:val="bottom"/>
            <w:hideMark/>
          </w:tcPr>
          <w:p w14:paraId="141F3CF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Net Profit/Total Equity</w:t>
            </w:r>
          </w:p>
        </w:tc>
        <w:tc>
          <w:tcPr>
            <w:tcW w:w="993" w:type="dxa"/>
            <w:tcBorders>
              <w:top w:val="nil"/>
              <w:left w:val="nil"/>
              <w:bottom w:val="single" w:sz="4" w:space="0" w:color="auto"/>
              <w:right w:val="single" w:sz="4" w:space="0" w:color="auto"/>
            </w:tcBorders>
            <w:noWrap/>
            <w:vAlign w:val="bottom"/>
            <w:hideMark/>
          </w:tcPr>
          <w:p w14:paraId="0D7326B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0.17</w:t>
            </w:r>
          </w:p>
        </w:tc>
        <w:tc>
          <w:tcPr>
            <w:tcW w:w="850" w:type="dxa"/>
            <w:tcBorders>
              <w:top w:val="nil"/>
              <w:left w:val="nil"/>
              <w:bottom w:val="single" w:sz="4" w:space="0" w:color="auto"/>
              <w:right w:val="single" w:sz="4" w:space="0" w:color="auto"/>
            </w:tcBorders>
            <w:noWrap/>
            <w:vAlign w:val="bottom"/>
            <w:hideMark/>
          </w:tcPr>
          <w:p w14:paraId="15A07FB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0.27</w:t>
            </w:r>
          </w:p>
        </w:tc>
        <w:tc>
          <w:tcPr>
            <w:tcW w:w="992" w:type="dxa"/>
            <w:tcBorders>
              <w:top w:val="nil"/>
              <w:left w:val="nil"/>
              <w:bottom w:val="single" w:sz="4" w:space="0" w:color="auto"/>
              <w:right w:val="single" w:sz="4" w:space="0" w:color="auto"/>
            </w:tcBorders>
            <w:noWrap/>
            <w:vAlign w:val="bottom"/>
            <w:hideMark/>
          </w:tcPr>
          <w:p w14:paraId="49513FEA"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0.24</w:t>
            </w:r>
          </w:p>
        </w:tc>
        <w:tc>
          <w:tcPr>
            <w:tcW w:w="943" w:type="dxa"/>
            <w:tcBorders>
              <w:top w:val="nil"/>
              <w:left w:val="nil"/>
              <w:bottom w:val="single" w:sz="4" w:space="0" w:color="auto"/>
              <w:right w:val="single" w:sz="4" w:space="0" w:color="auto"/>
            </w:tcBorders>
            <w:noWrap/>
            <w:vAlign w:val="bottom"/>
            <w:hideMark/>
          </w:tcPr>
          <w:p w14:paraId="4D0DCE1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0.10</w:t>
            </w:r>
          </w:p>
        </w:tc>
        <w:tc>
          <w:tcPr>
            <w:tcW w:w="943" w:type="dxa"/>
            <w:tcBorders>
              <w:top w:val="nil"/>
              <w:left w:val="nil"/>
              <w:bottom w:val="single" w:sz="4" w:space="0" w:color="auto"/>
              <w:right w:val="single" w:sz="4" w:space="0" w:color="auto"/>
            </w:tcBorders>
            <w:noWrap/>
            <w:vAlign w:val="bottom"/>
            <w:hideMark/>
          </w:tcPr>
          <w:p w14:paraId="25A76F1E"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0.05</w:t>
            </w:r>
          </w:p>
        </w:tc>
      </w:tr>
      <w:tr w:rsidR="00851218" w:rsidRPr="00851218" w14:paraId="6EF1813B"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003B973"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Liquidity</w:t>
            </w:r>
          </w:p>
        </w:tc>
        <w:tc>
          <w:tcPr>
            <w:tcW w:w="1833" w:type="dxa"/>
            <w:tcBorders>
              <w:top w:val="nil"/>
              <w:left w:val="nil"/>
              <w:bottom w:val="single" w:sz="4" w:space="0" w:color="auto"/>
              <w:right w:val="single" w:sz="4" w:space="0" w:color="auto"/>
            </w:tcBorders>
            <w:noWrap/>
            <w:vAlign w:val="bottom"/>
            <w:hideMark/>
          </w:tcPr>
          <w:p w14:paraId="29EE31F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31FFAB9F"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3867C0B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7F59661D"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23AF5415"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183972B0"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17B986B8"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1F7B696"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Current Ratio</w:t>
            </w:r>
          </w:p>
        </w:tc>
        <w:tc>
          <w:tcPr>
            <w:tcW w:w="1833" w:type="dxa"/>
            <w:tcBorders>
              <w:top w:val="nil"/>
              <w:left w:val="nil"/>
              <w:bottom w:val="single" w:sz="4" w:space="0" w:color="auto"/>
              <w:right w:val="single" w:sz="4" w:space="0" w:color="auto"/>
            </w:tcBorders>
            <w:noWrap/>
            <w:vAlign w:val="bottom"/>
            <w:hideMark/>
          </w:tcPr>
          <w:p w14:paraId="57245F9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Current Assets/Current Liabilities</w:t>
            </w:r>
          </w:p>
        </w:tc>
        <w:tc>
          <w:tcPr>
            <w:tcW w:w="993" w:type="dxa"/>
            <w:tcBorders>
              <w:top w:val="nil"/>
              <w:left w:val="nil"/>
              <w:bottom w:val="single" w:sz="4" w:space="0" w:color="auto"/>
              <w:right w:val="single" w:sz="4" w:space="0" w:color="auto"/>
            </w:tcBorders>
            <w:noWrap/>
            <w:vAlign w:val="bottom"/>
            <w:hideMark/>
          </w:tcPr>
          <w:p w14:paraId="297458E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1.38</w:t>
            </w:r>
          </w:p>
        </w:tc>
        <w:tc>
          <w:tcPr>
            <w:tcW w:w="850" w:type="dxa"/>
            <w:tcBorders>
              <w:top w:val="nil"/>
              <w:left w:val="nil"/>
              <w:bottom w:val="single" w:sz="4" w:space="0" w:color="auto"/>
              <w:right w:val="single" w:sz="4" w:space="0" w:color="auto"/>
            </w:tcBorders>
            <w:noWrap/>
            <w:vAlign w:val="bottom"/>
            <w:hideMark/>
          </w:tcPr>
          <w:p w14:paraId="6F82A9F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1.53</w:t>
            </w:r>
          </w:p>
        </w:tc>
        <w:tc>
          <w:tcPr>
            <w:tcW w:w="992" w:type="dxa"/>
            <w:tcBorders>
              <w:top w:val="nil"/>
              <w:left w:val="nil"/>
              <w:bottom w:val="single" w:sz="4" w:space="0" w:color="auto"/>
              <w:right w:val="single" w:sz="4" w:space="0" w:color="auto"/>
            </w:tcBorders>
            <w:noWrap/>
            <w:vAlign w:val="bottom"/>
            <w:hideMark/>
          </w:tcPr>
          <w:p w14:paraId="02BE8C9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1.73</w:t>
            </w:r>
          </w:p>
        </w:tc>
        <w:tc>
          <w:tcPr>
            <w:tcW w:w="943" w:type="dxa"/>
            <w:tcBorders>
              <w:top w:val="nil"/>
              <w:left w:val="nil"/>
              <w:bottom w:val="single" w:sz="4" w:space="0" w:color="auto"/>
              <w:right w:val="single" w:sz="4" w:space="0" w:color="auto"/>
            </w:tcBorders>
            <w:noWrap/>
            <w:vAlign w:val="bottom"/>
            <w:hideMark/>
          </w:tcPr>
          <w:p w14:paraId="632386FE"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2.02</w:t>
            </w:r>
          </w:p>
        </w:tc>
        <w:tc>
          <w:tcPr>
            <w:tcW w:w="943" w:type="dxa"/>
            <w:tcBorders>
              <w:top w:val="nil"/>
              <w:left w:val="nil"/>
              <w:bottom w:val="single" w:sz="4" w:space="0" w:color="auto"/>
              <w:right w:val="single" w:sz="4" w:space="0" w:color="auto"/>
            </w:tcBorders>
            <w:noWrap/>
            <w:vAlign w:val="bottom"/>
            <w:hideMark/>
          </w:tcPr>
          <w:p w14:paraId="64FEA2D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2.16</w:t>
            </w:r>
          </w:p>
        </w:tc>
      </w:tr>
      <w:tr w:rsidR="00851218" w:rsidRPr="00851218" w14:paraId="6A3408CB"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372034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Quick Ratio</w:t>
            </w:r>
          </w:p>
        </w:tc>
        <w:tc>
          <w:tcPr>
            <w:tcW w:w="1833" w:type="dxa"/>
            <w:tcBorders>
              <w:top w:val="nil"/>
              <w:left w:val="nil"/>
              <w:bottom w:val="single" w:sz="4" w:space="0" w:color="auto"/>
              <w:right w:val="single" w:sz="4" w:space="0" w:color="auto"/>
            </w:tcBorders>
            <w:noWrap/>
            <w:vAlign w:val="bottom"/>
            <w:hideMark/>
          </w:tcPr>
          <w:p w14:paraId="07F5A59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(Current Assets - Inventory)/Current Liabilities</w:t>
            </w:r>
          </w:p>
        </w:tc>
        <w:tc>
          <w:tcPr>
            <w:tcW w:w="993" w:type="dxa"/>
            <w:tcBorders>
              <w:top w:val="nil"/>
              <w:left w:val="nil"/>
              <w:bottom w:val="single" w:sz="4" w:space="0" w:color="auto"/>
              <w:right w:val="single" w:sz="4" w:space="0" w:color="auto"/>
            </w:tcBorders>
            <w:noWrap/>
            <w:vAlign w:val="bottom"/>
            <w:hideMark/>
          </w:tcPr>
          <w:p w14:paraId="75DEA56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1.08</w:t>
            </w:r>
          </w:p>
        </w:tc>
        <w:tc>
          <w:tcPr>
            <w:tcW w:w="850" w:type="dxa"/>
            <w:tcBorders>
              <w:top w:val="nil"/>
              <w:left w:val="nil"/>
              <w:bottom w:val="single" w:sz="4" w:space="0" w:color="auto"/>
              <w:right w:val="single" w:sz="4" w:space="0" w:color="auto"/>
            </w:tcBorders>
            <w:noWrap/>
            <w:vAlign w:val="bottom"/>
            <w:hideMark/>
          </w:tcPr>
          <w:p w14:paraId="797BB9C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1.05</w:t>
            </w:r>
          </w:p>
        </w:tc>
        <w:tc>
          <w:tcPr>
            <w:tcW w:w="992" w:type="dxa"/>
            <w:tcBorders>
              <w:top w:val="nil"/>
              <w:left w:val="nil"/>
              <w:bottom w:val="single" w:sz="4" w:space="0" w:color="auto"/>
              <w:right w:val="single" w:sz="4" w:space="0" w:color="auto"/>
            </w:tcBorders>
            <w:noWrap/>
            <w:vAlign w:val="bottom"/>
            <w:hideMark/>
          </w:tcPr>
          <w:p w14:paraId="1A92057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1.25</w:t>
            </w:r>
          </w:p>
        </w:tc>
        <w:tc>
          <w:tcPr>
            <w:tcW w:w="943" w:type="dxa"/>
            <w:tcBorders>
              <w:top w:val="nil"/>
              <w:left w:val="nil"/>
              <w:bottom w:val="single" w:sz="4" w:space="0" w:color="auto"/>
              <w:right w:val="single" w:sz="4" w:space="0" w:color="auto"/>
            </w:tcBorders>
            <w:noWrap/>
            <w:vAlign w:val="bottom"/>
            <w:hideMark/>
          </w:tcPr>
          <w:p w14:paraId="6EE7A24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1.61</w:t>
            </w:r>
          </w:p>
        </w:tc>
        <w:tc>
          <w:tcPr>
            <w:tcW w:w="943" w:type="dxa"/>
            <w:tcBorders>
              <w:top w:val="nil"/>
              <w:left w:val="nil"/>
              <w:bottom w:val="single" w:sz="4" w:space="0" w:color="auto"/>
              <w:right w:val="single" w:sz="4" w:space="0" w:color="auto"/>
            </w:tcBorders>
            <w:noWrap/>
            <w:vAlign w:val="bottom"/>
            <w:hideMark/>
          </w:tcPr>
          <w:p w14:paraId="4749830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1.77</w:t>
            </w:r>
          </w:p>
        </w:tc>
      </w:tr>
      <w:tr w:rsidR="00851218" w:rsidRPr="00851218" w14:paraId="634591A2"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69423381"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Efficiency</w:t>
            </w:r>
          </w:p>
        </w:tc>
        <w:tc>
          <w:tcPr>
            <w:tcW w:w="1833" w:type="dxa"/>
            <w:tcBorders>
              <w:top w:val="nil"/>
              <w:left w:val="nil"/>
              <w:bottom w:val="single" w:sz="4" w:space="0" w:color="auto"/>
              <w:right w:val="single" w:sz="4" w:space="0" w:color="auto"/>
            </w:tcBorders>
            <w:noWrap/>
            <w:vAlign w:val="bottom"/>
            <w:hideMark/>
          </w:tcPr>
          <w:p w14:paraId="2BBEBAF3"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4F16C30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37440F8D"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4915564F"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529CF67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6AA8A81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07AAF450"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7EF0E9C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Asset Turnover</w:t>
            </w:r>
          </w:p>
        </w:tc>
        <w:tc>
          <w:tcPr>
            <w:tcW w:w="1833" w:type="dxa"/>
            <w:tcBorders>
              <w:top w:val="nil"/>
              <w:left w:val="nil"/>
              <w:bottom w:val="single" w:sz="4" w:space="0" w:color="auto"/>
              <w:right w:val="single" w:sz="4" w:space="0" w:color="auto"/>
            </w:tcBorders>
            <w:noWrap/>
            <w:vAlign w:val="bottom"/>
            <w:hideMark/>
          </w:tcPr>
          <w:p w14:paraId="7B45C07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Revenue/Total Assets</w:t>
            </w:r>
          </w:p>
        </w:tc>
        <w:tc>
          <w:tcPr>
            <w:tcW w:w="993" w:type="dxa"/>
            <w:tcBorders>
              <w:top w:val="nil"/>
              <w:left w:val="nil"/>
              <w:bottom w:val="single" w:sz="4" w:space="0" w:color="auto"/>
              <w:right w:val="single" w:sz="4" w:space="0" w:color="auto"/>
            </w:tcBorders>
            <w:noWrap/>
            <w:vAlign w:val="bottom"/>
            <w:hideMark/>
          </w:tcPr>
          <w:p w14:paraId="3DF5D6EC"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0.87</w:t>
            </w:r>
          </w:p>
        </w:tc>
        <w:tc>
          <w:tcPr>
            <w:tcW w:w="850" w:type="dxa"/>
            <w:tcBorders>
              <w:top w:val="nil"/>
              <w:left w:val="nil"/>
              <w:bottom w:val="single" w:sz="4" w:space="0" w:color="auto"/>
              <w:right w:val="single" w:sz="4" w:space="0" w:color="auto"/>
            </w:tcBorders>
            <w:noWrap/>
            <w:vAlign w:val="bottom"/>
            <w:hideMark/>
          </w:tcPr>
          <w:p w14:paraId="1B42E40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0.99</w:t>
            </w:r>
          </w:p>
        </w:tc>
        <w:tc>
          <w:tcPr>
            <w:tcW w:w="992" w:type="dxa"/>
            <w:tcBorders>
              <w:top w:val="nil"/>
              <w:left w:val="nil"/>
              <w:bottom w:val="single" w:sz="4" w:space="0" w:color="auto"/>
              <w:right w:val="single" w:sz="4" w:space="0" w:color="auto"/>
            </w:tcBorders>
            <w:noWrap/>
            <w:vAlign w:val="bottom"/>
            <w:hideMark/>
          </w:tcPr>
          <w:p w14:paraId="70333855"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0.91</w:t>
            </w:r>
          </w:p>
        </w:tc>
        <w:tc>
          <w:tcPr>
            <w:tcW w:w="943" w:type="dxa"/>
            <w:tcBorders>
              <w:top w:val="nil"/>
              <w:left w:val="nil"/>
              <w:bottom w:val="single" w:sz="4" w:space="0" w:color="auto"/>
              <w:right w:val="single" w:sz="4" w:space="0" w:color="auto"/>
            </w:tcBorders>
            <w:noWrap/>
            <w:vAlign w:val="bottom"/>
            <w:hideMark/>
          </w:tcPr>
          <w:p w14:paraId="780519E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0.80</w:t>
            </w:r>
          </w:p>
        </w:tc>
        <w:tc>
          <w:tcPr>
            <w:tcW w:w="943" w:type="dxa"/>
            <w:tcBorders>
              <w:top w:val="nil"/>
              <w:left w:val="nil"/>
              <w:bottom w:val="single" w:sz="4" w:space="0" w:color="auto"/>
              <w:right w:val="single" w:sz="4" w:space="0" w:color="auto"/>
            </w:tcBorders>
            <w:noWrap/>
            <w:vAlign w:val="bottom"/>
            <w:hideMark/>
          </w:tcPr>
          <w:p w14:paraId="76BE901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0.69</w:t>
            </w:r>
          </w:p>
        </w:tc>
      </w:tr>
      <w:tr w:rsidR="00851218" w:rsidRPr="00851218" w14:paraId="45527F0A"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46B63D3"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Leverage</w:t>
            </w:r>
          </w:p>
        </w:tc>
        <w:tc>
          <w:tcPr>
            <w:tcW w:w="1833" w:type="dxa"/>
            <w:tcBorders>
              <w:top w:val="nil"/>
              <w:left w:val="nil"/>
              <w:bottom w:val="single" w:sz="4" w:space="0" w:color="auto"/>
              <w:right w:val="single" w:sz="4" w:space="0" w:color="auto"/>
            </w:tcBorders>
            <w:noWrap/>
            <w:vAlign w:val="bottom"/>
            <w:hideMark/>
          </w:tcPr>
          <w:p w14:paraId="66E1696C"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709630E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4CDF9BA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396378A3"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3817E1AD"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0739893C"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557D3CDE"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8E07DF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Debt-to-Equity</w:t>
            </w:r>
          </w:p>
        </w:tc>
        <w:tc>
          <w:tcPr>
            <w:tcW w:w="1833" w:type="dxa"/>
            <w:tcBorders>
              <w:top w:val="nil"/>
              <w:left w:val="nil"/>
              <w:bottom w:val="single" w:sz="4" w:space="0" w:color="auto"/>
              <w:right w:val="single" w:sz="4" w:space="0" w:color="auto"/>
            </w:tcBorders>
            <w:noWrap/>
            <w:vAlign w:val="bottom"/>
            <w:hideMark/>
          </w:tcPr>
          <w:p w14:paraId="274D7D0B"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Total Debt/Total Equity</w:t>
            </w:r>
          </w:p>
        </w:tc>
        <w:tc>
          <w:tcPr>
            <w:tcW w:w="993" w:type="dxa"/>
            <w:tcBorders>
              <w:top w:val="nil"/>
              <w:left w:val="nil"/>
              <w:bottom w:val="single" w:sz="4" w:space="0" w:color="auto"/>
              <w:right w:val="single" w:sz="4" w:space="0" w:color="auto"/>
            </w:tcBorders>
            <w:noWrap/>
            <w:vAlign w:val="bottom"/>
            <w:hideMark/>
          </w:tcPr>
          <w:p w14:paraId="62C2E2B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0.28</w:t>
            </w:r>
          </w:p>
        </w:tc>
        <w:tc>
          <w:tcPr>
            <w:tcW w:w="850" w:type="dxa"/>
            <w:tcBorders>
              <w:top w:val="nil"/>
              <w:left w:val="nil"/>
              <w:bottom w:val="single" w:sz="4" w:space="0" w:color="auto"/>
              <w:right w:val="single" w:sz="4" w:space="0" w:color="auto"/>
            </w:tcBorders>
            <w:noWrap/>
            <w:vAlign w:val="bottom"/>
            <w:hideMark/>
          </w:tcPr>
          <w:p w14:paraId="697F760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0.13</w:t>
            </w:r>
          </w:p>
        </w:tc>
        <w:tc>
          <w:tcPr>
            <w:tcW w:w="992" w:type="dxa"/>
            <w:tcBorders>
              <w:top w:val="nil"/>
              <w:left w:val="nil"/>
              <w:bottom w:val="single" w:sz="4" w:space="0" w:color="auto"/>
              <w:right w:val="single" w:sz="4" w:space="0" w:color="auto"/>
            </w:tcBorders>
            <w:noWrap/>
            <w:vAlign w:val="bottom"/>
            <w:hideMark/>
          </w:tcPr>
          <w:p w14:paraId="59DF6FD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0.15</w:t>
            </w:r>
          </w:p>
        </w:tc>
        <w:tc>
          <w:tcPr>
            <w:tcW w:w="943" w:type="dxa"/>
            <w:tcBorders>
              <w:top w:val="nil"/>
              <w:left w:val="nil"/>
              <w:bottom w:val="single" w:sz="4" w:space="0" w:color="auto"/>
              <w:right w:val="single" w:sz="4" w:space="0" w:color="auto"/>
            </w:tcBorders>
            <w:noWrap/>
            <w:vAlign w:val="bottom"/>
            <w:hideMark/>
          </w:tcPr>
          <w:p w14:paraId="6BD3472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0.18</w:t>
            </w:r>
          </w:p>
        </w:tc>
        <w:tc>
          <w:tcPr>
            <w:tcW w:w="943" w:type="dxa"/>
            <w:tcBorders>
              <w:top w:val="nil"/>
              <w:left w:val="nil"/>
              <w:bottom w:val="single" w:sz="4" w:space="0" w:color="auto"/>
              <w:right w:val="single" w:sz="4" w:space="0" w:color="auto"/>
            </w:tcBorders>
            <w:noWrap/>
            <w:vAlign w:val="bottom"/>
            <w:hideMark/>
          </w:tcPr>
          <w:p w14:paraId="235D832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0.18</w:t>
            </w:r>
          </w:p>
        </w:tc>
      </w:tr>
      <w:tr w:rsidR="00851218" w:rsidRPr="00851218" w14:paraId="1C57F396"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094F85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Interest Coverage</w:t>
            </w:r>
          </w:p>
        </w:tc>
        <w:tc>
          <w:tcPr>
            <w:tcW w:w="1833" w:type="dxa"/>
            <w:tcBorders>
              <w:top w:val="nil"/>
              <w:left w:val="nil"/>
              <w:bottom w:val="single" w:sz="4" w:space="0" w:color="auto"/>
              <w:right w:val="single" w:sz="4" w:space="0" w:color="auto"/>
            </w:tcBorders>
            <w:noWrap/>
            <w:vAlign w:val="bottom"/>
            <w:hideMark/>
          </w:tcPr>
          <w:p w14:paraId="2E08572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EBIT/Interest Expense</w:t>
            </w:r>
          </w:p>
        </w:tc>
        <w:tc>
          <w:tcPr>
            <w:tcW w:w="993" w:type="dxa"/>
            <w:tcBorders>
              <w:top w:val="nil"/>
              <w:left w:val="nil"/>
              <w:bottom w:val="single" w:sz="4" w:space="0" w:color="auto"/>
              <w:right w:val="single" w:sz="4" w:space="0" w:color="auto"/>
            </w:tcBorders>
            <w:noWrap/>
            <w:vAlign w:val="bottom"/>
            <w:hideMark/>
          </w:tcPr>
          <w:p w14:paraId="110477C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17.51</w:t>
            </w:r>
          </w:p>
        </w:tc>
        <w:tc>
          <w:tcPr>
            <w:tcW w:w="850" w:type="dxa"/>
            <w:tcBorders>
              <w:top w:val="nil"/>
              <w:left w:val="nil"/>
              <w:bottom w:val="single" w:sz="4" w:space="0" w:color="auto"/>
              <w:right w:val="single" w:sz="4" w:space="0" w:color="auto"/>
            </w:tcBorders>
            <w:noWrap/>
            <w:vAlign w:val="bottom"/>
            <w:hideMark/>
          </w:tcPr>
          <w:p w14:paraId="73746D8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72.42</w:t>
            </w:r>
          </w:p>
        </w:tc>
        <w:tc>
          <w:tcPr>
            <w:tcW w:w="992" w:type="dxa"/>
            <w:tcBorders>
              <w:top w:val="nil"/>
              <w:left w:val="nil"/>
              <w:bottom w:val="single" w:sz="4" w:space="0" w:color="auto"/>
              <w:right w:val="single" w:sz="4" w:space="0" w:color="auto"/>
            </w:tcBorders>
            <w:noWrap/>
            <w:vAlign w:val="bottom"/>
            <w:hideMark/>
          </w:tcPr>
          <w:p w14:paraId="549BAD0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56.99</w:t>
            </w:r>
          </w:p>
        </w:tc>
        <w:tc>
          <w:tcPr>
            <w:tcW w:w="943" w:type="dxa"/>
            <w:tcBorders>
              <w:top w:val="nil"/>
              <w:left w:val="nil"/>
              <w:bottom w:val="single" w:sz="4" w:space="0" w:color="auto"/>
              <w:right w:val="single" w:sz="4" w:space="0" w:color="auto"/>
            </w:tcBorders>
            <w:noWrap/>
            <w:vAlign w:val="bottom"/>
            <w:hideMark/>
          </w:tcPr>
          <w:p w14:paraId="7349306B"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22.17</w:t>
            </w:r>
          </w:p>
        </w:tc>
        <w:tc>
          <w:tcPr>
            <w:tcW w:w="943" w:type="dxa"/>
            <w:tcBorders>
              <w:top w:val="nil"/>
              <w:left w:val="nil"/>
              <w:bottom w:val="single" w:sz="4" w:space="0" w:color="auto"/>
              <w:right w:val="single" w:sz="4" w:space="0" w:color="auto"/>
            </w:tcBorders>
            <w:noWrap/>
            <w:vAlign w:val="bottom"/>
            <w:hideMark/>
          </w:tcPr>
          <w:p w14:paraId="59D35B0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14.35</w:t>
            </w:r>
          </w:p>
        </w:tc>
      </w:tr>
      <w:tr w:rsidR="00851218" w:rsidRPr="00851218" w14:paraId="252995D2"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75288560"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Investor / Market Ratio</w:t>
            </w:r>
          </w:p>
        </w:tc>
        <w:tc>
          <w:tcPr>
            <w:tcW w:w="1833" w:type="dxa"/>
            <w:tcBorders>
              <w:top w:val="nil"/>
              <w:left w:val="nil"/>
              <w:bottom w:val="single" w:sz="4" w:space="0" w:color="auto"/>
              <w:right w:val="single" w:sz="4" w:space="0" w:color="auto"/>
            </w:tcBorders>
            <w:noWrap/>
            <w:vAlign w:val="bottom"/>
            <w:hideMark/>
          </w:tcPr>
          <w:p w14:paraId="2E91A37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243811B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160CC0B9"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024A3CDF"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750DEB4F"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32092DA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10C1861C"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4765629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Earnings Per Share (EPS)</w:t>
            </w:r>
          </w:p>
        </w:tc>
        <w:tc>
          <w:tcPr>
            <w:tcW w:w="1833" w:type="dxa"/>
            <w:tcBorders>
              <w:top w:val="nil"/>
              <w:left w:val="nil"/>
              <w:bottom w:val="single" w:sz="4" w:space="0" w:color="auto"/>
              <w:right w:val="single" w:sz="4" w:space="0" w:color="auto"/>
            </w:tcBorders>
            <w:noWrap/>
            <w:vAlign w:val="bottom"/>
            <w:hideMark/>
          </w:tcPr>
          <w:p w14:paraId="1783473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2250E4F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1.63</w:t>
            </w:r>
          </w:p>
        </w:tc>
        <w:tc>
          <w:tcPr>
            <w:tcW w:w="850" w:type="dxa"/>
            <w:tcBorders>
              <w:top w:val="nil"/>
              <w:left w:val="nil"/>
              <w:bottom w:val="single" w:sz="4" w:space="0" w:color="auto"/>
              <w:right w:val="single" w:sz="4" w:space="0" w:color="auto"/>
            </w:tcBorders>
            <w:noWrap/>
            <w:vAlign w:val="bottom"/>
            <w:hideMark/>
          </w:tcPr>
          <w:p w14:paraId="146C067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3.62</w:t>
            </w:r>
          </w:p>
        </w:tc>
        <w:tc>
          <w:tcPr>
            <w:tcW w:w="992" w:type="dxa"/>
            <w:tcBorders>
              <w:top w:val="nil"/>
              <w:left w:val="nil"/>
              <w:bottom w:val="single" w:sz="4" w:space="0" w:color="auto"/>
              <w:right w:val="single" w:sz="4" w:space="0" w:color="auto"/>
            </w:tcBorders>
            <w:noWrap/>
            <w:vAlign w:val="bottom"/>
            <w:hideMark/>
          </w:tcPr>
          <w:p w14:paraId="0F3FA718"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4.30</w:t>
            </w:r>
          </w:p>
        </w:tc>
        <w:tc>
          <w:tcPr>
            <w:tcW w:w="943" w:type="dxa"/>
            <w:tcBorders>
              <w:top w:val="nil"/>
              <w:left w:val="nil"/>
              <w:bottom w:val="single" w:sz="4" w:space="0" w:color="auto"/>
              <w:right w:val="single" w:sz="4" w:space="0" w:color="auto"/>
            </w:tcBorders>
            <w:noWrap/>
            <w:vAlign w:val="bottom"/>
            <w:hideMark/>
          </w:tcPr>
          <w:p w14:paraId="17FA043C"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2.04</w:t>
            </w:r>
          </w:p>
        </w:tc>
        <w:tc>
          <w:tcPr>
            <w:tcW w:w="943" w:type="dxa"/>
            <w:tcBorders>
              <w:top w:val="nil"/>
              <w:left w:val="nil"/>
              <w:bottom w:val="single" w:sz="4" w:space="0" w:color="auto"/>
              <w:right w:val="single" w:sz="4" w:space="0" w:color="auto"/>
            </w:tcBorders>
            <w:noWrap/>
            <w:vAlign w:val="bottom"/>
            <w:hideMark/>
          </w:tcPr>
          <w:p w14:paraId="6D813455"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1.08</w:t>
            </w:r>
          </w:p>
        </w:tc>
      </w:tr>
      <w:tr w:rsidR="00851218" w:rsidRPr="00851218" w14:paraId="0633BD77"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6B42A2EE"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Price-to-Earnings Ratio (P/E)</w:t>
            </w:r>
          </w:p>
        </w:tc>
        <w:tc>
          <w:tcPr>
            <w:tcW w:w="1833" w:type="dxa"/>
            <w:tcBorders>
              <w:top w:val="nil"/>
              <w:left w:val="nil"/>
              <w:bottom w:val="single" w:sz="4" w:space="0" w:color="auto"/>
              <w:right w:val="single" w:sz="4" w:space="0" w:color="auto"/>
            </w:tcBorders>
            <w:noWrap/>
            <w:vAlign w:val="bottom"/>
            <w:hideMark/>
          </w:tcPr>
          <w:p w14:paraId="76717E9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Share Price/EPS</w:t>
            </w:r>
          </w:p>
        </w:tc>
        <w:tc>
          <w:tcPr>
            <w:tcW w:w="993" w:type="dxa"/>
            <w:tcBorders>
              <w:top w:val="nil"/>
              <w:left w:val="nil"/>
              <w:bottom w:val="single" w:sz="4" w:space="0" w:color="auto"/>
              <w:right w:val="single" w:sz="4" w:space="0" w:color="auto"/>
            </w:tcBorders>
            <w:noWrap/>
            <w:vAlign w:val="bottom"/>
            <w:hideMark/>
          </w:tcPr>
          <w:p w14:paraId="7B126A0D"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191.56</w:t>
            </w:r>
          </w:p>
        </w:tc>
        <w:tc>
          <w:tcPr>
            <w:tcW w:w="850" w:type="dxa"/>
            <w:tcBorders>
              <w:top w:val="nil"/>
              <w:left w:val="nil"/>
              <w:bottom w:val="single" w:sz="4" w:space="0" w:color="auto"/>
              <w:right w:val="single" w:sz="4" w:space="0" w:color="auto"/>
            </w:tcBorders>
            <w:noWrap/>
            <w:vAlign w:val="bottom"/>
            <w:hideMark/>
          </w:tcPr>
          <w:p w14:paraId="0C7B770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47.85</w:t>
            </w:r>
          </w:p>
        </w:tc>
        <w:tc>
          <w:tcPr>
            <w:tcW w:w="992" w:type="dxa"/>
            <w:tcBorders>
              <w:top w:val="nil"/>
              <w:left w:val="nil"/>
              <w:bottom w:val="single" w:sz="4" w:space="0" w:color="auto"/>
              <w:right w:val="single" w:sz="4" w:space="0" w:color="auto"/>
            </w:tcBorders>
            <w:noWrap/>
            <w:vAlign w:val="bottom"/>
            <w:hideMark/>
          </w:tcPr>
          <w:p w14:paraId="7791F638"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43.56</w:t>
            </w:r>
          </w:p>
        </w:tc>
        <w:tc>
          <w:tcPr>
            <w:tcW w:w="943" w:type="dxa"/>
            <w:tcBorders>
              <w:top w:val="nil"/>
              <w:left w:val="nil"/>
              <w:bottom w:val="single" w:sz="4" w:space="0" w:color="auto"/>
              <w:right w:val="single" w:sz="4" w:space="0" w:color="auto"/>
            </w:tcBorders>
            <w:noWrap/>
            <w:vAlign w:val="bottom"/>
            <w:hideMark/>
          </w:tcPr>
          <w:p w14:paraId="359FC8C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198.33</w:t>
            </w:r>
          </w:p>
        </w:tc>
        <w:tc>
          <w:tcPr>
            <w:tcW w:w="943" w:type="dxa"/>
            <w:tcBorders>
              <w:top w:val="nil"/>
              <w:left w:val="nil"/>
              <w:bottom w:val="single" w:sz="4" w:space="0" w:color="auto"/>
              <w:right w:val="single" w:sz="4" w:space="0" w:color="auto"/>
            </w:tcBorders>
            <w:noWrap/>
            <w:vAlign w:val="bottom"/>
            <w:hideMark/>
          </w:tcPr>
          <w:p w14:paraId="4DE5DBF2"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398.53</w:t>
            </w:r>
          </w:p>
        </w:tc>
      </w:tr>
      <w:tr w:rsidR="00851218" w:rsidRPr="00851218" w14:paraId="15526EB9"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09F83CF3" w14:textId="77777777" w:rsidR="00851218" w:rsidRPr="00851218" w:rsidRDefault="00851218" w:rsidP="00851218">
            <w:pPr>
              <w:spacing w:after="0" w:line="240" w:lineRule="auto"/>
              <w:jc w:val="left"/>
              <w:rPr>
                <w:rFonts w:ascii="Aptos Narrow" w:eastAsia="Times New Roman" w:hAnsi="Aptos Narrow" w:cs="Times New Roman"/>
                <w:b/>
                <w:bCs/>
                <w:color w:val="000000"/>
                <w:sz w:val="22"/>
                <w:lang w:eastAsia="en-GB"/>
              </w:rPr>
            </w:pPr>
            <w:r w:rsidRPr="00851218">
              <w:rPr>
                <w:rFonts w:ascii="Aptos Narrow" w:eastAsia="Times New Roman" w:hAnsi="Aptos Narrow" w:cs="Times New Roman"/>
                <w:b/>
                <w:bCs/>
                <w:color w:val="000000"/>
                <w:sz w:val="22"/>
                <w:lang w:eastAsia="en-GB"/>
              </w:rPr>
              <w:t>Cash flow Ratio</w:t>
            </w:r>
          </w:p>
        </w:tc>
        <w:tc>
          <w:tcPr>
            <w:tcW w:w="1833" w:type="dxa"/>
            <w:tcBorders>
              <w:top w:val="nil"/>
              <w:left w:val="nil"/>
              <w:bottom w:val="single" w:sz="4" w:space="0" w:color="auto"/>
              <w:right w:val="single" w:sz="4" w:space="0" w:color="auto"/>
            </w:tcBorders>
            <w:noWrap/>
            <w:vAlign w:val="bottom"/>
            <w:hideMark/>
          </w:tcPr>
          <w:p w14:paraId="1346EB08"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3" w:type="dxa"/>
            <w:tcBorders>
              <w:top w:val="nil"/>
              <w:left w:val="nil"/>
              <w:bottom w:val="single" w:sz="4" w:space="0" w:color="auto"/>
              <w:right w:val="single" w:sz="4" w:space="0" w:color="auto"/>
            </w:tcBorders>
            <w:noWrap/>
            <w:vAlign w:val="bottom"/>
            <w:hideMark/>
          </w:tcPr>
          <w:p w14:paraId="22B3409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850" w:type="dxa"/>
            <w:tcBorders>
              <w:top w:val="nil"/>
              <w:left w:val="nil"/>
              <w:bottom w:val="single" w:sz="4" w:space="0" w:color="auto"/>
              <w:right w:val="single" w:sz="4" w:space="0" w:color="auto"/>
            </w:tcBorders>
            <w:noWrap/>
            <w:vAlign w:val="bottom"/>
            <w:hideMark/>
          </w:tcPr>
          <w:p w14:paraId="51C19A8D"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92" w:type="dxa"/>
            <w:tcBorders>
              <w:top w:val="nil"/>
              <w:left w:val="nil"/>
              <w:bottom w:val="single" w:sz="4" w:space="0" w:color="auto"/>
              <w:right w:val="single" w:sz="4" w:space="0" w:color="auto"/>
            </w:tcBorders>
            <w:noWrap/>
            <w:vAlign w:val="bottom"/>
            <w:hideMark/>
          </w:tcPr>
          <w:p w14:paraId="0B52E7D2"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0694198A"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c>
          <w:tcPr>
            <w:tcW w:w="943" w:type="dxa"/>
            <w:tcBorders>
              <w:top w:val="nil"/>
              <w:left w:val="nil"/>
              <w:bottom w:val="single" w:sz="4" w:space="0" w:color="auto"/>
              <w:right w:val="single" w:sz="4" w:space="0" w:color="auto"/>
            </w:tcBorders>
            <w:noWrap/>
            <w:vAlign w:val="bottom"/>
            <w:hideMark/>
          </w:tcPr>
          <w:p w14:paraId="7AA48A16"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 </w:t>
            </w:r>
          </w:p>
        </w:tc>
      </w:tr>
      <w:tr w:rsidR="00851218" w:rsidRPr="00851218" w14:paraId="702E4E30"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166E6515"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Cash Flow Margin</w:t>
            </w:r>
          </w:p>
        </w:tc>
        <w:tc>
          <w:tcPr>
            <w:tcW w:w="1833" w:type="dxa"/>
            <w:tcBorders>
              <w:top w:val="nil"/>
              <w:left w:val="nil"/>
              <w:bottom w:val="single" w:sz="4" w:space="0" w:color="auto"/>
              <w:right w:val="single" w:sz="4" w:space="0" w:color="auto"/>
            </w:tcBorders>
            <w:noWrap/>
            <w:vAlign w:val="bottom"/>
            <w:hideMark/>
          </w:tcPr>
          <w:p w14:paraId="2428A11C"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Operating Cash Flow/Revenue</w:t>
            </w:r>
          </w:p>
        </w:tc>
        <w:tc>
          <w:tcPr>
            <w:tcW w:w="993" w:type="dxa"/>
            <w:tcBorders>
              <w:top w:val="nil"/>
              <w:left w:val="nil"/>
              <w:bottom w:val="single" w:sz="4" w:space="0" w:color="auto"/>
              <w:right w:val="single" w:sz="4" w:space="0" w:color="auto"/>
            </w:tcBorders>
            <w:noWrap/>
            <w:vAlign w:val="bottom"/>
            <w:hideMark/>
          </w:tcPr>
          <w:p w14:paraId="45B977C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0.21</w:t>
            </w:r>
          </w:p>
        </w:tc>
        <w:tc>
          <w:tcPr>
            <w:tcW w:w="850" w:type="dxa"/>
            <w:tcBorders>
              <w:top w:val="nil"/>
              <w:left w:val="nil"/>
              <w:bottom w:val="single" w:sz="4" w:space="0" w:color="auto"/>
              <w:right w:val="single" w:sz="4" w:space="0" w:color="auto"/>
            </w:tcBorders>
            <w:noWrap/>
            <w:vAlign w:val="bottom"/>
            <w:hideMark/>
          </w:tcPr>
          <w:p w14:paraId="7734E781"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0.18</w:t>
            </w:r>
          </w:p>
        </w:tc>
        <w:tc>
          <w:tcPr>
            <w:tcW w:w="992" w:type="dxa"/>
            <w:tcBorders>
              <w:top w:val="nil"/>
              <w:left w:val="nil"/>
              <w:bottom w:val="single" w:sz="4" w:space="0" w:color="auto"/>
              <w:right w:val="single" w:sz="4" w:space="0" w:color="auto"/>
            </w:tcBorders>
            <w:noWrap/>
            <w:vAlign w:val="bottom"/>
            <w:hideMark/>
          </w:tcPr>
          <w:p w14:paraId="43A23460"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0.14</w:t>
            </w:r>
          </w:p>
        </w:tc>
        <w:tc>
          <w:tcPr>
            <w:tcW w:w="943" w:type="dxa"/>
            <w:tcBorders>
              <w:top w:val="nil"/>
              <w:left w:val="nil"/>
              <w:bottom w:val="single" w:sz="4" w:space="0" w:color="auto"/>
              <w:right w:val="single" w:sz="4" w:space="0" w:color="auto"/>
            </w:tcBorders>
            <w:noWrap/>
            <w:vAlign w:val="bottom"/>
            <w:hideMark/>
          </w:tcPr>
          <w:p w14:paraId="40C03219"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0.15</w:t>
            </w:r>
          </w:p>
        </w:tc>
        <w:tc>
          <w:tcPr>
            <w:tcW w:w="943" w:type="dxa"/>
            <w:tcBorders>
              <w:top w:val="nil"/>
              <w:left w:val="nil"/>
              <w:bottom w:val="single" w:sz="4" w:space="0" w:color="auto"/>
              <w:right w:val="single" w:sz="4" w:space="0" w:color="auto"/>
            </w:tcBorders>
            <w:noWrap/>
            <w:vAlign w:val="bottom"/>
            <w:hideMark/>
          </w:tcPr>
          <w:p w14:paraId="284EC027"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0.16</w:t>
            </w:r>
          </w:p>
        </w:tc>
      </w:tr>
      <w:tr w:rsidR="00851218" w:rsidRPr="00851218" w14:paraId="0EAF1453" w14:textId="77777777" w:rsidTr="00A31EC4">
        <w:trPr>
          <w:trHeight w:val="300"/>
        </w:trPr>
        <w:tc>
          <w:tcPr>
            <w:tcW w:w="0" w:type="auto"/>
            <w:tcBorders>
              <w:top w:val="nil"/>
              <w:left w:val="single" w:sz="4" w:space="0" w:color="auto"/>
              <w:bottom w:val="single" w:sz="4" w:space="0" w:color="auto"/>
              <w:right w:val="single" w:sz="4" w:space="0" w:color="auto"/>
            </w:tcBorders>
            <w:noWrap/>
            <w:vAlign w:val="bottom"/>
            <w:hideMark/>
          </w:tcPr>
          <w:p w14:paraId="3B7A8637"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Cash Conversion Efficiency</w:t>
            </w:r>
          </w:p>
        </w:tc>
        <w:tc>
          <w:tcPr>
            <w:tcW w:w="1833" w:type="dxa"/>
            <w:tcBorders>
              <w:top w:val="nil"/>
              <w:left w:val="nil"/>
              <w:bottom w:val="single" w:sz="4" w:space="0" w:color="auto"/>
              <w:right w:val="single" w:sz="4" w:space="0" w:color="auto"/>
            </w:tcBorders>
            <w:noWrap/>
            <w:vAlign w:val="bottom"/>
            <w:hideMark/>
          </w:tcPr>
          <w:p w14:paraId="667BD2B5" w14:textId="77777777" w:rsidR="00851218" w:rsidRPr="00851218" w:rsidRDefault="00851218" w:rsidP="00851218">
            <w:pPr>
              <w:spacing w:after="0" w:line="240" w:lineRule="auto"/>
              <w:jc w:val="lef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Operating Cash Flow/Operating Profit</w:t>
            </w:r>
          </w:p>
        </w:tc>
        <w:tc>
          <w:tcPr>
            <w:tcW w:w="993" w:type="dxa"/>
            <w:tcBorders>
              <w:top w:val="nil"/>
              <w:left w:val="nil"/>
              <w:bottom w:val="single" w:sz="4" w:space="0" w:color="auto"/>
              <w:right w:val="single" w:sz="4" w:space="0" w:color="auto"/>
            </w:tcBorders>
            <w:noWrap/>
            <w:vAlign w:val="bottom"/>
            <w:hideMark/>
          </w:tcPr>
          <w:p w14:paraId="374F44B8"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1.77</w:t>
            </w:r>
          </w:p>
        </w:tc>
        <w:tc>
          <w:tcPr>
            <w:tcW w:w="850" w:type="dxa"/>
            <w:tcBorders>
              <w:top w:val="nil"/>
              <w:left w:val="nil"/>
              <w:bottom w:val="single" w:sz="4" w:space="0" w:color="auto"/>
              <w:right w:val="single" w:sz="4" w:space="0" w:color="auto"/>
            </w:tcBorders>
            <w:noWrap/>
            <w:vAlign w:val="bottom"/>
            <w:hideMark/>
          </w:tcPr>
          <w:p w14:paraId="770C0DF3"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1.06</w:t>
            </w:r>
          </w:p>
        </w:tc>
        <w:tc>
          <w:tcPr>
            <w:tcW w:w="992" w:type="dxa"/>
            <w:tcBorders>
              <w:top w:val="nil"/>
              <w:left w:val="nil"/>
              <w:bottom w:val="single" w:sz="4" w:space="0" w:color="auto"/>
              <w:right w:val="single" w:sz="4" w:space="0" w:color="auto"/>
            </w:tcBorders>
            <w:noWrap/>
            <w:vAlign w:val="bottom"/>
            <w:hideMark/>
          </w:tcPr>
          <w:p w14:paraId="24800B9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1.49</w:t>
            </w:r>
          </w:p>
        </w:tc>
        <w:tc>
          <w:tcPr>
            <w:tcW w:w="943" w:type="dxa"/>
            <w:tcBorders>
              <w:top w:val="nil"/>
              <w:left w:val="nil"/>
              <w:bottom w:val="single" w:sz="4" w:space="0" w:color="auto"/>
              <w:right w:val="single" w:sz="4" w:space="0" w:color="auto"/>
            </w:tcBorders>
            <w:noWrap/>
            <w:vAlign w:val="bottom"/>
            <w:hideMark/>
          </w:tcPr>
          <w:p w14:paraId="5F49009C"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1.92</w:t>
            </w:r>
          </w:p>
        </w:tc>
        <w:tc>
          <w:tcPr>
            <w:tcW w:w="943" w:type="dxa"/>
            <w:tcBorders>
              <w:top w:val="nil"/>
              <w:left w:val="nil"/>
              <w:bottom w:val="single" w:sz="4" w:space="0" w:color="auto"/>
              <w:right w:val="single" w:sz="4" w:space="0" w:color="auto"/>
            </w:tcBorders>
            <w:noWrap/>
            <w:vAlign w:val="bottom"/>
            <w:hideMark/>
          </w:tcPr>
          <w:p w14:paraId="0EA94454" w14:textId="77777777" w:rsidR="00851218" w:rsidRPr="00851218" w:rsidRDefault="00851218" w:rsidP="00851218">
            <w:pPr>
              <w:spacing w:after="0" w:line="240" w:lineRule="auto"/>
              <w:jc w:val="right"/>
              <w:rPr>
                <w:rFonts w:ascii="Aptos Narrow" w:eastAsia="Times New Roman" w:hAnsi="Aptos Narrow" w:cs="Times New Roman"/>
                <w:color w:val="000000"/>
                <w:sz w:val="22"/>
                <w:lang w:eastAsia="en-GB"/>
              </w:rPr>
            </w:pPr>
            <w:r w:rsidRPr="00851218">
              <w:rPr>
                <w:rFonts w:ascii="Aptos Narrow" w:eastAsia="Times New Roman" w:hAnsi="Aptos Narrow" w:cs="Times New Roman"/>
                <w:color w:val="000000"/>
                <w:sz w:val="22"/>
                <w:lang w:eastAsia="en-GB"/>
              </w:rPr>
              <w:t>3.04</w:t>
            </w:r>
          </w:p>
        </w:tc>
      </w:tr>
    </w:tbl>
    <w:p w14:paraId="1975F95D" w14:textId="77777777" w:rsidR="0060278E" w:rsidRDefault="0060278E" w:rsidP="00126423">
      <w:pPr>
        <w:rPr>
          <w:lang w:val="en-US"/>
        </w:rPr>
      </w:pPr>
    </w:p>
    <w:p w14:paraId="45BF0744" w14:textId="4C86879B" w:rsidR="0060278E" w:rsidRDefault="0060278E">
      <w:pPr>
        <w:spacing w:line="259" w:lineRule="auto"/>
        <w:jc w:val="left"/>
        <w:rPr>
          <w:lang w:val="en-US"/>
        </w:rPr>
      </w:pPr>
      <w:r>
        <w:rPr>
          <w:lang w:val="en-US"/>
        </w:rPr>
        <w:br w:type="page"/>
      </w:r>
    </w:p>
    <w:p w14:paraId="600D1F39" w14:textId="4DB52A51" w:rsidR="0060278E" w:rsidRDefault="0060278E" w:rsidP="0060278E">
      <w:pPr>
        <w:pStyle w:val="Heading2"/>
        <w:rPr>
          <w:lang w:val="en-US"/>
        </w:rPr>
      </w:pPr>
      <w:bookmarkStart w:id="41" w:name="_Toc225846414"/>
      <w:r>
        <w:rPr>
          <w:lang w:val="en-US"/>
        </w:rPr>
        <w:t>Appendix 2 – Cash Operating Cycle analysis</w:t>
      </w:r>
      <w:bookmarkEnd w:id="41"/>
    </w:p>
    <w:tbl>
      <w:tblPr>
        <w:tblW w:w="8340" w:type="dxa"/>
        <w:jc w:val="center"/>
        <w:tblLook w:val="04A0" w:firstRow="1" w:lastRow="0" w:firstColumn="1" w:lastColumn="0" w:noHBand="0" w:noVBand="1"/>
      </w:tblPr>
      <w:tblGrid>
        <w:gridCol w:w="2580"/>
        <w:gridCol w:w="960"/>
        <w:gridCol w:w="960"/>
        <w:gridCol w:w="960"/>
        <w:gridCol w:w="960"/>
        <w:gridCol w:w="960"/>
        <w:gridCol w:w="960"/>
      </w:tblGrid>
      <w:tr w:rsidR="0060278E" w:rsidRPr="0060278E" w14:paraId="3A11CA69" w14:textId="77777777" w:rsidTr="00A31EC4">
        <w:trPr>
          <w:trHeight w:val="300"/>
          <w:jc w:val="center"/>
        </w:trPr>
        <w:tc>
          <w:tcPr>
            <w:tcW w:w="2580" w:type="dxa"/>
            <w:tcBorders>
              <w:top w:val="single" w:sz="4" w:space="0" w:color="auto"/>
              <w:left w:val="single" w:sz="4" w:space="0" w:color="auto"/>
              <w:bottom w:val="single" w:sz="4" w:space="0" w:color="auto"/>
              <w:right w:val="single" w:sz="4" w:space="0" w:color="auto"/>
            </w:tcBorders>
            <w:noWrap/>
            <w:vAlign w:val="bottom"/>
            <w:hideMark/>
          </w:tcPr>
          <w:p w14:paraId="425B86CA"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Finance ($million)</w:t>
            </w:r>
          </w:p>
        </w:tc>
        <w:tc>
          <w:tcPr>
            <w:tcW w:w="960" w:type="dxa"/>
            <w:tcBorders>
              <w:top w:val="single" w:sz="4" w:space="0" w:color="auto"/>
              <w:left w:val="nil"/>
              <w:bottom w:val="single" w:sz="4" w:space="0" w:color="auto"/>
              <w:right w:val="single" w:sz="4" w:space="0" w:color="auto"/>
            </w:tcBorders>
            <w:noWrap/>
            <w:vAlign w:val="bottom"/>
            <w:hideMark/>
          </w:tcPr>
          <w:p w14:paraId="4C4EC162"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2020</w:t>
            </w:r>
          </w:p>
        </w:tc>
        <w:tc>
          <w:tcPr>
            <w:tcW w:w="960" w:type="dxa"/>
            <w:tcBorders>
              <w:top w:val="single" w:sz="4" w:space="0" w:color="auto"/>
              <w:left w:val="nil"/>
              <w:bottom w:val="single" w:sz="4" w:space="0" w:color="auto"/>
              <w:right w:val="single" w:sz="4" w:space="0" w:color="auto"/>
            </w:tcBorders>
            <w:noWrap/>
            <w:vAlign w:val="bottom"/>
            <w:hideMark/>
          </w:tcPr>
          <w:p w14:paraId="045DA9D1"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2021</w:t>
            </w:r>
          </w:p>
        </w:tc>
        <w:tc>
          <w:tcPr>
            <w:tcW w:w="960" w:type="dxa"/>
            <w:tcBorders>
              <w:top w:val="single" w:sz="4" w:space="0" w:color="auto"/>
              <w:left w:val="nil"/>
              <w:bottom w:val="single" w:sz="4" w:space="0" w:color="auto"/>
              <w:right w:val="single" w:sz="4" w:space="0" w:color="auto"/>
            </w:tcBorders>
            <w:noWrap/>
            <w:vAlign w:val="bottom"/>
            <w:hideMark/>
          </w:tcPr>
          <w:p w14:paraId="184868E8"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2022</w:t>
            </w:r>
          </w:p>
        </w:tc>
        <w:tc>
          <w:tcPr>
            <w:tcW w:w="960" w:type="dxa"/>
            <w:tcBorders>
              <w:top w:val="single" w:sz="4" w:space="0" w:color="auto"/>
              <w:left w:val="nil"/>
              <w:bottom w:val="single" w:sz="4" w:space="0" w:color="auto"/>
              <w:right w:val="single" w:sz="4" w:space="0" w:color="auto"/>
            </w:tcBorders>
            <w:noWrap/>
            <w:vAlign w:val="bottom"/>
            <w:hideMark/>
          </w:tcPr>
          <w:p w14:paraId="2CED45AE"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2023</w:t>
            </w:r>
          </w:p>
        </w:tc>
        <w:tc>
          <w:tcPr>
            <w:tcW w:w="960" w:type="dxa"/>
            <w:tcBorders>
              <w:top w:val="single" w:sz="4" w:space="0" w:color="auto"/>
              <w:left w:val="nil"/>
              <w:bottom w:val="single" w:sz="4" w:space="0" w:color="auto"/>
              <w:right w:val="single" w:sz="4" w:space="0" w:color="auto"/>
            </w:tcBorders>
            <w:noWrap/>
            <w:vAlign w:val="bottom"/>
            <w:hideMark/>
          </w:tcPr>
          <w:p w14:paraId="2596DCEF"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2024</w:t>
            </w:r>
          </w:p>
        </w:tc>
        <w:tc>
          <w:tcPr>
            <w:tcW w:w="960" w:type="dxa"/>
            <w:tcBorders>
              <w:top w:val="single" w:sz="4" w:space="0" w:color="auto"/>
              <w:left w:val="nil"/>
              <w:bottom w:val="single" w:sz="4" w:space="0" w:color="auto"/>
              <w:right w:val="single" w:sz="4" w:space="0" w:color="auto"/>
            </w:tcBorders>
            <w:noWrap/>
            <w:vAlign w:val="bottom"/>
            <w:hideMark/>
          </w:tcPr>
          <w:p w14:paraId="27A6838F"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2025</w:t>
            </w:r>
          </w:p>
        </w:tc>
      </w:tr>
      <w:tr w:rsidR="0060278E" w:rsidRPr="0060278E" w14:paraId="0EC82875"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578EE03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Revenue</w:t>
            </w:r>
          </w:p>
        </w:tc>
        <w:tc>
          <w:tcPr>
            <w:tcW w:w="960" w:type="dxa"/>
            <w:tcBorders>
              <w:top w:val="nil"/>
              <w:left w:val="nil"/>
              <w:bottom w:val="single" w:sz="4" w:space="0" w:color="auto"/>
              <w:right w:val="single" w:sz="4" w:space="0" w:color="auto"/>
            </w:tcBorders>
            <w:noWrap/>
            <w:vAlign w:val="bottom"/>
            <w:hideMark/>
          </w:tcPr>
          <w:p w14:paraId="1F3D193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960" w:type="dxa"/>
            <w:tcBorders>
              <w:top w:val="nil"/>
              <w:left w:val="nil"/>
              <w:bottom w:val="single" w:sz="4" w:space="0" w:color="auto"/>
              <w:right w:val="single" w:sz="4" w:space="0" w:color="auto"/>
            </w:tcBorders>
            <w:noWrap/>
            <w:vAlign w:val="bottom"/>
            <w:hideMark/>
          </w:tcPr>
          <w:p w14:paraId="05FD2E6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53,823</w:t>
            </w:r>
          </w:p>
        </w:tc>
        <w:tc>
          <w:tcPr>
            <w:tcW w:w="960" w:type="dxa"/>
            <w:tcBorders>
              <w:top w:val="nil"/>
              <w:left w:val="nil"/>
              <w:bottom w:val="single" w:sz="4" w:space="0" w:color="auto"/>
              <w:right w:val="single" w:sz="4" w:space="0" w:color="auto"/>
            </w:tcBorders>
            <w:noWrap/>
            <w:vAlign w:val="bottom"/>
            <w:hideMark/>
          </w:tcPr>
          <w:p w14:paraId="5CE9A33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81,462</w:t>
            </w:r>
          </w:p>
        </w:tc>
        <w:tc>
          <w:tcPr>
            <w:tcW w:w="960" w:type="dxa"/>
            <w:tcBorders>
              <w:top w:val="nil"/>
              <w:left w:val="nil"/>
              <w:bottom w:val="single" w:sz="4" w:space="0" w:color="auto"/>
              <w:right w:val="single" w:sz="4" w:space="0" w:color="auto"/>
            </w:tcBorders>
            <w:noWrap/>
            <w:vAlign w:val="bottom"/>
            <w:hideMark/>
          </w:tcPr>
          <w:p w14:paraId="0A28777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96,773</w:t>
            </w:r>
          </w:p>
        </w:tc>
        <w:tc>
          <w:tcPr>
            <w:tcW w:w="960" w:type="dxa"/>
            <w:tcBorders>
              <w:top w:val="nil"/>
              <w:left w:val="nil"/>
              <w:bottom w:val="single" w:sz="4" w:space="0" w:color="auto"/>
              <w:right w:val="single" w:sz="4" w:space="0" w:color="auto"/>
            </w:tcBorders>
            <w:noWrap/>
            <w:vAlign w:val="bottom"/>
            <w:hideMark/>
          </w:tcPr>
          <w:p w14:paraId="4D7BBFF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97,690</w:t>
            </w:r>
          </w:p>
        </w:tc>
        <w:tc>
          <w:tcPr>
            <w:tcW w:w="960" w:type="dxa"/>
            <w:tcBorders>
              <w:top w:val="nil"/>
              <w:left w:val="nil"/>
              <w:bottom w:val="single" w:sz="4" w:space="0" w:color="auto"/>
              <w:right w:val="single" w:sz="4" w:space="0" w:color="auto"/>
            </w:tcBorders>
            <w:noWrap/>
            <w:vAlign w:val="bottom"/>
            <w:hideMark/>
          </w:tcPr>
          <w:p w14:paraId="1F800EE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94,827</w:t>
            </w:r>
          </w:p>
        </w:tc>
      </w:tr>
      <w:tr w:rsidR="0060278E" w:rsidRPr="0060278E" w14:paraId="0D9BFCC5"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2FC4CC0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Cost of Goods Sold (COGS)</w:t>
            </w:r>
          </w:p>
        </w:tc>
        <w:tc>
          <w:tcPr>
            <w:tcW w:w="960" w:type="dxa"/>
            <w:tcBorders>
              <w:top w:val="nil"/>
              <w:left w:val="nil"/>
              <w:bottom w:val="single" w:sz="4" w:space="0" w:color="auto"/>
              <w:right w:val="single" w:sz="4" w:space="0" w:color="auto"/>
            </w:tcBorders>
            <w:noWrap/>
            <w:vAlign w:val="bottom"/>
            <w:hideMark/>
          </w:tcPr>
          <w:p w14:paraId="2BD2D80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960" w:type="dxa"/>
            <w:tcBorders>
              <w:top w:val="nil"/>
              <w:left w:val="nil"/>
              <w:bottom w:val="single" w:sz="4" w:space="0" w:color="auto"/>
              <w:right w:val="single" w:sz="4" w:space="0" w:color="auto"/>
            </w:tcBorders>
            <w:noWrap/>
            <w:vAlign w:val="bottom"/>
            <w:hideMark/>
          </w:tcPr>
          <w:p w14:paraId="52B5FE40"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37,306</w:t>
            </w:r>
          </w:p>
        </w:tc>
        <w:tc>
          <w:tcPr>
            <w:tcW w:w="960" w:type="dxa"/>
            <w:tcBorders>
              <w:top w:val="nil"/>
              <w:left w:val="nil"/>
              <w:bottom w:val="single" w:sz="4" w:space="0" w:color="auto"/>
              <w:right w:val="single" w:sz="4" w:space="0" w:color="auto"/>
            </w:tcBorders>
            <w:noWrap/>
            <w:vAlign w:val="bottom"/>
            <w:hideMark/>
          </w:tcPr>
          <w:p w14:paraId="2AE7AD3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57,066</w:t>
            </w:r>
          </w:p>
        </w:tc>
        <w:tc>
          <w:tcPr>
            <w:tcW w:w="960" w:type="dxa"/>
            <w:tcBorders>
              <w:top w:val="nil"/>
              <w:left w:val="nil"/>
              <w:bottom w:val="single" w:sz="4" w:space="0" w:color="auto"/>
              <w:right w:val="single" w:sz="4" w:space="0" w:color="auto"/>
            </w:tcBorders>
            <w:noWrap/>
            <w:vAlign w:val="bottom"/>
            <w:hideMark/>
          </w:tcPr>
          <w:p w14:paraId="14EC501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74,446</w:t>
            </w:r>
          </w:p>
        </w:tc>
        <w:tc>
          <w:tcPr>
            <w:tcW w:w="960" w:type="dxa"/>
            <w:tcBorders>
              <w:top w:val="nil"/>
              <w:left w:val="nil"/>
              <w:bottom w:val="single" w:sz="4" w:space="0" w:color="auto"/>
              <w:right w:val="single" w:sz="4" w:space="0" w:color="auto"/>
            </w:tcBorders>
            <w:noWrap/>
            <w:vAlign w:val="bottom"/>
            <w:hideMark/>
          </w:tcPr>
          <w:p w14:paraId="48C9AF5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74,872</w:t>
            </w:r>
          </w:p>
        </w:tc>
        <w:tc>
          <w:tcPr>
            <w:tcW w:w="960" w:type="dxa"/>
            <w:tcBorders>
              <w:top w:val="nil"/>
              <w:left w:val="nil"/>
              <w:bottom w:val="single" w:sz="4" w:space="0" w:color="auto"/>
              <w:right w:val="single" w:sz="4" w:space="0" w:color="auto"/>
            </w:tcBorders>
            <w:noWrap/>
            <w:vAlign w:val="bottom"/>
            <w:hideMark/>
          </w:tcPr>
          <w:p w14:paraId="7C596C4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71,585</w:t>
            </w:r>
          </w:p>
        </w:tc>
      </w:tr>
      <w:tr w:rsidR="0060278E" w:rsidRPr="0060278E" w14:paraId="19212B16"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343CD9B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Accounts Receivables</w:t>
            </w:r>
          </w:p>
        </w:tc>
        <w:tc>
          <w:tcPr>
            <w:tcW w:w="960" w:type="dxa"/>
            <w:tcBorders>
              <w:top w:val="nil"/>
              <w:left w:val="nil"/>
              <w:bottom w:val="single" w:sz="4" w:space="0" w:color="auto"/>
              <w:right w:val="single" w:sz="4" w:space="0" w:color="auto"/>
            </w:tcBorders>
            <w:noWrap/>
            <w:vAlign w:val="bottom"/>
            <w:hideMark/>
          </w:tcPr>
          <w:p w14:paraId="1D7964F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1,913</w:t>
            </w:r>
          </w:p>
        </w:tc>
        <w:tc>
          <w:tcPr>
            <w:tcW w:w="960" w:type="dxa"/>
            <w:tcBorders>
              <w:top w:val="nil"/>
              <w:left w:val="nil"/>
              <w:bottom w:val="single" w:sz="4" w:space="0" w:color="auto"/>
              <w:right w:val="single" w:sz="4" w:space="0" w:color="auto"/>
            </w:tcBorders>
            <w:noWrap/>
            <w:vAlign w:val="bottom"/>
            <w:hideMark/>
          </w:tcPr>
          <w:p w14:paraId="55238B5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2,952</w:t>
            </w:r>
          </w:p>
        </w:tc>
        <w:tc>
          <w:tcPr>
            <w:tcW w:w="960" w:type="dxa"/>
            <w:tcBorders>
              <w:top w:val="nil"/>
              <w:left w:val="nil"/>
              <w:bottom w:val="single" w:sz="4" w:space="0" w:color="auto"/>
              <w:right w:val="single" w:sz="4" w:space="0" w:color="auto"/>
            </w:tcBorders>
            <w:noWrap/>
            <w:vAlign w:val="bottom"/>
            <w:hideMark/>
          </w:tcPr>
          <w:p w14:paraId="4FA524C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3,508</w:t>
            </w:r>
          </w:p>
        </w:tc>
        <w:tc>
          <w:tcPr>
            <w:tcW w:w="960" w:type="dxa"/>
            <w:tcBorders>
              <w:top w:val="nil"/>
              <w:left w:val="nil"/>
              <w:bottom w:val="single" w:sz="4" w:space="0" w:color="auto"/>
              <w:right w:val="single" w:sz="4" w:space="0" w:color="auto"/>
            </w:tcBorders>
            <w:noWrap/>
            <w:vAlign w:val="bottom"/>
            <w:hideMark/>
          </w:tcPr>
          <w:p w14:paraId="0D80CB8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4,418</w:t>
            </w:r>
          </w:p>
        </w:tc>
        <w:tc>
          <w:tcPr>
            <w:tcW w:w="960" w:type="dxa"/>
            <w:tcBorders>
              <w:top w:val="nil"/>
              <w:left w:val="nil"/>
              <w:bottom w:val="single" w:sz="4" w:space="0" w:color="auto"/>
              <w:right w:val="single" w:sz="4" w:space="0" w:color="auto"/>
            </w:tcBorders>
            <w:noWrap/>
            <w:vAlign w:val="bottom"/>
            <w:hideMark/>
          </w:tcPr>
          <w:p w14:paraId="210C965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4,706</w:t>
            </w:r>
          </w:p>
        </w:tc>
        <w:tc>
          <w:tcPr>
            <w:tcW w:w="960" w:type="dxa"/>
            <w:tcBorders>
              <w:top w:val="nil"/>
              <w:left w:val="nil"/>
              <w:bottom w:val="single" w:sz="4" w:space="0" w:color="auto"/>
              <w:right w:val="single" w:sz="4" w:space="0" w:color="auto"/>
            </w:tcBorders>
            <w:noWrap/>
            <w:vAlign w:val="bottom"/>
            <w:hideMark/>
          </w:tcPr>
          <w:p w14:paraId="7AF160F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5,615</w:t>
            </w:r>
          </w:p>
        </w:tc>
      </w:tr>
      <w:tr w:rsidR="0060278E" w:rsidRPr="0060278E" w14:paraId="3C8F064E"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287EB88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Avg Receivables</w:t>
            </w:r>
          </w:p>
        </w:tc>
        <w:tc>
          <w:tcPr>
            <w:tcW w:w="960" w:type="dxa"/>
            <w:tcBorders>
              <w:top w:val="nil"/>
              <w:left w:val="nil"/>
              <w:bottom w:val="single" w:sz="4" w:space="0" w:color="auto"/>
              <w:right w:val="single" w:sz="4" w:space="0" w:color="auto"/>
            </w:tcBorders>
            <w:noWrap/>
            <w:vAlign w:val="bottom"/>
            <w:hideMark/>
          </w:tcPr>
          <w:p w14:paraId="207A864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960" w:type="dxa"/>
            <w:tcBorders>
              <w:top w:val="nil"/>
              <w:left w:val="nil"/>
              <w:bottom w:val="single" w:sz="4" w:space="0" w:color="auto"/>
              <w:right w:val="single" w:sz="4" w:space="0" w:color="auto"/>
            </w:tcBorders>
            <w:noWrap/>
            <w:vAlign w:val="bottom"/>
            <w:hideMark/>
          </w:tcPr>
          <w:p w14:paraId="177D830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371</w:t>
            </w:r>
          </w:p>
        </w:tc>
        <w:tc>
          <w:tcPr>
            <w:tcW w:w="960" w:type="dxa"/>
            <w:tcBorders>
              <w:top w:val="nil"/>
              <w:left w:val="nil"/>
              <w:bottom w:val="single" w:sz="4" w:space="0" w:color="auto"/>
              <w:right w:val="single" w:sz="4" w:space="0" w:color="auto"/>
            </w:tcBorders>
            <w:noWrap/>
            <w:vAlign w:val="bottom"/>
            <w:hideMark/>
          </w:tcPr>
          <w:p w14:paraId="45191A8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191</w:t>
            </w:r>
          </w:p>
        </w:tc>
        <w:tc>
          <w:tcPr>
            <w:tcW w:w="960" w:type="dxa"/>
            <w:tcBorders>
              <w:top w:val="nil"/>
              <w:left w:val="nil"/>
              <w:bottom w:val="single" w:sz="4" w:space="0" w:color="auto"/>
              <w:right w:val="single" w:sz="4" w:space="0" w:color="auto"/>
            </w:tcBorders>
            <w:noWrap/>
            <w:vAlign w:val="bottom"/>
            <w:hideMark/>
          </w:tcPr>
          <w:p w14:paraId="6F1ABB1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156</w:t>
            </w:r>
          </w:p>
        </w:tc>
        <w:tc>
          <w:tcPr>
            <w:tcW w:w="960" w:type="dxa"/>
            <w:tcBorders>
              <w:top w:val="nil"/>
              <w:left w:val="nil"/>
              <w:bottom w:val="single" w:sz="4" w:space="0" w:color="auto"/>
              <w:right w:val="single" w:sz="4" w:space="0" w:color="auto"/>
            </w:tcBorders>
            <w:noWrap/>
            <w:vAlign w:val="bottom"/>
            <w:hideMark/>
          </w:tcPr>
          <w:p w14:paraId="6F87BD8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350</w:t>
            </w:r>
          </w:p>
        </w:tc>
        <w:tc>
          <w:tcPr>
            <w:tcW w:w="960" w:type="dxa"/>
            <w:tcBorders>
              <w:top w:val="nil"/>
              <w:left w:val="nil"/>
              <w:bottom w:val="single" w:sz="4" w:space="0" w:color="auto"/>
              <w:right w:val="single" w:sz="4" w:space="0" w:color="auto"/>
            </w:tcBorders>
            <w:noWrap/>
            <w:vAlign w:val="bottom"/>
            <w:hideMark/>
          </w:tcPr>
          <w:p w14:paraId="457F37D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338</w:t>
            </w:r>
          </w:p>
        </w:tc>
      </w:tr>
      <w:tr w:rsidR="0060278E" w:rsidRPr="0060278E" w14:paraId="641A77CB"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55F1C33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Inventory</w:t>
            </w:r>
          </w:p>
        </w:tc>
        <w:tc>
          <w:tcPr>
            <w:tcW w:w="960" w:type="dxa"/>
            <w:tcBorders>
              <w:top w:val="nil"/>
              <w:left w:val="nil"/>
              <w:bottom w:val="single" w:sz="4" w:space="0" w:color="auto"/>
              <w:right w:val="single" w:sz="4" w:space="0" w:color="auto"/>
            </w:tcBorders>
            <w:noWrap/>
            <w:vAlign w:val="bottom"/>
            <w:hideMark/>
          </w:tcPr>
          <w:p w14:paraId="36D9F50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7,592</w:t>
            </w:r>
          </w:p>
        </w:tc>
        <w:tc>
          <w:tcPr>
            <w:tcW w:w="960" w:type="dxa"/>
            <w:tcBorders>
              <w:top w:val="nil"/>
              <w:left w:val="nil"/>
              <w:bottom w:val="single" w:sz="4" w:space="0" w:color="auto"/>
              <w:right w:val="single" w:sz="4" w:space="0" w:color="auto"/>
            </w:tcBorders>
            <w:noWrap/>
            <w:vAlign w:val="bottom"/>
            <w:hideMark/>
          </w:tcPr>
          <w:p w14:paraId="62992F2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5,757</w:t>
            </w:r>
          </w:p>
        </w:tc>
        <w:tc>
          <w:tcPr>
            <w:tcW w:w="960" w:type="dxa"/>
            <w:tcBorders>
              <w:top w:val="nil"/>
              <w:left w:val="nil"/>
              <w:bottom w:val="single" w:sz="4" w:space="0" w:color="auto"/>
              <w:right w:val="single" w:sz="4" w:space="0" w:color="auto"/>
            </w:tcBorders>
            <w:noWrap/>
            <w:vAlign w:val="bottom"/>
            <w:hideMark/>
          </w:tcPr>
          <w:p w14:paraId="29B20A4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12,839</w:t>
            </w:r>
          </w:p>
        </w:tc>
        <w:tc>
          <w:tcPr>
            <w:tcW w:w="960" w:type="dxa"/>
            <w:tcBorders>
              <w:top w:val="nil"/>
              <w:left w:val="nil"/>
              <w:bottom w:val="single" w:sz="4" w:space="0" w:color="auto"/>
              <w:right w:val="single" w:sz="4" w:space="0" w:color="auto"/>
            </w:tcBorders>
            <w:noWrap/>
            <w:vAlign w:val="bottom"/>
            <w:hideMark/>
          </w:tcPr>
          <w:p w14:paraId="2E4171A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13,626</w:t>
            </w:r>
          </w:p>
        </w:tc>
        <w:tc>
          <w:tcPr>
            <w:tcW w:w="960" w:type="dxa"/>
            <w:tcBorders>
              <w:top w:val="nil"/>
              <w:left w:val="nil"/>
              <w:bottom w:val="single" w:sz="4" w:space="0" w:color="auto"/>
              <w:right w:val="single" w:sz="4" w:space="0" w:color="auto"/>
            </w:tcBorders>
            <w:noWrap/>
            <w:vAlign w:val="bottom"/>
            <w:hideMark/>
          </w:tcPr>
          <w:p w14:paraId="1FB2EDE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12,017</w:t>
            </w:r>
          </w:p>
        </w:tc>
        <w:tc>
          <w:tcPr>
            <w:tcW w:w="960" w:type="dxa"/>
            <w:tcBorders>
              <w:top w:val="nil"/>
              <w:left w:val="nil"/>
              <w:bottom w:val="single" w:sz="4" w:space="0" w:color="auto"/>
              <w:right w:val="single" w:sz="4" w:space="0" w:color="auto"/>
            </w:tcBorders>
            <w:noWrap/>
            <w:vAlign w:val="bottom"/>
            <w:hideMark/>
          </w:tcPr>
          <w:p w14:paraId="2E5DEB5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12,392</w:t>
            </w:r>
          </w:p>
        </w:tc>
      </w:tr>
      <w:tr w:rsidR="0060278E" w:rsidRPr="0060278E" w14:paraId="349FDE2D"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6672850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Avg Inventory</w:t>
            </w:r>
          </w:p>
        </w:tc>
        <w:tc>
          <w:tcPr>
            <w:tcW w:w="960" w:type="dxa"/>
            <w:tcBorders>
              <w:top w:val="nil"/>
              <w:left w:val="nil"/>
              <w:bottom w:val="single" w:sz="4" w:space="0" w:color="auto"/>
              <w:right w:val="single" w:sz="4" w:space="0" w:color="auto"/>
            </w:tcBorders>
            <w:noWrap/>
            <w:vAlign w:val="bottom"/>
            <w:hideMark/>
          </w:tcPr>
          <w:p w14:paraId="5265648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960" w:type="dxa"/>
            <w:tcBorders>
              <w:top w:val="nil"/>
              <w:left w:val="nil"/>
              <w:bottom w:val="single" w:sz="4" w:space="0" w:color="auto"/>
              <w:right w:val="single" w:sz="4" w:space="0" w:color="auto"/>
            </w:tcBorders>
            <w:noWrap/>
            <w:vAlign w:val="bottom"/>
            <w:hideMark/>
          </w:tcPr>
          <w:p w14:paraId="16CEA83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6,674</w:t>
            </w:r>
          </w:p>
        </w:tc>
        <w:tc>
          <w:tcPr>
            <w:tcW w:w="960" w:type="dxa"/>
            <w:tcBorders>
              <w:top w:val="nil"/>
              <w:left w:val="nil"/>
              <w:bottom w:val="single" w:sz="4" w:space="0" w:color="auto"/>
              <w:right w:val="single" w:sz="4" w:space="0" w:color="auto"/>
            </w:tcBorders>
            <w:noWrap/>
            <w:vAlign w:val="bottom"/>
            <w:hideMark/>
          </w:tcPr>
          <w:p w14:paraId="11176A7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9,298</w:t>
            </w:r>
          </w:p>
        </w:tc>
        <w:tc>
          <w:tcPr>
            <w:tcW w:w="960" w:type="dxa"/>
            <w:tcBorders>
              <w:top w:val="nil"/>
              <w:left w:val="nil"/>
              <w:bottom w:val="single" w:sz="4" w:space="0" w:color="auto"/>
              <w:right w:val="single" w:sz="4" w:space="0" w:color="auto"/>
            </w:tcBorders>
            <w:noWrap/>
            <w:vAlign w:val="bottom"/>
            <w:hideMark/>
          </w:tcPr>
          <w:p w14:paraId="4A5D45E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13,233</w:t>
            </w:r>
          </w:p>
        </w:tc>
        <w:tc>
          <w:tcPr>
            <w:tcW w:w="960" w:type="dxa"/>
            <w:tcBorders>
              <w:top w:val="nil"/>
              <w:left w:val="nil"/>
              <w:bottom w:val="single" w:sz="4" w:space="0" w:color="auto"/>
              <w:right w:val="single" w:sz="4" w:space="0" w:color="auto"/>
            </w:tcBorders>
            <w:noWrap/>
            <w:vAlign w:val="bottom"/>
            <w:hideMark/>
          </w:tcPr>
          <w:p w14:paraId="7750935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12,822</w:t>
            </w:r>
          </w:p>
        </w:tc>
        <w:tc>
          <w:tcPr>
            <w:tcW w:w="960" w:type="dxa"/>
            <w:tcBorders>
              <w:top w:val="nil"/>
              <w:left w:val="nil"/>
              <w:bottom w:val="single" w:sz="4" w:space="0" w:color="auto"/>
              <w:right w:val="single" w:sz="4" w:space="0" w:color="auto"/>
            </w:tcBorders>
            <w:noWrap/>
            <w:vAlign w:val="bottom"/>
            <w:hideMark/>
          </w:tcPr>
          <w:p w14:paraId="6931C00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12,205</w:t>
            </w:r>
          </w:p>
        </w:tc>
      </w:tr>
      <w:tr w:rsidR="0060278E" w:rsidRPr="0060278E" w14:paraId="484FD72A"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741B28D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Accounts Payables</w:t>
            </w:r>
          </w:p>
        </w:tc>
        <w:tc>
          <w:tcPr>
            <w:tcW w:w="960" w:type="dxa"/>
            <w:tcBorders>
              <w:top w:val="nil"/>
              <w:left w:val="nil"/>
              <w:bottom w:val="single" w:sz="4" w:space="0" w:color="auto"/>
              <w:right w:val="single" w:sz="4" w:space="0" w:color="auto"/>
            </w:tcBorders>
            <w:noWrap/>
            <w:vAlign w:val="bottom"/>
            <w:hideMark/>
          </w:tcPr>
          <w:p w14:paraId="50FA4DF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10,025</w:t>
            </w:r>
          </w:p>
        </w:tc>
        <w:tc>
          <w:tcPr>
            <w:tcW w:w="960" w:type="dxa"/>
            <w:tcBorders>
              <w:top w:val="nil"/>
              <w:left w:val="nil"/>
              <w:bottom w:val="single" w:sz="4" w:space="0" w:color="auto"/>
              <w:right w:val="single" w:sz="4" w:space="0" w:color="auto"/>
            </w:tcBorders>
            <w:noWrap/>
            <w:vAlign w:val="bottom"/>
            <w:hideMark/>
          </w:tcPr>
          <w:p w14:paraId="2D8DEDC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15,255</w:t>
            </w:r>
          </w:p>
        </w:tc>
        <w:tc>
          <w:tcPr>
            <w:tcW w:w="960" w:type="dxa"/>
            <w:tcBorders>
              <w:top w:val="nil"/>
              <w:left w:val="nil"/>
              <w:bottom w:val="single" w:sz="4" w:space="0" w:color="auto"/>
              <w:right w:val="single" w:sz="4" w:space="0" w:color="auto"/>
            </w:tcBorders>
            <w:noWrap/>
            <w:vAlign w:val="bottom"/>
            <w:hideMark/>
          </w:tcPr>
          <w:p w14:paraId="38E8889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14,431</w:t>
            </w:r>
          </w:p>
        </w:tc>
        <w:tc>
          <w:tcPr>
            <w:tcW w:w="960" w:type="dxa"/>
            <w:tcBorders>
              <w:top w:val="nil"/>
              <w:left w:val="nil"/>
              <w:bottom w:val="single" w:sz="4" w:space="0" w:color="auto"/>
              <w:right w:val="single" w:sz="4" w:space="0" w:color="auto"/>
            </w:tcBorders>
            <w:noWrap/>
            <w:vAlign w:val="bottom"/>
            <w:hideMark/>
          </w:tcPr>
          <w:p w14:paraId="4BCE099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12,474</w:t>
            </w:r>
          </w:p>
        </w:tc>
        <w:tc>
          <w:tcPr>
            <w:tcW w:w="960" w:type="dxa"/>
            <w:tcBorders>
              <w:top w:val="nil"/>
              <w:left w:val="nil"/>
              <w:bottom w:val="single" w:sz="4" w:space="0" w:color="auto"/>
              <w:right w:val="single" w:sz="4" w:space="0" w:color="auto"/>
            </w:tcBorders>
            <w:noWrap/>
            <w:vAlign w:val="bottom"/>
            <w:hideMark/>
          </w:tcPr>
          <w:p w14:paraId="3A539B4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13,371</w:t>
            </w:r>
          </w:p>
        </w:tc>
        <w:tc>
          <w:tcPr>
            <w:tcW w:w="960" w:type="dxa"/>
            <w:tcBorders>
              <w:top w:val="nil"/>
              <w:left w:val="nil"/>
              <w:bottom w:val="single" w:sz="4" w:space="0" w:color="auto"/>
              <w:right w:val="single" w:sz="4" w:space="0" w:color="auto"/>
            </w:tcBorders>
            <w:noWrap/>
            <w:vAlign w:val="bottom"/>
            <w:hideMark/>
          </w:tcPr>
          <w:p w14:paraId="347A064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14,285</w:t>
            </w:r>
          </w:p>
        </w:tc>
      </w:tr>
      <w:tr w:rsidR="0060278E" w:rsidRPr="0060278E" w14:paraId="3BC1A529" w14:textId="77777777" w:rsidTr="00A31EC4">
        <w:trPr>
          <w:trHeight w:val="300"/>
          <w:jc w:val="center"/>
        </w:trPr>
        <w:tc>
          <w:tcPr>
            <w:tcW w:w="2580" w:type="dxa"/>
            <w:tcBorders>
              <w:top w:val="nil"/>
              <w:left w:val="single" w:sz="4" w:space="0" w:color="auto"/>
              <w:bottom w:val="single" w:sz="4" w:space="0" w:color="auto"/>
              <w:right w:val="single" w:sz="4" w:space="0" w:color="auto"/>
            </w:tcBorders>
            <w:noWrap/>
            <w:vAlign w:val="bottom"/>
            <w:hideMark/>
          </w:tcPr>
          <w:p w14:paraId="39FE4C6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Avg Payables</w:t>
            </w:r>
          </w:p>
        </w:tc>
        <w:tc>
          <w:tcPr>
            <w:tcW w:w="960" w:type="dxa"/>
            <w:tcBorders>
              <w:top w:val="nil"/>
              <w:left w:val="nil"/>
              <w:bottom w:val="single" w:sz="4" w:space="0" w:color="auto"/>
              <w:right w:val="single" w:sz="4" w:space="0" w:color="auto"/>
            </w:tcBorders>
            <w:noWrap/>
            <w:vAlign w:val="bottom"/>
            <w:hideMark/>
          </w:tcPr>
          <w:p w14:paraId="6BC53B8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960" w:type="dxa"/>
            <w:tcBorders>
              <w:top w:val="nil"/>
              <w:left w:val="nil"/>
              <w:bottom w:val="single" w:sz="4" w:space="0" w:color="auto"/>
              <w:right w:val="single" w:sz="4" w:space="0" w:color="auto"/>
            </w:tcBorders>
            <w:noWrap/>
            <w:vAlign w:val="bottom"/>
            <w:hideMark/>
          </w:tcPr>
          <w:p w14:paraId="088A2B9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13,828</w:t>
            </w:r>
          </w:p>
        </w:tc>
        <w:tc>
          <w:tcPr>
            <w:tcW w:w="960" w:type="dxa"/>
            <w:tcBorders>
              <w:top w:val="nil"/>
              <w:left w:val="nil"/>
              <w:bottom w:val="single" w:sz="4" w:space="0" w:color="auto"/>
              <w:right w:val="single" w:sz="4" w:space="0" w:color="auto"/>
            </w:tcBorders>
            <w:noWrap/>
            <w:vAlign w:val="bottom"/>
            <w:hideMark/>
          </w:tcPr>
          <w:p w14:paraId="37B6656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12,923</w:t>
            </w:r>
          </w:p>
        </w:tc>
        <w:tc>
          <w:tcPr>
            <w:tcW w:w="960" w:type="dxa"/>
            <w:tcBorders>
              <w:top w:val="nil"/>
              <w:left w:val="nil"/>
              <w:bottom w:val="single" w:sz="4" w:space="0" w:color="auto"/>
              <w:right w:val="single" w:sz="4" w:space="0" w:color="auto"/>
            </w:tcBorders>
            <w:noWrap/>
            <w:vAlign w:val="bottom"/>
            <w:hideMark/>
          </w:tcPr>
          <w:p w14:paraId="6B5D8A7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13,453</w:t>
            </w:r>
          </w:p>
        </w:tc>
        <w:tc>
          <w:tcPr>
            <w:tcW w:w="960" w:type="dxa"/>
            <w:tcBorders>
              <w:top w:val="nil"/>
              <w:left w:val="nil"/>
              <w:bottom w:val="single" w:sz="4" w:space="0" w:color="auto"/>
              <w:right w:val="single" w:sz="4" w:space="0" w:color="auto"/>
            </w:tcBorders>
            <w:noWrap/>
            <w:vAlign w:val="bottom"/>
            <w:hideMark/>
          </w:tcPr>
          <w:p w14:paraId="7E96EEB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14,843</w:t>
            </w:r>
          </w:p>
        </w:tc>
        <w:tc>
          <w:tcPr>
            <w:tcW w:w="960" w:type="dxa"/>
            <w:tcBorders>
              <w:top w:val="nil"/>
              <w:left w:val="nil"/>
              <w:bottom w:val="single" w:sz="4" w:space="0" w:color="auto"/>
              <w:right w:val="single" w:sz="4" w:space="0" w:color="auto"/>
            </w:tcBorders>
            <w:noWrap/>
            <w:vAlign w:val="bottom"/>
            <w:hideMark/>
          </w:tcPr>
          <w:p w14:paraId="7F50044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12,640</w:t>
            </w:r>
          </w:p>
        </w:tc>
      </w:tr>
    </w:tbl>
    <w:p w14:paraId="435D5557" w14:textId="77777777" w:rsidR="0060278E" w:rsidRDefault="0060278E" w:rsidP="00126423">
      <w:pPr>
        <w:rPr>
          <w:lang w:val="en-US"/>
        </w:rPr>
      </w:pPr>
    </w:p>
    <w:tbl>
      <w:tblPr>
        <w:tblW w:w="0" w:type="auto"/>
        <w:jc w:val="center"/>
        <w:tblLook w:val="04A0" w:firstRow="1" w:lastRow="0" w:firstColumn="1" w:lastColumn="0" w:noHBand="0" w:noVBand="1"/>
      </w:tblPr>
      <w:tblGrid>
        <w:gridCol w:w="2593"/>
        <w:gridCol w:w="2770"/>
        <w:gridCol w:w="802"/>
        <w:gridCol w:w="760"/>
        <w:gridCol w:w="697"/>
        <w:gridCol w:w="697"/>
        <w:gridCol w:w="697"/>
      </w:tblGrid>
      <w:tr w:rsidR="0060278E" w:rsidRPr="0060278E" w14:paraId="6C10CAFE" w14:textId="77777777" w:rsidTr="00A31EC4">
        <w:trPr>
          <w:trHeight w:val="300"/>
          <w:jc w:val="center"/>
        </w:trPr>
        <w:tc>
          <w:tcPr>
            <w:tcW w:w="0" w:type="auto"/>
            <w:tcBorders>
              <w:top w:val="single" w:sz="4" w:space="0" w:color="auto"/>
              <w:left w:val="single" w:sz="4" w:space="0" w:color="auto"/>
              <w:bottom w:val="single" w:sz="4" w:space="0" w:color="auto"/>
              <w:right w:val="single" w:sz="4" w:space="0" w:color="auto"/>
            </w:tcBorders>
            <w:noWrap/>
            <w:vAlign w:val="bottom"/>
            <w:hideMark/>
          </w:tcPr>
          <w:p w14:paraId="3FD01FF1"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CCC Assessment</w:t>
            </w:r>
          </w:p>
        </w:tc>
        <w:tc>
          <w:tcPr>
            <w:tcW w:w="0" w:type="auto"/>
            <w:tcBorders>
              <w:top w:val="single" w:sz="4" w:space="0" w:color="auto"/>
              <w:left w:val="nil"/>
              <w:bottom w:val="single" w:sz="4" w:space="0" w:color="auto"/>
              <w:right w:val="single" w:sz="4" w:space="0" w:color="auto"/>
            </w:tcBorders>
            <w:noWrap/>
            <w:vAlign w:val="bottom"/>
            <w:hideMark/>
          </w:tcPr>
          <w:p w14:paraId="2E6641A9"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 </w:t>
            </w:r>
          </w:p>
        </w:tc>
        <w:tc>
          <w:tcPr>
            <w:tcW w:w="0" w:type="auto"/>
            <w:tcBorders>
              <w:top w:val="single" w:sz="4" w:space="0" w:color="auto"/>
              <w:left w:val="nil"/>
              <w:bottom w:val="single" w:sz="4" w:space="0" w:color="auto"/>
              <w:right w:val="single" w:sz="4" w:space="0" w:color="auto"/>
            </w:tcBorders>
            <w:noWrap/>
            <w:vAlign w:val="bottom"/>
            <w:hideMark/>
          </w:tcPr>
          <w:p w14:paraId="23F1B375"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2021</w:t>
            </w:r>
          </w:p>
        </w:tc>
        <w:tc>
          <w:tcPr>
            <w:tcW w:w="0" w:type="auto"/>
            <w:tcBorders>
              <w:top w:val="single" w:sz="4" w:space="0" w:color="auto"/>
              <w:left w:val="nil"/>
              <w:bottom w:val="single" w:sz="4" w:space="0" w:color="auto"/>
              <w:right w:val="single" w:sz="4" w:space="0" w:color="auto"/>
            </w:tcBorders>
            <w:noWrap/>
            <w:vAlign w:val="bottom"/>
            <w:hideMark/>
          </w:tcPr>
          <w:p w14:paraId="0A7E58CA"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2022</w:t>
            </w:r>
          </w:p>
        </w:tc>
        <w:tc>
          <w:tcPr>
            <w:tcW w:w="0" w:type="auto"/>
            <w:tcBorders>
              <w:top w:val="single" w:sz="4" w:space="0" w:color="auto"/>
              <w:left w:val="nil"/>
              <w:bottom w:val="single" w:sz="4" w:space="0" w:color="auto"/>
              <w:right w:val="single" w:sz="4" w:space="0" w:color="auto"/>
            </w:tcBorders>
            <w:noWrap/>
            <w:vAlign w:val="bottom"/>
            <w:hideMark/>
          </w:tcPr>
          <w:p w14:paraId="2C20E339"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2023</w:t>
            </w:r>
          </w:p>
        </w:tc>
        <w:tc>
          <w:tcPr>
            <w:tcW w:w="0" w:type="auto"/>
            <w:tcBorders>
              <w:top w:val="single" w:sz="4" w:space="0" w:color="auto"/>
              <w:left w:val="nil"/>
              <w:bottom w:val="single" w:sz="4" w:space="0" w:color="auto"/>
              <w:right w:val="single" w:sz="4" w:space="0" w:color="auto"/>
            </w:tcBorders>
            <w:noWrap/>
            <w:vAlign w:val="bottom"/>
            <w:hideMark/>
          </w:tcPr>
          <w:p w14:paraId="04B9D123"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2024</w:t>
            </w:r>
          </w:p>
        </w:tc>
        <w:tc>
          <w:tcPr>
            <w:tcW w:w="0" w:type="auto"/>
            <w:tcBorders>
              <w:top w:val="single" w:sz="4" w:space="0" w:color="auto"/>
              <w:left w:val="nil"/>
              <w:bottom w:val="single" w:sz="4" w:space="0" w:color="auto"/>
              <w:right w:val="single" w:sz="4" w:space="0" w:color="auto"/>
            </w:tcBorders>
            <w:noWrap/>
            <w:vAlign w:val="bottom"/>
            <w:hideMark/>
          </w:tcPr>
          <w:p w14:paraId="6798CD81"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2025</w:t>
            </w:r>
          </w:p>
        </w:tc>
      </w:tr>
      <w:tr w:rsidR="0060278E" w:rsidRPr="0060278E" w14:paraId="5CB689BD" w14:textId="77777777" w:rsidTr="00A31EC4">
        <w:trPr>
          <w:trHeight w:val="300"/>
          <w:jc w:val="center"/>
        </w:trPr>
        <w:tc>
          <w:tcPr>
            <w:tcW w:w="0" w:type="auto"/>
            <w:tcBorders>
              <w:top w:val="nil"/>
              <w:left w:val="single" w:sz="4" w:space="0" w:color="auto"/>
              <w:bottom w:val="single" w:sz="4" w:space="0" w:color="auto"/>
              <w:right w:val="single" w:sz="4" w:space="0" w:color="auto"/>
            </w:tcBorders>
            <w:noWrap/>
            <w:vAlign w:val="bottom"/>
            <w:hideMark/>
          </w:tcPr>
          <w:p w14:paraId="5B48592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0190EFC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304B917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5E194D5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0BB8DB4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4DC1450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0A82F32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1C080CE9" w14:textId="77777777" w:rsidTr="00A31EC4">
        <w:trPr>
          <w:trHeight w:val="300"/>
          <w:jc w:val="center"/>
        </w:trPr>
        <w:tc>
          <w:tcPr>
            <w:tcW w:w="0" w:type="auto"/>
            <w:tcBorders>
              <w:top w:val="nil"/>
              <w:left w:val="single" w:sz="4" w:space="0" w:color="auto"/>
              <w:bottom w:val="single" w:sz="4" w:space="0" w:color="auto"/>
              <w:right w:val="single" w:sz="4" w:space="0" w:color="auto"/>
            </w:tcBorders>
            <w:noWrap/>
            <w:vAlign w:val="bottom"/>
            <w:hideMark/>
          </w:tcPr>
          <w:p w14:paraId="61CEF37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Receivable days (RD)</w:t>
            </w:r>
          </w:p>
        </w:tc>
        <w:tc>
          <w:tcPr>
            <w:tcW w:w="0" w:type="auto"/>
            <w:tcBorders>
              <w:top w:val="nil"/>
              <w:left w:val="nil"/>
              <w:bottom w:val="single" w:sz="4" w:space="0" w:color="auto"/>
              <w:right w:val="single" w:sz="4" w:space="0" w:color="auto"/>
            </w:tcBorders>
            <w:noWrap/>
            <w:vAlign w:val="bottom"/>
            <w:hideMark/>
          </w:tcPr>
          <w:p w14:paraId="5B5E49C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Avg Receivables*365/Revenue</w:t>
            </w:r>
          </w:p>
        </w:tc>
        <w:tc>
          <w:tcPr>
            <w:tcW w:w="0" w:type="auto"/>
            <w:tcBorders>
              <w:top w:val="nil"/>
              <w:left w:val="nil"/>
              <w:bottom w:val="single" w:sz="4" w:space="0" w:color="auto"/>
              <w:right w:val="single" w:sz="4" w:space="0" w:color="auto"/>
            </w:tcBorders>
            <w:noWrap/>
            <w:vAlign w:val="bottom"/>
            <w:hideMark/>
          </w:tcPr>
          <w:p w14:paraId="4B426B8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2.52</w:t>
            </w:r>
          </w:p>
        </w:tc>
        <w:tc>
          <w:tcPr>
            <w:tcW w:w="0" w:type="auto"/>
            <w:tcBorders>
              <w:top w:val="nil"/>
              <w:left w:val="nil"/>
              <w:bottom w:val="single" w:sz="4" w:space="0" w:color="auto"/>
              <w:right w:val="single" w:sz="4" w:space="0" w:color="auto"/>
            </w:tcBorders>
            <w:noWrap/>
            <w:vAlign w:val="bottom"/>
            <w:hideMark/>
          </w:tcPr>
          <w:p w14:paraId="4E24185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0.86</w:t>
            </w:r>
          </w:p>
        </w:tc>
        <w:tc>
          <w:tcPr>
            <w:tcW w:w="0" w:type="auto"/>
            <w:tcBorders>
              <w:top w:val="nil"/>
              <w:left w:val="nil"/>
              <w:bottom w:val="single" w:sz="4" w:space="0" w:color="auto"/>
              <w:right w:val="single" w:sz="4" w:space="0" w:color="auto"/>
            </w:tcBorders>
            <w:noWrap/>
            <w:vAlign w:val="bottom"/>
            <w:hideMark/>
          </w:tcPr>
          <w:p w14:paraId="59C7D7C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0.59</w:t>
            </w:r>
          </w:p>
        </w:tc>
        <w:tc>
          <w:tcPr>
            <w:tcW w:w="0" w:type="auto"/>
            <w:tcBorders>
              <w:top w:val="nil"/>
              <w:left w:val="nil"/>
              <w:bottom w:val="single" w:sz="4" w:space="0" w:color="auto"/>
              <w:right w:val="single" w:sz="4" w:space="0" w:color="auto"/>
            </w:tcBorders>
            <w:noWrap/>
            <w:vAlign w:val="bottom"/>
            <w:hideMark/>
          </w:tcPr>
          <w:p w14:paraId="62AE541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1.31</w:t>
            </w:r>
          </w:p>
        </w:tc>
        <w:tc>
          <w:tcPr>
            <w:tcW w:w="0" w:type="auto"/>
            <w:tcBorders>
              <w:top w:val="nil"/>
              <w:left w:val="nil"/>
              <w:bottom w:val="single" w:sz="4" w:space="0" w:color="auto"/>
              <w:right w:val="single" w:sz="4" w:space="0" w:color="auto"/>
            </w:tcBorders>
            <w:noWrap/>
            <w:vAlign w:val="bottom"/>
            <w:hideMark/>
          </w:tcPr>
          <w:p w14:paraId="54DC21C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1.30</w:t>
            </w:r>
          </w:p>
        </w:tc>
      </w:tr>
      <w:tr w:rsidR="0060278E" w:rsidRPr="0060278E" w14:paraId="630911B4" w14:textId="77777777" w:rsidTr="00A31EC4">
        <w:trPr>
          <w:trHeight w:val="300"/>
          <w:jc w:val="center"/>
        </w:trPr>
        <w:tc>
          <w:tcPr>
            <w:tcW w:w="0" w:type="auto"/>
            <w:tcBorders>
              <w:top w:val="nil"/>
              <w:left w:val="single" w:sz="4" w:space="0" w:color="auto"/>
              <w:bottom w:val="single" w:sz="4" w:space="0" w:color="auto"/>
              <w:right w:val="single" w:sz="4" w:space="0" w:color="auto"/>
            </w:tcBorders>
            <w:noWrap/>
            <w:vAlign w:val="bottom"/>
            <w:hideMark/>
          </w:tcPr>
          <w:p w14:paraId="7BE3FCA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Inventory days (ID)</w:t>
            </w:r>
          </w:p>
        </w:tc>
        <w:tc>
          <w:tcPr>
            <w:tcW w:w="0" w:type="auto"/>
            <w:tcBorders>
              <w:top w:val="nil"/>
              <w:left w:val="nil"/>
              <w:bottom w:val="single" w:sz="4" w:space="0" w:color="auto"/>
              <w:right w:val="single" w:sz="4" w:space="0" w:color="auto"/>
            </w:tcBorders>
            <w:noWrap/>
            <w:vAlign w:val="bottom"/>
            <w:hideMark/>
          </w:tcPr>
          <w:p w14:paraId="7461048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Avg Payables*365/COGS</w:t>
            </w:r>
          </w:p>
        </w:tc>
        <w:tc>
          <w:tcPr>
            <w:tcW w:w="0" w:type="auto"/>
            <w:tcBorders>
              <w:top w:val="nil"/>
              <w:left w:val="nil"/>
              <w:bottom w:val="single" w:sz="4" w:space="0" w:color="auto"/>
              <w:right w:val="single" w:sz="4" w:space="0" w:color="auto"/>
            </w:tcBorders>
            <w:noWrap/>
            <w:vAlign w:val="bottom"/>
            <w:hideMark/>
          </w:tcPr>
          <w:p w14:paraId="48F7E27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65.30</w:t>
            </w:r>
          </w:p>
        </w:tc>
        <w:tc>
          <w:tcPr>
            <w:tcW w:w="0" w:type="auto"/>
            <w:tcBorders>
              <w:top w:val="nil"/>
              <w:left w:val="nil"/>
              <w:bottom w:val="single" w:sz="4" w:space="0" w:color="auto"/>
              <w:right w:val="single" w:sz="4" w:space="0" w:color="auto"/>
            </w:tcBorders>
            <w:noWrap/>
            <w:vAlign w:val="bottom"/>
            <w:hideMark/>
          </w:tcPr>
          <w:p w14:paraId="68B8FD2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59.47</w:t>
            </w:r>
          </w:p>
        </w:tc>
        <w:tc>
          <w:tcPr>
            <w:tcW w:w="0" w:type="auto"/>
            <w:tcBorders>
              <w:top w:val="nil"/>
              <w:left w:val="nil"/>
              <w:bottom w:val="single" w:sz="4" w:space="0" w:color="auto"/>
              <w:right w:val="single" w:sz="4" w:space="0" w:color="auto"/>
            </w:tcBorders>
            <w:noWrap/>
            <w:vAlign w:val="bottom"/>
            <w:hideMark/>
          </w:tcPr>
          <w:p w14:paraId="1BD5756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64.88</w:t>
            </w:r>
          </w:p>
        </w:tc>
        <w:tc>
          <w:tcPr>
            <w:tcW w:w="0" w:type="auto"/>
            <w:tcBorders>
              <w:top w:val="nil"/>
              <w:left w:val="nil"/>
              <w:bottom w:val="single" w:sz="4" w:space="0" w:color="auto"/>
              <w:right w:val="single" w:sz="4" w:space="0" w:color="auto"/>
            </w:tcBorders>
            <w:noWrap/>
            <w:vAlign w:val="bottom"/>
            <w:hideMark/>
          </w:tcPr>
          <w:p w14:paraId="6706946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62.50</w:t>
            </w:r>
          </w:p>
        </w:tc>
        <w:tc>
          <w:tcPr>
            <w:tcW w:w="0" w:type="auto"/>
            <w:tcBorders>
              <w:top w:val="nil"/>
              <w:left w:val="nil"/>
              <w:bottom w:val="single" w:sz="4" w:space="0" w:color="auto"/>
              <w:right w:val="single" w:sz="4" w:space="0" w:color="auto"/>
            </w:tcBorders>
            <w:noWrap/>
            <w:vAlign w:val="bottom"/>
            <w:hideMark/>
          </w:tcPr>
          <w:p w14:paraId="02787AB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62.23</w:t>
            </w:r>
          </w:p>
        </w:tc>
      </w:tr>
      <w:tr w:rsidR="0060278E" w:rsidRPr="0060278E" w14:paraId="22ACD832" w14:textId="77777777" w:rsidTr="00A31EC4">
        <w:trPr>
          <w:trHeight w:val="300"/>
          <w:jc w:val="center"/>
        </w:trPr>
        <w:tc>
          <w:tcPr>
            <w:tcW w:w="0" w:type="auto"/>
            <w:tcBorders>
              <w:top w:val="nil"/>
              <w:left w:val="single" w:sz="4" w:space="0" w:color="auto"/>
              <w:bottom w:val="single" w:sz="4" w:space="0" w:color="auto"/>
              <w:right w:val="single" w:sz="4" w:space="0" w:color="auto"/>
            </w:tcBorders>
            <w:noWrap/>
            <w:vAlign w:val="bottom"/>
            <w:hideMark/>
          </w:tcPr>
          <w:p w14:paraId="6DF901F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Payable days (PD)</w:t>
            </w:r>
          </w:p>
        </w:tc>
        <w:tc>
          <w:tcPr>
            <w:tcW w:w="0" w:type="auto"/>
            <w:tcBorders>
              <w:top w:val="nil"/>
              <w:left w:val="nil"/>
              <w:bottom w:val="single" w:sz="4" w:space="0" w:color="auto"/>
              <w:right w:val="single" w:sz="4" w:space="0" w:color="auto"/>
            </w:tcBorders>
            <w:noWrap/>
            <w:vAlign w:val="bottom"/>
            <w:hideMark/>
          </w:tcPr>
          <w:p w14:paraId="04CCDD2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Avg Payables*365/COGS</w:t>
            </w:r>
          </w:p>
        </w:tc>
        <w:tc>
          <w:tcPr>
            <w:tcW w:w="0" w:type="auto"/>
            <w:tcBorders>
              <w:top w:val="nil"/>
              <w:left w:val="nil"/>
              <w:bottom w:val="single" w:sz="4" w:space="0" w:color="auto"/>
              <w:right w:val="single" w:sz="4" w:space="0" w:color="auto"/>
            </w:tcBorders>
            <w:noWrap/>
            <w:vAlign w:val="bottom"/>
            <w:hideMark/>
          </w:tcPr>
          <w:p w14:paraId="424C45F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135.29</w:t>
            </w:r>
          </w:p>
        </w:tc>
        <w:tc>
          <w:tcPr>
            <w:tcW w:w="0" w:type="auto"/>
            <w:tcBorders>
              <w:top w:val="nil"/>
              <w:left w:val="nil"/>
              <w:bottom w:val="single" w:sz="4" w:space="0" w:color="auto"/>
              <w:right w:val="single" w:sz="4" w:space="0" w:color="auto"/>
            </w:tcBorders>
            <w:noWrap/>
            <w:vAlign w:val="bottom"/>
            <w:hideMark/>
          </w:tcPr>
          <w:p w14:paraId="032585D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82.65</w:t>
            </w:r>
          </w:p>
        </w:tc>
        <w:tc>
          <w:tcPr>
            <w:tcW w:w="0" w:type="auto"/>
            <w:tcBorders>
              <w:top w:val="nil"/>
              <w:left w:val="nil"/>
              <w:bottom w:val="single" w:sz="4" w:space="0" w:color="auto"/>
              <w:right w:val="single" w:sz="4" w:space="0" w:color="auto"/>
            </w:tcBorders>
            <w:noWrap/>
            <w:vAlign w:val="bottom"/>
            <w:hideMark/>
          </w:tcPr>
          <w:p w14:paraId="518CC39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65.96</w:t>
            </w:r>
          </w:p>
        </w:tc>
        <w:tc>
          <w:tcPr>
            <w:tcW w:w="0" w:type="auto"/>
            <w:tcBorders>
              <w:top w:val="nil"/>
              <w:left w:val="nil"/>
              <w:bottom w:val="single" w:sz="4" w:space="0" w:color="auto"/>
              <w:right w:val="single" w:sz="4" w:space="0" w:color="auto"/>
            </w:tcBorders>
            <w:noWrap/>
            <w:vAlign w:val="bottom"/>
            <w:hideMark/>
          </w:tcPr>
          <w:p w14:paraId="2038C8C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72.36</w:t>
            </w:r>
          </w:p>
        </w:tc>
        <w:tc>
          <w:tcPr>
            <w:tcW w:w="0" w:type="auto"/>
            <w:tcBorders>
              <w:top w:val="nil"/>
              <w:left w:val="nil"/>
              <w:bottom w:val="single" w:sz="4" w:space="0" w:color="auto"/>
              <w:right w:val="single" w:sz="4" w:space="0" w:color="auto"/>
            </w:tcBorders>
            <w:noWrap/>
            <w:vAlign w:val="bottom"/>
            <w:hideMark/>
          </w:tcPr>
          <w:p w14:paraId="3D7A94D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64.45</w:t>
            </w:r>
          </w:p>
        </w:tc>
      </w:tr>
      <w:tr w:rsidR="0060278E" w:rsidRPr="0060278E" w14:paraId="28881E4B" w14:textId="77777777" w:rsidTr="00A31EC4">
        <w:trPr>
          <w:trHeight w:val="300"/>
          <w:jc w:val="center"/>
        </w:trPr>
        <w:tc>
          <w:tcPr>
            <w:tcW w:w="0" w:type="auto"/>
            <w:tcBorders>
              <w:top w:val="nil"/>
              <w:left w:val="single" w:sz="4" w:space="0" w:color="auto"/>
              <w:bottom w:val="single" w:sz="4" w:space="0" w:color="auto"/>
              <w:right w:val="single" w:sz="4" w:space="0" w:color="auto"/>
            </w:tcBorders>
            <w:noWrap/>
            <w:vAlign w:val="bottom"/>
            <w:hideMark/>
          </w:tcPr>
          <w:p w14:paraId="5BEEB2B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6F4A9A9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1C19DF6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279C947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3CF954F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443DE54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0" w:type="auto"/>
            <w:tcBorders>
              <w:top w:val="nil"/>
              <w:left w:val="nil"/>
              <w:bottom w:val="single" w:sz="4" w:space="0" w:color="auto"/>
              <w:right w:val="single" w:sz="4" w:space="0" w:color="auto"/>
            </w:tcBorders>
            <w:noWrap/>
            <w:vAlign w:val="bottom"/>
            <w:hideMark/>
          </w:tcPr>
          <w:p w14:paraId="15924C5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7947F24B" w14:textId="77777777" w:rsidTr="00A31EC4">
        <w:trPr>
          <w:trHeight w:val="300"/>
          <w:jc w:val="center"/>
        </w:trPr>
        <w:tc>
          <w:tcPr>
            <w:tcW w:w="0" w:type="auto"/>
            <w:tcBorders>
              <w:top w:val="nil"/>
              <w:left w:val="single" w:sz="4" w:space="0" w:color="auto"/>
              <w:bottom w:val="single" w:sz="4" w:space="0" w:color="auto"/>
              <w:right w:val="single" w:sz="4" w:space="0" w:color="auto"/>
            </w:tcBorders>
            <w:noWrap/>
            <w:vAlign w:val="bottom"/>
            <w:hideMark/>
          </w:tcPr>
          <w:p w14:paraId="08FEF7E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Cash Operating Cycle (CCC)</w:t>
            </w:r>
          </w:p>
        </w:tc>
        <w:tc>
          <w:tcPr>
            <w:tcW w:w="0" w:type="auto"/>
            <w:tcBorders>
              <w:top w:val="nil"/>
              <w:left w:val="nil"/>
              <w:bottom w:val="single" w:sz="4" w:space="0" w:color="auto"/>
              <w:right w:val="single" w:sz="4" w:space="0" w:color="auto"/>
            </w:tcBorders>
            <w:noWrap/>
            <w:vAlign w:val="bottom"/>
            <w:hideMark/>
          </w:tcPr>
          <w:p w14:paraId="3879AF9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RD + ID - PD</w:t>
            </w:r>
          </w:p>
        </w:tc>
        <w:tc>
          <w:tcPr>
            <w:tcW w:w="0" w:type="auto"/>
            <w:tcBorders>
              <w:top w:val="nil"/>
              <w:left w:val="nil"/>
              <w:bottom w:val="single" w:sz="4" w:space="0" w:color="auto"/>
              <w:right w:val="single" w:sz="4" w:space="0" w:color="auto"/>
            </w:tcBorders>
            <w:noWrap/>
            <w:vAlign w:val="bottom"/>
            <w:hideMark/>
          </w:tcPr>
          <w:p w14:paraId="2F51F6B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-67.47</w:t>
            </w:r>
          </w:p>
        </w:tc>
        <w:tc>
          <w:tcPr>
            <w:tcW w:w="0" w:type="auto"/>
            <w:tcBorders>
              <w:top w:val="nil"/>
              <w:left w:val="nil"/>
              <w:bottom w:val="single" w:sz="4" w:space="0" w:color="auto"/>
              <w:right w:val="single" w:sz="4" w:space="0" w:color="auto"/>
            </w:tcBorders>
            <w:noWrap/>
            <w:vAlign w:val="bottom"/>
            <w:hideMark/>
          </w:tcPr>
          <w:p w14:paraId="7671BF0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-22.33</w:t>
            </w:r>
          </w:p>
        </w:tc>
        <w:tc>
          <w:tcPr>
            <w:tcW w:w="0" w:type="auto"/>
            <w:tcBorders>
              <w:top w:val="nil"/>
              <w:left w:val="nil"/>
              <w:bottom w:val="single" w:sz="4" w:space="0" w:color="auto"/>
              <w:right w:val="single" w:sz="4" w:space="0" w:color="auto"/>
            </w:tcBorders>
            <w:noWrap/>
            <w:vAlign w:val="bottom"/>
            <w:hideMark/>
          </w:tcPr>
          <w:p w14:paraId="04BABB3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-0.49</w:t>
            </w:r>
          </w:p>
        </w:tc>
        <w:tc>
          <w:tcPr>
            <w:tcW w:w="0" w:type="auto"/>
            <w:tcBorders>
              <w:top w:val="nil"/>
              <w:left w:val="nil"/>
              <w:bottom w:val="single" w:sz="4" w:space="0" w:color="auto"/>
              <w:right w:val="single" w:sz="4" w:space="0" w:color="auto"/>
            </w:tcBorders>
            <w:noWrap/>
            <w:vAlign w:val="bottom"/>
            <w:hideMark/>
          </w:tcPr>
          <w:p w14:paraId="0AAC61F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-8.55</w:t>
            </w:r>
          </w:p>
        </w:tc>
        <w:tc>
          <w:tcPr>
            <w:tcW w:w="0" w:type="auto"/>
            <w:tcBorders>
              <w:top w:val="nil"/>
              <w:left w:val="nil"/>
              <w:bottom w:val="single" w:sz="4" w:space="0" w:color="auto"/>
              <w:right w:val="single" w:sz="4" w:space="0" w:color="auto"/>
            </w:tcBorders>
            <w:noWrap/>
            <w:vAlign w:val="bottom"/>
            <w:hideMark/>
          </w:tcPr>
          <w:p w14:paraId="1237947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-0.92</w:t>
            </w:r>
          </w:p>
        </w:tc>
      </w:tr>
    </w:tbl>
    <w:p w14:paraId="4BFDCA46" w14:textId="77777777" w:rsidR="0060278E" w:rsidRDefault="0060278E" w:rsidP="00126423">
      <w:pPr>
        <w:rPr>
          <w:lang w:val="en-US"/>
        </w:rPr>
      </w:pPr>
    </w:p>
    <w:p w14:paraId="00577113" w14:textId="3599A2F8" w:rsidR="0060278E" w:rsidRDefault="0060278E">
      <w:pPr>
        <w:spacing w:line="259" w:lineRule="auto"/>
        <w:jc w:val="left"/>
        <w:rPr>
          <w:lang w:val="en-US"/>
        </w:rPr>
      </w:pPr>
      <w:r>
        <w:rPr>
          <w:lang w:val="en-US"/>
        </w:rPr>
        <w:br w:type="page"/>
      </w:r>
    </w:p>
    <w:p w14:paraId="620DDF5B" w14:textId="73C9F6A9" w:rsidR="0060278E" w:rsidRDefault="0060278E" w:rsidP="0060278E">
      <w:pPr>
        <w:pStyle w:val="Heading2"/>
        <w:rPr>
          <w:lang w:val="en-US"/>
        </w:rPr>
      </w:pPr>
      <w:bookmarkStart w:id="42" w:name="_Toc225846415"/>
      <w:r>
        <w:rPr>
          <w:lang w:val="en-US"/>
        </w:rPr>
        <w:t>Appendix 3 – Project appraisal and capital budgeting</w:t>
      </w:r>
      <w:bookmarkEnd w:id="42"/>
    </w:p>
    <w:tbl>
      <w:tblPr>
        <w:tblW w:w="7440" w:type="dxa"/>
        <w:jc w:val="center"/>
        <w:tblLook w:val="04A0" w:firstRow="1" w:lastRow="0" w:firstColumn="1" w:lastColumn="0" w:noHBand="0" w:noVBand="1"/>
      </w:tblPr>
      <w:tblGrid>
        <w:gridCol w:w="3220"/>
        <w:gridCol w:w="887"/>
        <w:gridCol w:w="831"/>
        <w:gridCol w:w="720"/>
        <w:gridCol w:w="831"/>
        <w:gridCol w:w="831"/>
        <w:gridCol w:w="720"/>
      </w:tblGrid>
      <w:tr w:rsidR="0060278E" w:rsidRPr="0060278E" w14:paraId="5A56A010" w14:textId="77777777" w:rsidTr="00A31EC4">
        <w:trPr>
          <w:trHeight w:val="300"/>
          <w:jc w:val="center"/>
        </w:trPr>
        <w:tc>
          <w:tcPr>
            <w:tcW w:w="3220" w:type="dxa"/>
            <w:tcBorders>
              <w:top w:val="single" w:sz="4" w:space="0" w:color="auto"/>
              <w:left w:val="single" w:sz="4" w:space="0" w:color="auto"/>
              <w:bottom w:val="single" w:sz="4" w:space="0" w:color="auto"/>
              <w:right w:val="single" w:sz="4" w:space="0" w:color="auto"/>
            </w:tcBorders>
            <w:noWrap/>
            <w:vAlign w:val="bottom"/>
            <w:hideMark/>
          </w:tcPr>
          <w:p w14:paraId="3BA3BF95"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Year</w:t>
            </w:r>
          </w:p>
        </w:tc>
        <w:tc>
          <w:tcPr>
            <w:tcW w:w="760" w:type="dxa"/>
            <w:tcBorders>
              <w:top w:val="single" w:sz="4" w:space="0" w:color="auto"/>
              <w:left w:val="nil"/>
              <w:bottom w:val="single" w:sz="4" w:space="0" w:color="auto"/>
              <w:right w:val="single" w:sz="4" w:space="0" w:color="auto"/>
            </w:tcBorders>
            <w:noWrap/>
            <w:vAlign w:val="bottom"/>
            <w:hideMark/>
          </w:tcPr>
          <w:p w14:paraId="13F9891A"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0</w:t>
            </w:r>
          </w:p>
        </w:tc>
        <w:tc>
          <w:tcPr>
            <w:tcW w:w="700" w:type="dxa"/>
            <w:tcBorders>
              <w:top w:val="single" w:sz="4" w:space="0" w:color="auto"/>
              <w:left w:val="nil"/>
              <w:bottom w:val="single" w:sz="4" w:space="0" w:color="auto"/>
              <w:right w:val="single" w:sz="4" w:space="0" w:color="auto"/>
            </w:tcBorders>
            <w:noWrap/>
            <w:vAlign w:val="bottom"/>
            <w:hideMark/>
          </w:tcPr>
          <w:p w14:paraId="670D7958"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1</w:t>
            </w:r>
          </w:p>
        </w:tc>
        <w:tc>
          <w:tcPr>
            <w:tcW w:w="700" w:type="dxa"/>
            <w:tcBorders>
              <w:top w:val="single" w:sz="4" w:space="0" w:color="auto"/>
              <w:left w:val="nil"/>
              <w:bottom w:val="single" w:sz="4" w:space="0" w:color="auto"/>
              <w:right w:val="single" w:sz="4" w:space="0" w:color="auto"/>
            </w:tcBorders>
            <w:noWrap/>
            <w:vAlign w:val="bottom"/>
            <w:hideMark/>
          </w:tcPr>
          <w:p w14:paraId="0AF50914"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w:t>
            </w:r>
          </w:p>
        </w:tc>
        <w:tc>
          <w:tcPr>
            <w:tcW w:w="700" w:type="dxa"/>
            <w:tcBorders>
              <w:top w:val="single" w:sz="4" w:space="0" w:color="auto"/>
              <w:left w:val="nil"/>
              <w:bottom w:val="single" w:sz="4" w:space="0" w:color="auto"/>
              <w:right w:val="single" w:sz="4" w:space="0" w:color="auto"/>
            </w:tcBorders>
            <w:noWrap/>
            <w:vAlign w:val="bottom"/>
            <w:hideMark/>
          </w:tcPr>
          <w:p w14:paraId="7569EB27"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3</w:t>
            </w:r>
          </w:p>
        </w:tc>
        <w:tc>
          <w:tcPr>
            <w:tcW w:w="700" w:type="dxa"/>
            <w:tcBorders>
              <w:top w:val="single" w:sz="4" w:space="0" w:color="auto"/>
              <w:left w:val="nil"/>
              <w:bottom w:val="single" w:sz="4" w:space="0" w:color="auto"/>
              <w:right w:val="single" w:sz="4" w:space="0" w:color="auto"/>
            </w:tcBorders>
            <w:noWrap/>
            <w:vAlign w:val="bottom"/>
            <w:hideMark/>
          </w:tcPr>
          <w:p w14:paraId="7B6F1B6B"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4</w:t>
            </w:r>
          </w:p>
        </w:tc>
        <w:tc>
          <w:tcPr>
            <w:tcW w:w="660" w:type="dxa"/>
            <w:tcBorders>
              <w:top w:val="single" w:sz="4" w:space="0" w:color="auto"/>
              <w:left w:val="nil"/>
              <w:bottom w:val="single" w:sz="4" w:space="0" w:color="auto"/>
              <w:right w:val="single" w:sz="4" w:space="0" w:color="auto"/>
            </w:tcBorders>
            <w:noWrap/>
            <w:vAlign w:val="bottom"/>
            <w:hideMark/>
          </w:tcPr>
          <w:p w14:paraId="707BD992"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5</w:t>
            </w:r>
          </w:p>
        </w:tc>
      </w:tr>
      <w:tr w:rsidR="0060278E" w:rsidRPr="0060278E" w14:paraId="6C2C81B3"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4847608D"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Project A (£m)</w:t>
            </w:r>
          </w:p>
        </w:tc>
        <w:tc>
          <w:tcPr>
            <w:tcW w:w="760" w:type="dxa"/>
            <w:tcBorders>
              <w:top w:val="nil"/>
              <w:left w:val="nil"/>
              <w:bottom w:val="single" w:sz="4" w:space="0" w:color="auto"/>
              <w:right w:val="single" w:sz="4" w:space="0" w:color="auto"/>
            </w:tcBorders>
            <w:noWrap/>
            <w:vAlign w:val="bottom"/>
            <w:hideMark/>
          </w:tcPr>
          <w:p w14:paraId="754FD9C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362E8B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485545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A028F5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F41B36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468B619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3EC950E8"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2789CA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Discoun rate (r)</w:t>
            </w:r>
          </w:p>
        </w:tc>
        <w:tc>
          <w:tcPr>
            <w:tcW w:w="760" w:type="dxa"/>
            <w:tcBorders>
              <w:top w:val="nil"/>
              <w:left w:val="nil"/>
              <w:bottom w:val="single" w:sz="4" w:space="0" w:color="auto"/>
              <w:right w:val="single" w:sz="4" w:space="0" w:color="auto"/>
            </w:tcBorders>
            <w:noWrap/>
            <w:vAlign w:val="bottom"/>
            <w:hideMark/>
          </w:tcPr>
          <w:p w14:paraId="681F5B0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15F3447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096EA9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8B3714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70CE43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149BF9C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217DBAA5"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4C31AE6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Discounting factor (1/(1+r)^Year)</w:t>
            </w:r>
          </w:p>
        </w:tc>
        <w:tc>
          <w:tcPr>
            <w:tcW w:w="760" w:type="dxa"/>
            <w:tcBorders>
              <w:top w:val="nil"/>
              <w:left w:val="nil"/>
              <w:bottom w:val="single" w:sz="4" w:space="0" w:color="auto"/>
              <w:right w:val="single" w:sz="4" w:space="0" w:color="auto"/>
            </w:tcBorders>
            <w:noWrap/>
            <w:vAlign w:val="bottom"/>
            <w:hideMark/>
          </w:tcPr>
          <w:p w14:paraId="28FD2C6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1.000</w:t>
            </w:r>
          </w:p>
        </w:tc>
        <w:tc>
          <w:tcPr>
            <w:tcW w:w="700" w:type="dxa"/>
            <w:tcBorders>
              <w:top w:val="nil"/>
              <w:left w:val="nil"/>
              <w:bottom w:val="single" w:sz="4" w:space="0" w:color="auto"/>
              <w:right w:val="single" w:sz="4" w:space="0" w:color="auto"/>
            </w:tcBorders>
            <w:noWrap/>
            <w:vAlign w:val="bottom"/>
            <w:hideMark/>
          </w:tcPr>
          <w:p w14:paraId="139DCDC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0.909</w:t>
            </w:r>
          </w:p>
        </w:tc>
        <w:tc>
          <w:tcPr>
            <w:tcW w:w="700" w:type="dxa"/>
            <w:tcBorders>
              <w:top w:val="nil"/>
              <w:left w:val="nil"/>
              <w:bottom w:val="single" w:sz="4" w:space="0" w:color="auto"/>
              <w:right w:val="single" w:sz="4" w:space="0" w:color="auto"/>
            </w:tcBorders>
            <w:noWrap/>
            <w:vAlign w:val="bottom"/>
            <w:hideMark/>
          </w:tcPr>
          <w:p w14:paraId="27EC1B0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0.826</w:t>
            </w:r>
          </w:p>
        </w:tc>
        <w:tc>
          <w:tcPr>
            <w:tcW w:w="700" w:type="dxa"/>
            <w:tcBorders>
              <w:top w:val="nil"/>
              <w:left w:val="nil"/>
              <w:bottom w:val="single" w:sz="4" w:space="0" w:color="auto"/>
              <w:right w:val="single" w:sz="4" w:space="0" w:color="auto"/>
            </w:tcBorders>
            <w:noWrap/>
            <w:vAlign w:val="bottom"/>
            <w:hideMark/>
          </w:tcPr>
          <w:p w14:paraId="27D54C7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0.751</w:t>
            </w:r>
          </w:p>
        </w:tc>
        <w:tc>
          <w:tcPr>
            <w:tcW w:w="700" w:type="dxa"/>
            <w:tcBorders>
              <w:top w:val="nil"/>
              <w:left w:val="nil"/>
              <w:bottom w:val="single" w:sz="4" w:space="0" w:color="auto"/>
              <w:right w:val="single" w:sz="4" w:space="0" w:color="auto"/>
            </w:tcBorders>
            <w:noWrap/>
            <w:vAlign w:val="bottom"/>
            <w:hideMark/>
          </w:tcPr>
          <w:p w14:paraId="3CE3F75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0.683</w:t>
            </w:r>
          </w:p>
        </w:tc>
        <w:tc>
          <w:tcPr>
            <w:tcW w:w="660" w:type="dxa"/>
            <w:tcBorders>
              <w:top w:val="nil"/>
              <w:left w:val="nil"/>
              <w:bottom w:val="single" w:sz="4" w:space="0" w:color="auto"/>
              <w:right w:val="single" w:sz="4" w:space="0" w:color="auto"/>
            </w:tcBorders>
            <w:noWrap/>
            <w:vAlign w:val="bottom"/>
            <w:hideMark/>
          </w:tcPr>
          <w:p w14:paraId="109439E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0.621</w:t>
            </w:r>
          </w:p>
        </w:tc>
      </w:tr>
      <w:tr w:rsidR="0060278E" w:rsidRPr="0060278E" w14:paraId="19EF939E"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F6E051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6AC6F3B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D8086B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6BD5FE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A1585D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6BBC63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CAF3E2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29908A94"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16FED23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IInvestment</w:t>
            </w:r>
          </w:p>
        </w:tc>
        <w:tc>
          <w:tcPr>
            <w:tcW w:w="760" w:type="dxa"/>
            <w:tcBorders>
              <w:top w:val="nil"/>
              <w:left w:val="nil"/>
              <w:bottom w:val="single" w:sz="4" w:space="0" w:color="auto"/>
              <w:right w:val="single" w:sz="4" w:space="0" w:color="auto"/>
            </w:tcBorders>
            <w:noWrap/>
            <w:vAlign w:val="bottom"/>
            <w:hideMark/>
          </w:tcPr>
          <w:p w14:paraId="48D35C3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6F84F0A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A115EF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774B5A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369503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A36F63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3C758ADD"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921072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Cash Inflow</w:t>
            </w:r>
          </w:p>
        </w:tc>
        <w:tc>
          <w:tcPr>
            <w:tcW w:w="760" w:type="dxa"/>
            <w:tcBorders>
              <w:top w:val="nil"/>
              <w:left w:val="nil"/>
              <w:bottom w:val="single" w:sz="4" w:space="0" w:color="auto"/>
              <w:right w:val="single" w:sz="4" w:space="0" w:color="auto"/>
            </w:tcBorders>
            <w:noWrap/>
            <w:vAlign w:val="bottom"/>
            <w:hideMark/>
          </w:tcPr>
          <w:p w14:paraId="731BAC7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7B460D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2DF5066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w:t>
            </w:r>
          </w:p>
        </w:tc>
        <w:tc>
          <w:tcPr>
            <w:tcW w:w="700" w:type="dxa"/>
            <w:tcBorders>
              <w:top w:val="nil"/>
              <w:left w:val="nil"/>
              <w:bottom w:val="single" w:sz="4" w:space="0" w:color="auto"/>
              <w:right w:val="single" w:sz="4" w:space="0" w:color="auto"/>
            </w:tcBorders>
            <w:noWrap/>
            <w:vAlign w:val="bottom"/>
            <w:hideMark/>
          </w:tcPr>
          <w:p w14:paraId="2C048560"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14</w:t>
            </w:r>
          </w:p>
        </w:tc>
        <w:tc>
          <w:tcPr>
            <w:tcW w:w="700" w:type="dxa"/>
            <w:tcBorders>
              <w:top w:val="nil"/>
              <w:left w:val="nil"/>
              <w:bottom w:val="single" w:sz="4" w:space="0" w:color="auto"/>
              <w:right w:val="single" w:sz="4" w:space="0" w:color="auto"/>
            </w:tcBorders>
            <w:noWrap/>
            <w:vAlign w:val="bottom"/>
            <w:hideMark/>
          </w:tcPr>
          <w:p w14:paraId="447D7E6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660" w:type="dxa"/>
            <w:tcBorders>
              <w:top w:val="nil"/>
              <w:left w:val="nil"/>
              <w:bottom w:val="single" w:sz="4" w:space="0" w:color="auto"/>
              <w:right w:val="single" w:sz="4" w:space="0" w:color="auto"/>
            </w:tcBorders>
            <w:noWrap/>
            <w:vAlign w:val="bottom"/>
            <w:hideMark/>
          </w:tcPr>
          <w:p w14:paraId="1D68118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w:t>
            </w:r>
          </w:p>
        </w:tc>
      </w:tr>
      <w:tr w:rsidR="0060278E" w:rsidRPr="0060278E" w14:paraId="5D8314E5"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45D0ED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010E02D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18F3A8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EC46F9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0FA859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5E469D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56BE4C5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7D2FF6CE"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8C581F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Net Cashflow</w:t>
            </w:r>
          </w:p>
        </w:tc>
        <w:tc>
          <w:tcPr>
            <w:tcW w:w="760" w:type="dxa"/>
            <w:tcBorders>
              <w:top w:val="nil"/>
              <w:left w:val="nil"/>
              <w:bottom w:val="single" w:sz="4" w:space="0" w:color="auto"/>
              <w:right w:val="single" w:sz="4" w:space="0" w:color="auto"/>
            </w:tcBorders>
            <w:noWrap/>
            <w:vAlign w:val="bottom"/>
            <w:hideMark/>
          </w:tcPr>
          <w:p w14:paraId="1C1896D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7660487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66C9EA0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12</w:t>
            </w:r>
          </w:p>
        </w:tc>
        <w:tc>
          <w:tcPr>
            <w:tcW w:w="700" w:type="dxa"/>
            <w:tcBorders>
              <w:top w:val="nil"/>
              <w:left w:val="nil"/>
              <w:bottom w:val="single" w:sz="4" w:space="0" w:color="auto"/>
              <w:right w:val="single" w:sz="4" w:space="0" w:color="auto"/>
            </w:tcBorders>
            <w:noWrap/>
            <w:vAlign w:val="bottom"/>
            <w:hideMark/>
          </w:tcPr>
          <w:p w14:paraId="6B2504A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14</w:t>
            </w:r>
          </w:p>
        </w:tc>
        <w:tc>
          <w:tcPr>
            <w:tcW w:w="700" w:type="dxa"/>
            <w:tcBorders>
              <w:top w:val="nil"/>
              <w:left w:val="nil"/>
              <w:bottom w:val="single" w:sz="4" w:space="0" w:color="auto"/>
              <w:right w:val="single" w:sz="4" w:space="0" w:color="auto"/>
            </w:tcBorders>
            <w:noWrap/>
            <w:vAlign w:val="bottom"/>
            <w:hideMark/>
          </w:tcPr>
          <w:p w14:paraId="06309E9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660" w:type="dxa"/>
            <w:tcBorders>
              <w:top w:val="nil"/>
              <w:left w:val="nil"/>
              <w:bottom w:val="single" w:sz="4" w:space="0" w:color="auto"/>
              <w:right w:val="single" w:sz="4" w:space="0" w:color="auto"/>
            </w:tcBorders>
            <w:noWrap/>
            <w:vAlign w:val="bottom"/>
            <w:hideMark/>
          </w:tcPr>
          <w:p w14:paraId="1241B100"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w:t>
            </w:r>
          </w:p>
        </w:tc>
      </w:tr>
      <w:tr w:rsidR="0060278E" w:rsidRPr="0060278E" w14:paraId="2ADDC92B"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41C4AA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Cum. Cashflow</w:t>
            </w:r>
          </w:p>
        </w:tc>
        <w:tc>
          <w:tcPr>
            <w:tcW w:w="760" w:type="dxa"/>
            <w:tcBorders>
              <w:top w:val="nil"/>
              <w:left w:val="nil"/>
              <w:bottom w:val="single" w:sz="4" w:space="0" w:color="auto"/>
              <w:right w:val="single" w:sz="4" w:space="0" w:color="auto"/>
            </w:tcBorders>
            <w:noWrap/>
            <w:vAlign w:val="bottom"/>
            <w:hideMark/>
          </w:tcPr>
          <w:p w14:paraId="3C69A2D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3B9903B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-40</w:t>
            </w:r>
          </w:p>
        </w:tc>
        <w:tc>
          <w:tcPr>
            <w:tcW w:w="700" w:type="dxa"/>
            <w:tcBorders>
              <w:top w:val="nil"/>
              <w:left w:val="nil"/>
              <w:bottom w:val="single" w:sz="4" w:space="0" w:color="auto"/>
              <w:right w:val="single" w:sz="4" w:space="0" w:color="auto"/>
            </w:tcBorders>
            <w:noWrap/>
            <w:vAlign w:val="bottom"/>
            <w:hideMark/>
          </w:tcPr>
          <w:p w14:paraId="782FAB9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-28</w:t>
            </w:r>
          </w:p>
        </w:tc>
        <w:tc>
          <w:tcPr>
            <w:tcW w:w="700" w:type="dxa"/>
            <w:tcBorders>
              <w:top w:val="nil"/>
              <w:left w:val="nil"/>
              <w:bottom w:val="single" w:sz="4" w:space="0" w:color="auto"/>
              <w:right w:val="single" w:sz="4" w:space="0" w:color="auto"/>
            </w:tcBorders>
            <w:noWrap/>
            <w:vAlign w:val="bottom"/>
            <w:hideMark/>
          </w:tcPr>
          <w:p w14:paraId="57D6973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-14</w:t>
            </w:r>
          </w:p>
        </w:tc>
        <w:tc>
          <w:tcPr>
            <w:tcW w:w="700" w:type="dxa"/>
            <w:tcBorders>
              <w:top w:val="nil"/>
              <w:left w:val="nil"/>
              <w:bottom w:val="single" w:sz="4" w:space="0" w:color="auto"/>
              <w:right w:val="single" w:sz="4" w:space="0" w:color="auto"/>
            </w:tcBorders>
            <w:noWrap/>
            <w:vAlign w:val="bottom"/>
            <w:hideMark/>
          </w:tcPr>
          <w:p w14:paraId="5E7437C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w:t>
            </w:r>
          </w:p>
        </w:tc>
        <w:tc>
          <w:tcPr>
            <w:tcW w:w="660" w:type="dxa"/>
            <w:tcBorders>
              <w:top w:val="nil"/>
              <w:left w:val="nil"/>
              <w:bottom w:val="single" w:sz="4" w:space="0" w:color="auto"/>
              <w:right w:val="single" w:sz="4" w:space="0" w:color="auto"/>
            </w:tcBorders>
            <w:noWrap/>
            <w:vAlign w:val="bottom"/>
            <w:hideMark/>
          </w:tcPr>
          <w:p w14:paraId="2B8BBCF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w:t>
            </w:r>
          </w:p>
        </w:tc>
      </w:tr>
      <w:tr w:rsidR="0060278E" w:rsidRPr="0060278E" w14:paraId="2B42C9C9"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197B444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28F6059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1426B5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C1CECD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CB757E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0B38C0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531016A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7F66D524"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C43DCD1"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Payback Period (PBP)</w:t>
            </w:r>
          </w:p>
        </w:tc>
        <w:tc>
          <w:tcPr>
            <w:tcW w:w="760" w:type="dxa"/>
            <w:tcBorders>
              <w:top w:val="nil"/>
              <w:left w:val="nil"/>
              <w:bottom w:val="single" w:sz="4" w:space="0" w:color="auto"/>
              <w:right w:val="single" w:sz="4" w:space="0" w:color="auto"/>
            </w:tcBorders>
            <w:noWrap/>
            <w:vAlign w:val="bottom"/>
            <w:hideMark/>
          </w:tcPr>
          <w:p w14:paraId="127B0BA1"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4.50</w:t>
            </w:r>
          </w:p>
        </w:tc>
        <w:tc>
          <w:tcPr>
            <w:tcW w:w="700" w:type="dxa"/>
            <w:tcBorders>
              <w:top w:val="nil"/>
              <w:left w:val="nil"/>
              <w:bottom w:val="single" w:sz="4" w:space="0" w:color="auto"/>
              <w:right w:val="single" w:sz="4" w:space="0" w:color="auto"/>
            </w:tcBorders>
            <w:noWrap/>
            <w:vAlign w:val="bottom"/>
            <w:hideMark/>
          </w:tcPr>
          <w:p w14:paraId="1579E0D4"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years</w:t>
            </w:r>
          </w:p>
        </w:tc>
        <w:tc>
          <w:tcPr>
            <w:tcW w:w="700" w:type="dxa"/>
            <w:tcBorders>
              <w:top w:val="nil"/>
              <w:left w:val="nil"/>
              <w:bottom w:val="single" w:sz="4" w:space="0" w:color="auto"/>
              <w:right w:val="single" w:sz="4" w:space="0" w:color="auto"/>
            </w:tcBorders>
            <w:noWrap/>
            <w:vAlign w:val="bottom"/>
            <w:hideMark/>
          </w:tcPr>
          <w:p w14:paraId="7FB2E77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D67119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61A481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94C4E5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1CA4D216"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70BCF6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Average profit</w:t>
            </w:r>
          </w:p>
        </w:tc>
        <w:tc>
          <w:tcPr>
            <w:tcW w:w="760" w:type="dxa"/>
            <w:tcBorders>
              <w:top w:val="nil"/>
              <w:left w:val="nil"/>
              <w:bottom w:val="single" w:sz="4" w:space="0" w:color="auto"/>
              <w:right w:val="single" w:sz="4" w:space="0" w:color="auto"/>
            </w:tcBorders>
            <w:noWrap/>
            <w:vAlign w:val="bottom"/>
            <w:hideMark/>
          </w:tcPr>
          <w:p w14:paraId="0B213A2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0.80</w:t>
            </w:r>
          </w:p>
        </w:tc>
        <w:tc>
          <w:tcPr>
            <w:tcW w:w="700" w:type="dxa"/>
            <w:tcBorders>
              <w:top w:val="nil"/>
              <w:left w:val="nil"/>
              <w:bottom w:val="single" w:sz="4" w:space="0" w:color="auto"/>
              <w:right w:val="single" w:sz="4" w:space="0" w:color="auto"/>
            </w:tcBorders>
            <w:noWrap/>
            <w:vAlign w:val="bottom"/>
            <w:hideMark/>
          </w:tcPr>
          <w:p w14:paraId="14BFB9F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A4CFDA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6AB1AB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D2C1F9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0C5BB0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2B406ADC"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A1C67F6"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Acounting Rate of Return (ARR)</w:t>
            </w:r>
          </w:p>
        </w:tc>
        <w:tc>
          <w:tcPr>
            <w:tcW w:w="760" w:type="dxa"/>
            <w:tcBorders>
              <w:top w:val="nil"/>
              <w:left w:val="nil"/>
              <w:bottom w:val="single" w:sz="4" w:space="0" w:color="auto"/>
              <w:right w:val="single" w:sz="4" w:space="0" w:color="auto"/>
            </w:tcBorders>
            <w:noWrap/>
            <w:vAlign w:val="bottom"/>
            <w:hideMark/>
          </w:tcPr>
          <w:p w14:paraId="2ECD3DA2"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1.60%</w:t>
            </w:r>
          </w:p>
        </w:tc>
        <w:tc>
          <w:tcPr>
            <w:tcW w:w="700" w:type="dxa"/>
            <w:tcBorders>
              <w:top w:val="nil"/>
              <w:left w:val="nil"/>
              <w:bottom w:val="single" w:sz="4" w:space="0" w:color="auto"/>
              <w:right w:val="single" w:sz="4" w:space="0" w:color="auto"/>
            </w:tcBorders>
            <w:noWrap/>
            <w:vAlign w:val="bottom"/>
            <w:hideMark/>
          </w:tcPr>
          <w:p w14:paraId="12C22DA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E5ECD5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5F862B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4F0C83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143E0B3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0172F439"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15050C3"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Internal Rate of Return (IRR)</w:t>
            </w:r>
          </w:p>
        </w:tc>
        <w:tc>
          <w:tcPr>
            <w:tcW w:w="760" w:type="dxa"/>
            <w:tcBorders>
              <w:top w:val="nil"/>
              <w:left w:val="nil"/>
              <w:bottom w:val="single" w:sz="4" w:space="0" w:color="auto"/>
              <w:right w:val="single" w:sz="4" w:space="0" w:color="auto"/>
            </w:tcBorders>
            <w:noWrap/>
            <w:vAlign w:val="bottom"/>
            <w:hideMark/>
          </w:tcPr>
          <w:p w14:paraId="613736AF"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2.72%</w:t>
            </w:r>
          </w:p>
        </w:tc>
        <w:tc>
          <w:tcPr>
            <w:tcW w:w="700" w:type="dxa"/>
            <w:tcBorders>
              <w:top w:val="nil"/>
              <w:left w:val="nil"/>
              <w:bottom w:val="single" w:sz="4" w:space="0" w:color="auto"/>
              <w:right w:val="single" w:sz="4" w:space="0" w:color="auto"/>
            </w:tcBorders>
            <w:noWrap/>
            <w:vAlign w:val="bottom"/>
            <w:hideMark/>
          </w:tcPr>
          <w:p w14:paraId="1E39BC5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7FBAE4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D5A7F2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3CC404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1DCAA04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0EA45CB5"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20FE5E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26F4B04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41B90D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08F44C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34F6EB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95806F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110053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7BAD737A"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528543E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Present Value (PV)</w:t>
            </w:r>
          </w:p>
        </w:tc>
        <w:tc>
          <w:tcPr>
            <w:tcW w:w="760" w:type="dxa"/>
            <w:tcBorders>
              <w:top w:val="nil"/>
              <w:left w:val="nil"/>
              <w:bottom w:val="single" w:sz="4" w:space="0" w:color="auto"/>
              <w:right w:val="single" w:sz="4" w:space="0" w:color="auto"/>
            </w:tcBorders>
            <w:noWrap/>
            <w:vAlign w:val="bottom"/>
            <w:hideMark/>
          </w:tcPr>
          <w:p w14:paraId="5D89C41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-50.000</w:t>
            </w:r>
          </w:p>
        </w:tc>
        <w:tc>
          <w:tcPr>
            <w:tcW w:w="700" w:type="dxa"/>
            <w:tcBorders>
              <w:top w:val="nil"/>
              <w:left w:val="nil"/>
              <w:bottom w:val="single" w:sz="4" w:space="0" w:color="auto"/>
              <w:right w:val="single" w:sz="4" w:space="0" w:color="auto"/>
            </w:tcBorders>
            <w:noWrap/>
            <w:vAlign w:val="bottom"/>
            <w:hideMark/>
          </w:tcPr>
          <w:p w14:paraId="0934666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9.091</w:t>
            </w:r>
          </w:p>
        </w:tc>
        <w:tc>
          <w:tcPr>
            <w:tcW w:w="700" w:type="dxa"/>
            <w:tcBorders>
              <w:top w:val="nil"/>
              <w:left w:val="nil"/>
              <w:bottom w:val="single" w:sz="4" w:space="0" w:color="auto"/>
              <w:right w:val="single" w:sz="4" w:space="0" w:color="auto"/>
            </w:tcBorders>
            <w:noWrap/>
            <w:vAlign w:val="bottom"/>
            <w:hideMark/>
          </w:tcPr>
          <w:p w14:paraId="3A49FC5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9.917</w:t>
            </w:r>
          </w:p>
        </w:tc>
        <w:tc>
          <w:tcPr>
            <w:tcW w:w="700" w:type="dxa"/>
            <w:tcBorders>
              <w:top w:val="nil"/>
              <w:left w:val="nil"/>
              <w:bottom w:val="single" w:sz="4" w:space="0" w:color="auto"/>
              <w:right w:val="single" w:sz="4" w:space="0" w:color="auto"/>
            </w:tcBorders>
            <w:noWrap/>
            <w:vAlign w:val="bottom"/>
            <w:hideMark/>
          </w:tcPr>
          <w:p w14:paraId="4361D3B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10.518</w:t>
            </w:r>
          </w:p>
        </w:tc>
        <w:tc>
          <w:tcPr>
            <w:tcW w:w="700" w:type="dxa"/>
            <w:tcBorders>
              <w:top w:val="nil"/>
              <w:left w:val="nil"/>
              <w:bottom w:val="single" w:sz="4" w:space="0" w:color="auto"/>
              <w:right w:val="single" w:sz="4" w:space="0" w:color="auto"/>
            </w:tcBorders>
            <w:noWrap/>
            <w:vAlign w:val="bottom"/>
            <w:hideMark/>
          </w:tcPr>
          <w:p w14:paraId="1B0506D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6.830</w:t>
            </w:r>
          </w:p>
        </w:tc>
        <w:tc>
          <w:tcPr>
            <w:tcW w:w="660" w:type="dxa"/>
            <w:tcBorders>
              <w:top w:val="nil"/>
              <w:left w:val="nil"/>
              <w:bottom w:val="single" w:sz="4" w:space="0" w:color="auto"/>
              <w:right w:val="single" w:sz="4" w:space="0" w:color="auto"/>
            </w:tcBorders>
            <w:noWrap/>
            <w:vAlign w:val="bottom"/>
            <w:hideMark/>
          </w:tcPr>
          <w:p w14:paraId="2AE3AE9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4.967</w:t>
            </w:r>
          </w:p>
        </w:tc>
      </w:tr>
      <w:tr w:rsidR="0060278E" w:rsidRPr="0060278E" w14:paraId="79DA73B2"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4833F7F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Total PV of inflows</w:t>
            </w:r>
          </w:p>
        </w:tc>
        <w:tc>
          <w:tcPr>
            <w:tcW w:w="760" w:type="dxa"/>
            <w:tcBorders>
              <w:top w:val="nil"/>
              <w:left w:val="nil"/>
              <w:bottom w:val="single" w:sz="4" w:space="0" w:color="auto"/>
              <w:right w:val="single" w:sz="4" w:space="0" w:color="auto"/>
            </w:tcBorders>
            <w:noWrap/>
            <w:vAlign w:val="bottom"/>
            <w:hideMark/>
          </w:tcPr>
          <w:p w14:paraId="0CBDC20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41.324</w:t>
            </w:r>
          </w:p>
        </w:tc>
        <w:tc>
          <w:tcPr>
            <w:tcW w:w="700" w:type="dxa"/>
            <w:tcBorders>
              <w:top w:val="nil"/>
              <w:left w:val="nil"/>
              <w:bottom w:val="single" w:sz="4" w:space="0" w:color="auto"/>
              <w:right w:val="single" w:sz="4" w:space="0" w:color="auto"/>
            </w:tcBorders>
            <w:noWrap/>
            <w:vAlign w:val="bottom"/>
            <w:hideMark/>
          </w:tcPr>
          <w:p w14:paraId="66C9A94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170437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AD80B7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D3B82C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2F15FEB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2ECCF434"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4C95681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1AC791C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5303B1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65792E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8AAC47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A40C7D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323ED06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13B464DD"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7C13600"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Net Present Value (NPV)</w:t>
            </w:r>
          </w:p>
        </w:tc>
        <w:tc>
          <w:tcPr>
            <w:tcW w:w="760" w:type="dxa"/>
            <w:tcBorders>
              <w:top w:val="nil"/>
              <w:left w:val="nil"/>
              <w:bottom w:val="single" w:sz="4" w:space="0" w:color="auto"/>
              <w:right w:val="single" w:sz="4" w:space="0" w:color="auto"/>
            </w:tcBorders>
            <w:noWrap/>
            <w:vAlign w:val="bottom"/>
            <w:hideMark/>
          </w:tcPr>
          <w:p w14:paraId="1A415FF1"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-8.676</w:t>
            </w:r>
          </w:p>
        </w:tc>
        <w:tc>
          <w:tcPr>
            <w:tcW w:w="700" w:type="dxa"/>
            <w:tcBorders>
              <w:top w:val="nil"/>
              <w:left w:val="nil"/>
              <w:bottom w:val="single" w:sz="4" w:space="0" w:color="auto"/>
              <w:right w:val="single" w:sz="4" w:space="0" w:color="auto"/>
            </w:tcBorders>
            <w:noWrap/>
            <w:vAlign w:val="bottom"/>
            <w:hideMark/>
          </w:tcPr>
          <w:p w14:paraId="590A4E0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B606C8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D319A1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2F2479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13B14BC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4BC0BF19"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A8E30C7"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Profitability Index (PI)</w:t>
            </w:r>
          </w:p>
        </w:tc>
        <w:tc>
          <w:tcPr>
            <w:tcW w:w="760" w:type="dxa"/>
            <w:tcBorders>
              <w:top w:val="nil"/>
              <w:left w:val="nil"/>
              <w:bottom w:val="single" w:sz="4" w:space="0" w:color="auto"/>
              <w:right w:val="single" w:sz="4" w:space="0" w:color="auto"/>
            </w:tcBorders>
            <w:noWrap/>
            <w:vAlign w:val="bottom"/>
            <w:hideMark/>
          </w:tcPr>
          <w:p w14:paraId="0BF20881"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82.65%</w:t>
            </w:r>
          </w:p>
        </w:tc>
        <w:tc>
          <w:tcPr>
            <w:tcW w:w="700" w:type="dxa"/>
            <w:tcBorders>
              <w:top w:val="nil"/>
              <w:left w:val="nil"/>
              <w:bottom w:val="single" w:sz="4" w:space="0" w:color="auto"/>
              <w:right w:val="single" w:sz="4" w:space="0" w:color="auto"/>
            </w:tcBorders>
            <w:noWrap/>
            <w:vAlign w:val="bottom"/>
            <w:hideMark/>
          </w:tcPr>
          <w:p w14:paraId="5F3CF7E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0FF5E3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FCE432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6F289C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19C7EF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E0D4052" w14:textId="77777777" w:rsidTr="00A31EC4">
        <w:trPr>
          <w:trHeight w:val="300"/>
          <w:jc w:val="center"/>
        </w:trPr>
        <w:tc>
          <w:tcPr>
            <w:tcW w:w="3220" w:type="dxa"/>
            <w:tcBorders>
              <w:top w:val="nil"/>
              <w:left w:val="nil"/>
              <w:bottom w:val="nil"/>
              <w:right w:val="nil"/>
            </w:tcBorders>
            <w:noWrap/>
            <w:vAlign w:val="bottom"/>
            <w:hideMark/>
          </w:tcPr>
          <w:p w14:paraId="3C70005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p>
        </w:tc>
        <w:tc>
          <w:tcPr>
            <w:tcW w:w="760" w:type="dxa"/>
            <w:tcBorders>
              <w:top w:val="nil"/>
              <w:left w:val="nil"/>
              <w:bottom w:val="nil"/>
              <w:right w:val="nil"/>
            </w:tcBorders>
            <w:noWrap/>
            <w:vAlign w:val="bottom"/>
            <w:hideMark/>
          </w:tcPr>
          <w:p w14:paraId="2FC9F6C7"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720CFCB8"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7748032B"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20AE9138"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6405C9EA"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660" w:type="dxa"/>
            <w:tcBorders>
              <w:top w:val="nil"/>
              <w:left w:val="nil"/>
              <w:bottom w:val="nil"/>
              <w:right w:val="nil"/>
            </w:tcBorders>
            <w:noWrap/>
            <w:vAlign w:val="bottom"/>
            <w:hideMark/>
          </w:tcPr>
          <w:p w14:paraId="4D1FF52B" w14:textId="77777777" w:rsidR="0060278E" w:rsidRPr="0060278E" w:rsidRDefault="0060278E" w:rsidP="0060278E">
            <w:pPr>
              <w:spacing w:after="0" w:line="240" w:lineRule="auto"/>
              <w:jc w:val="left"/>
              <w:rPr>
                <w:rFonts w:eastAsia="Times New Roman" w:cs="Times New Roman"/>
                <w:sz w:val="20"/>
                <w:szCs w:val="20"/>
                <w:lang w:eastAsia="en-GB"/>
              </w:rPr>
            </w:pPr>
          </w:p>
        </w:tc>
      </w:tr>
      <w:tr w:rsidR="0060278E" w:rsidRPr="0060278E" w14:paraId="4127FF63" w14:textId="77777777" w:rsidTr="00A31EC4">
        <w:trPr>
          <w:trHeight w:val="300"/>
          <w:jc w:val="center"/>
        </w:trPr>
        <w:tc>
          <w:tcPr>
            <w:tcW w:w="3220" w:type="dxa"/>
            <w:tcBorders>
              <w:top w:val="nil"/>
              <w:left w:val="nil"/>
              <w:bottom w:val="nil"/>
              <w:right w:val="nil"/>
            </w:tcBorders>
            <w:noWrap/>
            <w:vAlign w:val="bottom"/>
            <w:hideMark/>
          </w:tcPr>
          <w:p w14:paraId="3D69717E"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60" w:type="dxa"/>
            <w:tcBorders>
              <w:top w:val="nil"/>
              <w:left w:val="nil"/>
              <w:bottom w:val="nil"/>
              <w:right w:val="nil"/>
            </w:tcBorders>
            <w:noWrap/>
            <w:vAlign w:val="bottom"/>
            <w:hideMark/>
          </w:tcPr>
          <w:p w14:paraId="1133B13D"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0723290F"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6AEAEB41"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51500F67"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076BC6C0"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660" w:type="dxa"/>
            <w:tcBorders>
              <w:top w:val="nil"/>
              <w:left w:val="nil"/>
              <w:bottom w:val="nil"/>
              <w:right w:val="nil"/>
            </w:tcBorders>
            <w:noWrap/>
            <w:vAlign w:val="bottom"/>
            <w:hideMark/>
          </w:tcPr>
          <w:p w14:paraId="4CB46F8B" w14:textId="77777777" w:rsidR="0060278E" w:rsidRPr="0060278E" w:rsidRDefault="0060278E" w:rsidP="0060278E">
            <w:pPr>
              <w:spacing w:after="0" w:line="240" w:lineRule="auto"/>
              <w:jc w:val="left"/>
              <w:rPr>
                <w:rFonts w:eastAsia="Times New Roman" w:cs="Times New Roman"/>
                <w:sz w:val="20"/>
                <w:szCs w:val="20"/>
                <w:lang w:eastAsia="en-GB"/>
              </w:rPr>
            </w:pPr>
          </w:p>
        </w:tc>
      </w:tr>
      <w:tr w:rsidR="0060278E" w:rsidRPr="0060278E" w14:paraId="4B113BB2" w14:textId="77777777" w:rsidTr="00A31EC4">
        <w:trPr>
          <w:trHeight w:val="300"/>
          <w:jc w:val="center"/>
        </w:trPr>
        <w:tc>
          <w:tcPr>
            <w:tcW w:w="3220" w:type="dxa"/>
            <w:tcBorders>
              <w:top w:val="single" w:sz="4" w:space="0" w:color="auto"/>
              <w:left w:val="single" w:sz="4" w:space="0" w:color="auto"/>
              <w:bottom w:val="single" w:sz="4" w:space="0" w:color="auto"/>
              <w:right w:val="single" w:sz="4" w:space="0" w:color="auto"/>
            </w:tcBorders>
            <w:noWrap/>
            <w:vAlign w:val="bottom"/>
            <w:hideMark/>
          </w:tcPr>
          <w:p w14:paraId="367D5547"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Year</w:t>
            </w:r>
          </w:p>
        </w:tc>
        <w:tc>
          <w:tcPr>
            <w:tcW w:w="760" w:type="dxa"/>
            <w:tcBorders>
              <w:top w:val="single" w:sz="4" w:space="0" w:color="auto"/>
              <w:left w:val="nil"/>
              <w:bottom w:val="single" w:sz="4" w:space="0" w:color="auto"/>
              <w:right w:val="single" w:sz="4" w:space="0" w:color="auto"/>
            </w:tcBorders>
            <w:noWrap/>
            <w:vAlign w:val="bottom"/>
            <w:hideMark/>
          </w:tcPr>
          <w:p w14:paraId="013D563F"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0</w:t>
            </w:r>
          </w:p>
        </w:tc>
        <w:tc>
          <w:tcPr>
            <w:tcW w:w="700" w:type="dxa"/>
            <w:tcBorders>
              <w:top w:val="single" w:sz="4" w:space="0" w:color="auto"/>
              <w:left w:val="nil"/>
              <w:bottom w:val="single" w:sz="4" w:space="0" w:color="auto"/>
              <w:right w:val="single" w:sz="4" w:space="0" w:color="auto"/>
            </w:tcBorders>
            <w:noWrap/>
            <w:vAlign w:val="bottom"/>
            <w:hideMark/>
          </w:tcPr>
          <w:p w14:paraId="29224D02"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1</w:t>
            </w:r>
          </w:p>
        </w:tc>
        <w:tc>
          <w:tcPr>
            <w:tcW w:w="700" w:type="dxa"/>
            <w:tcBorders>
              <w:top w:val="single" w:sz="4" w:space="0" w:color="auto"/>
              <w:left w:val="nil"/>
              <w:bottom w:val="single" w:sz="4" w:space="0" w:color="auto"/>
              <w:right w:val="single" w:sz="4" w:space="0" w:color="auto"/>
            </w:tcBorders>
            <w:noWrap/>
            <w:vAlign w:val="bottom"/>
            <w:hideMark/>
          </w:tcPr>
          <w:p w14:paraId="23F12051"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w:t>
            </w:r>
          </w:p>
        </w:tc>
        <w:tc>
          <w:tcPr>
            <w:tcW w:w="700" w:type="dxa"/>
            <w:tcBorders>
              <w:top w:val="single" w:sz="4" w:space="0" w:color="auto"/>
              <w:left w:val="nil"/>
              <w:bottom w:val="single" w:sz="4" w:space="0" w:color="auto"/>
              <w:right w:val="single" w:sz="4" w:space="0" w:color="auto"/>
            </w:tcBorders>
            <w:noWrap/>
            <w:vAlign w:val="bottom"/>
            <w:hideMark/>
          </w:tcPr>
          <w:p w14:paraId="7471998E"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3</w:t>
            </w:r>
          </w:p>
        </w:tc>
        <w:tc>
          <w:tcPr>
            <w:tcW w:w="700" w:type="dxa"/>
            <w:tcBorders>
              <w:top w:val="single" w:sz="4" w:space="0" w:color="auto"/>
              <w:left w:val="nil"/>
              <w:bottom w:val="single" w:sz="4" w:space="0" w:color="auto"/>
              <w:right w:val="single" w:sz="4" w:space="0" w:color="auto"/>
            </w:tcBorders>
            <w:noWrap/>
            <w:vAlign w:val="bottom"/>
            <w:hideMark/>
          </w:tcPr>
          <w:p w14:paraId="451CC1C7"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4</w:t>
            </w:r>
          </w:p>
        </w:tc>
        <w:tc>
          <w:tcPr>
            <w:tcW w:w="660" w:type="dxa"/>
            <w:tcBorders>
              <w:top w:val="single" w:sz="4" w:space="0" w:color="auto"/>
              <w:left w:val="nil"/>
              <w:bottom w:val="single" w:sz="4" w:space="0" w:color="auto"/>
              <w:right w:val="single" w:sz="4" w:space="0" w:color="auto"/>
            </w:tcBorders>
            <w:noWrap/>
            <w:vAlign w:val="bottom"/>
            <w:hideMark/>
          </w:tcPr>
          <w:p w14:paraId="7B42C1C9"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5</w:t>
            </w:r>
          </w:p>
        </w:tc>
      </w:tr>
      <w:tr w:rsidR="0060278E" w:rsidRPr="0060278E" w14:paraId="725D99E7"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F2C0948"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Project A (£m)</w:t>
            </w:r>
          </w:p>
        </w:tc>
        <w:tc>
          <w:tcPr>
            <w:tcW w:w="760" w:type="dxa"/>
            <w:tcBorders>
              <w:top w:val="nil"/>
              <w:left w:val="nil"/>
              <w:bottom w:val="single" w:sz="4" w:space="0" w:color="auto"/>
              <w:right w:val="single" w:sz="4" w:space="0" w:color="auto"/>
            </w:tcBorders>
            <w:noWrap/>
            <w:vAlign w:val="bottom"/>
            <w:hideMark/>
          </w:tcPr>
          <w:p w14:paraId="076D056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C74BF7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5E1446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E09915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01A58E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DD07D2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658E6B0C"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BE62C3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Discoun rate (r)</w:t>
            </w:r>
          </w:p>
        </w:tc>
        <w:tc>
          <w:tcPr>
            <w:tcW w:w="760" w:type="dxa"/>
            <w:tcBorders>
              <w:top w:val="nil"/>
              <w:left w:val="nil"/>
              <w:bottom w:val="single" w:sz="4" w:space="0" w:color="auto"/>
              <w:right w:val="single" w:sz="4" w:space="0" w:color="auto"/>
            </w:tcBorders>
            <w:noWrap/>
            <w:vAlign w:val="bottom"/>
            <w:hideMark/>
          </w:tcPr>
          <w:p w14:paraId="183B89E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3F26652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F030A7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2B46E4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EF6D8A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2EE36B0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2254A21"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3AD945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Discounting factor (1/(1+r)^Year)</w:t>
            </w:r>
          </w:p>
        </w:tc>
        <w:tc>
          <w:tcPr>
            <w:tcW w:w="760" w:type="dxa"/>
            <w:tcBorders>
              <w:top w:val="nil"/>
              <w:left w:val="nil"/>
              <w:bottom w:val="single" w:sz="4" w:space="0" w:color="auto"/>
              <w:right w:val="single" w:sz="4" w:space="0" w:color="auto"/>
            </w:tcBorders>
            <w:noWrap/>
            <w:vAlign w:val="bottom"/>
            <w:hideMark/>
          </w:tcPr>
          <w:p w14:paraId="55206D1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1.000</w:t>
            </w:r>
          </w:p>
        </w:tc>
        <w:tc>
          <w:tcPr>
            <w:tcW w:w="700" w:type="dxa"/>
            <w:tcBorders>
              <w:top w:val="nil"/>
              <w:left w:val="nil"/>
              <w:bottom w:val="single" w:sz="4" w:space="0" w:color="auto"/>
              <w:right w:val="single" w:sz="4" w:space="0" w:color="auto"/>
            </w:tcBorders>
            <w:noWrap/>
            <w:vAlign w:val="bottom"/>
            <w:hideMark/>
          </w:tcPr>
          <w:p w14:paraId="580556D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0.909</w:t>
            </w:r>
          </w:p>
        </w:tc>
        <w:tc>
          <w:tcPr>
            <w:tcW w:w="700" w:type="dxa"/>
            <w:tcBorders>
              <w:top w:val="nil"/>
              <w:left w:val="nil"/>
              <w:bottom w:val="single" w:sz="4" w:space="0" w:color="auto"/>
              <w:right w:val="single" w:sz="4" w:space="0" w:color="auto"/>
            </w:tcBorders>
            <w:noWrap/>
            <w:vAlign w:val="bottom"/>
            <w:hideMark/>
          </w:tcPr>
          <w:p w14:paraId="5FE0F68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0.826</w:t>
            </w:r>
          </w:p>
        </w:tc>
        <w:tc>
          <w:tcPr>
            <w:tcW w:w="700" w:type="dxa"/>
            <w:tcBorders>
              <w:top w:val="nil"/>
              <w:left w:val="nil"/>
              <w:bottom w:val="single" w:sz="4" w:space="0" w:color="auto"/>
              <w:right w:val="single" w:sz="4" w:space="0" w:color="auto"/>
            </w:tcBorders>
            <w:noWrap/>
            <w:vAlign w:val="bottom"/>
            <w:hideMark/>
          </w:tcPr>
          <w:p w14:paraId="545F82D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0.751</w:t>
            </w:r>
          </w:p>
        </w:tc>
        <w:tc>
          <w:tcPr>
            <w:tcW w:w="700" w:type="dxa"/>
            <w:tcBorders>
              <w:top w:val="nil"/>
              <w:left w:val="nil"/>
              <w:bottom w:val="single" w:sz="4" w:space="0" w:color="auto"/>
              <w:right w:val="single" w:sz="4" w:space="0" w:color="auto"/>
            </w:tcBorders>
            <w:noWrap/>
            <w:vAlign w:val="bottom"/>
            <w:hideMark/>
          </w:tcPr>
          <w:p w14:paraId="6F2C845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0.683</w:t>
            </w:r>
          </w:p>
        </w:tc>
        <w:tc>
          <w:tcPr>
            <w:tcW w:w="660" w:type="dxa"/>
            <w:tcBorders>
              <w:top w:val="nil"/>
              <w:left w:val="nil"/>
              <w:bottom w:val="single" w:sz="4" w:space="0" w:color="auto"/>
              <w:right w:val="single" w:sz="4" w:space="0" w:color="auto"/>
            </w:tcBorders>
            <w:noWrap/>
            <w:vAlign w:val="bottom"/>
            <w:hideMark/>
          </w:tcPr>
          <w:p w14:paraId="19DD196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0.621</w:t>
            </w:r>
          </w:p>
        </w:tc>
      </w:tr>
      <w:tr w:rsidR="0060278E" w:rsidRPr="0060278E" w14:paraId="566A344B"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B99C48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5515688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156E14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D0D0E0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8E0D77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4B7133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0E6867F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6D2AE86A"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436503D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IInvestment</w:t>
            </w:r>
          </w:p>
        </w:tc>
        <w:tc>
          <w:tcPr>
            <w:tcW w:w="760" w:type="dxa"/>
            <w:tcBorders>
              <w:top w:val="nil"/>
              <w:left w:val="nil"/>
              <w:bottom w:val="single" w:sz="4" w:space="0" w:color="auto"/>
              <w:right w:val="single" w:sz="4" w:space="0" w:color="auto"/>
            </w:tcBorders>
            <w:noWrap/>
            <w:vAlign w:val="bottom"/>
            <w:hideMark/>
          </w:tcPr>
          <w:p w14:paraId="15519D89"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7715545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851FAC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C0D93E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FF0044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5E1A95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71EBD293"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2231B2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Cash Inflow</w:t>
            </w:r>
          </w:p>
        </w:tc>
        <w:tc>
          <w:tcPr>
            <w:tcW w:w="760" w:type="dxa"/>
            <w:tcBorders>
              <w:top w:val="nil"/>
              <w:left w:val="nil"/>
              <w:bottom w:val="single" w:sz="4" w:space="0" w:color="auto"/>
              <w:right w:val="single" w:sz="4" w:space="0" w:color="auto"/>
            </w:tcBorders>
            <w:noWrap/>
            <w:vAlign w:val="bottom"/>
            <w:hideMark/>
          </w:tcPr>
          <w:p w14:paraId="37D474C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C904A6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700" w:type="dxa"/>
            <w:tcBorders>
              <w:top w:val="nil"/>
              <w:left w:val="nil"/>
              <w:bottom w:val="single" w:sz="4" w:space="0" w:color="auto"/>
              <w:right w:val="single" w:sz="4" w:space="0" w:color="auto"/>
            </w:tcBorders>
            <w:noWrap/>
            <w:vAlign w:val="bottom"/>
            <w:hideMark/>
          </w:tcPr>
          <w:p w14:paraId="768280D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700" w:type="dxa"/>
            <w:tcBorders>
              <w:top w:val="nil"/>
              <w:left w:val="nil"/>
              <w:bottom w:val="single" w:sz="4" w:space="0" w:color="auto"/>
              <w:right w:val="single" w:sz="4" w:space="0" w:color="auto"/>
            </w:tcBorders>
            <w:noWrap/>
            <w:vAlign w:val="bottom"/>
            <w:hideMark/>
          </w:tcPr>
          <w:p w14:paraId="0796BAD0"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700" w:type="dxa"/>
            <w:tcBorders>
              <w:top w:val="nil"/>
              <w:left w:val="nil"/>
              <w:bottom w:val="single" w:sz="4" w:space="0" w:color="auto"/>
              <w:right w:val="single" w:sz="4" w:space="0" w:color="auto"/>
            </w:tcBorders>
            <w:noWrap/>
            <w:vAlign w:val="bottom"/>
            <w:hideMark/>
          </w:tcPr>
          <w:p w14:paraId="3C89824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660" w:type="dxa"/>
            <w:tcBorders>
              <w:top w:val="nil"/>
              <w:left w:val="nil"/>
              <w:bottom w:val="single" w:sz="4" w:space="0" w:color="auto"/>
              <w:right w:val="single" w:sz="4" w:space="0" w:color="auto"/>
            </w:tcBorders>
            <w:noWrap/>
            <w:vAlign w:val="bottom"/>
            <w:hideMark/>
          </w:tcPr>
          <w:p w14:paraId="02578090"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r>
      <w:tr w:rsidR="0060278E" w:rsidRPr="0060278E" w14:paraId="00BE8FD6"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EFA4F6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63C633C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5BE67F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4A81BF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044CDE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A9B2F1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0E69827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41248DB5"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9A0A33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Net Cashflow</w:t>
            </w:r>
          </w:p>
        </w:tc>
        <w:tc>
          <w:tcPr>
            <w:tcW w:w="760" w:type="dxa"/>
            <w:tcBorders>
              <w:top w:val="nil"/>
              <w:left w:val="nil"/>
              <w:bottom w:val="single" w:sz="4" w:space="0" w:color="auto"/>
              <w:right w:val="single" w:sz="4" w:space="0" w:color="auto"/>
            </w:tcBorders>
            <w:noWrap/>
            <w:vAlign w:val="bottom"/>
            <w:hideMark/>
          </w:tcPr>
          <w:p w14:paraId="12A3323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19CAC2F6"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700" w:type="dxa"/>
            <w:tcBorders>
              <w:top w:val="nil"/>
              <w:left w:val="nil"/>
              <w:bottom w:val="single" w:sz="4" w:space="0" w:color="auto"/>
              <w:right w:val="single" w:sz="4" w:space="0" w:color="auto"/>
            </w:tcBorders>
            <w:noWrap/>
            <w:vAlign w:val="bottom"/>
            <w:hideMark/>
          </w:tcPr>
          <w:p w14:paraId="12A6181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700" w:type="dxa"/>
            <w:tcBorders>
              <w:top w:val="nil"/>
              <w:left w:val="nil"/>
              <w:bottom w:val="single" w:sz="4" w:space="0" w:color="auto"/>
              <w:right w:val="single" w:sz="4" w:space="0" w:color="auto"/>
            </w:tcBorders>
            <w:noWrap/>
            <w:vAlign w:val="bottom"/>
            <w:hideMark/>
          </w:tcPr>
          <w:p w14:paraId="08F62B5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700" w:type="dxa"/>
            <w:tcBorders>
              <w:top w:val="nil"/>
              <w:left w:val="nil"/>
              <w:bottom w:val="single" w:sz="4" w:space="0" w:color="auto"/>
              <w:right w:val="single" w:sz="4" w:space="0" w:color="auto"/>
            </w:tcBorders>
            <w:noWrap/>
            <w:vAlign w:val="bottom"/>
            <w:hideMark/>
          </w:tcPr>
          <w:p w14:paraId="66E88A2B"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c>
          <w:tcPr>
            <w:tcW w:w="660" w:type="dxa"/>
            <w:tcBorders>
              <w:top w:val="nil"/>
              <w:left w:val="nil"/>
              <w:bottom w:val="single" w:sz="4" w:space="0" w:color="auto"/>
              <w:right w:val="single" w:sz="4" w:space="0" w:color="auto"/>
            </w:tcBorders>
            <w:noWrap/>
            <w:vAlign w:val="bottom"/>
            <w:hideMark/>
          </w:tcPr>
          <w:p w14:paraId="02097D9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11</w:t>
            </w:r>
          </w:p>
        </w:tc>
      </w:tr>
      <w:tr w:rsidR="0060278E" w:rsidRPr="0060278E" w14:paraId="6DE05A0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25D2FE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Cum. Cashflow</w:t>
            </w:r>
          </w:p>
        </w:tc>
        <w:tc>
          <w:tcPr>
            <w:tcW w:w="760" w:type="dxa"/>
            <w:tcBorders>
              <w:top w:val="nil"/>
              <w:left w:val="nil"/>
              <w:bottom w:val="single" w:sz="4" w:space="0" w:color="auto"/>
              <w:right w:val="single" w:sz="4" w:space="0" w:color="auto"/>
            </w:tcBorders>
            <w:noWrap/>
            <w:vAlign w:val="bottom"/>
            <w:hideMark/>
          </w:tcPr>
          <w:p w14:paraId="3C035E8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684F127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-39</w:t>
            </w:r>
          </w:p>
        </w:tc>
        <w:tc>
          <w:tcPr>
            <w:tcW w:w="700" w:type="dxa"/>
            <w:tcBorders>
              <w:top w:val="nil"/>
              <w:left w:val="nil"/>
              <w:bottom w:val="single" w:sz="4" w:space="0" w:color="auto"/>
              <w:right w:val="single" w:sz="4" w:space="0" w:color="auto"/>
            </w:tcBorders>
            <w:noWrap/>
            <w:vAlign w:val="bottom"/>
            <w:hideMark/>
          </w:tcPr>
          <w:p w14:paraId="3C83ADB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-28</w:t>
            </w:r>
          </w:p>
        </w:tc>
        <w:tc>
          <w:tcPr>
            <w:tcW w:w="700" w:type="dxa"/>
            <w:tcBorders>
              <w:top w:val="nil"/>
              <w:left w:val="nil"/>
              <w:bottom w:val="single" w:sz="4" w:space="0" w:color="auto"/>
              <w:right w:val="single" w:sz="4" w:space="0" w:color="auto"/>
            </w:tcBorders>
            <w:noWrap/>
            <w:vAlign w:val="bottom"/>
            <w:hideMark/>
          </w:tcPr>
          <w:p w14:paraId="22ABA9C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-17</w:t>
            </w:r>
          </w:p>
        </w:tc>
        <w:tc>
          <w:tcPr>
            <w:tcW w:w="700" w:type="dxa"/>
            <w:tcBorders>
              <w:top w:val="nil"/>
              <w:left w:val="nil"/>
              <w:bottom w:val="single" w:sz="4" w:space="0" w:color="auto"/>
              <w:right w:val="single" w:sz="4" w:space="0" w:color="auto"/>
            </w:tcBorders>
            <w:noWrap/>
            <w:vAlign w:val="bottom"/>
            <w:hideMark/>
          </w:tcPr>
          <w:p w14:paraId="2E9C4960"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w:t>
            </w:r>
          </w:p>
        </w:tc>
        <w:tc>
          <w:tcPr>
            <w:tcW w:w="660" w:type="dxa"/>
            <w:tcBorders>
              <w:top w:val="nil"/>
              <w:left w:val="nil"/>
              <w:bottom w:val="single" w:sz="4" w:space="0" w:color="auto"/>
              <w:right w:val="single" w:sz="4" w:space="0" w:color="auto"/>
            </w:tcBorders>
            <w:noWrap/>
            <w:vAlign w:val="bottom"/>
            <w:hideMark/>
          </w:tcPr>
          <w:p w14:paraId="3CB7AFC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w:t>
            </w:r>
          </w:p>
        </w:tc>
      </w:tr>
      <w:tr w:rsidR="0060278E" w:rsidRPr="0060278E" w14:paraId="45F20D96"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52EBE4B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3EB11BD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B86C4A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C330C9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D75DE9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DE9C88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CBEFCB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6F0D23C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2001F50"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Payback Period (PBP)</w:t>
            </w:r>
          </w:p>
        </w:tc>
        <w:tc>
          <w:tcPr>
            <w:tcW w:w="760" w:type="dxa"/>
            <w:tcBorders>
              <w:top w:val="nil"/>
              <w:left w:val="nil"/>
              <w:bottom w:val="single" w:sz="4" w:space="0" w:color="auto"/>
              <w:right w:val="single" w:sz="4" w:space="0" w:color="auto"/>
            </w:tcBorders>
            <w:noWrap/>
            <w:vAlign w:val="bottom"/>
            <w:hideMark/>
          </w:tcPr>
          <w:p w14:paraId="09BE2884"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4.55</w:t>
            </w:r>
          </w:p>
        </w:tc>
        <w:tc>
          <w:tcPr>
            <w:tcW w:w="700" w:type="dxa"/>
            <w:tcBorders>
              <w:top w:val="nil"/>
              <w:left w:val="nil"/>
              <w:bottom w:val="single" w:sz="4" w:space="0" w:color="auto"/>
              <w:right w:val="single" w:sz="4" w:space="0" w:color="auto"/>
            </w:tcBorders>
            <w:noWrap/>
            <w:vAlign w:val="bottom"/>
            <w:hideMark/>
          </w:tcPr>
          <w:p w14:paraId="5F250B85"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years</w:t>
            </w:r>
          </w:p>
        </w:tc>
        <w:tc>
          <w:tcPr>
            <w:tcW w:w="700" w:type="dxa"/>
            <w:tcBorders>
              <w:top w:val="nil"/>
              <w:left w:val="nil"/>
              <w:bottom w:val="single" w:sz="4" w:space="0" w:color="auto"/>
              <w:right w:val="single" w:sz="4" w:space="0" w:color="auto"/>
            </w:tcBorders>
            <w:noWrap/>
            <w:vAlign w:val="bottom"/>
            <w:hideMark/>
          </w:tcPr>
          <w:p w14:paraId="2B37D6A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833206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C7012A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288395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F1D794C"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623AE9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Average profit</w:t>
            </w:r>
          </w:p>
        </w:tc>
        <w:tc>
          <w:tcPr>
            <w:tcW w:w="760" w:type="dxa"/>
            <w:tcBorders>
              <w:top w:val="nil"/>
              <w:left w:val="nil"/>
              <w:bottom w:val="single" w:sz="4" w:space="0" w:color="auto"/>
              <w:right w:val="single" w:sz="4" w:space="0" w:color="auto"/>
            </w:tcBorders>
            <w:noWrap/>
            <w:vAlign w:val="bottom"/>
            <w:hideMark/>
          </w:tcPr>
          <w:p w14:paraId="01EEA4F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1.00</w:t>
            </w:r>
          </w:p>
        </w:tc>
        <w:tc>
          <w:tcPr>
            <w:tcW w:w="700" w:type="dxa"/>
            <w:tcBorders>
              <w:top w:val="nil"/>
              <w:left w:val="nil"/>
              <w:bottom w:val="single" w:sz="4" w:space="0" w:color="auto"/>
              <w:right w:val="single" w:sz="4" w:space="0" w:color="auto"/>
            </w:tcBorders>
            <w:noWrap/>
            <w:vAlign w:val="bottom"/>
            <w:hideMark/>
          </w:tcPr>
          <w:p w14:paraId="3B3B48B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C62263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C602B1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0623D5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33D7211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0E9526F3"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8C341D0"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Acounting Rate of Return (ARR)</w:t>
            </w:r>
          </w:p>
        </w:tc>
        <w:tc>
          <w:tcPr>
            <w:tcW w:w="760" w:type="dxa"/>
            <w:tcBorders>
              <w:top w:val="nil"/>
              <w:left w:val="nil"/>
              <w:bottom w:val="single" w:sz="4" w:space="0" w:color="auto"/>
              <w:right w:val="single" w:sz="4" w:space="0" w:color="auto"/>
            </w:tcBorders>
            <w:noWrap/>
            <w:vAlign w:val="bottom"/>
            <w:hideMark/>
          </w:tcPr>
          <w:p w14:paraId="45C07CF0"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2.00%</w:t>
            </w:r>
          </w:p>
        </w:tc>
        <w:tc>
          <w:tcPr>
            <w:tcW w:w="700" w:type="dxa"/>
            <w:tcBorders>
              <w:top w:val="nil"/>
              <w:left w:val="nil"/>
              <w:bottom w:val="single" w:sz="4" w:space="0" w:color="auto"/>
              <w:right w:val="single" w:sz="4" w:space="0" w:color="auto"/>
            </w:tcBorders>
            <w:noWrap/>
            <w:vAlign w:val="bottom"/>
            <w:hideMark/>
          </w:tcPr>
          <w:p w14:paraId="0485DBC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E4C496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FA93A3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A2BB14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093D453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323A2F8D"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B03F533"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Internal Rate of Return (IRR)</w:t>
            </w:r>
          </w:p>
        </w:tc>
        <w:tc>
          <w:tcPr>
            <w:tcW w:w="760" w:type="dxa"/>
            <w:tcBorders>
              <w:top w:val="nil"/>
              <w:left w:val="nil"/>
              <w:bottom w:val="single" w:sz="4" w:space="0" w:color="auto"/>
              <w:right w:val="single" w:sz="4" w:space="0" w:color="auto"/>
            </w:tcBorders>
            <w:noWrap/>
            <w:vAlign w:val="bottom"/>
            <w:hideMark/>
          </w:tcPr>
          <w:p w14:paraId="31E24C7E"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3.26%</w:t>
            </w:r>
          </w:p>
        </w:tc>
        <w:tc>
          <w:tcPr>
            <w:tcW w:w="700" w:type="dxa"/>
            <w:tcBorders>
              <w:top w:val="nil"/>
              <w:left w:val="nil"/>
              <w:bottom w:val="single" w:sz="4" w:space="0" w:color="auto"/>
              <w:right w:val="single" w:sz="4" w:space="0" w:color="auto"/>
            </w:tcBorders>
            <w:noWrap/>
            <w:vAlign w:val="bottom"/>
            <w:hideMark/>
          </w:tcPr>
          <w:p w14:paraId="519D42A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91217E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62C6EC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1A1E0E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4A3D718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66C53D4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D3EFB5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743CADD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6E4FEC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A0EAF4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067C76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858CD1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01C1116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13ACE45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7CDF5F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Present Value (PV)</w:t>
            </w:r>
          </w:p>
        </w:tc>
        <w:tc>
          <w:tcPr>
            <w:tcW w:w="760" w:type="dxa"/>
            <w:tcBorders>
              <w:top w:val="nil"/>
              <w:left w:val="nil"/>
              <w:bottom w:val="single" w:sz="4" w:space="0" w:color="auto"/>
              <w:right w:val="single" w:sz="4" w:space="0" w:color="auto"/>
            </w:tcBorders>
            <w:noWrap/>
            <w:vAlign w:val="bottom"/>
            <w:hideMark/>
          </w:tcPr>
          <w:p w14:paraId="7360DAC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-50.000</w:t>
            </w:r>
          </w:p>
        </w:tc>
        <w:tc>
          <w:tcPr>
            <w:tcW w:w="700" w:type="dxa"/>
            <w:tcBorders>
              <w:top w:val="nil"/>
              <w:left w:val="nil"/>
              <w:bottom w:val="single" w:sz="4" w:space="0" w:color="auto"/>
              <w:right w:val="single" w:sz="4" w:space="0" w:color="auto"/>
            </w:tcBorders>
            <w:noWrap/>
            <w:vAlign w:val="bottom"/>
            <w:hideMark/>
          </w:tcPr>
          <w:p w14:paraId="65B6791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10.000</w:t>
            </w:r>
          </w:p>
        </w:tc>
        <w:tc>
          <w:tcPr>
            <w:tcW w:w="700" w:type="dxa"/>
            <w:tcBorders>
              <w:top w:val="nil"/>
              <w:left w:val="nil"/>
              <w:bottom w:val="single" w:sz="4" w:space="0" w:color="auto"/>
              <w:right w:val="single" w:sz="4" w:space="0" w:color="auto"/>
            </w:tcBorders>
            <w:noWrap/>
            <w:vAlign w:val="bottom"/>
            <w:hideMark/>
          </w:tcPr>
          <w:p w14:paraId="245004A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9.091</w:t>
            </w:r>
          </w:p>
        </w:tc>
        <w:tc>
          <w:tcPr>
            <w:tcW w:w="700" w:type="dxa"/>
            <w:tcBorders>
              <w:top w:val="nil"/>
              <w:left w:val="nil"/>
              <w:bottom w:val="single" w:sz="4" w:space="0" w:color="auto"/>
              <w:right w:val="single" w:sz="4" w:space="0" w:color="auto"/>
            </w:tcBorders>
            <w:noWrap/>
            <w:vAlign w:val="bottom"/>
            <w:hideMark/>
          </w:tcPr>
          <w:p w14:paraId="2CCF555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8.264</w:t>
            </w:r>
          </w:p>
        </w:tc>
        <w:tc>
          <w:tcPr>
            <w:tcW w:w="700" w:type="dxa"/>
            <w:tcBorders>
              <w:top w:val="nil"/>
              <w:left w:val="nil"/>
              <w:bottom w:val="single" w:sz="4" w:space="0" w:color="auto"/>
              <w:right w:val="single" w:sz="4" w:space="0" w:color="auto"/>
            </w:tcBorders>
            <w:noWrap/>
            <w:vAlign w:val="bottom"/>
            <w:hideMark/>
          </w:tcPr>
          <w:p w14:paraId="29096F7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7.513</w:t>
            </w:r>
          </w:p>
        </w:tc>
        <w:tc>
          <w:tcPr>
            <w:tcW w:w="660" w:type="dxa"/>
            <w:tcBorders>
              <w:top w:val="nil"/>
              <w:left w:val="nil"/>
              <w:bottom w:val="single" w:sz="4" w:space="0" w:color="auto"/>
              <w:right w:val="single" w:sz="4" w:space="0" w:color="auto"/>
            </w:tcBorders>
            <w:noWrap/>
            <w:vAlign w:val="bottom"/>
            <w:hideMark/>
          </w:tcPr>
          <w:p w14:paraId="6A066DBD"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6.830</w:t>
            </w:r>
          </w:p>
        </w:tc>
      </w:tr>
      <w:tr w:rsidR="0060278E" w:rsidRPr="0060278E" w14:paraId="7358CEA0"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AC1DBE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Total PV of inflows</w:t>
            </w:r>
          </w:p>
        </w:tc>
        <w:tc>
          <w:tcPr>
            <w:tcW w:w="760" w:type="dxa"/>
            <w:tcBorders>
              <w:top w:val="nil"/>
              <w:left w:val="nil"/>
              <w:bottom w:val="single" w:sz="4" w:space="0" w:color="auto"/>
              <w:right w:val="single" w:sz="4" w:space="0" w:color="auto"/>
            </w:tcBorders>
            <w:noWrap/>
            <w:vAlign w:val="bottom"/>
            <w:hideMark/>
          </w:tcPr>
          <w:p w14:paraId="2A1D895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41.699</w:t>
            </w:r>
          </w:p>
        </w:tc>
        <w:tc>
          <w:tcPr>
            <w:tcW w:w="700" w:type="dxa"/>
            <w:tcBorders>
              <w:top w:val="nil"/>
              <w:left w:val="nil"/>
              <w:bottom w:val="single" w:sz="4" w:space="0" w:color="auto"/>
              <w:right w:val="single" w:sz="4" w:space="0" w:color="auto"/>
            </w:tcBorders>
            <w:noWrap/>
            <w:vAlign w:val="bottom"/>
            <w:hideMark/>
          </w:tcPr>
          <w:p w14:paraId="4A2A2AA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EB2A83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6EC79F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90F916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55492D3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B5A43A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0FBD80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489C0B0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55F7D4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B5705E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48A76B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EF81CD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4F78762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77C294D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0E37847"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Net Present Value (NPV)</w:t>
            </w:r>
          </w:p>
        </w:tc>
        <w:tc>
          <w:tcPr>
            <w:tcW w:w="760" w:type="dxa"/>
            <w:tcBorders>
              <w:top w:val="nil"/>
              <w:left w:val="nil"/>
              <w:bottom w:val="single" w:sz="4" w:space="0" w:color="auto"/>
              <w:right w:val="single" w:sz="4" w:space="0" w:color="auto"/>
            </w:tcBorders>
            <w:noWrap/>
            <w:vAlign w:val="bottom"/>
            <w:hideMark/>
          </w:tcPr>
          <w:p w14:paraId="2189FE42"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-8.301</w:t>
            </w:r>
          </w:p>
        </w:tc>
        <w:tc>
          <w:tcPr>
            <w:tcW w:w="700" w:type="dxa"/>
            <w:tcBorders>
              <w:top w:val="nil"/>
              <w:left w:val="nil"/>
              <w:bottom w:val="single" w:sz="4" w:space="0" w:color="auto"/>
              <w:right w:val="single" w:sz="4" w:space="0" w:color="auto"/>
            </w:tcBorders>
            <w:noWrap/>
            <w:vAlign w:val="bottom"/>
            <w:hideMark/>
          </w:tcPr>
          <w:p w14:paraId="45EBE1D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545153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64A788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1FDAAD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B8F692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0D83A03C"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ED631C2"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Profitability Index (PI)</w:t>
            </w:r>
          </w:p>
        </w:tc>
        <w:tc>
          <w:tcPr>
            <w:tcW w:w="760" w:type="dxa"/>
            <w:tcBorders>
              <w:top w:val="nil"/>
              <w:left w:val="nil"/>
              <w:bottom w:val="single" w:sz="4" w:space="0" w:color="auto"/>
              <w:right w:val="single" w:sz="4" w:space="0" w:color="auto"/>
            </w:tcBorders>
            <w:noWrap/>
            <w:vAlign w:val="bottom"/>
            <w:hideMark/>
          </w:tcPr>
          <w:p w14:paraId="7A3FDE54"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83.40%</w:t>
            </w:r>
          </w:p>
        </w:tc>
        <w:tc>
          <w:tcPr>
            <w:tcW w:w="700" w:type="dxa"/>
            <w:tcBorders>
              <w:top w:val="nil"/>
              <w:left w:val="nil"/>
              <w:bottom w:val="single" w:sz="4" w:space="0" w:color="auto"/>
              <w:right w:val="single" w:sz="4" w:space="0" w:color="auto"/>
            </w:tcBorders>
            <w:noWrap/>
            <w:vAlign w:val="bottom"/>
            <w:hideMark/>
          </w:tcPr>
          <w:p w14:paraId="7F412A4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200106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782302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87F631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0A08C53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08E628EE" w14:textId="77777777" w:rsidTr="00A31EC4">
        <w:trPr>
          <w:trHeight w:val="300"/>
          <w:jc w:val="center"/>
        </w:trPr>
        <w:tc>
          <w:tcPr>
            <w:tcW w:w="3220" w:type="dxa"/>
            <w:tcBorders>
              <w:top w:val="nil"/>
              <w:left w:val="nil"/>
              <w:bottom w:val="nil"/>
              <w:right w:val="nil"/>
            </w:tcBorders>
            <w:noWrap/>
            <w:vAlign w:val="bottom"/>
            <w:hideMark/>
          </w:tcPr>
          <w:p w14:paraId="0DA6E6E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p>
        </w:tc>
        <w:tc>
          <w:tcPr>
            <w:tcW w:w="760" w:type="dxa"/>
            <w:tcBorders>
              <w:top w:val="nil"/>
              <w:left w:val="nil"/>
              <w:bottom w:val="nil"/>
              <w:right w:val="nil"/>
            </w:tcBorders>
            <w:noWrap/>
            <w:vAlign w:val="bottom"/>
            <w:hideMark/>
          </w:tcPr>
          <w:p w14:paraId="56F5F6BA"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3507153D"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6BC68C91"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3B0B747D"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4180A2C5"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660" w:type="dxa"/>
            <w:tcBorders>
              <w:top w:val="nil"/>
              <w:left w:val="nil"/>
              <w:bottom w:val="nil"/>
              <w:right w:val="nil"/>
            </w:tcBorders>
            <w:noWrap/>
            <w:vAlign w:val="bottom"/>
            <w:hideMark/>
          </w:tcPr>
          <w:p w14:paraId="7EF144B7" w14:textId="77777777" w:rsidR="0060278E" w:rsidRPr="0060278E" w:rsidRDefault="0060278E" w:rsidP="0060278E">
            <w:pPr>
              <w:spacing w:after="0" w:line="240" w:lineRule="auto"/>
              <w:jc w:val="left"/>
              <w:rPr>
                <w:rFonts w:eastAsia="Times New Roman" w:cs="Times New Roman"/>
                <w:sz w:val="20"/>
                <w:szCs w:val="20"/>
                <w:lang w:eastAsia="en-GB"/>
              </w:rPr>
            </w:pPr>
          </w:p>
        </w:tc>
      </w:tr>
      <w:tr w:rsidR="0060278E" w:rsidRPr="0060278E" w14:paraId="794B1C9F" w14:textId="77777777" w:rsidTr="00A31EC4">
        <w:trPr>
          <w:trHeight w:val="300"/>
          <w:jc w:val="center"/>
        </w:trPr>
        <w:tc>
          <w:tcPr>
            <w:tcW w:w="3220" w:type="dxa"/>
            <w:tcBorders>
              <w:top w:val="nil"/>
              <w:left w:val="nil"/>
              <w:bottom w:val="nil"/>
              <w:right w:val="nil"/>
            </w:tcBorders>
            <w:noWrap/>
            <w:vAlign w:val="bottom"/>
            <w:hideMark/>
          </w:tcPr>
          <w:p w14:paraId="00BCDD19"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60" w:type="dxa"/>
            <w:tcBorders>
              <w:top w:val="nil"/>
              <w:left w:val="nil"/>
              <w:bottom w:val="nil"/>
              <w:right w:val="nil"/>
            </w:tcBorders>
            <w:noWrap/>
            <w:vAlign w:val="bottom"/>
            <w:hideMark/>
          </w:tcPr>
          <w:p w14:paraId="687AC91E"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49827737"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2D244CD4"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64A41E4E"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700" w:type="dxa"/>
            <w:tcBorders>
              <w:top w:val="nil"/>
              <w:left w:val="nil"/>
              <w:bottom w:val="nil"/>
              <w:right w:val="nil"/>
            </w:tcBorders>
            <w:noWrap/>
            <w:vAlign w:val="bottom"/>
            <w:hideMark/>
          </w:tcPr>
          <w:p w14:paraId="072B8682" w14:textId="77777777" w:rsidR="0060278E" w:rsidRPr="0060278E" w:rsidRDefault="0060278E" w:rsidP="0060278E">
            <w:pPr>
              <w:spacing w:after="0" w:line="240" w:lineRule="auto"/>
              <w:jc w:val="left"/>
              <w:rPr>
                <w:rFonts w:eastAsia="Times New Roman" w:cs="Times New Roman"/>
                <w:sz w:val="20"/>
                <w:szCs w:val="20"/>
                <w:lang w:eastAsia="en-GB"/>
              </w:rPr>
            </w:pPr>
          </w:p>
        </w:tc>
        <w:tc>
          <w:tcPr>
            <w:tcW w:w="660" w:type="dxa"/>
            <w:tcBorders>
              <w:top w:val="nil"/>
              <w:left w:val="nil"/>
              <w:bottom w:val="nil"/>
              <w:right w:val="nil"/>
            </w:tcBorders>
            <w:noWrap/>
            <w:vAlign w:val="bottom"/>
            <w:hideMark/>
          </w:tcPr>
          <w:p w14:paraId="2BD3D97B" w14:textId="77777777" w:rsidR="0060278E" w:rsidRPr="0060278E" w:rsidRDefault="0060278E" w:rsidP="0060278E">
            <w:pPr>
              <w:spacing w:after="0" w:line="240" w:lineRule="auto"/>
              <w:jc w:val="left"/>
              <w:rPr>
                <w:rFonts w:eastAsia="Times New Roman" w:cs="Times New Roman"/>
                <w:sz w:val="20"/>
                <w:szCs w:val="20"/>
                <w:lang w:eastAsia="en-GB"/>
              </w:rPr>
            </w:pPr>
          </w:p>
        </w:tc>
      </w:tr>
      <w:tr w:rsidR="0060278E" w:rsidRPr="0060278E" w14:paraId="5FD24783" w14:textId="77777777" w:rsidTr="00A31EC4">
        <w:trPr>
          <w:trHeight w:val="300"/>
          <w:jc w:val="center"/>
        </w:trPr>
        <w:tc>
          <w:tcPr>
            <w:tcW w:w="3220" w:type="dxa"/>
            <w:tcBorders>
              <w:top w:val="single" w:sz="4" w:space="0" w:color="auto"/>
              <w:left w:val="single" w:sz="4" w:space="0" w:color="auto"/>
              <w:bottom w:val="single" w:sz="4" w:space="0" w:color="auto"/>
              <w:right w:val="single" w:sz="4" w:space="0" w:color="auto"/>
            </w:tcBorders>
            <w:noWrap/>
            <w:vAlign w:val="bottom"/>
            <w:hideMark/>
          </w:tcPr>
          <w:p w14:paraId="5195F0E7"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Year</w:t>
            </w:r>
          </w:p>
        </w:tc>
        <w:tc>
          <w:tcPr>
            <w:tcW w:w="760" w:type="dxa"/>
            <w:tcBorders>
              <w:top w:val="single" w:sz="4" w:space="0" w:color="auto"/>
              <w:left w:val="nil"/>
              <w:bottom w:val="single" w:sz="4" w:space="0" w:color="auto"/>
              <w:right w:val="single" w:sz="4" w:space="0" w:color="auto"/>
            </w:tcBorders>
            <w:noWrap/>
            <w:vAlign w:val="bottom"/>
            <w:hideMark/>
          </w:tcPr>
          <w:p w14:paraId="0047B28D"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0</w:t>
            </w:r>
          </w:p>
        </w:tc>
        <w:tc>
          <w:tcPr>
            <w:tcW w:w="700" w:type="dxa"/>
            <w:tcBorders>
              <w:top w:val="single" w:sz="4" w:space="0" w:color="auto"/>
              <w:left w:val="nil"/>
              <w:bottom w:val="single" w:sz="4" w:space="0" w:color="auto"/>
              <w:right w:val="single" w:sz="4" w:space="0" w:color="auto"/>
            </w:tcBorders>
            <w:noWrap/>
            <w:vAlign w:val="bottom"/>
            <w:hideMark/>
          </w:tcPr>
          <w:p w14:paraId="59997C86"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1</w:t>
            </w:r>
          </w:p>
        </w:tc>
        <w:tc>
          <w:tcPr>
            <w:tcW w:w="700" w:type="dxa"/>
            <w:tcBorders>
              <w:top w:val="single" w:sz="4" w:space="0" w:color="auto"/>
              <w:left w:val="nil"/>
              <w:bottom w:val="single" w:sz="4" w:space="0" w:color="auto"/>
              <w:right w:val="single" w:sz="4" w:space="0" w:color="auto"/>
            </w:tcBorders>
            <w:noWrap/>
            <w:vAlign w:val="bottom"/>
            <w:hideMark/>
          </w:tcPr>
          <w:p w14:paraId="704B0E73"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2</w:t>
            </w:r>
          </w:p>
        </w:tc>
        <w:tc>
          <w:tcPr>
            <w:tcW w:w="700" w:type="dxa"/>
            <w:tcBorders>
              <w:top w:val="single" w:sz="4" w:space="0" w:color="auto"/>
              <w:left w:val="nil"/>
              <w:bottom w:val="single" w:sz="4" w:space="0" w:color="auto"/>
              <w:right w:val="single" w:sz="4" w:space="0" w:color="auto"/>
            </w:tcBorders>
            <w:noWrap/>
            <w:vAlign w:val="bottom"/>
            <w:hideMark/>
          </w:tcPr>
          <w:p w14:paraId="0A763DFA"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3</w:t>
            </w:r>
          </w:p>
        </w:tc>
        <w:tc>
          <w:tcPr>
            <w:tcW w:w="700" w:type="dxa"/>
            <w:tcBorders>
              <w:top w:val="single" w:sz="4" w:space="0" w:color="auto"/>
              <w:left w:val="nil"/>
              <w:bottom w:val="single" w:sz="4" w:space="0" w:color="auto"/>
              <w:right w:val="single" w:sz="4" w:space="0" w:color="auto"/>
            </w:tcBorders>
            <w:noWrap/>
            <w:vAlign w:val="bottom"/>
            <w:hideMark/>
          </w:tcPr>
          <w:p w14:paraId="75345E62"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4</w:t>
            </w:r>
          </w:p>
        </w:tc>
        <w:tc>
          <w:tcPr>
            <w:tcW w:w="660" w:type="dxa"/>
            <w:tcBorders>
              <w:top w:val="single" w:sz="4" w:space="0" w:color="auto"/>
              <w:left w:val="nil"/>
              <w:bottom w:val="single" w:sz="4" w:space="0" w:color="auto"/>
              <w:right w:val="single" w:sz="4" w:space="0" w:color="auto"/>
            </w:tcBorders>
            <w:noWrap/>
            <w:vAlign w:val="bottom"/>
            <w:hideMark/>
          </w:tcPr>
          <w:p w14:paraId="7515C923" w14:textId="77777777" w:rsidR="0060278E" w:rsidRPr="0060278E" w:rsidRDefault="0060278E" w:rsidP="0060278E">
            <w:pPr>
              <w:spacing w:after="0" w:line="240" w:lineRule="auto"/>
              <w:jc w:val="center"/>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5</w:t>
            </w:r>
          </w:p>
        </w:tc>
      </w:tr>
      <w:tr w:rsidR="0060278E" w:rsidRPr="0060278E" w14:paraId="08C9462E"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10E59EA"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Project A (£m)</w:t>
            </w:r>
          </w:p>
        </w:tc>
        <w:tc>
          <w:tcPr>
            <w:tcW w:w="760" w:type="dxa"/>
            <w:tcBorders>
              <w:top w:val="nil"/>
              <w:left w:val="nil"/>
              <w:bottom w:val="single" w:sz="4" w:space="0" w:color="auto"/>
              <w:right w:val="single" w:sz="4" w:space="0" w:color="auto"/>
            </w:tcBorders>
            <w:noWrap/>
            <w:vAlign w:val="bottom"/>
            <w:hideMark/>
          </w:tcPr>
          <w:p w14:paraId="3E9C1A0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59E9AD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0A6007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B6CCC7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7EBE48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3FAA714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2DBF7FE3"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C9616D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Discoun rate (r)</w:t>
            </w:r>
          </w:p>
        </w:tc>
        <w:tc>
          <w:tcPr>
            <w:tcW w:w="760" w:type="dxa"/>
            <w:tcBorders>
              <w:top w:val="nil"/>
              <w:left w:val="nil"/>
              <w:bottom w:val="single" w:sz="4" w:space="0" w:color="auto"/>
              <w:right w:val="single" w:sz="4" w:space="0" w:color="auto"/>
            </w:tcBorders>
            <w:noWrap/>
            <w:vAlign w:val="bottom"/>
            <w:hideMark/>
          </w:tcPr>
          <w:p w14:paraId="14F6546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4910AC4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FAE678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0C76FC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E18F4A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1E6F453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3FA3604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699FBB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Discounting factor (1/(1+r)^Year)</w:t>
            </w:r>
          </w:p>
        </w:tc>
        <w:tc>
          <w:tcPr>
            <w:tcW w:w="760" w:type="dxa"/>
            <w:tcBorders>
              <w:top w:val="nil"/>
              <w:left w:val="nil"/>
              <w:bottom w:val="single" w:sz="4" w:space="0" w:color="auto"/>
              <w:right w:val="single" w:sz="4" w:space="0" w:color="auto"/>
            </w:tcBorders>
            <w:noWrap/>
            <w:vAlign w:val="bottom"/>
            <w:hideMark/>
          </w:tcPr>
          <w:p w14:paraId="7C5948B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1.000</w:t>
            </w:r>
          </w:p>
        </w:tc>
        <w:tc>
          <w:tcPr>
            <w:tcW w:w="700" w:type="dxa"/>
            <w:tcBorders>
              <w:top w:val="nil"/>
              <w:left w:val="nil"/>
              <w:bottom w:val="single" w:sz="4" w:space="0" w:color="auto"/>
              <w:right w:val="single" w:sz="4" w:space="0" w:color="auto"/>
            </w:tcBorders>
            <w:noWrap/>
            <w:vAlign w:val="bottom"/>
            <w:hideMark/>
          </w:tcPr>
          <w:p w14:paraId="0847235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0.909</w:t>
            </w:r>
          </w:p>
        </w:tc>
        <w:tc>
          <w:tcPr>
            <w:tcW w:w="700" w:type="dxa"/>
            <w:tcBorders>
              <w:top w:val="nil"/>
              <w:left w:val="nil"/>
              <w:bottom w:val="single" w:sz="4" w:space="0" w:color="auto"/>
              <w:right w:val="single" w:sz="4" w:space="0" w:color="auto"/>
            </w:tcBorders>
            <w:noWrap/>
            <w:vAlign w:val="bottom"/>
            <w:hideMark/>
          </w:tcPr>
          <w:p w14:paraId="2C22B31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0.826</w:t>
            </w:r>
          </w:p>
        </w:tc>
        <w:tc>
          <w:tcPr>
            <w:tcW w:w="700" w:type="dxa"/>
            <w:tcBorders>
              <w:top w:val="nil"/>
              <w:left w:val="nil"/>
              <w:bottom w:val="single" w:sz="4" w:space="0" w:color="auto"/>
              <w:right w:val="single" w:sz="4" w:space="0" w:color="auto"/>
            </w:tcBorders>
            <w:noWrap/>
            <w:vAlign w:val="bottom"/>
            <w:hideMark/>
          </w:tcPr>
          <w:p w14:paraId="4A3C687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0.751</w:t>
            </w:r>
          </w:p>
        </w:tc>
        <w:tc>
          <w:tcPr>
            <w:tcW w:w="700" w:type="dxa"/>
            <w:tcBorders>
              <w:top w:val="nil"/>
              <w:left w:val="nil"/>
              <w:bottom w:val="single" w:sz="4" w:space="0" w:color="auto"/>
              <w:right w:val="single" w:sz="4" w:space="0" w:color="auto"/>
            </w:tcBorders>
            <w:noWrap/>
            <w:vAlign w:val="bottom"/>
            <w:hideMark/>
          </w:tcPr>
          <w:p w14:paraId="0A7FAC0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0.683</w:t>
            </w:r>
          </w:p>
        </w:tc>
        <w:tc>
          <w:tcPr>
            <w:tcW w:w="660" w:type="dxa"/>
            <w:tcBorders>
              <w:top w:val="nil"/>
              <w:left w:val="nil"/>
              <w:bottom w:val="single" w:sz="4" w:space="0" w:color="auto"/>
              <w:right w:val="single" w:sz="4" w:space="0" w:color="auto"/>
            </w:tcBorders>
            <w:noWrap/>
            <w:vAlign w:val="bottom"/>
            <w:hideMark/>
          </w:tcPr>
          <w:p w14:paraId="5EF6DDA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0.621</w:t>
            </w:r>
          </w:p>
        </w:tc>
      </w:tr>
      <w:tr w:rsidR="0060278E" w:rsidRPr="0060278E" w14:paraId="7BE0437B"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9B2997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53B5E06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36F244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9D0064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C8E5C2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C7286D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0AB6F7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B123603"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589AD4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IInvestment</w:t>
            </w:r>
          </w:p>
        </w:tc>
        <w:tc>
          <w:tcPr>
            <w:tcW w:w="760" w:type="dxa"/>
            <w:tcBorders>
              <w:top w:val="nil"/>
              <w:left w:val="nil"/>
              <w:bottom w:val="single" w:sz="4" w:space="0" w:color="auto"/>
              <w:right w:val="single" w:sz="4" w:space="0" w:color="auto"/>
            </w:tcBorders>
            <w:noWrap/>
            <w:vAlign w:val="bottom"/>
            <w:hideMark/>
          </w:tcPr>
          <w:p w14:paraId="6DCA91A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0F41B6D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710189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F8B50E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EACCDF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56677C2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057D22AB"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4AEEF1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Cash Inflow</w:t>
            </w:r>
          </w:p>
        </w:tc>
        <w:tc>
          <w:tcPr>
            <w:tcW w:w="760" w:type="dxa"/>
            <w:tcBorders>
              <w:top w:val="nil"/>
              <w:left w:val="nil"/>
              <w:bottom w:val="single" w:sz="4" w:space="0" w:color="auto"/>
              <w:right w:val="single" w:sz="4" w:space="0" w:color="auto"/>
            </w:tcBorders>
            <w:noWrap/>
            <w:vAlign w:val="bottom"/>
            <w:hideMark/>
          </w:tcPr>
          <w:p w14:paraId="261876E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395E19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w:t>
            </w:r>
          </w:p>
        </w:tc>
        <w:tc>
          <w:tcPr>
            <w:tcW w:w="700" w:type="dxa"/>
            <w:tcBorders>
              <w:top w:val="nil"/>
              <w:left w:val="nil"/>
              <w:bottom w:val="single" w:sz="4" w:space="0" w:color="auto"/>
              <w:right w:val="single" w:sz="4" w:space="0" w:color="auto"/>
            </w:tcBorders>
            <w:noWrap/>
            <w:vAlign w:val="bottom"/>
            <w:hideMark/>
          </w:tcPr>
          <w:p w14:paraId="77FD4D9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4B96F9AA"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20</w:t>
            </w:r>
          </w:p>
        </w:tc>
        <w:tc>
          <w:tcPr>
            <w:tcW w:w="700" w:type="dxa"/>
            <w:tcBorders>
              <w:top w:val="nil"/>
              <w:left w:val="nil"/>
              <w:bottom w:val="single" w:sz="4" w:space="0" w:color="auto"/>
              <w:right w:val="single" w:sz="4" w:space="0" w:color="auto"/>
            </w:tcBorders>
            <w:noWrap/>
            <w:vAlign w:val="bottom"/>
            <w:hideMark/>
          </w:tcPr>
          <w:p w14:paraId="79F4DE2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25</w:t>
            </w:r>
          </w:p>
        </w:tc>
        <w:tc>
          <w:tcPr>
            <w:tcW w:w="660" w:type="dxa"/>
            <w:tcBorders>
              <w:top w:val="nil"/>
              <w:left w:val="nil"/>
              <w:bottom w:val="single" w:sz="4" w:space="0" w:color="auto"/>
              <w:right w:val="single" w:sz="4" w:space="0" w:color="auto"/>
            </w:tcBorders>
            <w:noWrap/>
            <w:vAlign w:val="bottom"/>
            <w:hideMark/>
          </w:tcPr>
          <w:p w14:paraId="41FC420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w:t>
            </w:r>
          </w:p>
        </w:tc>
      </w:tr>
      <w:tr w:rsidR="0060278E" w:rsidRPr="0060278E" w14:paraId="00C8B9F6"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CA7A8B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3700C0A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2EBEC1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FCDCA6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4DAE8A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D1B0AB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2177822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A3CFF45"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2F92B0C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Net Cashflow</w:t>
            </w:r>
          </w:p>
        </w:tc>
        <w:tc>
          <w:tcPr>
            <w:tcW w:w="760" w:type="dxa"/>
            <w:tcBorders>
              <w:top w:val="nil"/>
              <w:left w:val="nil"/>
              <w:bottom w:val="single" w:sz="4" w:space="0" w:color="auto"/>
              <w:right w:val="single" w:sz="4" w:space="0" w:color="auto"/>
            </w:tcBorders>
            <w:noWrap/>
            <w:vAlign w:val="bottom"/>
            <w:hideMark/>
          </w:tcPr>
          <w:p w14:paraId="2995057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55002BB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w:t>
            </w:r>
          </w:p>
        </w:tc>
        <w:tc>
          <w:tcPr>
            <w:tcW w:w="700" w:type="dxa"/>
            <w:tcBorders>
              <w:top w:val="nil"/>
              <w:left w:val="nil"/>
              <w:bottom w:val="single" w:sz="4" w:space="0" w:color="auto"/>
              <w:right w:val="single" w:sz="4" w:space="0" w:color="auto"/>
            </w:tcBorders>
            <w:noWrap/>
            <w:vAlign w:val="bottom"/>
            <w:hideMark/>
          </w:tcPr>
          <w:p w14:paraId="02990BF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700" w:type="dxa"/>
            <w:tcBorders>
              <w:top w:val="nil"/>
              <w:left w:val="nil"/>
              <w:bottom w:val="single" w:sz="4" w:space="0" w:color="auto"/>
              <w:right w:val="single" w:sz="4" w:space="0" w:color="auto"/>
            </w:tcBorders>
            <w:noWrap/>
            <w:vAlign w:val="bottom"/>
            <w:hideMark/>
          </w:tcPr>
          <w:p w14:paraId="446DD39C"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20</w:t>
            </w:r>
          </w:p>
        </w:tc>
        <w:tc>
          <w:tcPr>
            <w:tcW w:w="700" w:type="dxa"/>
            <w:tcBorders>
              <w:top w:val="nil"/>
              <w:left w:val="nil"/>
              <w:bottom w:val="single" w:sz="4" w:space="0" w:color="auto"/>
              <w:right w:val="single" w:sz="4" w:space="0" w:color="auto"/>
            </w:tcBorders>
            <w:noWrap/>
            <w:vAlign w:val="bottom"/>
            <w:hideMark/>
          </w:tcPr>
          <w:p w14:paraId="445BD45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25</w:t>
            </w:r>
          </w:p>
        </w:tc>
        <w:tc>
          <w:tcPr>
            <w:tcW w:w="660" w:type="dxa"/>
            <w:tcBorders>
              <w:top w:val="nil"/>
              <w:left w:val="nil"/>
              <w:bottom w:val="single" w:sz="4" w:space="0" w:color="auto"/>
              <w:right w:val="single" w:sz="4" w:space="0" w:color="auto"/>
            </w:tcBorders>
            <w:noWrap/>
            <w:vAlign w:val="bottom"/>
            <w:hideMark/>
          </w:tcPr>
          <w:p w14:paraId="11ED5E0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w:t>
            </w:r>
          </w:p>
        </w:tc>
      </w:tr>
      <w:tr w:rsidR="0060278E" w:rsidRPr="0060278E" w14:paraId="463FAD40"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119D3E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Cum. Cashflow</w:t>
            </w:r>
          </w:p>
        </w:tc>
        <w:tc>
          <w:tcPr>
            <w:tcW w:w="760" w:type="dxa"/>
            <w:tcBorders>
              <w:top w:val="nil"/>
              <w:left w:val="nil"/>
              <w:bottom w:val="single" w:sz="4" w:space="0" w:color="auto"/>
              <w:right w:val="single" w:sz="4" w:space="0" w:color="auto"/>
            </w:tcBorders>
            <w:noWrap/>
            <w:vAlign w:val="bottom"/>
            <w:hideMark/>
          </w:tcPr>
          <w:p w14:paraId="06E33CF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w:t>
            </w:r>
          </w:p>
        </w:tc>
        <w:tc>
          <w:tcPr>
            <w:tcW w:w="700" w:type="dxa"/>
            <w:tcBorders>
              <w:top w:val="nil"/>
              <w:left w:val="nil"/>
              <w:bottom w:val="single" w:sz="4" w:space="0" w:color="auto"/>
              <w:right w:val="single" w:sz="4" w:space="0" w:color="auto"/>
            </w:tcBorders>
            <w:noWrap/>
            <w:vAlign w:val="bottom"/>
            <w:hideMark/>
          </w:tcPr>
          <w:p w14:paraId="56A6362E"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-45</w:t>
            </w:r>
          </w:p>
        </w:tc>
        <w:tc>
          <w:tcPr>
            <w:tcW w:w="700" w:type="dxa"/>
            <w:tcBorders>
              <w:top w:val="nil"/>
              <w:left w:val="nil"/>
              <w:bottom w:val="single" w:sz="4" w:space="0" w:color="auto"/>
              <w:right w:val="single" w:sz="4" w:space="0" w:color="auto"/>
            </w:tcBorders>
            <w:noWrap/>
            <w:vAlign w:val="bottom"/>
            <w:hideMark/>
          </w:tcPr>
          <w:p w14:paraId="41795ED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-35</w:t>
            </w:r>
          </w:p>
        </w:tc>
        <w:tc>
          <w:tcPr>
            <w:tcW w:w="700" w:type="dxa"/>
            <w:tcBorders>
              <w:top w:val="nil"/>
              <w:left w:val="nil"/>
              <w:bottom w:val="single" w:sz="4" w:space="0" w:color="auto"/>
              <w:right w:val="single" w:sz="4" w:space="0" w:color="auto"/>
            </w:tcBorders>
            <w:noWrap/>
            <w:vAlign w:val="bottom"/>
            <w:hideMark/>
          </w:tcPr>
          <w:p w14:paraId="68397AE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-15</w:t>
            </w:r>
          </w:p>
        </w:tc>
        <w:tc>
          <w:tcPr>
            <w:tcW w:w="700" w:type="dxa"/>
            <w:tcBorders>
              <w:top w:val="nil"/>
              <w:left w:val="nil"/>
              <w:bottom w:val="single" w:sz="4" w:space="0" w:color="auto"/>
              <w:right w:val="single" w:sz="4" w:space="0" w:color="auto"/>
            </w:tcBorders>
            <w:noWrap/>
            <w:vAlign w:val="bottom"/>
            <w:hideMark/>
          </w:tcPr>
          <w:p w14:paraId="002C2332"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10</w:t>
            </w:r>
          </w:p>
        </w:tc>
        <w:tc>
          <w:tcPr>
            <w:tcW w:w="660" w:type="dxa"/>
            <w:tcBorders>
              <w:top w:val="nil"/>
              <w:left w:val="nil"/>
              <w:bottom w:val="single" w:sz="4" w:space="0" w:color="auto"/>
              <w:right w:val="single" w:sz="4" w:space="0" w:color="auto"/>
            </w:tcBorders>
            <w:noWrap/>
            <w:vAlign w:val="bottom"/>
            <w:hideMark/>
          </w:tcPr>
          <w:p w14:paraId="384EE8A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15</w:t>
            </w:r>
          </w:p>
        </w:tc>
      </w:tr>
      <w:tr w:rsidR="0060278E" w:rsidRPr="0060278E" w14:paraId="5094FDFD"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13E6580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06CBCDF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3A9A39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DF5EBC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E62871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4E60CE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7889913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407A9AE6"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EE0BB6E"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Payback Period (PBP)</w:t>
            </w:r>
          </w:p>
        </w:tc>
        <w:tc>
          <w:tcPr>
            <w:tcW w:w="760" w:type="dxa"/>
            <w:tcBorders>
              <w:top w:val="nil"/>
              <w:left w:val="nil"/>
              <w:bottom w:val="single" w:sz="4" w:space="0" w:color="auto"/>
              <w:right w:val="single" w:sz="4" w:space="0" w:color="auto"/>
            </w:tcBorders>
            <w:noWrap/>
            <w:vAlign w:val="bottom"/>
            <w:hideMark/>
          </w:tcPr>
          <w:p w14:paraId="0E837A14"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3.60</w:t>
            </w:r>
          </w:p>
        </w:tc>
        <w:tc>
          <w:tcPr>
            <w:tcW w:w="700" w:type="dxa"/>
            <w:tcBorders>
              <w:top w:val="nil"/>
              <w:left w:val="nil"/>
              <w:bottom w:val="single" w:sz="4" w:space="0" w:color="auto"/>
              <w:right w:val="single" w:sz="4" w:space="0" w:color="auto"/>
            </w:tcBorders>
            <w:noWrap/>
            <w:vAlign w:val="bottom"/>
            <w:hideMark/>
          </w:tcPr>
          <w:p w14:paraId="64EF0257"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years</w:t>
            </w:r>
          </w:p>
        </w:tc>
        <w:tc>
          <w:tcPr>
            <w:tcW w:w="700" w:type="dxa"/>
            <w:tcBorders>
              <w:top w:val="nil"/>
              <w:left w:val="nil"/>
              <w:bottom w:val="single" w:sz="4" w:space="0" w:color="auto"/>
              <w:right w:val="single" w:sz="4" w:space="0" w:color="auto"/>
            </w:tcBorders>
            <w:noWrap/>
            <w:vAlign w:val="bottom"/>
            <w:hideMark/>
          </w:tcPr>
          <w:p w14:paraId="4039C2D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2F44F8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19CBCD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2504B40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A8AF18B"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A95522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Average profit</w:t>
            </w:r>
          </w:p>
        </w:tc>
        <w:tc>
          <w:tcPr>
            <w:tcW w:w="760" w:type="dxa"/>
            <w:tcBorders>
              <w:top w:val="nil"/>
              <w:left w:val="nil"/>
              <w:bottom w:val="single" w:sz="4" w:space="0" w:color="auto"/>
              <w:right w:val="single" w:sz="4" w:space="0" w:color="auto"/>
            </w:tcBorders>
            <w:noWrap/>
            <w:vAlign w:val="bottom"/>
            <w:hideMark/>
          </w:tcPr>
          <w:p w14:paraId="0D7D91E4"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3.00</w:t>
            </w:r>
          </w:p>
        </w:tc>
        <w:tc>
          <w:tcPr>
            <w:tcW w:w="700" w:type="dxa"/>
            <w:tcBorders>
              <w:top w:val="nil"/>
              <w:left w:val="nil"/>
              <w:bottom w:val="single" w:sz="4" w:space="0" w:color="auto"/>
              <w:right w:val="single" w:sz="4" w:space="0" w:color="auto"/>
            </w:tcBorders>
            <w:noWrap/>
            <w:vAlign w:val="bottom"/>
            <w:hideMark/>
          </w:tcPr>
          <w:p w14:paraId="255284A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9B72C8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333B2D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161021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1998B8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19B283C9"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1F61351E"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Acounting Rate of Return (ARR)</w:t>
            </w:r>
          </w:p>
        </w:tc>
        <w:tc>
          <w:tcPr>
            <w:tcW w:w="760" w:type="dxa"/>
            <w:tcBorders>
              <w:top w:val="nil"/>
              <w:left w:val="nil"/>
              <w:bottom w:val="single" w:sz="4" w:space="0" w:color="auto"/>
              <w:right w:val="single" w:sz="4" w:space="0" w:color="auto"/>
            </w:tcBorders>
            <w:noWrap/>
            <w:vAlign w:val="bottom"/>
            <w:hideMark/>
          </w:tcPr>
          <w:p w14:paraId="6F3F8EA5"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6.00%</w:t>
            </w:r>
          </w:p>
        </w:tc>
        <w:tc>
          <w:tcPr>
            <w:tcW w:w="700" w:type="dxa"/>
            <w:tcBorders>
              <w:top w:val="nil"/>
              <w:left w:val="nil"/>
              <w:bottom w:val="single" w:sz="4" w:space="0" w:color="auto"/>
              <w:right w:val="single" w:sz="4" w:space="0" w:color="auto"/>
            </w:tcBorders>
            <w:noWrap/>
            <w:vAlign w:val="bottom"/>
            <w:hideMark/>
          </w:tcPr>
          <w:p w14:paraId="74504C7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792939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D354619"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5FCF0E0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255A711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1919B308"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0768178"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Internal Rate of Return (IRR)</w:t>
            </w:r>
          </w:p>
        </w:tc>
        <w:tc>
          <w:tcPr>
            <w:tcW w:w="760" w:type="dxa"/>
            <w:tcBorders>
              <w:top w:val="nil"/>
              <w:left w:val="nil"/>
              <w:bottom w:val="single" w:sz="4" w:space="0" w:color="auto"/>
              <w:right w:val="single" w:sz="4" w:space="0" w:color="auto"/>
            </w:tcBorders>
            <w:noWrap/>
            <w:vAlign w:val="bottom"/>
            <w:hideMark/>
          </w:tcPr>
          <w:p w14:paraId="0D51D56D"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8.59%</w:t>
            </w:r>
          </w:p>
        </w:tc>
        <w:tc>
          <w:tcPr>
            <w:tcW w:w="700" w:type="dxa"/>
            <w:tcBorders>
              <w:top w:val="nil"/>
              <w:left w:val="nil"/>
              <w:bottom w:val="single" w:sz="4" w:space="0" w:color="auto"/>
              <w:right w:val="single" w:sz="4" w:space="0" w:color="auto"/>
            </w:tcBorders>
            <w:noWrap/>
            <w:vAlign w:val="bottom"/>
            <w:hideMark/>
          </w:tcPr>
          <w:p w14:paraId="177581C1"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1FF83B6"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26C923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A33260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474765D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483A1B5A"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09F604E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3E2731A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0A92A7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4CFCE2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325B39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3866CCF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5AD2134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6F7F1AEF"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8382B0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Present Value (PV)</w:t>
            </w:r>
          </w:p>
        </w:tc>
        <w:tc>
          <w:tcPr>
            <w:tcW w:w="760" w:type="dxa"/>
            <w:tcBorders>
              <w:top w:val="nil"/>
              <w:left w:val="nil"/>
              <w:bottom w:val="single" w:sz="4" w:space="0" w:color="auto"/>
              <w:right w:val="single" w:sz="4" w:space="0" w:color="auto"/>
            </w:tcBorders>
            <w:noWrap/>
            <w:vAlign w:val="bottom"/>
            <w:hideMark/>
          </w:tcPr>
          <w:p w14:paraId="1DD6A101"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-50.000</w:t>
            </w:r>
          </w:p>
        </w:tc>
        <w:tc>
          <w:tcPr>
            <w:tcW w:w="700" w:type="dxa"/>
            <w:tcBorders>
              <w:top w:val="nil"/>
              <w:left w:val="nil"/>
              <w:bottom w:val="single" w:sz="4" w:space="0" w:color="auto"/>
              <w:right w:val="single" w:sz="4" w:space="0" w:color="auto"/>
            </w:tcBorders>
            <w:noWrap/>
            <w:vAlign w:val="bottom"/>
            <w:hideMark/>
          </w:tcPr>
          <w:p w14:paraId="4DEB5C88"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4.545</w:t>
            </w:r>
          </w:p>
        </w:tc>
        <w:tc>
          <w:tcPr>
            <w:tcW w:w="700" w:type="dxa"/>
            <w:tcBorders>
              <w:top w:val="nil"/>
              <w:left w:val="nil"/>
              <w:bottom w:val="single" w:sz="4" w:space="0" w:color="auto"/>
              <w:right w:val="single" w:sz="4" w:space="0" w:color="auto"/>
            </w:tcBorders>
            <w:noWrap/>
            <w:vAlign w:val="bottom"/>
            <w:hideMark/>
          </w:tcPr>
          <w:p w14:paraId="5949BDF3"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8.264</w:t>
            </w:r>
          </w:p>
        </w:tc>
        <w:tc>
          <w:tcPr>
            <w:tcW w:w="700" w:type="dxa"/>
            <w:tcBorders>
              <w:top w:val="nil"/>
              <w:left w:val="nil"/>
              <w:bottom w:val="single" w:sz="4" w:space="0" w:color="auto"/>
              <w:right w:val="single" w:sz="4" w:space="0" w:color="auto"/>
            </w:tcBorders>
            <w:noWrap/>
            <w:vAlign w:val="bottom"/>
            <w:hideMark/>
          </w:tcPr>
          <w:p w14:paraId="7D08E65F"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15.026</w:t>
            </w:r>
          </w:p>
        </w:tc>
        <w:tc>
          <w:tcPr>
            <w:tcW w:w="700" w:type="dxa"/>
            <w:tcBorders>
              <w:top w:val="nil"/>
              <w:left w:val="nil"/>
              <w:bottom w:val="single" w:sz="4" w:space="0" w:color="auto"/>
              <w:right w:val="single" w:sz="4" w:space="0" w:color="auto"/>
            </w:tcBorders>
            <w:noWrap/>
            <w:vAlign w:val="bottom"/>
            <w:hideMark/>
          </w:tcPr>
          <w:p w14:paraId="597AB53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17.075</w:t>
            </w:r>
          </w:p>
        </w:tc>
        <w:tc>
          <w:tcPr>
            <w:tcW w:w="660" w:type="dxa"/>
            <w:tcBorders>
              <w:top w:val="nil"/>
              <w:left w:val="nil"/>
              <w:bottom w:val="single" w:sz="4" w:space="0" w:color="auto"/>
              <w:right w:val="single" w:sz="4" w:space="0" w:color="auto"/>
            </w:tcBorders>
            <w:noWrap/>
            <w:vAlign w:val="bottom"/>
            <w:hideMark/>
          </w:tcPr>
          <w:p w14:paraId="5386A545"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3.105</w:t>
            </w:r>
          </w:p>
        </w:tc>
      </w:tr>
      <w:tr w:rsidR="0060278E" w:rsidRPr="0060278E" w14:paraId="18E69E6C"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7A393EF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Total PV of inflows</w:t>
            </w:r>
          </w:p>
        </w:tc>
        <w:tc>
          <w:tcPr>
            <w:tcW w:w="760" w:type="dxa"/>
            <w:tcBorders>
              <w:top w:val="nil"/>
              <w:left w:val="nil"/>
              <w:bottom w:val="single" w:sz="4" w:space="0" w:color="auto"/>
              <w:right w:val="single" w:sz="4" w:space="0" w:color="auto"/>
            </w:tcBorders>
            <w:noWrap/>
            <w:vAlign w:val="bottom"/>
            <w:hideMark/>
          </w:tcPr>
          <w:p w14:paraId="0131FC47" w14:textId="77777777" w:rsidR="0060278E" w:rsidRPr="0060278E" w:rsidRDefault="0060278E" w:rsidP="0060278E">
            <w:pPr>
              <w:spacing w:after="0" w:line="240" w:lineRule="auto"/>
              <w:jc w:val="righ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48.016</w:t>
            </w:r>
          </w:p>
        </w:tc>
        <w:tc>
          <w:tcPr>
            <w:tcW w:w="700" w:type="dxa"/>
            <w:tcBorders>
              <w:top w:val="nil"/>
              <w:left w:val="nil"/>
              <w:bottom w:val="single" w:sz="4" w:space="0" w:color="auto"/>
              <w:right w:val="single" w:sz="4" w:space="0" w:color="auto"/>
            </w:tcBorders>
            <w:noWrap/>
            <w:vAlign w:val="bottom"/>
            <w:hideMark/>
          </w:tcPr>
          <w:p w14:paraId="75A7E23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49E618D"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B11301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D6FDD3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3785890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3AA2C967"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625856A5"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60" w:type="dxa"/>
            <w:tcBorders>
              <w:top w:val="nil"/>
              <w:left w:val="nil"/>
              <w:bottom w:val="single" w:sz="4" w:space="0" w:color="auto"/>
              <w:right w:val="single" w:sz="4" w:space="0" w:color="auto"/>
            </w:tcBorders>
            <w:noWrap/>
            <w:vAlign w:val="bottom"/>
            <w:hideMark/>
          </w:tcPr>
          <w:p w14:paraId="7200E7B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27C6F17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6291CF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2483FC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8C3F3FC"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4073EEF3"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5BE31FEB"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12154831"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Net Present Value (NPV)</w:t>
            </w:r>
          </w:p>
        </w:tc>
        <w:tc>
          <w:tcPr>
            <w:tcW w:w="760" w:type="dxa"/>
            <w:tcBorders>
              <w:top w:val="nil"/>
              <w:left w:val="nil"/>
              <w:bottom w:val="single" w:sz="4" w:space="0" w:color="auto"/>
              <w:right w:val="single" w:sz="4" w:space="0" w:color="auto"/>
            </w:tcBorders>
            <w:noWrap/>
            <w:vAlign w:val="bottom"/>
            <w:hideMark/>
          </w:tcPr>
          <w:p w14:paraId="557F361F"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-1.984</w:t>
            </w:r>
          </w:p>
        </w:tc>
        <w:tc>
          <w:tcPr>
            <w:tcW w:w="700" w:type="dxa"/>
            <w:tcBorders>
              <w:top w:val="nil"/>
              <w:left w:val="nil"/>
              <w:bottom w:val="single" w:sz="4" w:space="0" w:color="auto"/>
              <w:right w:val="single" w:sz="4" w:space="0" w:color="auto"/>
            </w:tcBorders>
            <w:noWrap/>
            <w:vAlign w:val="bottom"/>
            <w:hideMark/>
          </w:tcPr>
          <w:p w14:paraId="0C4C378E"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62FBF27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6919BB0"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4B0EB4AF"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0E368042"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r w:rsidR="0060278E" w:rsidRPr="0060278E" w14:paraId="36423D6C" w14:textId="77777777" w:rsidTr="00A31EC4">
        <w:trPr>
          <w:trHeight w:val="300"/>
          <w:jc w:val="center"/>
        </w:trPr>
        <w:tc>
          <w:tcPr>
            <w:tcW w:w="3220" w:type="dxa"/>
            <w:tcBorders>
              <w:top w:val="nil"/>
              <w:left w:val="single" w:sz="4" w:space="0" w:color="auto"/>
              <w:bottom w:val="single" w:sz="4" w:space="0" w:color="auto"/>
              <w:right w:val="single" w:sz="4" w:space="0" w:color="auto"/>
            </w:tcBorders>
            <w:noWrap/>
            <w:vAlign w:val="bottom"/>
            <w:hideMark/>
          </w:tcPr>
          <w:p w14:paraId="334C6033" w14:textId="77777777" w:rsidR="0060278E" w:rsidRPr="0060278E" w:rsidRDefault="0060278E" w:rsidP="0060278E">
            <w:pPr>
              <w:spacing w:after="0" w:line="240" w:lineRule="auto"/>
              <w:jc w:val="lef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Profitability Index (PI)</w:t>
            </w:r>
          </w:p>
        </w:tc>
        <w:tc>
          <w:tcPr>
            <w:tcW w:w="760" w:type="dxa"/>
            <w:tcBorders>
              <w:top w:val="nil"/>
              <w:left w:val="nil"/>
              <w:bottom w:val="single" w:sz="4" w:space="0" w:color="auto"/>
              <w:right w:val="single" w:sz="4" w:space="0" w:color="auto"/>
            </w:tcBorders>
            <w:noWrap/>
            <w:vAlign w:val="bottom"/>
            <w:hideMark/>
          </w:tcPr>
          <w:p w14:paraId="1413589A" w14:textId="77777777" w:rsidR="0060278E" w:rsidRPr="0060278E" w:rsidRDefault="0060278E" w:rsidP="0060278E">
            <w:pPr>
              <w:spacing w:after="0" w:line="240" w:lineRule="auto"/>
              <w:jc w:val="right"/>
              <w:rPr>
                <w:rFonts w:ascii="Aptos Narrow" w:eastAsia="Times New Roman" w:hAnsi="Aptos Narrow" w:cs="Times New Roman"/>
                <w:b/>
                <w:bCs/>
                <w:color w:val="000000"/>
                <w:sz w:val="22"/>
                <w:lang w:eastAsia="en-GB"/>
              </w:rPr>
            </w:pPr>
            <w:r w:rsidRPr="0060278E">
              <w:rPr>
                <w:rFonts w:ascii="Aptos Narrow" w:eastAsia="Times New Roman" w:hAnsi="Aptos Narrow" w:cs="Times New Roman"/>
                <w:b/>
                <w:bCs/>
                <w:color w:val="000000"/>
                <w:sz w:val="22"/>
                <w:lang w:eastAsia="en-GB"/>
              </w:rPr>
              <w:t>96.03%</w:t>
            </w:r>
          </w:p>
        </w:tc>
        <w:tc>
          <w:tcPr>
            <w:tcW w:w="700" w:type="dxa"/>
            <w:tcBorders>
              <w:top w:val="nil"/>
              <w:left w:val="nil"/>
              <w:bottom w:val="single" w:sz="4" w:space="0" w:color="auto"/>
              <w:right w:val="single" w:sz="4" w:space="0" w:color="auto"/>
            </w:tcBorders>
            <w:noWrap/>
            <w:vAlign w:val="bottom"/>
            <w:hideMark/>
          </w:tcPr>
          <w:p w14:paraId="453AB7C7"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78A93118"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0DCD63D4"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700" w:type="dxa"/>
            <w:tcBorders>
              <w:top w:val="nil"/>
              <w:left w:val="nil"/>
              <w:bottom w:val="single" w:sz="4" w:space="0" w:color="auto"/>
              <w:right w:val="single" w:sz="4" w:space="0" w:color="auto"/>
            </w:tcBorders>
            <w:noWrap/>
            <w:vAlign w:val="bottom"/>
            <w:hideMark/>
          </w:tcPr>
          <w:p w14:paraId="1B7B641B"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c>
          <w:tcPr>
            <w:tcW w:w="660" w:type="dxa"/>
            <w:tcBorders>
              <w:top w:val="nil"/>
              <w:left w:val="nil"/>
              <w:bottom w:val="single" w:sz="4" w:space="0" w:color="auto"/>
              <w:right w:val="single" w:sz="4" w:space="0" w:color="auto"/>
            </w:tcBorders>
            <w:noWrap/>
            <w:vAlign w:val="bottom"/>
            <w:hideMark/>
          </w:tcPr>
          <w:p w14:paraId="67BC1A1A" w14:textId="77777777" w:rsidR="0060278E" w:rsidRPr="0060278E" w:rsidRDefault="0060278E" w:rsidP="0060278E">
            <w:pPr>
              <w:spacing w:after="0" w:line="240" w:lineRule="auto"/>
              <w:jc w:val="left"/>
              <w:rPr>
                <w:rFonts w:ascii="Aptos Narrow" w:eastAsia="Times New Roman" w:hAnsi="Aptos Narrow" w:cs="Times New Roman"/>
                <w:color w:val="000000"/>
                <w:sz w:val="22"/>
                <w:lang w:eastAsia="en-GB"/>
              </w:rPr>
            </w:pPr>
            <w:r w:rsidRPr="0060278E">
              <w:rPr>
                <w:rFonts w:ascii="Aptos Narrow" w:eastAsia="Times New Roman" w:hAnsi="Aptos Narrow" w:cs="Times New Roman"/>
                <w:color w:val="000000"/>
                <w:sz w:val="22"/>
                <w:lang w:eastAsia="en-GB"/>
              </w:rPr>
              <w:t> </w:t>
            </w:r>
          </w:p>
        </w:tc>
      </w:tr>
    </w:tbl>
    <w:p w14:paraId="32C0B84D" w14:textId="77777777" w:rsidR="0060278E" w:rsidRPr="00766B03" w:rsidRDefault="0060278E" w:rsidP="00126423">
      <w:pPr>
        <w:rPr>
          <w:lang w:val="en-US"/>
        </w:rPr>
      </w:pPr>
    </w:p>
    <w:sectPr w:rsidR="0060278E" w:rsidRPr="00766B03" w:rsidSect="00A8262C">
      <w:footerReference w:type="default" r:id="rId5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266862" w14:textId="77777777" w:rsidR="003C4BDA" w:rsidRDefault="003C4BDA" w:rsidP="00A8262C">
      <w:pPr>
        <w:spacing w:after="0" w:line="240" w:lineRule="auto"/>
      </w:pPr>
      <w:r>
        <w:separator/>
      </w:r>
    </w:p>
  </w:endnote>
  <w:endnote w:type="continuationSeparator" w:id="0">
    <w:p w14:paraId="6A7B5832" w14:textId="77777777" w:rsidR="003C4BDA" w:rsidRDefault="003C4BDA" w:rsidP="00A826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880909610"/>
      <w:docPartObj>
        <w:docPartGallery w:val="Page Numbers (Bottom of Page)"/>
        <w:docPartUnique/>
      </w:docPartObj>
    </w:sdtPr>
    <w:sdtEndPr>
      <w:rPr>
        <w:noProof/>
      </w:rPr>
    </w:sdtEndPr>
    <w:sdtContent>
      <w:p w14:paraId="7C432709" w14:textId="4D4990B4" w:rsidR="00A8262C" w:rsidRPr="00A8262C" w:rsidRDefault="00A8262C">
        <w:pPr>
          <w:pStyle w:val="Footer"/>
          <w:jc w:val="center"/>
          <w:rPr>
            <w:b/>
            <w:bCs/>
          </w:rPr>
        </w:pPr>
        <w:r w:rsidRPr="00A8262C">
          <w:rPr>
            <w:b/>
            <w:bCs/>
          </w:rPr>
          <w:fldChar w:fldCharType="begin"/>
        </w:r>
        <w:r w:rsidRPr="00A8262C">
          <w:rPr>
            <w:b/>
            <w:bCs/>
          </w:rPr>
          <w:instrText xml:space="preserve"> PAGE   \* MERGEFORMAT </w:instrText>
        </w:r>
        <w:r w:rsidRPr="00A8262C">
          <w:rPr>
            <w:b/>
            <w:bCs/>
          </w:rPr>
          <w:fldChar w:fldCharType="separate"/>
        </w:r>
        <w:r w:rsidRPr="00A8262C">
          <w:rPr>
            <w:b/>
            <w:bCs/>
            <w:noProof/>
          </w:rPr>
          <w:t>2</w:t>
        </w:r>
        <w:r w:rsidRPr="00A8262C">
          <w:rPr>
            <w:b/>
            <w:bCs/>
            <w:noProof/>
          </w:rPr>
          <w:fldChar w:fldCharType="end"/>
        </w:r>
      </w:p>
    </w:sdtContent>
  </w:sdt>
  <w:p w14:paraId="6AD02C88" w14:textId="77777777" w:rsidR="00A8262C" w:rsidRPr="00A8262C" w:rsidRDefault="00A8262C">
    <w:pPr>
      <w:pStyle w:val="Footer"/>
      <w:rPr>
        <w:b/>
        <w:bC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198F5FD" w14:textId="77777777" w:rsidR="003C4BDA" w:rsidRDefault="003C4BDA" w:rsidP="00A8262C">
      <w:pPr>
        <w:spacing w:after="0" w:line="240" w:lineRule="auto"/>
      </w:pPr>
      <w:r>
        <w:separator/>
      </w:r>
    </w:p>
  </w:footnote>
  <w:footnote w:type="continuationSeparator" w:id="0">
    <w:p w14:paraId="2D077CA0" w14:textId="77777777" w:rsidR="003C4BDA" w:rsidRDefault="003C4BDA" w:rsidP="00A8262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326"/>
    <w:rsid w:val="000A1326"/>
    <w:rsid w:val="000C1568"/>
    <w:rsid w:val="000C22E4"/>
    <w:rsid w:val="000C3E24"/>
    <w:rsid w:val="000E79AC"/>
    <w:rsid w:val="00106BB7"/>
    <w:rsid w:val="0012194E"/>
    <w:rsid w:val="00126423"/>
    <w:rsid w:val="001D11C9"/>
    <w:rsid w:val="001F7108"/>
    <w:rsid w:val="002C70E6"/>
    <w:rsid w:val="003538F5"/>
    <w:rsid w:val="00373D9E"/>
    <w:rsid w:val="003C4BDA"/>
    <w:rsid w:val="004C6BAD"/>
    <w:rsid w:val="00510340"/>
    <w:rsid w:val="00514AFD"/>
    <w:rsid w:val="005A5F9C"/>
    <w:rsid w:val="005B7639"/>
    <w:rsid w:val="0060278E"/>
    <w:rsid w:val="00602F5C"/>
    <w:rsid w:val="00642BF1"/>
    <w:rsid w:val="00665C2D"/>
    <w:rsid w:val="006E1EAA"/>
    <w:rsid w:val="007663F9"/>
    <w:rsid w:val="00766B03"/>
    <w:rsid w:val="00780F35"/>
    <w:rsid w:val="007978F7"/>
    <w:rsid w:val="007A3EE5"/>
    <w:rsid w:val="007B2AB0"/>
    <w:rsid w:val="00802D4A"/>
    <w:rsid w:val="00836CF7"/>
    <w:rsid w:val="00851218"/>
    <w:rsid w:val="008566ED"/>
    <w:rsid w:val="008B7EAF"/>
    <w:rsid w:val="008E6CE6"/>
    <w:rsid w:val="008F740A"/>
    <w:rsid w:val="00910D4C"/>
    <w:rsid w:val="00931226"/>
    <w:rsid w:val="00970481"/>
    <w:rsid w:val="009B2E02"/>
    <w:rsid w:val="00A07CA1"/>
    <w:rsid w:val="00A31EC4"/>
    <w:rsid w:val="00A8262C"/>
    <w:rsid w:val="00B12161"/>
    <w:rsid w:val="00B355AE"/>
    <w:rsid w:val="00B527ED"/>
    <w:rsid w:val="00B72139"/>
    <w:rsid w:val="00B75658"/>
    <w:rsid w:val="00BF38CF"/>
    <w:rsid w:val="00C96355"/>
    <w:rsid w:val="00D75C5C"/>
    <w:rsid w:val="00E022BB"/>
    <w:rsid w:val="00E10E68"/>
    <w:rsid w:val="00F469CA"/>
    <w:rsid w:val="00F55645"/>
    <w:rsid w:val="00F8214E"/>
    <w:rsid w:val="00F858BB"/>
    <w:rsid w:val="00FD7CE2"/>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99491C"/>
  <w15:chartTrackingRefBased/>
  <w15:docId w15:val="{77056BDB-E19A-4CE3-9A00-66CA7EE452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lsdException w:name="Bibliography" w:semiHidden="1" w:uiPriority="37" w:unhideWhenUsed="1"/>
    <w:lsdException w:name="TOC Heading" w:semiHidden="1" w:uiPriority="39" w:unhideWhenUsed="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1EC4"/>
    <w:pPr>
      <w:spacing w:before="120" w:after="120" w:line="360" w:lineRule="auto"/>
      <w:jc w:val="both"/>
    </w:pPr>
    <w:rPr>
      <w:rFonts w:ascii="Times New Roman" w:hAnsi="Times New Roman"/>
      <w:sz w:val="24"/>
      <w14:ligatures w14:val="none"/>
    </w:rPr>
  </w:style>
  <w:style w:type="paragraph" w:styleId="Heading1">
    <w:name w:val="heading 1"/>
    <w:basedOn w:val="Normal"/>
    <w:next w:val="Normal"/>
    <w:link w:val="Heading1Char"/>
    <w:uiPriority w:val="9"/>
    <w:qFormat/>
    <w:rsid w:val="00A31EC4"/>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A31EC4"/>
    <w:pPr>
      <w:keepNext/>
      <w:keepLines/>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A31EC4"/>
    <w:pPr>
      <w:keepNext/>
      <w:keepLines/>
      <w:outlineLvl w:val="2"/>
    </w:pPr>
    <w:rPr>
      <w:rFonts w:eastAsiaTheme="majorEastAsia" w:cstheme="majorBidi"/>
      <w:b/>
      <w:i/>
      <w:szCs w:val="24"/>
    </w:rPr>
  </w:style>
  <w:style w:type="paragraph" w:styleId="Heading4">
    <w:name w:val="heading 4"/>
    <w:basedOn w:val="Normal"/>
    <w:next w:val="Normal"/>
    <w:link w:val="Heading4Char"/>
    <w:uiPriority w:val="9"/>
    <w:semiHidden/>
    <w:unhideWhenUsed/>
    <w:qFormat/>
    <w:rsid w:val="000A1326"/>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autoRedefine/>
    <w:rsid w:val="004C6BAD"/>
    <w:pPr>
      <w:keepNext/>
      <w:keepLines/>
      <w:spacing w:before="240" w:after="80"/>
      <w:jc w:val="center"/>
      <w:outlineLvl w:val="4"/>
    </w:pPr>
    <w:rPr>
      <w:rFonts w:cs="Times New Roman"/>
      <w:b/>
      <w:color w:val="000000" w:themeColor="text1"/>
      <w:szCs w:val="24"/>
      <w14:ligatures w14:val="standardContextual"/>
    </w:rPr>
  </w:style>
  <w:style w:type="paragraph" w:styleId="Heading6">
    <w:name w:val="heading 6"/>
    <w:basedOn w:val="Normal"/>
    <w:next w:val="Normal"/>
    <w:link w:val="Heading6Char"/>
    <w:uiPriority w:val="9"/>
    <w:semiHidden/>
    <w:unhideWhenUsed/>
    <w:qFormat/>
    <w:rsid w:val="000A1326"/>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0A1326"/>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0A1326"/>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0A1326"/>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1EC4"/>
    <w:rPr>
      <w:rFonts w:ascii="Times New Roman" w:eastAsiaTheme="majorEastAsia" w:hAnsi="Times New Roman" w:cstheme="majorBidi"/>
      <w:b/>
      <w:sz w:val="28"/>
      <w:szCs w:val="32"/>
      <w14:ligatures w14:val="none"/>
    </w:rPr>
  </w:style>
  <w:style w:type="character" w:customStyle="1" w:styleId="Heading2Char">
    <w:name w:val="Heading 2 Char"/>
    <w:basedOn w:val="DefaultParagraphFont"/>
    <w:link w:val="Heading2"/>
    <w:uiPriority w:val="9"/>
    <w:rsid w:val="00A31EC4"/>
    <w:rPr>
      <w:rFonts w:ascii="Times New Roman" w:eastAsiaTheme="majorEastAsia" w:hAnsi="Times New Roman" w:cstheme="majorBidi"/>
      <w:b/>
      <w:sz w:val="26"/>
      <w:szCs w:val="26"/>
      <w14:ligatures w14:val="none"/>
    </w:rPr>
  </w:style>
  <w:style w:type="character" w:customStyle="1" w:styleId="Heading3Char">
    <w:name w:val="Heading 3 Char"/>
    <w:basedOn w:val="DefaultParagraphFont"/>
    <w:link w:val="Heading3"/>
    <w:uiPriority w:val="9"/>
    <w:semiHidden/>
    <w:rsid w:val="00A31EC4"/>
    <w:rPr>
      <w:rFonts w:ascii="Times New Roman" w:eastAsiaTheme="majorEastAsia" w:hAnsi="Times New Roman" w:cstheme="majorBidi"/>
      <w:b/>
      <w:i/>
      <w:sz w:val="24"/>
      <w:szCs w:val="24"/>
      <w14:ligatures w14:val="none"/>
    </w:rPr>
  </w:style>
  <w:style w:type="character" w:customStyle="1" w:styleId="Heading5Char">
    <w:name w:val="Heading 5 Char"/>
    <w:basedOn w:val="DefaultParagraphFont"/>
    <w:link w:val="Heading5"/>
    <w:rsid w:val="004C6BAD"/>
    <w:rPr>
      <w:rFonts w:ascii="Times New Roman" w:hAnsi="Times New Roman" w:cs="Times New Roman"/>
      <w:b/>
      <w:color w:val="000000" w:themeColor="text1"/>
      <w:sz w:val="24"/>
      <w:szCs w:val="24"/>
    </w:rPr>
  </w:style>
  <w:style w:type="character" w:customStyle="1" w:styleId="Heading4Char">
    <w:name w:val="Heading 4 Char"/>
    <w:basedOn w:val="DefaultParagraphFont"/>
    <w:link w:val="Heading4"/>
    <w:uiPriority w:val="9"/>
    <w:semiHidden/>
    <w:rsid w:val="000A1326"/>
    <w:rPr>
      <w:rFonts w:eastAsiaTheme="majorEastAsia" w:cstheme="majorBidi"/>
      <w:i/>
      <w:iCs/>
      <w:color w:val="2F5496" w:themeColor="accent1" w:themeShade="BF"/>
      <w:sz w:val="24"/>
      <w14:ligatures w14:val="none"/>
    </w:rPr>
  </w:style>
  <w:style w:type="character" w:customStyle="1" w:styleId="Heading6Char">
    <w:name w:val="Heading 6 Char"/>
    <w:basedOn w:val="DefaultParagraphFont"/>
    <w:link w:val="Heading6"/>
    <w:uiPriority w:val="9"/>
    <w:semiHidden/>
    <w:rsid w:val="000A1326"/>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0A1326"/>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0A1326"/>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0A1326"/>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rsid w:val="000A13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326"/>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0A1326"/>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326"/>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0A1326"/>
    <w:pPr>
      <w:spacing w:before="160"/>
      <w:jc w:val="center"/>
    </w:pPr>
    <w:rPr>
      <w:i/>
      <w:iCs/>
      <w:color w:val="404040" w:themeColor="text1" w:themeTint="BF"/>
    </w:rPr>
  </w:style>
  <w:style w:type="character" w:customStyle="1" w:styleId="QuoteChar">
    <w:name w:val="Quote Char"/>
    <w:basedOn w:val="DefaultParagraphFont"/>
    <w:link w:val="Quote"/>
    <w:uiPriority w:val="29"/>
    <w:rsid w:val="000A1326"/>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0A1326"/>
    <w:pPr>
      <w:ind w:left="720"/>
      <w:contextualSpacing/>
    </w:pPr>
  </w:style>
  <w:style w:type="character" w:styleId="IntenseEmphasis">
    <w:name w:val="Intense Emphasis"/>
    <w:basedOn w:val="DefaultParagraphFont"/>
    <w:uiPriority w:val="21"/>
    <w:qFormat/>
    <w:rsid w:val="000A1326"/>
    <w:rPr>
      <w:i/>
      <w:iCs/>
      <w:color w:val="2F5496" w:themeColor="accent1" w:themeShade="BF"/>
    </w:rPr>
  </w:style>
  <w:style w:type="paragraph" w:styleId="IntenseQuote">
    <w:name w:val="Intense Quote"/>
    <w:basedOn w:val="Normal"/>
    <w:next w:val="Normal"/>
    <w:link w:val="IntenseQuoteChar"/>
    <w:uiPriority w:val="30"/>
    <w:qFormat/>
    <w:rsid w:val="000A132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1326"/>
    <w:rPr>
      <w:rFonts w:ascii="Times New Roman" w:hAnsi="Times New Roman"/>
      <w:i/>
      <w:iCs/>
      <w:color w:val="2F5496" w:themeColor="accent1" w:themeShade="BF"/>
      <w:sz w:val="24"/>
      <w14:ligatures w14:val="none"/>
    </w:rPr>
  </w:style>
  <w:style w:type="character" w:styleId="IntenseReference">
    <w:name w:val="Intense Reference"/>
    <w:basedOn w:val="DefaultParagraphFont"/>
    <w:uiPriority w:val="32"/>
    <w:qFormat/>
    <w:rsid w:val="000A1326"/>
    <w:rPr>
      <w:b/>
      <w:bCs/>
      <w:smallCaps/>
      <w:color w:val="2F5496" w:themeColor="accent1" w:themeShade="BF"/>
      <w:spacing w:val="5"/>
    </w:rPr>
  </w:style>
  <w:style w:type="character" w:styleId="Hyperlink">
    <w:name w:val="Hyperlink"/>
    <w:basedOn w:val="DefaultParagraphFont"/>
    <w:uiPriority w:val="99"/>
    <w:unhideWhenUsed/>
    <w:rsid w:val="0060278E"/>
    <w:rPr>
      <w:color w:val="0563C1" w:themeColor="hyperlink"/>
      <w:u w:val="single"/>
    </w:rPr>
  </w:style>
  <w:style w:type="paragraph" w:styleId="NoSpacing">
    <w:name w:val="No Spacing"/>
    <w:uiPriority w:val="1"/>
    <w:qFormat/>
    <w:rsid w:val="00A31EC4"/>
    <w:pPr>
      <w:spacing w:before="120" w:after="120" w:line="360" w:lineRule="auto"/>
      <w:jc w:val="both"/>
    </w:pPr>
    <w:rPr>
      <w:rFonts w:ascii="Times New Roman" w:hAnsi="Times New Roman"/>
      <w:sz w:val="24"/>
      <w14:ligatures w14:val="none"/>
    </w:rPr>
  </w:style>
  <w:style w:type="paragraph" w:styleId="TOCHeading">
    <w:name w:val="TOC Heading"/>
    <w:basedOn w:val="Heading1"/>
    <w:next w:val="Normal"/>
    <w:uiPriority w:val="39"/>
    <w:unhideWhenUsed/>
    <w:rsid w:val="00A8262C"/>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A31EC4"/>
    <w:pPr>
      <w:tabs>
        <w:tab w:val="right" w:leader="dot" w:pos="9016"/>
      </w:tabs>
      <w:spacing w:after="100"/>
    </w:pPr>
    <w:rPr>
      <w:b/>
      <w:bCs/>
      <w:noProof/>
      <w:lang w:val="en-US"/>
    </w:rPr>
  </w:style>
  <w:style w:type="paragraph" w:styleId="TOC2">
    <w:name w:val="toc 2"/>
    <w:basedOn w:val="Normal"/>
    <w:next w:val="Normal"/>
    <w:autoRedefine/>
    <w:uiPriority w:val="39"/>
    <w:unhideWhenUsed/>
    <w:rsid w:val="00A8262C"/>
    <w:pPr>
      <w:spacing w:after="100"/>
      <w:ind w:left="240"/>
    </w:pPr>
  </w:style>
  <w:style w:type="paragraph" w:styleId="Header">
    <w:name w:val="header"/>
    <w:basedOn w:val="Normal"/>
    <w:link w:val="HeaderChar"/>
    <w:uiPriority w:val="99"/>
    <w:unhideWhenUsed/>
    <w:rsid w:val="00A826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262C"/>
    <w:rPr>
      <w:rFonts w:ascii="Times New Roman" w:hAnsi="Times New Roman"/>
      <w:sz w:val="24"/>
      <w14:ligatures w14:val="none"/>
    </w:rPr>
  </w:style>
  <w:style w:type="paragraph" w:styleId="Footer">
    <w:name w:val="footer"/>
    <w:basedOn w:val="Normal"/>
    <w:link w:val="FooterChar"/>
    <w:uiPriority w:val="99"/>
    <w:unhideWhenUsed/>
    <w:rsid w:val="00A826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262C"/>
    <w:rPr>
      <w:rFonts w:ascii="Times New Roman" w:hAnsi="Times New Roman"/>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hyperlink" Target="https://www.researchgate.net/profile/Ovbe-Akpadaka/publication/383262033_Impact_of_Cash_Conversion_Cycle_and_Financial_Stability_on_Firm_Value/links/66c4c856ccd355055fe1342b/Impact-of-Cash-Conversion-Cycle-and-Financial-Stability-on-Firm-Value.pdf" TargetMode="External"/><Relationship Id="rId26" Type="http://schemas.openxmlformats.org/officeDocument/2006/relationships/hyperlink" Target="https://pdfs.semanticscholar.org/55ba/0a9611eaf7c8c6f7c1659e10140305bdcac9.pdf" TargetMode="External"/><Relationship Id="rId39" Type="http://schemas.openxmlformats.org/officeDocument/2006/relationships/hyperlink" Target="https://www.goldenratio.id/index.php/grmilf/article/download/397/289" TargetMode="External"/><Relationship Id="rId21" Type="http://schemas.openxmlformats.org/officeDocument/2006/relationships/hyperlink" Target="https://www.researchgate.net/profile/Adri-Ridder/publication/369723213_Accounts_Payable_Management/links/67bb1955461fb56424e76018/Accounts-Payable-Management.pdf" TargetMode="External"/><Relationship Id="rId34" Type="http://schemas.openxmlformats.org/officeDocument/2006/relationships/hyperlink" Target="https://www.emerald.com/jaar/article-pdf/26/6/205/9873185/jaar-12-2022-0325.pdf" TargetMode="External"/><Relationship Id="rId42" Type="http://schemas.openxmlformats.org/officeDocument/2006/relationships/hyperlink" Target="https://papers.ssrn.com/sol3/Delivery.cfm?abstractid=4638078" TargetMode="External"/><Relationship Id="rId47" Type="http://schemas.openxmlformats.org/officeDocument/2006/relationships/hyperlink" Target="http://ieomsociety.org/proceedings/2022malaysia/644.pdf" TargetMode="External"/><Relationship Id="rId50" Type="http://schemas.openxmlformats.org/officeDocument/2006/relationships/hyperlink" Target="https://www.researchgate.net/profile/Ana-Markuz/publication/367203897_PROJECT_MANAGER'S_SOCIAL_RESPONSIBILITY_ENSURING_WORK-LIFE_BALANCE_AND_EQUAL_OPPORTUNITY_IN_PROJECT/links/63c7f2a0e922c50e99a376bb/PROJECT-MANAGERS-SOCIAL-RESPONSIBILITY-ENSURING-WORK-LIFE-BALANCE-AND-EQUAL-OPPORTUNITY-IN-PROJECT.pdf"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9.png"/><Relationship Id="rId29" Type="http://schemas.openxmlformats.org/officeDocument/2006/relationships/hyperlink" Target="https://ejournal.undiksha.ac.id/index.php/IJSSB/article/download/50318/24910" TargetMode="External"/><Relationship Id="rId11" Type="http://schemas.openxmlformats.org/officeDocument/2006/relationships/image" Target="media/image5.png"/><Relationship Id="rId24" Type="http://schemas.openxmlformats.org/officeDocument/2006/relationships/hyperlink" Target="https://www.atlantis-press.com/article/125975330.pdf" TargetMode="External"/><Relationship Id="rId32" Type="http://schemas.openxmlformats.org/officeDocument/2006/relationships/hyperlink" Target="https://www.emerald.com/itpd/article-pdf/7/3/172/1187930/itpd-04-2023-0011.pdf" TargetMode="External"/><Relationship Id="rId37" Type="http://schemas.openxmlformats.org/officeDocument/2006/relationships/hyperlink" Target="https://journal.laaroiba.com/index.php/alkharaj/article/download/3480/2663" TargetMode="External"/><Relationship Id="rId40" Type="http://schemas.openxmlformats.org/officeDocument/2006/relationships/hyperlink" Target="https://f1000research.com/articles/14-1330/pdf" TargetMode="External"/><Relationship Id="rId45" Type="http://schemas.openxmlformats.org/officeDocument/2006/relationships/hyperlink" Target="https://www.wsj.com/market-data/quotes/TSLA/financials/annual/income-statement" TargetMode="External"/><Relationship Id="rId53"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image" Target="media/image4.png"/><Relationship Id="rId19" Type="http://schemas.openxmlformats.org/officeDocument/2006/relationships/hyperlink" Target="https://onlinelibrary.wiley.com/doi/pdf/10.1002/jcaf.22774" TargetMode="External"/><Relationship Id="rId31" Type="http://schemas.openxmlformats.org/officeDocument/2006/relationships/hyperlink" Target="https://www.researchgate.net/profile/Madhuri-Kadam-2/publication/390561020_A_Study_of_Identification_of_Capital_Budgeting_Tools_applied_in_Investment_Decision/links/68621f87e4632b045dc87e5d/A-Study-of-Identification-of-Capital-Budgeting-Tools-applied-in-Investment-Decision.pdf" TargetMode="External"/><Relationship Id="rId44" Type="http://schemas.openxmlformats.org/officeDocument/2006/relationships/hyperlink" Target="https://ir.tesla.com/" TargetMode="External"/><Relationship Id="rId52"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chart" Target="charts/chart1.xml"/><Relationship Id="rId22" Type="http://schemas.openxmlformats.org/officeDocument/2006/relationships/hyperlink" Target="https://www.atlantis-press.com/article/126014981.pdf" TargetMode="External"/><Relationship Id="rId27" Type="http://schemas.openxmlformats.org/officeDocument/2006/relationships/hyperlink" Target="https://www.mdpi.com/2227-7099/10/3/69" TargetMode="External"/><Relationship Id="rId30" Type="http://schemas.openxmlformats.org/officeDocument/2006/relationships/hyperlink" Target="https://eu-opensci.org/index.php/ejbmr/article/download/51760/7585" TargetMode="External"/><Relationship Id="rId35" Type="http://schemas.openxmlformats.org/officeDocument/2006/relationships/hyperlink" Target="https://ojs.ehu.eus/index.php/CG/article/download/24871/22255" TargetMode="External"/><Relationship Id="rId43" Type="http://schemas.openxmlformats.org/officeDocument/2006/relationships/hyperlink" Target="https://equatorscience.com/index.php/jabter/article/download/61/49" TargetMode="External"/><Relationship Id="rId48" Type="http://schemas.openxmlformats.org/officeDocument/2006/relationships/hyperlink" Target="http://dspace.fcu.edu.tw/bitstream/2376/4771/1/M0900581110106.pdf" TargetMode="External"/><Relationship Id="rId8" Type="http://schemas.openxmlformats.org/officeDocument/2006/relationships/image" Target="media/image2.png"/><Relationship Id="rId51" Type="http://schemas.openxmlformats.org/officeDocument/2006/relationships/footer" Target="footer1.xm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0.png"/><Relationship Id="rId25" Type="http://schemas.openxmlformats.org/officeDocument/2006/relationships/hyperlink" Target="http://journal.unhas.ac.id/index.php/akrual/article/download/32073/11233" TargetMode="External"/><Relationship Id="rId33" Type="http://schemas.openxmlformats.org/officeDocument/2006/relationships/hyperlink" Target="https://www.atlantis-press.com/article/126008536.pdf" TargetMode="External"/><Relationship Id="rId38" Type="http://schemas.openxmlformats.org/officeDocument/2006/relationships/hyperlink" Target="https://ssapub.com/index.php/ssmj/article/download/2/2" TargetMode="External"/><Relationship Id="rId46" Type="http://schemas.openxmlformats.org/officeDocument/2006/relationships/hyperlink" Target="http://ojs.feb.uajm.ac.id/index.php/simak/article/download/658/342" TargetMode="External"/><Relationship Id="rId20" Type="http://schemas.openxmlformats.org/officeDocument/2006/relationships/hyperlink" Target="https://ijospl.org/index.php/ijospl/article/download/115/79" TargetMode="External"/><Relationship Id="rId41" Type="http://schemas.openxmlformats.org/officeDocument/2006/relationships/hyperlink" Target="https://pdfs.semanticscholar.org/35f5/923a958b071288b38d4e960e8268477ec19a.pdf" TargetMode="External"/><Relationship Id="rId1" Type="http://schemas.openxmlformats.org/officeDocument/2006/relationships/customXml" Target="../customXml/item1.xml"/><Relationship Id="rId6" Type="http://schemas.openxmlformats.org/officeDocument/2006/relationships/endnotes" Target="endnotes.xml"/><Relationship Id="rId15" Type="http://schemas.openxmlformats.org/officeDocument/2006/relationships/image" Target="media/image8.png"/><Relationship Id="rId23" Type="http://schemas.openxmlformats.org/officeDocument/2006/relationships/hyperlink" Target="https://link.springer.com/content/pdf/10.1007/s44274-025-00480-8.pdf" TargetMode="External"/><Relationship Id="rId28" Type="http://schemas.openxmlformats.org/officeDocument/2006/relationships/hyperlink" Target="https://pdfs.semanticscholar.org/13d2/10f4a9e7d5c3806b1f364c066b5617a3823c.pdf" TargetMode="External"/><Relationship Id="rId36" Type="http://schemas.openxmlformats.org/officeDocument/2006/relationships/hyperlink" Target="https://jurnal.mediaakademik.com/index.php/jma/article/download/773/718" TargetMode="External"/><Relationship Id="rId49" Type="http://schemas.openxmlformats.org/officeDocument/2006/relationships/hyperlink" Target="https://finance.yahoo.com/quote/TSLA/financial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D:\Work\2026\March%20'26\28.03.2026\TS_53571\TS_53327%20(ratio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r>
              <a:rPr lang="en-GB"/>
              <a:t>CCC Assessment</a:t>
            </a:r>
          </a:p>
        </c:rich>
      </c:tx>
      <c:overlay val="0"/>
      <c:spPr>
        <a:noFill/>
        <a:ln>
          <a:noFill/>
        </a:ln>
        <a:effectLst/>
      </c:spPr>
      <c:txPr>
        <a:bodyPr rot="0" spcFirstLastPara="1" vertOverflow="ellipsis" vert="horz" wrap="square" anchor="ctr" anchorCtr="1"/>
        <a:lstStyle/>
        <a:p>
          <a:pPr>
            <a:defRPr sz="1400" b="1"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areaChart>
        <c:grouping val="standard"/>
        <c:varyColors val="0"/>
        <c:ser>
          <c:idx val="5"/>
          <c:order val="3"/>
          <c:tx>
            <c:strRef>
              <c:f>CCC!$K$8</c:f>
              <c:strCache>
                <c:ptCount val="1"/>
                <c:pt idx="0">
                  <c:v>Cash Operating Cycle (CCC)</c:v>
                </c:pt>
              </c:strCache>
            </c:strRef>
          </c:tx>
          <c:spPr>
            <a:solidFill>
              <a:schemeClr val="accent6"/>
            </a:solidFill>
            <a:ln>
              <a:noFill/>
            </a:ln>
            <a:effectLst/>
          </c:spPr>
          <c:dLbls>
            <c:dLbl>
              <c:idx val="1"/>
              <c:layout>
                <c:manualLayout>
                  <c:x val="3.7443935740966362E-2"/>
                  <c:y val="-8.943943600398468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6D0A-4E5C-9462-F73420ED603C}"/>
                </c:ext>
              </c:extLst>
            </c:dLbl>
            <c:dLbl>
              <c:idx val="2"/>
              <c:layout>
                <c:manualLayout>
                  <c:x val="2.4922118380062214E-2"/>
                  <c:y val="-4.3080229634584674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6D0A-4E5C-9462-F73420ED603C}"/>
                </c:ext>
              </c:extLst>
            </c:dLbl>
            <c:dLbl>
              <c:idx val="3"/>
              <c:layout>
                <c:manualLayout>
                  <c:x val="7.5745853953059867E-3"/>
                  <c:y val="0.12091573873392175"/>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6D0A-4E5C-9462-F73420ED603C}"/>
                </c:ext>
              </c:extLst>
            </c:dLbl>
            <c:dLbl>
              <c:idx val="4"/>
              <c:layout>
                <c:manualLayout>
                  <c:x val="1.2602354811927058E-4"/>
                  <c:y val="0.1033354415134521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6D0A-4E5C-9462-F73420ED603C}"/>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1" i="0" u="none" strike="noStrike" kern="1200" baseline="0">
                    <a:solidFill>
                      <a:schemeClr val="dk1">
                        <a:lumMod val="65000"/>
                        <a:lumOff val="3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15:showLeaderLines val="0"/>
              </c:ext>
            </c:extLst>
          </c:dLbls>
          <c:cat>
            <c:numRef>
              <c:f>CCC!$M$2:$Q$2</c:f>
              <c:numCache>
                <c:formatCode>General</c:formatCode>
                <c:ptCount val="5"/>
                <c:pt idx="0">
                  <c:v>2021</c:v>
                </c:pt>
                <c:pt idx="1">
                  <c:v>2022</c:v>
                </c:pt>
                <c:pt idx="2">
                  <c:v>2023</c:v>
                </c:pt>
                <c:pt idx="3">
                  <c:v>2024</c:v>
                </c:pt>
                <c:pt idx="4">
                  <c:v>2025</c:v>
                </c:pt>
              </c:numCache>
            </c:numRef>
          </c:cat>
          <c:val>
            <c:numRef>
              <c:f>CCC!$M$8:$Q$8</c:f>
              <c:numCache>
                <c:formatCode>0.00</c:formatCode>
                <c:ptCount val="5"/>
                <c:pt idx="0">
                  <c:v>-67.472079461157534</c:v>
                </c:pt>
                <c:pt idx="1">
                  <c:v>-22.326876651840344</c:v>
                </c:pt>
                <c:pt idx="2">
                  <c:v>-0.49024692101713185</c:v>
                </c:pt>
                <c:pt idx="3">
                  <c:v>-8.5470774444918618</c:v>
                </c:pt>
                <c:pt idx="4">
                  <c:v>-0.91954124316861652</c:v>
                </c:pt>
              </c:numCache>
            </c:numRef>
          </c:val>
          <c:extLst>
            <c:ext xmlns:c16="http://schemas.microsoft.com/office/drawing/2014/chart" uri="{C3380CC4-5D6E-409C-BE32-E72D297353CC}">
              <c16:uniqueId val="{00000004-6D0A-4E5C-9462-F73420ED603C}"/>
            </c:ext>
          </c:extLst>
        </c:ser>
        <c:dLbls>
          <c:showLegendKey val="0"/>
          <c:showVal val="0"/>
          <c:showCatName val="0"/>
          <c:showSerName val="0"/>
          <c:showPercent val="0"/>
          <c:showBubbleSize val="0"/>
        </c:dLbls>
        <c:axId val="1642800576"/>
        <c:axId val="1642806816"/>
      </c:areaChart>
      <c:lineChart>
        <c:grouping val="standard"/>
        <c:varyColors val="0"/>
        <c:ser>
          <c:idx val="2"/>
          <c:order val="1"/>
          <c:tx>
            <c:strRef>
              <c:f>CCC!$K$5</c:f>
              <c:strCache>
                <c:ptCount val="1"/>
                <c:pt idx="0">
                  <c:v>Inventory days (ID)</c:v>
                </c:pt>
              </c:strCache>
            </c:strRef>
          </c:tx>
          <c:spPr>
            <a:ln w="28575" cap="rnd">
              <a:solidFill>
                <a:schemeClr val="accent3"/>
              </a:solidFill>
              <a:round/>
            </a:ln>
            <a:effectLst/>
          </c:spPr>
          <c:marker>
            <c:symbol val="circle"/>
            <c:size val="5"/>
            <c:spPr>
              <a:solidFill>
                <a:schemeClr val="accent3"/>
              </a:solidFill>
              <a:ln w="9525">
                <a:solidFill>
                  <a:schemeClr val="accent3"/>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b"/>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CCC!$M$2:$Q$2</c:f>
              <c:numCache>
                <c:formatCode>General</c:formatCode>
                <c:ptCount val="5"/>
                <c:pt idx="0">
                  <c:v>2021</c:v>
                </c:pt>
                <c:pt idx="1">
                  <c:v>2022</c:v>
                </c:pt>
                <c:pt idx="2">
                  <c:v>2023</c:v>
                </c:pt>
                <c:pt idx="3">
                  <c:v>2024</c:v>
                </c:pt>
                <c:pt idx="4">
                  <c:v>2025</c:v>
                </c:pt>
              </c:numCache>
            </c:numRef>
          </c:cat>
          <c:val>
            <c:numRef>
              <c:f>CCC!$M$5:$Q$5</c:f>
              <c:numCache>
                <c:formatCode>0.00</c:formatCode>
                <c:ptCount val="5"/>
                <c:pt idx="0">
                  <c:v>65.301988956200077</c:v>
                </c:pt>
                <c:pt idx="1">
                  <c:v>59.470963445834649</c:v>
                </c:pt>
                <c:pt idx="2">
                  <c:v>64.877394352953814</c:v>
                </c:pt>
                <c:pt idx="3">
                  <c:v>62.504641254407524</c:v>
                </c:pt>
                <c:pt idx="4">
                  <c:v>62.228714116085769</c:v>
                </c:pt>
              </c:numCache>
            </c:numRef>
          </c:val>
          <c:smooth val="0"/>
          <c:extLst>
            <c:ext xmlns:c16="http://schemas.microsoft.com/office/drawing/2014/chart" uri="{C3380CC4-5D6E-409C-BE32-E72D297353CC}">
              <c16:uniqueId val="{00000005-6D0A-4E5C-9462-F73420ED603C}"/>
            </c:ext>
          </c:extLst>
        </c:ser>
        <c:ser>
          <c:idx val="3"/>
          <c:order val="2"/>
          <c:tx>
            <c:strRef>
              <c:f>CCC!$K$6</c:f>
              <c:strCache>
                <c:ptCount val="1"/>
                <c:pt idx="0">
                  <c:v>Payable days (PD)</c:v>
                </c:pt>
              </c:strCache>
            </c:strRef>
          </c:tx>
          <c:spPr>
            <a:ln w="28575" cap="rnd">
              <a:solidFill>
                <a:schemeClr val="accent4"/>
              </a:solidFill>
              <a:round/>
            </a:ln>
            <a:effectLst/>
          </c:spPr>
          <c:marker>
            <c:symbol val="circle"/>
            <c:size val="5"/>
            <c:spPr>
              <a:solidFill>
                <a:schemeClr val="accent4"/>
              </a:solidFill>
              <a:ln w="9525">
                <a:solidFill>
                  <a:schemeClr val="accent4"/>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CCC!$M$2:$Q$2</c:f>
              <c:numCache>
                <c:formatCode>General</c:formatCode>
                <c:ptCount val="5"/>
                <c:pt idx="0">
                  <c:v>2021</c:v>
                </c:pt>
                <c:pt idx="1">
                  <c:v>2022</c:v>
                </c:pt>
                <c:pt idx="2">
                  <c:v>2023</c:v>
                </c:pt>
                <c:pt idx="3">
                  <c:v>2024</c:v>
                </c:pt>
                <c:pt idx="4">
                  <c:v>2025</c:v>
                </c:pt>
              </c:numCache>
            </c:numRef>
          </c:cat>
          <c:val>
            <c:numRef>
              <c:f>CCC!$M$6:$Q$6</c:f>
              <c:numCache>
                <c:formatCode>0.00</c:formatCode>
                <c:ptCount val="5"/>
                <c:pt idx="0">
                  <c:v>135.2900002680534</c:v>
                </c:pt>
                <c:pt idx="1">
                  <c:v>82.653637892966046</c:v>
                </c:pt>
                <c:pt idx="2">
                  <c:v>65.956028530747119</c:v>
                </c:pt>
                <c:pt idx="3">
                  <c:v>72.359426754995198</c:v>
                </c:pt>
                <c:pt idx="4">
                  <c:v>64.449256129077327</c:v>
                </c:pt>
              </c:numCache>
            </c:numRef>
          </c:val>
          <c:smooth val="0"/>
          <c:extLst>
            <c:ext xmlns:c16="http://schemas.microsoft.com/office/drawing/2014/chart" uri="{C3380CC4-5D6E-409C-BE32-E72D297353CC}">
              <c16:uniqueId val="{00000006-6D0A-4E5C-9462-F73420ED603C}"/>
            </c:ext>
          </c:extLst>
        </c:ser>
        <c:dLbls>
          <c:showLegendKey val="0"/>
          <c:showVal val="0"/>
          <c:showCatName val="0"/>
          <c:showSerName val="0"/>
          <c:showPercent val="0"/>
          <c:showBubbleSize val="0"/>
        </c:dLbls>
        <c:marker val="1"/>
        <c:smooth val="0"/>
        <c:axId val="1642800576"/>
        <c:axId val="1642806816"/>
      </c:lineChart>
      <c:lineChart>
        <c:grouping val="standard"/>
        <c:varyColors val="0"/>
        <c:ser>
          <c:idx val="1"/>
          <c:order val="0"/>
          <c:tx>
            <c:strRef>
              <c:f>CCC!$K$4</c:f>
              <c:strCache>
                <c:ptCount val="1"/>
                <c:pt idx="0">
                  <c:v>Receivable days (RD)</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tx1">
                        <a:lumMod val="75000"/>
                        <a:lumOff val="25000"/>
                      </a:schemeClr>
                    </a:solidFill>
                    <a:latin typeface="+mn-lt"/>
                    <a:ea typeface="+mn-ea"/>
                    <a:cs typeface="+mn-cs"/>
                  </a:defRPr>
                </a:pPr>
                <a:endParaRPr lang="en-US"/>
              </a:p>
            </c:txPr>
            <c:dLblPos val="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CCC!$M$2:$Q$2</c:f>
              <c:numCache>
                <c:formatCode>General</c:formatCode>
                <c:ptCount val="5"/>
                <c:pt idx="0">
                  <c:v>2021</c:v>
                </c:pt>
                <c:pt idx="1">
                  <c:v>2022</c:v>
                </c:pt>
                <c:pt idx="2">
                  <c:v>2023</c:v>
                </c:pt>
                <c:pt idx="3">
                  <c:v>2024</c:v>
                </c:pt>
                <c:pt idx="4">
                  <c:v>2025</c:v>
                </c:pt>
              </c:numCache>
            </c:numRef>
          </c:cat>
          <c:val>
            <c:numRef>
              <c:f>CCC!$M$4:$Q$4</c:f>
              <c:numCache>
                <c:formatCode>0.00</c:formatCode>
                <c:ptCount val="5"/>
                <c:pt idx="0">
                  <c:v>2.5159318506957993</c:v>
                </c:pt>
                <c:pt idx="1">
                  <c:v>0.85579779529105593</c:v>
                </c:pt>
                <c:pt idx="2">
                  <c:v>0.58838725677616688</c:v>
                </c:pt>
                <c:pt idx="3">
                  <c:v>1.3077080560958132</c:v>
                </c:pt>
                <c:pt idx="4">
                  <c:v>1.3010007698229407</c:v>
                </c:pt>
              </c:numCache>
            </c:numRef>
          </c:val>
          <c:smooth val="0"/>
          <c:extLst>
            <c:ext xmlns:c16="http://schemas.microsoft.com/office/drawing/2014/chart" uri="{C3380CC4-5D6E-409C-BE32-E72D297353CC}">
              <c16:uniqueId val="{00000007-6D0A-4E5C-9462-F73420ED603C}"/>
            </c:ext>
          </c:extLst>
        </c:ser>
        <c:dLbls>
          <c:showLegendKey val="0"/>
          <c:showVal val="0"/>
          <c:showCatName val="0"/>
          <c:showSerName val="0"/>
          <c:showPercent val="0"/>
          <c:showBubbleSize val="0"/>
        </c:dLbls>
        <c:marker val="1"/>
        <c:smooth val="0"/>
        <c:axId val="1637439232"/>
        <c:axId val="1637441632"/>
      </c:lineChart>
      <c:catAx>
        <c:axId val="1642800576"/>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0" spcFirstLastPara="1" vertOverflow="ellipsis"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42806816"/>
        <c:crosses val="autoZero"/>
        <c:auto val="1"/>
        <c:lblAlgn val="ctr"/>
        <c:lblOffset val="100"/>
        <c:noMultiLvlLbl val="0"/>
      </c:catAx>
      <c:valAx>
        <c:axId val="16428068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42800576"/>
        <c:crosses val="autoZero"/>
        <c:crossBetween val="between"/>
      </c:valAx>
      <c:valAx>
        <c:axId val="1637441632"/>
        <c:scaling>
          <c:orientation val="minMax"/>
        </c:scaling>
        <c:delete val="0"/>
        <c:axPos val="r"/>
        <c:numFmt formatCode="0.00" sourceLinked="1"/>
        <c:majorTickMark val="out"/>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crossAx val="1637439232"/>
        <c:crosses val="max"/>
        <c:crossBetween val="between"/>
      </c:valAx>
      <c:catAx>
        <c:axId val="1637439232"/>
        <c:scaling>
          <c:orientation val="minMax"/>
        </c:scaling>
        <c:delete val="1"/>
        <c:axPos val="b"/>
        <c:numFmt formatCode="General" sourceLinked="1"/>
        <c:majorTickMark val="out"/>
        <c:minorTickMark val="none"/>
        <c:tickLblPos val="nextTo"/>
        <c:crossAx val="1637441632"/>
        <c:crosses val="autoZero"/>
        <c:auto val="1"/>
        <c:lblAlgn val="ctr"/>
        <c:lblOffset val="100"/>
        <c:noMultiLvlLbl val="0"/>
      </c:catAx>
      <c:spPr>
        <a:noFill/>
        <a:ln>
          <a:noFill/>
        </a:ln>
        <a:effectLst/>
      </c:spPr>
    </c:plotArea>
    <c:legend>
      <c:legendPos val="b"/>
      <c:overlay val="0"/>
      <c:spPr>
        <a:noFill/>
        <a:ln>
          <a:noFill/>
        </a:ln>
        <a:effectLst/>
      </c:spPr>
      <c:txPr>
        <a:bodyPr rot="0" spcFirstLastPara="1" vertOverflow="ellipsis" vert="horz" wrap="square" anchor="ctr" anchorCtr="1"/>
        <a:lstStyle/>
        <a:p>
          <a:pPr>
            <a:defRPr sz="900" b="1"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B3C8B3-21A5-4310-BABA-E116260E0AFC}">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7888</Words>
  <Characters>44965</Characters>
  <Application>Microsoft Office Word</Application>
  <DocSecurity>0</DocSecurity>
  <Lines>374</Lines>
  <Paragraphs>105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52748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Laptop</dc:creator>
  <cp:keywords/>
  <dc:description/>
  <cp:lastModifiedBy>Maheshwari Mehta</cp:lastModifiedBy>
  <cp:revision>2</cp:revision>
  <dcterms:created xsi:type="dcterms:W3CDTF">2026-04-22T15:50:00Z</dcterms:created>
  <dcterms:modified xsi:type="dcterms:W3CDTF">2026-04-22T15:50:00Z</dcterms:modified>
</cp:coreProperties>
</file>