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ABEB3" w14:textId="77777777" w:rsidR="00561EDE" w:rsidRDefault="00561EDE">
      <w:pPr>
        <w:jc w:val="left"/>
        <w:rPr>
          <w:b/>
          <w:bCs/>
          <w:sz w:val="28"/>
          <w:szCs w:val="28"/>
        </w:rPr>
      </w:pPr>
    </w:p>
    <w:p w14:paraId="0E6282B1" w14:textId="77777777" w:rsidR="00561EDE" w:rsidRDefault="00561EDE">
      <w:pPr>
        <w:jc w:val="center"/>
        <w:rPr>
          <w:b/>
          <w:bCs/>
          <w:sz w:val="28"/>
          <w:szCs w:val="28"/>
        </w:rPr>
      </w:pPr>
    </w:p>
    <w:p w14:paraId="743C737A" w14:textId="77777777" w:rsidR="00561EDE" w:rsidRDefault="00000000">
      <w:pPr>
        <w:widowControl w:val="0"/>
        <w:spacing w:before="275" w:line="240" w:lineRule="auto"/>
        <w:jc w:val="center"/>
        <w:rPr>
          <w:rFonts w:ascii="Arial" w:eastAsia="Arial" w:hAnsi="Arial" w:cs="Arial"/>
          <w:b/>
          <w:bCs/>
          <w:i/>
          <w:iCs/>
          <w:sz w:val="28"/>
          <w:szCs w:val="28"/>
        </w:rPr>
      </w:pPr>
      <w:r>
        <w:rPr>
          <w:rFonts w:ascii="Arial" w:eastAsia="Arial" w:hAnsi="Arial" w:cs="Arial"/>
          <w:noProof/>
          <w:sz w:val="28"/>
          <w:szCs w:val="28"/>
        </w:rPr>
        <w:drawing>
          <wp:inline distT="0" distB="0" distL="114300" distR="114300" wp14:anchorId="2AF39A07" wp14:editId="5E68C499">
            <wp:extent cx="1739900" cy="749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1739900" cy="749300"/>
                    </a:xfrm>
                    <a:prstGeom prst="rect">
                      <a:avLst/>
                    </a:prstGeom>
                    <a:ln/>
                  </pic:spPr>
                </pic:pic>
              </a:graphicData>
            </a:graphic>
          </wp:inline>
        </w:drawing>
      </w:r>
    </w:p>
    <w:p w14:paraId="4E27027C" w14:textId="77777777" w:rsidR="00561EDE" w:rsidRDefault="00000000">
      <w:pPr>
        <w:widowControl w:val="0"/>
        <w:spacing w:before="275" w:line="240" w:lineRule="auto"/>
        <w:jc w:val="center"/>
        <w:rPr>
          <w:rFonts w:ascii="Arial" w:eastAsia="Arial" w:hAnsi="Arial" w:cs="Arial"/>
          <w:b/>
          <w:bCs/>
          <w:sz w:val="28"/>
          <w:szCs w:val="28"/>
        </w:rPr>
      </w:pPr>
      <w:r>
        <w:rPr>
          <w:rFonts w:ascii="Arial" w:eastAsia="Arial" w:hAnsi="Arial" w:cs="Arial"/>
          <w:b/>
          <w:bCs/>
          <w:sz w:val="28"/>
          <w:szCs w:val="28"/>
        </w:rPr>
        <w:t>Programme: MSc Public Health and Social Care in Practice</w:t>
      </w:r>
    </w:p>
    <w:p w14:paraId="49972FEE" w14:textId="77777777" w:rsidR="00561EDE" w:rsidRDefault="00000000">
      <w:pPr>
        <w:widowControl w:val="0"/>
        <w:spacing w:before="275" w:line="240" w:lineRule="auto"/>
        <w:jc w:val="center"/>
        <w:rPr>
          <w:rFonts w:ascii="Arial" w:eastAsia="Arial" w:hAnsi="Arial" w:cs="Arial"/>
          <w:b/>
          <w:bCs/>
          <w:sz w:val="28"/>
          <w:szCs w:val="28"/>
        </w:rPr>
      </w:pPr>
      <w:r>
        <w:rPr>
          <w:rFonts w:ascii="Arial" w:eastAsia="Arial" w:hAnsi="Arial" w:cs="Arial"/>
          <w:b/>
          <w:bCs/>
          <w:sz w:val="28"/>
          <w:szCs w:val="28"/>
        </w:rPr>
        <w:t>Module: Health Care System Organisation and Leadership</w:t>
      </w:r>
    </w:p>
    <w:p w14:paraId="481691FB" w14:textId="77777777" w:rsidR="00561EDE" w:rsidRDefault="00000000">
      <w:pPr>
        <w:widowControl w:val="0"/>
        <w:spacing w:before="275" w:line="240" w:lineRule="auto"/>
        <w:jc w:val="center"/>
        <w:rPr>
          <w:rFonts w:ascii="Arial" w:eastAsia="Arial" w:hAnsi="Arial" w:cs="Arial"/>
          <w:b/>
          <w:bCs/>
          <w:sz w:val="28"/>
          <w:szCs w:val="28"/>
        </w:rPr>
      </w:pPr>
      <w:r>
        <w:rPr>
          <w:rFonts w:ascii="Arial" w:eastAsia="Arial" w:hAnsi="Arial" w:cs="Arial"/>
          <w:b/>
          <w:bCs/>
          <w:sz w:val="28"/>
          <w:szCs w:val="28"/>
        </w:rPr>
        <w:t>Module code: LCHS7002</w:t>
      </w:r>
    </w:p>
    <w:p w14:paraId="24EB1FD4" w14:textId="77777777" w:rsidR="00561EDE" w:rsidRDefault="00000000">
      <w:pPr>
        <w:jc w:val="center"/>
        <w:rPr>
          <w:rFonts w:ascii="Arial" w:eastAsia="Arial" w:hAnsi="Arial" w:cs="Arial"/>
          <w:b/>
          <w:bCs/>
          <w:sz w:val="28"/>
          <w:szCs w:val="28"/>
        </w:rPr>
      </w:pPr>
      <w:r>
        <w:rPr>
          <w:rFonts w:ascii="Arial" w:eastAsia="Arial" w:hAnsi="Arial" w:cs="Arial"/>
          <w:b/>
          <w:bCs/>
          <w:sz w:val="28"/>
          <w:szCs w:val="28"/>
        </w:rPr>
        <w:t>Chosen Case study: Case Study Number 3</w:t>
      </w:r>
    </w:p>
    <w:p w14:paraId="6B30D317" w14:textId="77777777" w:rsidR="00561EDE" w:rsidRDefault="00561EDE">
      <w:pPr>
        <w:jc w:val="center"/>
        <w:rPr>
          <w:rFonts w:ascii="Arial" w:eastAsia="Arial" w:hAnsi="Arial" w:cs="Arial"/>
          <w:sz w:val="28"/>
          <w:szCs w:val="28"/>
        </w:rPr>
      </w:pPr>
    </w:p>
    <w:p w14:paraId="4B1F19B5" w14:textId="12C52629" w:rsidR="00561EDE" w:rsidRDefault="00000000">
      <w:pPr>
        <w:jc w:val="center"/>
        <w:rPr>
          <w:rFonts w:ascii="Arial" w:eastAsia="Arial" w:hAnsi="Arial" w:cs="Arial"/>
          <w:sz w:val="28"/>
          <w:szCs w:val="28"/>
        </w:rPr>
      </w:pPr>
      <w:r>
        <w:rPr>
          <w:rFonts w:ascii="Arial" w:eastAsia="Arial" w:hAnsi="Arial" w:cs="Arial"/>
          <w:sz w:val="28"/>
          <w:szCs w:val="28"/>
        </w:rPr>
        <w:t>Student Name:</w:t>
      </w:r>
      <w:r w:rsidR="00E9697D">
        <w:rPr>
          <w:rFonts w:ascii="Arial" w:eastAsia="Arial" w:hAnsi="Arial" w:cs="Arial"/>
          <w:sz w:val="28"/>
          <w:szCs w:val="28"/>
        </w:rPr>
        <w:t xml:space="preserve"> </w:t>
      </w:r>
      <w:proofErr w:type="spellStart"/>
      <w:r w:rsidR="000C61D9">
        <w:rPr>
          <w:rFonts w:ascii="Arial" w:eastAsia="Arial" w:hAnsi="Arial" w:cs="Arial"/>
          <w:sz w:val="28"/>
          <w:szCs w:val="28"/>
        </w:rPr>
        <w:t>Joli</w:t>
      </w:r>
      <w:proofErr w:type="spellEnd"/>
      <w:r w:rsidR="000C61D9">
        <w:rPr>
          <w:rFonts w:ascii="Arial" w:eastAsia="Arial" w:hAnsi="Arial" w:cs="Arial"/>
          <w:sz w:val="28"/>
          <w:szCs w:val="28"/>
        </w:rPr>
        <w:t xml:space="preserve"> </w:t>
      </w:r>
      <w:proofErr w:type="spellStart"/>
      <w:r w:rsidR="000C61D9">
        <w:rPr>
          <w:rFonts w:ascii="Arial" w:eastAsia="Arial" w:hAnsi="Arial" w:cs="Arial"/>
          <w:sz w:val="28"/>
          <w:szCs w:val="28"/>
        </w:rPr>
        <w:t>jayantilal</w:t>
      </w:r>
      <w:proofErr w:type="spellEnd"/>
      <w:r w:rsidR="000C61D9">
        <w:rPr>
          <w:rFonts w:ascii="Arial" w:eastAsia="Arial" w:hAnsi="Arial" w:cs="Arial"/>
          <w:sz w:val="28"/>
          <w:szCs w:val="28"/>
        </w:rPr>
        <w:t xml:space="preserve"> </w:t>
      </w:r>
      <w:proofErr w:type="spellStart"/>
      <w:r w:rsidR="000C61D9">
        <w:rPr>
          <w:rFonts w:ascii="Arial" w:eastAsia="Arial" w:hAnsi="Arial" w:cs="Arial"/>
          <w:sz w:val="28"/>
          <w:szCs w:val="28"/>
        </w:rPr>
        <w:t>parmar</w:t>
      </w:r>
      <w:proofErr w:type="spellEnd"/>
    </w:p>
    <w:p w14:paraId="032A1471" w14:textId="3055AEC3" w:rsidR="00561EDE" w:rsidRDefault="00000000">
      <w:pPr>
        <w:jc w:val="center"/>
        <w:rPr>
          <w:rFonts w:ascii="Arial" w:eastAsia="Arial" w:hAnsi="Arial" w:cs="Arial"/>
          <w:sz w:val="28"/>
          <w:szCs w:val="28"/>
        </w:rPr>
      </w:pPr>
      <w:r>
        <w:rPr>
          <w:rFonts w:ascii="Arial" w:eastAsia="Arial" w:hAnsi="Arial" w:cs="Arial"/>
          <w:sz w:val="28"/>
          <w:szCs w:val="28"/>
        </w:rPr>
        <w:t>Student ID:</w:t>
      </w:r>
      <w:r w:rsidR="00E9697D">
        <w:rPr>
          <w:rFonts w:ascii="Arial" w:eastAsia="Arial" w:hAnsi="Arial" w:cs="Arial"/>
          <w:sz w:val="28"/>
          <w:szCs w:val="28"/>
        </w:rPr>
        <w:t xml:space="preserve"> 2518476</w:t>
      </w:r>
    </w:p>
    <w:p w14:paraId="5A97F5FF" w14:textId="77777777" w:rsidR="00E9697D" w:rsidRDefault="00E9697D">
      <w:pPr>
        <w:jc w:val="center"/>
        <w:rPr>
          <w:rFonts w:ascii="Arial" w:eastAsia="Arial" w:hAnsi="Arial" w:cs="Arial"/>
          <w:sz w:val="28"/>
          <w:szCs w:val="28"/>
        </w:rPr>
      </w:pPr>
    </w:p>
    <w:p w14:paraId="3F97A438" w14:textId="77777777" w:rsidR="00E9697D" w:rsidRDefault="00E9697D">
      <w:pPr>
        <w:jc w:val="center"/>
        <w:rPr>
          <w:rFonts w:ascii="Arial" w:eastAsia="Arial" w:hAnsi="Arial" w:cs="Arial"/>
          <w:sz w:val="28"/>
          <w:szCs w:val="28"/>
        </w:rPr>
      </w:pPr>
    </w:p>
    <w:p w14:paraId="005EE4CF" w14:textId="77777777" w:rsidR="00561EDE" w:rsidRDefault="00000000">
      <w:pPr>
        <w:jc w:val="center"/>
        <w:rPr>
          <w:b/>
          <w:bCs/>
          <w:sz w:val="28"/>
          <w:szCs w:val="28"/>
        </w:rPr>
      </w:pPr>
      <w:r>
        <w:br w:type="page"/>
      </w:r>
    </w:p>
    <w:p w14:paraId="537C7DB1" w14:textId="77777777" w:rsidR="00561EDE" w:rsidRDefault="00000000">
      <w:pPr>
        <w:keepNext/>
        <w:keepLines/>
        <w:pBdr>
          <w:top w:val="nil"/>
          <w:left w:val="nil"/>
          <w:bottom w:val="nil"/>
          <w:right w:val="nil"/>
          <w:between w:val="nil"/>
        </w:pBdr>
        <w:spacing w:before="240" w:after="240"/>
        <w:jc w:val="center"/>
        <w:rPr>
          <w:rFonts w:ascii="Arial" w:eastAsia="Arial" w:hAnsi="Arial" w:cs="Arial"/>
          <w:b/>
          <w:bCs/>
          <w:color w:val="000000"/>
          <w:sz w:val="22"/>
          <w:szCs w:val="22"/>
        </w:rPr>
      </w:pPr>
      <w:bookmarkStart w:id="0" w:name="_heading=h.qtxnnsrzali2" w:colFirst="0" w:colLast="0"/>
      <w:bookmarkEnd w:id="0"/>
      <w:r>
        <w:rPr>
          <w:rFonts w:ascii="Arial" w:eastAsia="Arial" w:hAnsi="Arial" w:cs="Arial"/>
          <w:b/>
          <w:bCs/>
          <w:color w:val="000000"/>
          <w:sz w:val="22"/>
          <w:szCs w:val="22"/>
        </w:rPr>
        <w:t>Table of Contents</w:t>
      </w:r>
    </w:p>
    <w:sdt>
      <w:sdtPr>
        <w:id w:val="-889888058"/>
        <w:docPartObj>
          <w:docPartGallery w:val="Table of Contents"/>
          <w:docPartUnique/>
        </w:docPartObj>
      </w:sdtPr>
      <w:sdtContent>
        <w:p w14:paraId="69EECB61" w14:textId="77777777" w:rsidR="00561EDE" w:rsidRDefault="00000000">
          <w:pPr>
            <w:pBdr>
              <w:top w:val="nil"/>
              <w:left w:val="nil"/>
              <w:bottom w:val="nil"/>
              <w:right w:val="nil"/>
              <w:between w:val="nil"/>
            </w:pBdr>
            <w:tabs>
              <w:tab w:val="right" w:leader="dot" w:pos="9019"/>
            </w:tabs>
            <w:spacing w:after="100"/>
            <w:rPr>
              <w:rFonts w:ascii="Arial" w:eastAsia="Arial" w:hAnsi="Arial" w:cs="Arial"/>
              <w:color w:val="000000"/>
              <w:sz w:val="22"/>
              <w:szCs w:val="22"/>
            </w:rPr>
          </w:pPr>
          <w:r>
            <w:fldChar w:fldCharType="begin"/>
          </w:r>
          <w:r>
            <w:instrText xml:space="preserve"> TOC \h \u \z \t "Heading 1,1,Heading 2,2,Heading 3,3,"</w:instrText>
          </w:r>
          <w:r>
            <w:fldChar w:fldCharType="separate"/>
          </w:r>
          <w:hyperlink w:anchor="_heading=h.t5cdcjnp33g2">
            <w:r>
              <w:rPr>
                <w:rFonts w:ascii="Arial" w:eastAsia="Arial" w:hAnsi="Arial" w:cs="Arial"/>
                <w:color w:val="000000"/>
                <w:sz w:val="22"/>
                <w:szCs w:val="22"/>
              </w:rPr>
              <w:t>1. Introduction</w:t>
            </w:r>
            <w:r>
              <w:rPr>
                <w:rFonts w:ascii="Arial" w:eastAsia="Arial" w:hAnsi="Arial" w:cs="Arial"/>
                <w:color w:val="000000"/>
                <w:sz w:val="22"/>
                <w:szCs w:val="22"/>
              </w:rPr>
              <w:tab/>
              <w:t>4</w:t>
            </w:r>
          </w:hyperlink>
        </w:p>
        <w:p w14:paraId="08FD4140"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c7fzqw9hy3lh">
            <w:r>
              <w:rPr>
                <w:rFonts w:ascii="Arial" w:eastAsia="Arial" w:hAnsi="Arial" w:cs="Arial"/>
                <w:color w:val="000000"/>
                <w:sz w:val="22"/>
                <w:szCs w:val="22"/>
              </w:rPr>
              <w:t>1.1 Background of the Case Study</w:t>
            </w:r>
            <w:r>
              <w:rPr>
                <w:rFonts w:ascii="Arial" w:eastAsia="Arial" w:hAnsi="Arial" w:cs="Arial"/>
                <w:color w:val="000000"/>
                <w:sz w:val="22"/>
                <w:szCs w:val="22"/>
              </w:rPr>
              <w:tab/>
              <w:t>4</w:t>
            </w:r>
          </w:hyperlink>
        </w:p>
        <w:p w14:paraId="76BCF523"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ppfa9e36n2sc">
            <w:r>
              <w:rPr>
                <w:rFonts w:ascii="Arial" w:eastAsia="Arial" w:hAnsi="Arial" w:cs="Arial"/>
                <w:color w:val="000000"/>
                <w:sz w:val="22"/>
                <w:szCs w:val="22"/>
              </w:rPr>
              <w:t>1.2 Leadership in Healthcare: Definition.</w:t>
            </w:r>
            <w:r>
              <w:rPr>
                <w:rFonts w:ascii="Arial" w:eastAsia="Arial" w:hAnsi="Arial" w:cs="Arial"/>
                <w:color w:val="000000"/>
                <w:sz w:val="22"/>
                <w:szCs w:val="22"/>
              </w:rPr>
              <w:tab/>
              <w:t>4</w:t>
            </w:r>
          </w:hyperlink>
        </w:p>
        <w:p w14:paraId="4A152518"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9om8dgc78s2s">
            <w:r>
              <w:rPr>
                <w:rFonts w:ascii="Arial" w:eastAsia="Arial" w:hAnsi="Arial" w:cs="Arial"/>
                <w:color w:val="000000"/>
                <w:sz w:val="22"/>
                <w:szCs w:val="22"/>
              </w:rPr>
              <w:t>1.3 Centralisation vs Decentralisation</w:t>
            </w:r>
            <w:r>
              <w:rPr>
                <w:rFonts w:ascii="Arial" w:eastAsia="Arial" w:hAnsi="Arial" w:cs="Arial"/>
                <w:color w:val="000000"/>
                <w:sz w:val="22"/>
                <w:szCs w:val="22"/>
              </w:rPr>
              <w:tab/>
              <w:t>4</w:t>
            </w:r>
          </w:hyperlink>
        </w:p>
        <w:p w14:paraId="283CDA6B"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97fec7odrhmm">
            <w:r>
              <w:rPr>
                <w:rFonts w:ascii="Arial" w:eastAsia="Arial" w:hAnsi="Arial" w:cs="Arial"/>
                <w:color w:val="000000"/>
                <w:sz w:val="22"/>
                <w:szCs w:val="22"/>
              </w:rPr>
              <w:t>1.4 Leadership Theories Introduced</w:t>
            </w:r>
            <w:r>
              <w:rPr>
                <w:rFonts w:ascii="Arial" w:eastAsia="Arial" w:hAnsi="Arial" w:cs="Arial"/>
                <w:color w:val="000000"/>
                <w:sz w:val="22"/>
                <w:szCs w:val="22"/>
              </w:rPr>
              <w:tab/>
              <w:t>4</w:t>
            </w:r>
          </w:hyperlink>
        </w:p>
        <w:p w14:paraId="41940666"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pzcijkz7sba7">
            <w:r>
              <w:rPr>
                <w:rFonts w:ascii="Arial" w:eastAsia="Arial" w:hAnsi="Arial" w:cs="Arial"/>
                <w:color w:val="000000"/>
                <w:sz w:val="22"/>
                <w:szCs w:val="22"/>
              </w:rPr>
              <w:t>1.5 Importance of Leadership in Crisis</w:t>
            </w:r>
            <w:r>
              <w:rPr>
                <w:rFonts w:ascii="Arial" w:eastAsia="Arial" w:hAnsi="Arial" w:cs="Arial"/>
                <w:color w:val="000000"/>
                <w:sz w:val="22"/>
                <w:szCs w:val="22"/>
              </w:rPr>
              <w:tab/>
              <w:t>4</w:t>
            </w:r>
          </w:hyperlink>
        </w:p>
        <w:p w14:paraId="66C6547D"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59dyoyqxbjpo">
            <w:r>
              <w:rPr>
                <w:rFonts w:ascii="Arial" w:eastAsia="Arial" w:hAnsi="Arial" w:cs="Arial"/>
                <w:color w:val="000000"/>
                <w:sz w:val="22"/>
                <w:szCs w:val="22"/>
              </w:rPr>
              <w:t>1.6 Report Overview</w:t>
            </w:r>
            <w:r>
              <w:rPr>
                <w:rFonts w:ascii="Arial" w:eastAsia="Arial" w:hAnsi="Arial" w:cs="Arial"/>
                <w:color w:val="000000"/>
                <w:sz w:val="22"/>
                <w:szCs w:val="22"/>
              </w:rPr>
              <w:tab/>
              <w:t>5</w:t>
            </w:r>
          </w:hyperlink>
        </w:p>
        <w:p w14:paraId="61A42CA7" w14:textId="77777777" w:rsidR="00561EDE" w:rsidRDefault="00000000">
          <w:pPr>
            <w:pBdr>
              <w:top w:val="nil"/>
              <w:left w:val="nil"/>
              <w:bottom w:val="nil"/>
              <w:right w:val="nil"/>
              <w:between w:val="nil"/>
            </w:pBdr>
            <w:tabs>
              <w:tab w:val="right" w:leader="dot" w:pos="9019"/>
            </w:tabs>
            <w:spacing w:after="100"/>
            <w:rPr>
              <w:rFonts w:ascii="Arial" w:eastAsia="Arial" w:hAnsi="Arial" w:cs="Arial"/>
              <w:color w:val="000000"/>
              <w:sz w:val="22"/>
              <w:szCs w:val="22"/>
            </w:rPr>
          </w:pPr>
          <w:hyperlink w:anchor="_heading=h.cebly159er8">
            <w:r>
              <w:rPr>
                <w:rFonts w:ascii="Arial" w:eastAsia="Arial" w:hAnsi="Arial" w:cs="Arial"/>
                <w:color w:val="000000"/>
                <w:sz w:val="22"/>
                <w:szCs w:val="22"/>
              </w:rPr>
              <w:t>2. Main Body</w:t>
            </w:r>
            <w:r>
              <w:rPr>
                <w:rFonts w:ascii="Arial" w:eastAsia="Arial" w:hAnsi="Arial" w:cs="Arial"/>
                <w:color w:val="000000"/>
                <w:sz w:val="22"/>
                <w:szCs w:val="22"/>
              </w:rPr>
              <w:tab/>
              <w:t>5</w:t>
            </w:r>
          </w:hyperlink>
        </w:p>
        <w:p w14:paraId="7251FC6C"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h8bay1vwjutb">
            <w:r>
              <w:rPr>
                <w:rFonts w:ascii="Arial" w:eastAsia="Arial" w:hAnsi="Arial" w:cs="Arial"/>
                <w:color w:val="000000"/>
                <w:sz w:val="22"/>
                <w:szCs w:val="22"/>
              </w:rPr>
              <w:t>2a. Determining the Problem with Systems Thinking</w:t>
            </w:r>
            <w:r>
              <w:rPr>
                <w:rFonts w:ascii="Arial" w:eastAsia="Arial" w:hAnsi="Arial" w:cs="Arial"/>
                <w:color w:val="000000"/>
                <w:sz w:val="22"/>
                <w:szCs w:val="22"/>
              </w:rPr>
              <w:tab/>
              <w:t>5</w:t>
            </w:r>
          </w:hyperlink>
        </w:p>
        <w:p w14:paraId="4E4DC1CE"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mwp4qox5m73f">
            <w:r>
              <w:rPr>
                <w:rFonts w:ascii="Arial" w:eastAsia="Arial" w:hAnsi="Arial" w:cs="Arial"/>
                <w:color w:val="000000"/>
                <w:sz w:val="22"/>
                <w:szCs w:val="22"/>
              </w:rPr>
              <w:t>2a.1 Description of the Core Problem</w:t>
            </w:r>
            <w:r>
              <w:rPr>
                <w:rFonts w:ascii="Arial" w:eastAsia="Arial" w:hAnsi="Arial" w:cs="Arial"/>
                <w:color w:val="000000"/>
                <w:sz w:val="22"/>
                <w:szCs w:val="22"/>
              </w:rPr>
              <w:tab/>
              <w:t>5</w:t>
            </w:r>
          </w:hyperlink>
        </w:p>
        <w:p w14:paraId="1810DE5F"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hbg0nxvgqwch">
            <w:r>
              <w:rPr>
                <w:rFonts w:ascii="Arial" w:eastAsia="Arial" w:hAnsi="Arial" w:cs="Arial"/>
                <w:color w:val="000000"/>
                <w:sz w:val="22"/>
                <w:szCs w:val="22"/>
              </w:rPr>
              <w:t>2a.2 Global Perspective on Patient Safety</w:t>
            </w:r>
            <w:r>
              <w:rPr>
                <w:rFonts w:ascii="Arial" w:eastAsia="Arial" w:hAnsi="Arial" w:cs="Arial"/>
                <w:color w:val="000000"/>
                <w:sz w:val="22"/>
                <w:szCs w:val="22"/>
              </w:rPr>
              <w:tab/>
              <w:t>5</w:t>
            </w:r>
          </w:hyperlink>
        </w:p>
        <w:p w14:paraId="5A2F9084"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sdrfwyajhxsj">
            <w:r>
              <w:rPr>
                <w:rFonts w:ascii="Arial" w:eastAsia="Arial" w:hAnsi="Arial" w:cs="Arial"/>
                <w:color w:val="000000"/>
                <w:sz w:val="22"/>
                <w:szCs w:val="22"/>
              </w:rPr>
              <w:t>2a.3 National Context (India)</w:t>
            </w:r>
            <w:r>
              <w:rPr>
                <w:rFonts w:ascii="Arial" w:eastAsia="Arial" w:hAnsi="Arial" w:cs="Arial"/>
                <w:color w:val="000000"/>
                <w:sz w:val="22"/>
                <w:szCs w:val="22"/>
              </w:rPr>
              <w:tab/>
              <w:t>6</w:t>
            </w:r>
          </w:hyperlink>
        </w:p>
        <w:p w14:paraId="6DC80605"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lt83sw3o0a6k">
            <w:r>
              <w:rPr>
                <w:rFonts w:ascii="Arial" w:eastAsia="Arial" w:hAnsi="Arial" w:cs="Arial"/>
                <w:color w:val="000000"/>
                <w:sz w:val="22"/>
                <w:szCs w:val="22"/>
              </w:rPr>
              <w:t>2a.4. Supporting Clinical Risk Evidence</w:t>
            </w:r>
            <w:r>
              <w:rPr>
                <w:rFonts w:ascii="Arial" w:eastAsia="Arial" w:hAnsi="Arial" w:cs="Arial"/>
                <w:color w:val="000000"/>
                <w:sz w:val="22"/>
                <w:szCs w:val="22"/>
              </w:rPr>
              <w:tab/>
              <w:t>7</w:t>
            </w:r>
          </w:hyperlink>
        </w:p>
        <w:p w14:paraId="2D9BE780"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4msrfygvmvox">
            <w:r>
              <w:rPr>
                <w:rFonts w:ascii="Arial" w:eastAsia="Arial" w:hAnsi="Arial" w:cs="Arial"/>
                <w:color w:val="000000"/>
                <w:sz w:val="22"/>
                <w:szCs w:val="22"/>
              </w:rPr>
              <w:t>2a.5 Systems Thinking Analysis</w:t>
            </w:r>
            <w:r>
              <w:rPr>
                <w:rFonts w:ascii="Arial" w:eastAsia="Arial" w:hAnsi="Arial" w:cs="Arial"/>
                <w:color w:val="000000"/>
                <w:sz w:val="22"/>
                <w:szCs w:val="22"/>
              </w:rPr>
              <w:tab/>
              <w:t>7</w:t>
            </w:r>
          </w:hyperlink>
        </w:p>
        <w:p w14:paraId="510CF2BD"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t9fsil9dwz39">
            <w:r>
              <w:rPr>
                <w:rFonts w:ascii="Arial" w:eastAsia="Arial" w:hAnsi="Arial" w:cs="Arial"/>
                <w:color w:val="000000"/>
                <w:sz w:val="22"/>
                <w:szCs w:val="22"/>
              </w:rPr>
              <w:t>2a.6 System Weaknesses</w:t>
            </w:r>
            <w:r>
              <w:rPr>
                <w:rFonts w:ascii="Arial" w:eastAsia="Arial" w:hAnsi="Arial" w:cs="Arial"/>
                <w:color w:val="000000"/>
                <w:sz w:val="22"/>
                <w:szCs w:val="22"/>
              </w:rPr>
              <w:tab/>
              <w:t>7</w:t>
            </w:r>
          </w:hyperlink>
        </w:p>
        <w:p w14:paraId="78C9234F"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u5gmr34sgsja">
            <w:r>
              <w:rPr>
                <w:rFonts w:ascii="Arial" w:eastAsia="Arial" w:hAnsi="Arial" w:cs="Arial"/>
                <w:color w:val="000000"/>
                <w:sz w:val="22"/>
                <w:szCs w:val="22"/>
              </w:rPr>
              <w:t>2a.7 Rich Picture Explanation</w:t>
            </w:r>
            <w:r>
              <w:rPr>
                <w:rFonts w:ascii="Arial" w:eastAsia="Arial" w:hAnsi="Arial" w:cs="Arial"/>
                <w:color w:val="000000"/>
                <w:sz w:val="22"/>
                <w:szCs w:val="22"/>
              </w:rPr>
              <w:tab/>
              <w:t>8</w:t>
            </w:r>
          </w:hyperlink>
        </w:p>
        <w:p w14:paraId="575C880E"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d3et1zxcixxy">
            <w:r>
              <w:rPr>
                <w:rFonts w:ascii="Arial" w:eastAsia="Arial" w:hAnsi="Arial" w:cs="Arial"/>
                <w:color w:val="000000"/>
                <w:sz w:val="22"/>
                <w:szCs w:val="22"/>
              </w:rPr>
              <w:t>2b. Centralisation vs Decentralisation</w:t>
            </w:r>
            <w:r>
              <w:rPr>
                <w:rFonts w:ascii="Arial" w:eastAsia="Arial" w:hAnsi="Arial" w:cs="Arial"/>
                <w:color w:val="000000"/>
                <w:sz w:val="22"/>
                <w:szCs w:val="22"/>
              </w:rPr>
              <w:tab/>
              <w:t>8</w:t>
            </w:r>
          </w:hyperlink>
        </w:p>
        <w:p w14:paraId="13DC72C1"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yd2sh45sw4l2">
            <w:r>
              <w:rPr>
                <w:rFonts w:ascii="Arial" w:eastAsia="Arial" w:hAnsi="Arial" w:cs="Arial"/>
                <w:color w:val="000000"/>
                <w:sz w:val="22"/>
                <w:szCs w:val="22"/>
              </w:rPr>
              <w:t>2b.1 Case Structure is Centralised.</w:t>
            </w:r>
            <w:r>
              <w:rPr>
                <w:rFonts w:ascii="Arial" w:eastAsia="Arial" w:hAnsi="Arial" w:cs="Arial"/>
                <w:color w:val="000000"/>
                <w:sz w:val="22"/>
                <w:szCs w:val="22"/>
              </w:rPr>
              <w:tab/>
              <w:t>8</w:t>
            </w:r>
          </w:hyperlink>
        </w:p>
        <w:p w14:paraId="0B2B1EA6"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s0tbajhztdks">
            <w:r>
              <w:rPr>
                <w:rFonts w:ascii="Arial" w:eastAsia="Arial" w:hAnsi="Arial" w:cs="Arial"/>
                <w:color w:val="000000"/>
                <w:sz w:val="22"/>
                <w:szCs w:val="22"/>
              </w:rPr>
              <w:t>2b.2 Advantages of Centralisation</w:t>
            </w:r>
            <w:r>
              <w:rPr>
                <w:rFonts w:ascii="Arial" w:eastAsia="Arial" w:hAnsi="Arial" w:cs="Arial"/>
                <w:color w:val="000000"/>
                <w:sz w:val="22"/>
                <w:szCs w:val="22"/>
              </w:rPr>
              <w:tab/>
              <w:t>9</w:t>
            </w:r>
          </w:hyperlink>
        </w:p>
        <w:p w14:paraId="10437331"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qd7i2zmvmud5">
            <w:r>
              <w:rPr>
                <w:rFonts w:ascii="Arial" w:eastAsia="Arial" w:hAnsi="Arial" w:cs="Arial"/>
                <w:color w:val="000000"/>
                <w:sz w:val="22"/>
                <w:szCs w:val="22"/>
              </w:rPr>
              <w:t>2b.3 The disadvantages of Centralisation (Critical Analysis)</w:t>
            </w:r>
            <w:r>
              <w:rPr>
                <w:rFonts w:ascii="Arial" w:eastAsia="Arial" w:hAnsi="Arial" w:cs="Arial"/>
                <w:color w:val="000000"/>
                <w:sz w:val="22"/>
                <w:szCs w:val="22"/>
              </w:rPr>
              <w:tab/>
              <w:t>9</w:t>
            </w:r>
          </w:hyperlink>
        </w:p>
        <w:p w14:paraId="06A6CAB6"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pkpp1zc3krfm">
            <w:r>
              <w:rPr>
                <w:rFonts w:ascii="Arial" w:eastAsia="Arial" w:hAnsi="Arial" w:cs="Arial"/>
                <w:color w:val="000000"/>
                <w:sz w:val="22"/>
                <w:szCs w:val="22"/>
              </w:rPr>
              <w:t>2b.4 Decentralisation: What Was Lost.</w:t>
            </w:r>
            <w:r>
              <w:rPr>
                <w:rFonts w:ascii="Arial" w:eastAsia="Arial" w:hAnsi="Arial" w:cs="Arial"/>
                <w:color w:val="000000"/>
                <w:sz w:val="22"/>
                <w:szCs w:val="22"/>
              </w:rPr>
              <w:tab/>
              <w:t>10</w:t>
            </w:r>
          </w:hyperlink>
        </w:p>
        <w:p w14:paraId="47BB6C87"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n1jw362x9bss">
            <w:r>
              <w:rPr>
                <w:rFonts w:ascii="Arial" w:eastAsia="Arial" w:hAnsi="Arial" w:cs="Arial"/>
                <w:color w:val="000000"/>
                <w:sz w:val="22"/>
                <w:szCs w:val="22"/>
              </w:rPr>
              <w:t>2b.5 Evidence from Healthcare Systems</w:t>
            </w:r>
            <w:r>
              <w:rPr>
                <w:rFonts w:ascii="Arial" w:eastAsia="Arial" w:hAnsi="Arial" w:cs="Arial"/>
                <w:color w:val="000000"/>
                <w:sz w:val="22"/>
                <w:szCs w:val="22"/>
              </w:rPr>
              <w:tab/>
              <w:t>10</w:t>
            </w:r>
          </w:hyperlink>
        </w:p>
        <w:p w14:paraId="7C3F4AA9"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p01j1xbiq4lw">
            <w:r>
              <w:rPr>
                <w:rFonts w:ascii="Arial" w:eastAsia="Arial" w:hAnsi="Arial" w:cs="Arial"/>
                <w:color w:val="000000"/>
                <w:sz w:val="22"/>
                <w:szCs w:val="22"/>
              </w:rPr>
              <w:t>2b.6 Critical Analysis</w:t>
            </w:r>
            <w:r>
              <w:rPr>
                <w:rFonts w:ascii="Arial" w:eastAsia="Arial" w:hAnsi="Arial" w:cs="Arial"/>
                <w:color w:val="000000"/>
                <w:sz w:val="22"/>
                <w:szCs w:val="22"/>
              </w:rPr>
              <w:tab/>
              <w:t>11</w:t>
            </w:r>
          </w:hyperlink>
        </w:p>
        <w:p w14:paraId="23202A82"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ollhjwxtky7r">
            <w:r>
              <w:rPr>
                <w:rFonts w:ascii="Arial" w:eastAsia="Arial" w:hAnsi="Arial" w:cs="Arial"/>
                <w:color w:val="000000"/>
                <w:sz w:val="22"/>
                <w:szCs w:val="22"/>
              </w:rPr>
              <w:t>2c. Leadership Theory Application</w:t>
            </w:r>
            <w:r>
              <w:rPr>
                <w:rFonts w:ascii="Arial" w:eastAsia="Arial" w:hAnsi="Arial" w:cs="Arial"/>
                <w:color w:val="000000"/>
                <w:sz w:val="22"/>
                <w:szCs w:val="22"/>
              </w:rPr>
              <w:tab/>
              <w:t>11</w:t>
            </w:r>
          </w:hyperlink>
        </w:p>
        <w:p w14:paraId="240B9379"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g0j84ip30con">
            <w:r>
              <w:rPr>
                <w:rFonts w:ascii="Arial" w:eastAsia="Arial" w:hAnsi="Arial" w:cs="Arial"/>
                <w:color w:val="000000"/>
                <w:sz w:val="22"/>
                <w:szCs w:val="22"/>
              </w:rPr>
              <w:t>2d. Lessons learned and improvements</w:t>
            </w:r>
            <w:r>
              <w:rPr>
                <w:rFonts w:ascii="Arial" w:eastAsia="Arial" w:hAnsi="Arial" w:cs="Arial"/>
                <w:color w:val="000000"/>
                <w:sz w:val="22"/>
                <w:szCs w:val="22"/>
              </w:rPr>
              <w:tab/>
              <w:t>12</w:t>
            </w:r>
          </w:hyperlink>
        </w:p>
        <w:p w14:paraId="6B253F0E"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sp7gcnab70n0">
            <w:r>
              <w:rPr>
                <w:rFonts w:ascii="Arial" w:eastAsia="Arial" w:hAnsi="Arial" w:cs="Arial"/>
                <w:color w:val="000000"/>
                <w:sz w:val="22"/>
                <w:szCs w:val="22"/>
              </w:rPr>
              <w:t>2d.1 Case Study 1: Misidentification of the patient.</w:t>
            </w:r>
            <w:r>
              <w:rPr>
                <w:rFonts w:ascii="Arial" w:eastAsia="Arial" w:hAnsi="Arial" w:cs="Arial"/>
                <w:color w:val="000000"/>
                <w:sz w:val="22"/>
                <w:szCs w:val="22"/>
              </w:rPr>
              <w:tab/>
              <w:t>12</w:t>
            </w:r>
          </w:hyperlink>
        </w:p>
        <w:p w14:paraId="0EF0DB79"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vw8ofewtun06">
            <w:r>
              <w:rPr>
                <w:rFonts w:ascii="Arial" w:eastAsia="Arial" w:hAnsi="Arial" w:cs="Arial"/>
                <w:color w:val="000000"/>
                <w:sz w:val="22"/>
                <w:szCs w:val="22"/>
              </w:rPr>
              <w:t>2d.2 Issue 2: Weak Checklists.</w:t>
            </w:r>
            <w:r>
              <w:rPr>
                <w:rFonts w:ascii="Arial" w:eastAsia="Arial" w:hAnsi="Arial" w:cs="Arial"/>
                <w:color w:val="000000"/>
                <w:sz w:val="22"/>
                <w:szCs w:val="22"/>
              </w:rPr>
              <w:tab/>
              <w:t>13</w:t>
            </w:r>
          </w:hyperlink>
        </w:p>
        <w:p w14:paraId="49206D46"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72bexedm1ml0">
            <w:r>
              <w:rPr>
                <w:rFonts w:ascii="Arial" w:eastAsia="Arial" w:hAnsi="Arial" w:cs="Arial"/>
                <w:color w:val="000000"/>
                <w:sz w:val="22"/>
                <w:szCs w:val="22"/>
              </w:rPr>
              <w:t>2d.3 Problem 3: Slim Training and Competency Development.</w:t>
            </w:r>
            <w:r>
              <w:rPr>
                <w:rFonts w:ascii="Arial" w:eastAsia="Arial" w:hAnsi="Arial" w:cs="Arial"/>
                <w:color w:val="000000"/>
                <w:sz w:val="22"/>
                <w:szCs w:val="22"/>
              </w:rPr>
              <w:tab/>
              <w:t>13</w:t>
            </w:r>
          </w:hyperlink>
        </w:p>
        <w:p w14:paraId="7C0CF8BB"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ygej7pt8nkdk">
            <w:r>
              <w:rPr>
                <w:rFonts w:ascii="Arial" w:eastAsia="Arial" w:hAnsi="Arial" w:cs="Arial"/>
                <w:color w:val="000000"/>
                <w:sz w:val="22"/>
                <w:szCs w:val="22"/>
              </w:rPr>
              <w:t>2d.4 Problem 4: Governance Failure.</w:t>
            </w:r>
            <w:r>
              <w:rPr>
                <w:rFonts w:ascii="Arial" w:eastAsia="Arial" w:hAnsi="Arial" w:cs="Arial"/>
                <w:color w:val="000000"/>
                <w:sz w:val="22"/>
                <w:szCs w:val="22"/>
              </w:rPr>
              <w:tab/>
              <w:t>14</w:t>
            </w:r>
          </w:hyperlink>
        </w:p>
        <w:p w14:paraId="18AF2A21"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qdnb80ktf8x">
            <w:r>
              <w:rPr>
                <w:rFonts w:ascii="Arial" w:eastAsia="Arial" w:hAnsi="Arial" w:cs="Arial"/>
                <w:color w:val="000000"/>
                <w:sz w:val="22"/>
                <w:szCs w:val="22"/>
              </w:rPr>
              <w:t>2d.5 Technology-Based Improvements</w:t>
            </w:r>
            <w:r>
              <w:rPr>
                <w:rFonts w:ascii="Arial" w:eastAsia="Arial" w:hAnsi="Arial" w:cs="Arial"/>
                <w:color w:val="000000"/>
                <w:sz w:val="22"/>
                <w:szCs w:val="22"/>
              </w:rPr>
              <w:tab/>
              <w:t>14</w:t>
            </w:r>
          </w:hyperlink>
        </w:p>
        <w:p w14:paraId="12EFE1C6" w14:textId="77777777" w:rsidR="00561EDE" w:rsidRDefault="00000000">
          <w:pPr>
            <w:pBdr>
              <w:top w:val="nil"/>
              <w:left w:val="nil"/>
              <w:bottom w:val="nil"/>
              <w:right w:val="nil"/>
              <w:between w:val="nil"/>
            </w:pBdr>
            <w:tabs>
              <w:tab w:val="right" w:leader="dot" w:pos="9019"/>
            </w:tabs>
            <w:spacing w:after="100"/>
            <w:ind w:left="480"/>
            <w:rPr>
              <w:rFonts w:ascii="Arial" w:eastAsia="Arial" w:hAnsi="Arial" w:cs="Arial"/>
              <w:color w:val="000000"/>
              <w:sz w:val="22"/>
              <w:szCs w:val="22"/>
            </w:rPr>
          </w:pPr>
          <w:hyperlink w:anchor="_heading=h.5w22fhpp5g53">
            <w:r>
              <w:rPr>
                <w:rFonts w:ascii="Arial" w:eastAsia="Arial" w:hAnsi="Arial" w:cs="Arial"/>
                <w:color w:val="000000"/>
                <w:sz w:val="22"/>
                <w:szCs w:val="22"/>
              </w:rPr>
              <w:t>2d.6 Lessons Learned</w:t>
            </w:r>
            <w:r>
              <w:rPr>
                <w:rFonts w:ascii="Arial" w:eastAsia="Arial" w:hAnsi="Arial" w:cs="Arial"/>
                <w:color w:val="000000"/>
                <w:sz w:val="22"/>
                <w:szCs w:val="22"/>
              </w:rPr>
              <w:tab/>
              <w:t>15</w:t>
            </w:r>
          </w:hyperlink>
        </w:p>
        <w:p w14:paraId="17B51BBC" w14:textId="77777777" w:rsidR="00561EDE" w:rsidRDefault="00000000">
          <w:pPr>
            <w:pBdr>
              <w:top w:val="nil"/>
              <w:left w:val="nil"/>
              <w:bottom w:val="nil"/>
              <w:right w:val="nil"/>
              <w:between w:val="nil"/>
            </w:pBdr>
            <w:tabs>
              <w:tab w:val="right" w:leader="dot" w:pos="9019"/>
            </w:tabs>
            <w:spacing w:after="100"/>
            <w:rPr>
              <w:rFonts w:ascii="Arial" w:eastAsia="Arial" w:hAnsi="Arial" w:cs="Arial"/>
              <w:color w:val="000000"/>
              <w:sz w:val="22"/>
              <w:szCs w:val="22"/>
            </w:rPr>
          </w:pPr>
          <w:hyperlink w:anchor="_heading=h.zfggbnpnh0z5">
            <w:r>
              <w:rPr>
                <w:rFonts w:ascii="Arial" w:eastAsia="Arial" w:hAnsi="Arial" w:cs="Arial"/>
                <w:color w:val="000000"/>
                <w:sz w:val="22"/>
                <w:szCs w:val="22"/>
              </w:rPr>
              <w:t>3. Recommendations</w:t>
            </w:r>
            <w:r>
              <w:rPr>
                <w:rFonts w:ascii="Arial" w:eastAsia="Arial" w:hAnsi="Arial" w:cs="Arial"/>
                <w:color w:val="000000"/>
                <w:sz w:val="22"/>
                <w:szCs w:val="22"/>
              </w:rPr>
              <w:tab/>
              <w:t>16</w:t>
            </w:r>
          </w:hyperlink>
        </w:p>
        <w:p w14:paraId="19F5B49F"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y7qu1y83ht85">
            <w:r>
              <w:rPr>
                <w:rFonts w:ascii="Arial" w:eastAsia="Arial" w:hAnsi="Arial" w:cs="Arial"/>
                <w:color w:val="000000"/>
                <w:sz w:val="22"/>
                <w:szCs w:val="22"/>
              </w:rPr>
              <w:t>3.1 Leadership Recommendations</w:t>
            </w:r>
            <w:r>
              <w:rPr>
                <w:rFonts w:ascii="Arial" w:eastAsia="Arial" w:hAnsi="Arial" w:cs="Arial"/>
                <w:color w:val="000000"/>
                <w:sz w:val="22"/>
                <w:szCs w:val="22"/>
              </w:rPr>
              <w:tab/>
              <w:t>16</w:t>
            </w:r>
          </w:hyperlink>
        </w:p>
        <w:p w14:paraId="021EE985"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wt3wqjcnltqk">
            <w:r>
              <w:rPr>
                <w:rFonts w:ascii="Arial" w:eastAsia="Arial" w:hAnsi="Arial" w:cs="Arial"/>
                <w:color w:val="000000"/>
                <w:sz w:val="22"/>
                <w:szCs w:val="22"/>
              </w:rPr>
              <w:t>3.2 Governance Improvements</w:t>
            </w:r>
            <w:r>
              <w:rPr>
                <w:rFonts w:ascii="Arial" w:eastAsia="Arial" w:hAnsi="Arial" w:cs="Arial"/>
                <w:color w:val="000000"/>
                <w:sz w:val="22"/>
                <w:szCs w:val="22"/>
              </w:rPr>
              <w:tab/>
              <w:t>17</w:t>
            </w:r>
          </w:hyperlink>
        </w:p>
        <w:p w14:paraId="76F137CE"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k6enlkoucazp">
            <w:r>
              <w:rPr>
                <w:rFonts w:ascii="Arial" w:eastAsia="Arial" w:hAnsi="Arial" w:cs="Arial"/>
                <w:color w:val="000000"/>
                <w:sz w:val="22"/>
                <w:szCs w:val="22"/>
              </w:rPr>
              <w:t>3.3 Communication Improvements</w:t>
            </w:r>
            <w:r>
              <w:rPr>
                <w:rFonts w:ascii="Arial" w:eastAsia="Arial" w:hAnsi="Arial" w:cs="Arial"/>
                <w:color w:val="000000"/>
                <w:sz w:val="22"/>
                <w:szCs w:val="22"/>
              </w:rPr>
              <w:tab/>
              <w:t>17</w:t>
            </w:r>
          </w:hyperlink>
        </w:p>
        <w:p w14:paraId="1EF6C54A"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5yac7xbhnji1">
            <w:r>
              <w:rPr>
                <w:rFonts w:ascii="Arial" w:eastAsia="Arial" w:hAnsi="Arial" w:cs="Arial"/>
                <w:color w:val="000000"/>
                <w:sz w:val="22"/>
                <w:szCs w:val="22"/>
              </w:rPr>
              <w:t>3.4 Technology and Efficiency</w:t>
            </w:r>
            <w:r>
              <w:rPr>
                <w:rFonts w:ascii="Arial" w:eastAsia="Arial" w:hAnsi="Arial" w:cs="Arial"/>
                <w:color w:val="000000"/>
                <w:sz w:val="22"/>
                <w:szCs w:val="22"/>
              </w:rPr>
              <w:tab/>
              <w:t>17</w:t>
            </w:r>
          </w:hyperlink>
        </w:p>
        <w:p w14:paraId="7BFB5E0D" w14:textId="77777777" w:rsidR="00561EDE" w:rsidRDefault="00000000">
          <w:pPr>
            <w:pBdr>
              <w:top w:val="nil"/>
              <w:left w:val="nil"/>
              <w:bottom w:val="nil"/>
              <w:right w:val="nil"/>
              <w:between w:val="nil"/>
            </w:pBdr>
            <w:tabs>
              <w:tab w:val="right" w:leader="dot" w:pos="9019"/>
            </w:tabs>
            <w:spacing w:after="100"/>
            <w:ind w:left="240"/>
            <w:rPr>
              <w:rFonts w:ascii="Arial" w:eastAsia="Arial" w:hAnsi="Arial" w:cs="Arial"/>
              <w:color w:val="000000"/>
              <w:sz w:val="22"/>
              <w:szCs w:val="22"/>
            </w:rPr>
          </w:pPr>
          <w:hyperlink w:anchor="_heading=h.p76z7a99kett">
            <w:r>
              <w:rPr>
                <w:rFonts w:ascii="Arial" w:eastAsia="Arial" w:hAnsi="Arial" w:cs="Arial"/>
                <w:color w:val="000000"/>
                <w:sz w:val="22"/>
                <w:szCs w:val="22"/>
              </w:rPr>
              <w:t>3.5 Continuous Learning and Improvement</w:t>
            </w:r>
            <w:r>
              <w:rPr>
                <w:rFonts w:ascii="Arial" w:eastAsia="Arial" w:hAnsi="Arial" w:cs="Arial"/>
                <w:color w:val="000000"/>
                <w:sz w:val="22"/>
                <w:szCs w:val="22"/>
              </w:rPr>
              <w:tab/>
              <w:t>18</w:t>
            </w:r>
          </w:hyperlink>
        </w:p>
        <w:p w14:paraId="7554256F" w14:textId="77777777" w:rsidR="00561EDE" w:rsidRDefault="00000000">
          <w:pPr>
            <w:pBdr>
              <w:top w:val="nil"/>
              <w:left w:val="nil"/>
              <w:bottom w:val="nil"/>
              <w:right w:val="nil"/>
              <w:between w:val="nil"/>
            </w:pBdr>
            <w:tabs>
              <w:tab w:val="right" w:leader="dot" w:pos="9019"/>
            </w:tabs>
            <w:spacing w:after="100"/>
            <w:rPr>
              <w:rFonts w:ascii="Arial" w:eastAsia="Arial" w:hAnsi="Arial" w:cs="Arial"/>
              <w:color w:val="000000"/>
              <w:sz w:val="22"/>
              <w:szCs w:val="22"/>
            </w:rPr>
          </w:pPr>
          <w:hyperlink w:anchor="_heading=h.moozlzhedxp8">
            <w:r>
              <w:rPr>
                <w:rFonts w:ascii="Arial" w:eastAsia="Arial" w:hAnsi="Arial" w:cs="Arial"/>
                <w:color w:val="000000"/>
                <w:sz w:val="22"/>
                <w:szCs w:val="22"/>
              </w:rPr>
              <w:t>4. Conclusion</w:t>
            </w:r>
            <w:r>
              <w:rPr>
                <w:rFonts w:ascii="Arial" w:eastAsia="Arial" w:hAnsi="Arial" w:cs="Arial"/>
                <w:color w:val="000000"/>
                <w:sz w:val="22"/>
                <w:szCs w:val="22"/>
              </w:rPr>
              <w:tab/>
              <w:t>18</w:t>
            </w:r>
          </w:hyperlink>
        </w:p>
        <w:p w14:paraId="382D182C" w14:textId="77777777" w:rsidR="00561EDE" w:rsidRDefault="00000000">
          <w:pPr>
            <w:pBdr>
              <w:top w:val="nil"/>
              <w:left w:val="nil"/>
              <w:bottom w:val="nil"/>
              <w:right w:val="nil"/>
              <w:between w:val="nil"/>
            </w:pBdr>
            <w:tabs>
              <w:tab w:val="right" w:leader="dot" w:pos="9019"/>
            </w:tabs>
            <w:spacing w:after="100"/>
            <w:rPr>
              <w:rFonts w:ascii="Arial" w:eastAsia="Arial" w:hAnsi="Arial" w:cs="Arial"/>
              <w:color w:val="000000"/>
              <w:sz w:val="22"/>
              <w:szCs w:val="22"/>
            </w:rPr>
          </w:pPr>
          <w:hyperlink w:anchor="_heading=h.18u710rpggoc">
            <w:r>
              <w:rPr>
                <w:rFonts w:ascii="Arial" w:eastAsia="Arial" w:hAnsi="Arial" w:cs="Arial"/>
                <w:color w:val="000000"/>
                <w:sz w:val="22"/>
                <w:szCs w:val="22"/>
              </w:rPr>
              <w:t>References</w:t>
            </w:r>
            <w:r>
              <w:rPr>
                <w:rFonts w:ascii="Arial" w:eastAsia="Arial" w:hAnsi="Arial" w:cs="Arial"/>
                <w:color w:val="000000"/>
                <w:sz w:val="22"/>
                <w:szCs w:val="22"/>
              </w:rPr>
              <w:tab/>
              <w:t>19</w:t>
            </w:r>
          </w:hyperlink>
        </w:p>
        <w:p w14:paraId="35052BC6" w14:textId="77777777" w:rsidR="00561EDE" w:rsidRDefault="00000000">
          <w:pPr>
            <w:rPr>
              <w:rFonts w:ascii="Arial" w:eastAsia="Arial" w:hAnsi="Arial" w:cs="Arial"/>
              <w:sz w:val="22"/>
              <w:szCs w:val="22"/>
            </w:rPr>
          </w:pPr>
          <w:r>
            <w:fldChar w:fldCharType="end"/>
          </w:r>
        </w:p>
      </w:sdtContent>
    </w:sdt>
    <w:p w14:paraId="226D11F7" w14:textId="77777777" w:rsidR="00561EDE" w:rsidRDefault="00000000">
      <w:pPr>
        <w:rPr>
          <w:rFonts w:ascii="Arial" w:eastAsia="Arial" w:hAnsi="Arial" w:cs="Arial"/>
          <w:b/>
          <w:bCs/>
          <w:sz w:val="22"/>
          <w:szCs w:val="22"/>
        </w:rPr>
      </w:pPr>
      <w:r>
        <w:br w:type="page"/>
      </w:r>
    </w:p>
    <w:p w14:paraId="4D56EBB3" w14:textId="77777777" w:rsidR="00561EDE" w:rsidRDefault="00000000">
      <w:pPr>
        <w:pStyle w:val="Heading1"/>
        <w:rPr>
          <w:rFonts w:ascii="Arial" w:eastAsia="Arial" w:hAnsi="Arial" w:cs="Arial"/>
          <w:sz w:val="22"/>
          <w:szCs w:val="22"/>
        </w:rPr>
      </w:pPr>
      <w:bookmarkStart w:id="1" w:name="_heading=h.t5cdcjnp33g2" w:colFirst="0" w:colLast="0"/>
      <w:bookmarkEnd w:id="1"/>
      <w:r>
        <w:rPr>
          <w:rFonts w:ascii="Arial" w:eastAsia="Arial" w:hAnsi="Arial" w:cs="Arial"/>
          <w:sz w:val="22"/>
          <w:szCs w:val="22"/>
        </w:rPr>
        <w:t>1. Introduction</w:t>
      </w:r>
    </w:p>
    <w:p w14:paraId="1A9D09FF" w14:textId="77777777" w:rsidR="00561EDE" w:rsidRDefault="00000000">
      <w:pPr>
        <w:pStyle w:val="Heading2"/>
        <w:rPr>
          <w:rFonts w:ascii="Arial" w:eastAsia="Arial" w:hAnsi="Arial" w:cs="Arial"/>
          <w:sz w:val="22"/>
          <w:szCs w:val="22"/>
        </w:rPr>
      </w:pPr>
      <w:bookmarkStart w:id="2" w:name="_heading=h.c7fzqw9hy3lh" w:colFirst="0" w:colLast="0"/>
      <w:bookmarkEnd w:id="2"/>
      <w:r>
        <w:rPr>
          <w:rFonts w:ascii="Arial" w:eastAsia="Arial" w:hAnsi="Arial" w:cs="Arial"/>
          <w:sz w:val="22"/>
          <w:szCs w:val="22"/>
        </w:rPr>
        <w:t xml:space="preserve">1.1 Background of the Case Study </w:t>
      </w:r>
    </w:p>
    <w:p w14:paraId="1595388E" w14:textId="77777777" w:rsidR="00561EDE" w:rsidRDefault="00000000">
      <w:pPr>
        <w:rPr>
          <w:rFonts w:ascii="Arial" w:eastAsia="Arial" w:hAnsi="Arial" w:cs="Arial"/>
          <w:sz w:val="22"/>
          <w:szCs w:val="22"/>
        </w:rPr>
      </w:pPr>
      <w:r>
        <w:rPr>
          <w:rFonts w:ascii="Arial" w:eastAsia="Arial" w:hAnsi="Arial" w:cs="Arial"/>
          <w:sz w:val="22"/>
          <w:szCs w:val="22"/>
        </w:rPr>
        <w:t xml:space="preserve">The case being analysed is a severe patient safety event at Kota Medical College Hospital where an elderly man was incorrectly admitted to the operation room and received the wrong procedure as a result of a patient identification error. The man, who was awaiting the surgery of his son, replied to a similar name call, and he was then taken to the operating room without going through the usual identity check or preoperative tests (SCMP, 2025). This is an indication of a breakdown in basic safety measures in the field of surgical care. Such incidents are not isolated but are part of a wider global issue in healthcare systems. </w:t>
      </w:r>
    </w:p>
    <w:p w14:paraId="18A76CEA" w14:textId="77777777" w:rsidR="00561EDE" w:rsidRDefault="00000000">
      <w:pPr>
        <w:jc w:val="center"/>
        <w:rPr>
          <w:b/>
          <w:bCs/>
        </w:rPr>
      </w:pPr>
      <w:r>
        <w:rPr>
          <w:b/>
          <w:bCs/>
          <w:noProof/>
        </w:rPr>
        <w:drawing>
          <wp:inline distT="114300" distB="114300" distL="114300" distR="114300" wp14:anchorId="744B1B6A" wp14:editId="006798B0">
            <wp:extent cx="5731200" cy="32258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6A0A11DD" w14:textId="77777777" w:rsidR="00561EDE" w:rsidRDefault="00000000">
      <w:pPr>
        <w:jc w:val="center"/>
        <w:rPr>
          <w:b/>
          <w:bCs/>
        </w:rPr>
      </w:pPr>
      <w:r>
        <w:rPr>
          <w:b/>
          <w:bCs/>
        </w:rPr>
        <w:t>Figure 1.  Kota Medical College</w:t>
      </w:r>
    </w:p>
    <w:p w14:paraId="1F5C48B8" w14:textId="77777777" w:rsidR="00561EDE" w:rsidRDefault="00000000">
      <w:pPr>
        <w:jc w:val="center"/>
      </w:pPr>
      <w:r>
        <w:t>(SCMP, 2025)</w:t>
      </w:r>
    </w:p>
    <w:p w14:paraId="325E70DE" w14:textId="77777777" w:rsidR="00561EDE" w:rsidRDefault="00000000">
      <w:pPr>
        <w:pStyle w:val="Heading2"/>
        <w:rPr>
          <w:rFonts w:ascii="Arial" w:eastAsia="Arial" w:hAnsi="Arial" w:cs="Arial"/>
          <w:sz w:val="22"/>
          <w:szCs w:val="22"/>
        </w:rPr>
      </w:pPr>
      <w:bookmarkStart w:id="3" w:name="_heading=h.ppfa9e36n2sc" w:colFirst="0" w:colLast="0"/>
      <w:bookmarkEnd w:id="3"/>
      <w:r>
        <w:rPr>
          <w:rFonts w:ascii="Arial" w:eastAsia="Arial" w:hAnsi="Arial" w:cs="Arial"/>
          <w:sz w:val="22"/>
          <w:szCs w:val="22"/>
        </w:rPr>
        <w:t>1.2 Leadership in Healthcare: Definition.</w:t>
      </w:r>
    </w:p>
    <w:p w14:paraId="6C1CCD10" w14:textId="77777777" w:rsidR="00561EDE" w:rsidRDefault="00000000">
      <w:pPr>
        <w:rPr>
          <w:rFonts w:ascii="Arial" w:eastAsia="Arial" w:hAnsi="Arial" w:cs="Arial"/>
          <w:sz w:val="22"/>
          <w:szCs w:val="22"/>
        </w:rPr>
      </w:pPr>
      <w:r>
        <w:rPr>
          <w:rFonts w:ascii="Arial" w:eastAsia="Arial" w:hAnsi="Arial" w:cs="Arial"/>
          <w:sz w:val="22"/>
          <w:szCs w:val="22"/>
        </w:rPr>
        <w:t xml:space="preserve">Defining leadership in healthcare as the capacity to influence, lead, and organise individuals and groups in order to deliver safe, effective and patient-centred care outcomes. It entails not just decision-making but also the promotion of a culture of ownership, communication, and ongoing enhancement within clinical settings. According to </w:t>
      </w:r>
      <w:proofErr w:type="spellStart"/>
      <w:r>
        <w:rPr>
          <w:rFonts w:ascii="Arial" w:eastAsia="Arial" w:hAnsi="Arial" w:cs="Arial"/>
          <w:sz w:val="22"/>
          <w:szCs w:val="22"/>
        </w:rPr>
        <w:t>Bhuyan</w:t>
      </w:r>
      <w:proofErr w:type="spellEnd"/>
      <w:r>
        <w:rPr>
          <w:rFonts w:ascii="Arial" w:eastAsia="Arial" w:hAnsi="Arial" w:cs="Arial"/>
          <w:sz w:val="22"/>
          <w:szCs w:val="22"/>
        </w:rPr>
        <w:t xml:space="preserve"> and Broom (2025), leadership is at the heart of aligning the organisational objectives with clinical practice and ensuring that safety standards are always maintained at all care delivery levels.</w:t>
      </w:r>
    </w:p>
    <w:p w14:paraId="27F3C58A" w14:textId="77777777" w:rsidR="00561EDE" w:rsidRDefault="00000000">
      <w:pPr>
        <w:pStyle w:val="Heading2"/>
        <w:rPr>
          <w:rFonts w:ascii="Arial" w:eastAsia="Arial" w:hAnsi="Arial" w:cs="Arial"/>
          <w:sz w:val="22"/>
          <w:szCs w:val="22"/>
        </w:rPr>
      </w:pPr>
      <w:bookmarkStart w:id="4" w:name="_heading=h.9om8dgc78s2s" w:colFirst="0" w:colLast="0"/>
      <w:bookmarkEnd w:id="4"/>
      <w:r>
        <w:rPr>
          <w:rFonts w:ascii="Arial" w:eastAsia="Arial" w:hAnsi="Arial" w:cs="Arial"/>
          <w:sz w:val="22"/>
          <w:szCs w:val="22"/>
        </w:rPr>
        <w:t>1.3 Centralisation vs Decentralisation</w:t>
      </w:r>
    </w:p>
    <w:p w14:paraId="4DEE1A2C" w14:textId="77777777" w:rsidR="00561EDE" w:rsidRDefault="00000000">
      <w:pPr>
        <w:rPr>
          <w:rFonts w:ascii="Arial" w:eastAsia="Arial" w:hAnsi="Arial" w:cs="Arial"/>
          <w:sz w:val="22"/>
          <w:szCs w:val="22"/>
        </w:rPr>
      </w:pPr>
      <w:r>
        <w:rPr>
          <w:rFonts w:ascii="Arial" w:eastAsia="Arial" w:hAnsi="Arial" w:cs="Arial"/>
          <w:sz w:val="22"/>
          <w:szCs w:val="22"/>
        </w:rPr>
        <w:t>Centralisation is the distribution of decision making power to higher organisational levels and in many instances, this allows standardisation and control of processes and decentralisation is the distribution of the power to different levels of the organisation so that the front line staff have the freedom to make decisions (</w:t>
      </w:r>
      <w:proofErr w:type="spellStart"/>
      <w:r>
        <w:rPr>
          <w:rFonts w:ascii="Arial" w:eastAsia="Arial" w:hAnsi="Arial" w:cs="Arial"/>
          <w:sz w:val="22"/>
          <w:szCs w:val="22"/>
        </w:rPr>
        <w:t>Sapkota</w:t>
      </w:r>
      <w:proofErr w:type="spellEnd"/>
      <w:r>
        <w:rPr>
          <w:rFonts w:ascii="Arial" w:eastAsia="Arial" w:hAnsi="Arial" w:cs="Arial"/>
          <w:sz w:val="22"/>
          <w:szCs w:val="22"/>
        </w:rPr>
        <w:t xml:space="preserve"> et al., 2023). </w:t>
      </w:r>
    </w:p>
    <w:p w14:paraId="426ED80F" w14:textId="77777777" w:rsidR="00561EDE" w:rsidRDefault="00000000">
      <w:pPr>
        <w:pStyle w:val="Heading2"/>
        <w:rPr>
          <w:rFonts w:ascii="Arial" w:eastAsia="Arial" w:hAnsi="Arial" w:cs="Arial"/>
          <w:sz w:val="22"/>
          <w:szCs w:val="22"/>
        </w:rPr>
      </w:pPr>
      <w:bookmarkStart w:id="5" w:name="_heading=h.97fec7odrhmm" w:colFirst="0" w:colLast="0"/>
      <w:bookmarkEnd w:id="5"/>
      <w:r>
        <w:rPr>
          <w:rFonts w:ascii="Arial" w:eastAsia="Arial" w:hAnsi="Arial" w:cs="Arial"/>
          <w:sz w:val="22"/>
          <w:szCs w:val="22"/>
        </w:rPr>
        <w:t>1.4 Leadership Theories Introduced</w:t>
      </w:r>
    </w:p>
    <w:p w14:paraId="31639BA1" w14:textId="77777777" w:rsidR="00561EDE" w:rsidRDefault="00000000">
      <w:pPr>
        <w:rPr>
          <w:rFonts w:ascii="Arial" w:eastAsia="Arial" w:hAnsi="Arial" w:cs="Arial"/>
          <w:sz w:val="22"/>
          <w:szCs w:val="22"/>
        </w:rPr>
      </w:pPr>
      <w:r>
        <w:rPr>
          <w:rFonts w:ascii="Arial" w:eastAsia="Arial" w:hAnsi="Arial" w:cs="Arial"/>
          <w:sz w:val="22"/>
          <w:szCs w:val="22"/>
        </w:rPr>
        <w:t>To analyse the incident, this report relates to some of the most significant theories of leadership, such as transformational, transactional, and situational leadership. These strategies are especially applicable to surgical practice, where a dynamic decision-making process and coordination of the team are crucial to patient safety (</w:t>
      </w:r>
      <w:proofErr w:type="spellStart"/>
      <w:r>
        <w:rPr>
          <w:rFonts w:ascii="Arial" w:eastAsia="Arial" w:hAnsi="Arial" w:cs="Arial"/>
          <w:sz w:val="22"/>
          <w:szCs w:val="22"/>
        </w:rPr>
        <w:t>Miralrio</w:t>
      </w:r>
      <w:proofErr w:type="spellEnd"/>
      <w:r>
        <w:rPr>
          <w:rFonts w:ascii="Arial" w:eastAsia="Arial" w:hAnsi="Arial" w:cs="Arial"/>
          <w:sz w:val="22"/>
          <w:szCs w:val="22"/>
        </w:rPr>
        <w:t xml:space="preserve"> and </w:t>
      </w:r>
      <w:proofErr w:type="spellStart"/>
      <w:r>
        <w:rPr>
          <w:rFonts w:ascii="Arial" w:eastAsia="Arial" w:hAnsi="Arial" w:cs="Arial"/>
          <w:sz w:val="22"/>
          <w:szCs w:val="22"/>
        </w:rPr>
        <w:t>Tuka</w:t>
      </w:r>
      <w:proofErr w:type="spellEnd"/>
      <w:r>
        <w:rPr>
          <w:rFonts w:ascii="Arial" w:eastAsia="Arial" w:hAnsi="Arial" w:cs="Arial"/>
          <w:sz w:val="22"/>
          <w:szCs w:val="22"/>
        </w:rPr>
        <w:t>, 2025).</w:t>
      </w:r>
    </w:p>
    <w:p w14:paraId="555643B5" w14:textId="77777777" w:rsidR="00561EDE" w:rsidRDefault="00000000">
      <w:pPr>
        <w:pStyle w:val="Heading2"/>
        <w:rPr>
          <w:rFonts w:ascii="Arial" w:eastAsia="Arial" w:hAnsi="Arial" w:cs="Arial"/>
          <w:sz w:val="22"/>
          <w:szCs w:val="22"/>
        </w:rPr>
      </w:pPr>
      <w:bookmarkStart w:id="6" w:name="_heading=h.pzcijkz7sba7" w:colFirst="0" w:colLast="0"/>
      <w:bookmarkEnd w:id="6"/>
      <w:r>
        <w:rPr>
          <w:rFonts w:ascii="Arial" w:eastAsia="Arial" w:hAnsi="Arial" w:cs="Arial"/>
          <w:sz w:val="22"/>
          <w:szCs w:val="22"/>
        </w:rPr>
        <w:t>1.5 Importance of Leadership in Crisis</w:t>
      </w:r>
    </w:p>
    <w:p w14:paraId="697056E2" w14:textId="77777777" w:rsidR="00561EDE" w:rsidRDefault="00000000">
      <w:pPr>
        <w:rPr>
          <w:rFonts w:ascii="Arial" w:eastAsia="Arial" w:hAnsi="Arial" w:cs="Arial"/>
          <w:sz w:val="22"/>
          <w:szCs w:val="22"/>
        </w:rPr>
      </w:pPr>
      <w:r>
        <w:rPr>
          <w:rFonts w:ascii="Arial" w:eastAsia="Arial" w:hAnsi="Arial" w:cs="Arial"/>
          <w:sz w:val="22"/>
          <w:szCs w:val="22"/>
        </w:rPr>
        <w:t xml:space="preserve">Leadership is a key factor in the prevention and management of healthcare crises, especially in high-risk settings, including operating theatres. According to the World Health Organisation, the majority of patient safety events are system failures, and leadership is one of the crucial aspects of the safe systems and practices (WHO, 2023). </w:t>
      </w:r>
    </w:p>
    <w:p w14:paraId="15C21E08" w14:textId="77777777" w:rsidR="00561EDE" w:rsidRDefault="00000000">
      <w:pPr>
        <w:pStyle w:val="Heading2"/>
        <w:rPr>
          <w:rFonts w:ascii="Arial" w:eastAsia="Arial" w:hAnsi="Arial" w:cs="Arial"/>
          <w:sz w:val="22"/>
          <w:szCs w:val="22"/>
        </w:rPr>
      </w:pPr>
      <w:bookmarkStart w:id="7" w:name="_heading=h.59dyoyqxbjpo" w:colFirst="0" w:colLast="0"/>
      <w:bookmarkEnd w:id="7"/>
      <w:r>
        <w:rPr>
          <w:rFonts w:ascii="Arial" w:eastAsia="Arial" w:hAnsi="Arial" w:cs="Arial"/>
          <w:sz w:val="22"/>
          <w:szCs w:val="22"/>
        </w:rPr>
        <w:t>1.6 Report Overview</w:t>
      </w:r>
    </w:p>
    <w:p w14:paraId="5306CB08" w14:textId="77777777" w:rsidR="00561EDE" w:rsidRDefault="00000000">
      <w:pPr>
        <w:rPr>
          <w:rFonts w:ascii="Arial" w:eastAsia="Arial" w:hAnsi="Arial" w:cs="Arial"/>
          <w:sz w:val="22"/>
          <w:szCs w:val="22"/>
        </w:rPr>
      </w:pPr>
      <w:r>
        <w:rPr>
          <w:rFonts w:ascii="Arial" w:eastAsia="Arial" w:hAnsi="Arial" w:cs="Arial"/>
          <w:sz w:val="22"/>
          <w:szCs w:val="22"/>
        </w:rPr>
        <w:t>The report will critically analyse the case through a systems thinking approach with the aim of identifying the underlying causes and contributing factors. It will analyse how centralisation and decentralisation can impact the decision making process, use theories of leadership to analyse leadership performance, and discuss ways to improve and lessons learnt. Lastly, the report will offer evidence-based solutions to improve patient safety and organisational performance in the healthcare environment (WHO, 2023).</w:t>
      </w:r>
    </w:p>
    <w:p w14:paraId="46A7DF9A" w14:textId="77777777" w:rsidR="00561EDE" w:rsidRDefault="00000000">
      <w:pPr>
        <w:pStyle w:val="Heading1"/>
        <w:rPr>
          <w:rFonts w:ascii="Arial" w:eastAsia="Arial" w:hAnsi="Arial" w:cs="Arial"/>
          <w:sz w:val="22"/>
          <w:szCs w:val="22"/>
        </w:rPr>
      </w:pPr>
      <w:bookmarkStart w:id="8" w:name="_heading=h.cebly159er8" w:colFirst="0" w:colLast="0"/>
      <w:bookmarkEnd w:id="8"/>
      <w:r>
        <w:rPr>
          <w:rFonts w:ascii="Arial" w:eastAsia="Arial" w:hAnsi="Arial" w:cs="Arial"/>
          <w:sz w:val="22"/>
          <w:szCs w:val="22"/>
        </w:rPr>
        <w:t>2. Main Body</w:t>
      </w:r>
    </w:p>
    <w:p w14:paraId="3139EDCA" w14:textId="77777777" w:rsidR="00561EDE" w:rsidRDefault="00000000">
      <w:pPr>
        <w:pStyle w:val="Heading2"/>
        <w:rPr>
          <w:rFonts w:ascii="Arial" w:eastAsia="Arial" w:hAnsi="Arial" w:cs="Arial"/>
          <w:sz w:val="22"/>
          <w:szCs w:val="22"/>
        </w:rPr>
      </w:pPr>
      <w:bookmarkStart w:id="9" w:name="_heading=h.h8bay1vwjutb" w:colFirst="0" w:colLast="0"/>
      <w:bookmarkEnd w:id="9"/>
      <w:r>
        <w:rPr>
          <w:rFonts w:ascii="Arial" w:eastAsia="Arial" w:hAnsi="Arial" w:cs="Arial"/>
          <w:sz w:val="22"/>
          <w:szCs w:val="22"/>
        </w:rPr>
        <w:t xml:space="preserve">2a. Determining the Problem with Systems Thinking </w:t>
      </w:r>
    </w:p>
    <w:p w14:paraId="166425DE" w14:textId="77777777" w:rsidR="00561EDE" w:rsidRDefault="00000000">
      <w:pPr>
        <w:pStyle w:val="Heading3"/>
        <w:rPr>
          <w:rFonts w:ascii="Arial" w:eastAsia="Arial" w:hAnsi="Arial" w:cs="Arial"/>
          <w:sz w:val="22"/>
          <w:szCs w:val="22"/>
        </w:rPr>
      </w:pPr>
      <w:bookmarkStart w:id="10" w:name="_heading=h.mwp4qox5m73f" w:colFirst="0" w:colLast="0"/>
      <w:bookmarkEnd w:id="10"/>
      <w:r>
        <w:rPr>
          <w:rFonts w:ascii="Arial" w:eastAsia="Arial" w:hAnsi="Arial" w:cs="Arial"/>
          <w:sz w:val="22"/>
          <w:szCs w:val="22"/>
        </w:rPr>
        <w:t>2a.1 Description of the Core Problem</w:t>
      </w:r>
    </w:p>
    <w:p w14:paraId="1B0D7411" w14:textId="77777777" w:rsidR="00561EDE" w:rsidRDefault="00000000">
      <w:pPr>
        <w:rPr>
          <w:rFonts w:ascii="Arial" w:eastAsia="Arial" w:hAnsi="Arial" w:cs="Arial"/>
          <w:sz w:val="22"/>
          <w:szCs w:val="22"/>
        </w:rPr>
      </w:pPr>
      <w:r>
        <w:rPr>
          <w:rFonts w:ascii="Arial" w:eastAsia="Arial" w:hAnsi="Arial" w:cs="Arial"/>
          <w:sz w:val="22"/>
          <w:szCs w:val="22"/>
        </w:rPr>
        <w:t>The key issue in this case is that there was a failure to verify the identity of a patient, and a surgical procedure was performed on a different patient. The patient had not been booked into surgery and was wrongly identified by responding to a similar name and was admitted to the operating theatre without going through regular preoperative procedures, such as checking of identity and preparation processes (SCMP, 2025). This is a basic failure in clinical governance and patient safety frameworks. These types of surgical mistakes are commonly known as preventable adverse events, and the World Health Organisation notes that about 10% of preventable patient harm happens in a surgical environment (WHO, 2023). The accident underscores the risks of undergoing elementary safety measures.</w:t>
      </w:r>
    </w:p>
    <w:p w14:paraId="6E2A6F6A" w14:textId="77777777" w:rsidR="00561EDE" w:rsidRDefault="00000000">
      <w:pPr>
        <w:rPr>
          <w:rFonts w:ascii="Arial" w:eastAsia="Arial" w:hAnsi="Arial" w:cs="Arial"/>
          <w:sz w:val="22"/>
          <w:szCs w:val="22"/>
        </w:rPr>
      </w:pPr>
      <w:r>
        <w:rPr>
          <w:rFonts w:ascii="Arial" w:eastAsia="Arial" w:hAnsi="Arial" w:cs="Arial"/>
          <w:sz w:val="22"/>
          <w:szCs w:val="22"/>
        </w:rPr>
        <w:t>Unsafe healthcare is a significant issue that has caused morbidity and mortality in most parts of the world, with patient safety being a significant concern worldwide. According to the World Health Organisation, about one out of ten patients suffers injury in the course of healthcare provision, and over half of these injuries can be avoided (WHO, 2023). Moreover, unsafe care causes more than three million deaths every year, which illustrates the scale of the problem. The surgical environment is especially dangerous, and approximately 10% of avoidable damage happens during surgery. One of the major contributing factors is patient misidentification which has been identified to be causing a considerable percentage of sentinel events such as wrong-patient surgeries. Such statistics indicate that the case being analysed is a component of a larger systemic issue as opposed to a single event (Moyal‐Smith et al., 2023).</w:t>
      </w:r>
    </w:p>
    <w:p w14:paraId="6D011B09" w14:textId="77777777" w:rsidR="00561EDE" w:rsidRDefault="00000000">
      <w:pPr>
        <w:pStyle w:val="Heading3"/>
        <w:rPr>
          <w:rFonts w:ascii="Arial" w:eastAsia="Arial" w:hAnsi="Arial" w:cs="Arial"/>
          <w:sz w:val="22"/>
          <w:szCs w:val="22"/>
        </w:rPr>
      </w:pPr>
      <w:bookmarkStart w:id="11" w:name="_heading=h.hbg0nxvgqwch" w:colFirst="0" w:colLast="0"/>
      <w:bookmarkEnd w:id="11"/>
      <w:r>
        <w:rPr>
          <w:rFonts w:ascii="Arial" w:eastAsia="Arial" w:hAnsi="Arial" w:cs="Arial"/>
          <w:sz w:val="22"/>
          <w:szCs w:val="22"/>
        </w:rPr>
        <w:t xml:space="preserve">2a.2 Global Perspective on Patient Safety </w:t>
      </w:r>
    </w:p>
    <w:p w14:paraId="5E7706E7" w14:textId="77777777" w:rsidR="00561EDE" w:rsidRDefault="00000000">
      <w:pPr>
        <w:rPr>
          <w:rFonts w:ascii="Arial" w:eastAsia="Arial" w:hAnsi="Arial" w:cs="Arial"/>
          <w:sz w:val="22"/>
          <w:szCs w:val="22"/>
        </w:rPr>
      </w:pPr>
      <w:r>
        <w:rPr>
          <w:rFonts w:ascii="Arial" w:eastAsia="Arial" w:hAnsi="Arial" w:cs="Arial"/>
          <w:b/>
          <w:bCs/>
          <w:sz w:val="22"/>
          <w:szCs w:val="22"/>
        </w:rPr>
        <w:t xml:space="preserve">Table 1. </w:t>
      </w:r>
      <w:r>
        <w:rPr>
          <w:rFonts w:ascii="Arial" w:eastAsia="Arial" w:hAnsi="Arial" w:cs="Arial"/>
          <w:b/>
          <w:bCs/>
          <w:i/>
          <w:iCs/>
          <w:sz w:val="22"/>
          <w:szCs w:val="22"/>
        </w:rPr>
        <w:t xml:space="preserve"> Example of National and International Data Supporting Problem </w:t>
      </w:r>
    </w:p>
    <w:tbl>
      <w:tblPr>
        <w:tblStyle w:val="a"/>
        <w:tblW w:w="9025" w:type="dxa"/>
        <w:tblInd w:w="0" w:type="dxa"/>
        <w:tblLayout w:type="fixed"/>
        <w:tblLook w:val="0400" w:firstRow="0" w:lastRow="0" w:firstColumn="0" w:lastColumn="0" w:noHBand="0" w:noVBand="1"/>
      </w:tblPr>
      <w:tblGrid>
        <w:gridCol w:w="1303"/>
        <w:gridCol w:w="4330"/>
        <w:gridCol w:w="3392"/>
      </w:tblGrid>
      <w:tr w:rsidR="00561EDE" w14:paraId="3E587360" w14:textId="77777777">
        <w:trPr>
          <w:trHeight w:val="50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0B5A5" w14:textId="77777777" w:rsidR="00561EDE" w:rsidRDefault="00000000">
            <w:pPr>
              <w:jc w:val="center"/>
              <w:rPr>
                <w:rFonts w:ascii="Arial" w:eastAsia="Arial" w:hAnsi="Arial" w:cs="Arial"/>
                <w:sz w:val="22"/>
                <w:szCs w:val="22"/>
              </w:rPr>
            </w:pPr>
            <w:r>
              <w:rPr>
                <w:rFonts w:ascii="Arial" w:eastAsia="Arial" w:hAnsi="Arial" w:cs="Arial"/>
                <w:b/>
                <w:bCs/>
                <w:sz w:val="22"/>
                <w:szCs w:val="22"/>
              </w:rPr>
              <w:t>Source</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539BC" w14:textId="77777777" w:rsidR="00561EDE" w:rsidRDefault="00000000">
            <w:pPr>
              <w:jc w:val="center"/>
              <w:rPr>
                <w:rFonts w:ascii="Arial" w:eastAsia="Arial" w:hAnsi="Arial" w:cs="Arial"/>
                <w:sz w:val="22"/>
                <w:szCs w:val="22"/>
              </w:rPr>
            </w:pPr>
            <w:r>
              <w:rPr>
                <w:rFonts w:ascii="Arial" w:eastAsia="Arial" w:hAnsi="Arial" w:cs="Arial"/>
                <w:b/>
                <w:bCs/>
                <w:sz w:val="22"/>
                <w:szCs w:val="22"/>
              </w:rPr>
              <w:t>Statistic</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49D03" w14:textId="77777777" w:rsidR="00561EDE" w:rsidRDefault="00000000">
            <w:pPr>
              <w:jc w:val="center"/>
              <w:rPr>
                <w:rFonts w:ascii="Arial" w:eastAsia="Arial" w:hAnsi="Arial" w:cs="Arial"/>
                <w:sz w:val="22"/>
                <w:szCs w:val="22"/>
              </w:rPr>
            </w:pPr>
            <w:r>
              <w:rPr>
                <w:rFonts w:ascii="Arial" w:eastAsia="Arial" w:hAnsi="Arial" w:cs="Arial"/>
                <w:b/>
                <w:bCs/>
                <w:sz w:val="22"/>
                <w:szCs w:val="22"/>
              </w:rPr>
              <w:t>Relevance</w:t>
            </w:r>
          </w:p>
        </w:tc>
      </w:tr>
      <w:tr w:rsidR="00561EDE" w14:paraId="42AFD805" w14:textId="77777777">
        <w:trPr>
          <w:trHeight w:val="77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F0A4E" w14:textId="77777777" w:rsidR="00561EDE" w:rsidRDefault="00000000">
            <w:pPr>
              <w:rPr>
                <w:rFonts w:ascii="Arial" w:eastAsia="Arial" w:hAnsi="Arial" w:cs="Arial"/>
                <w:sz w:val="22"/>
                <w:szCs w:val="22"/>
              </w:rPr>
            </w:pPr>
            <w:r>
              <w:rPr>
                <w:rFonts w:ascii="Arial" w:eastAsia="Arial" w:hAnsi="Arial" w:cs="Arial"/>
                <w:sz w:val="22"/>
                <w:szCs w:val="22"/>
              </w:rPr>
              <w:t>WHO (2023)</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B49C6" w14:textId="77777777" w:rsidR="00561EDE" w:rsidRDefault="00000000">
            <w:pPr>
              <w:rPr>
                <w:rFonts w:ascii="Arial" w:eastAsia="Arial" w:hAnsi="Arial" w:cs="Arial"/>
                <w:sz w:val="22"/>
                <w:szCs w:val="22"/>
              </w:rPr>
            </w:pPr>
            <w:r>
              <w:rPr>
                <w:rFonts w:ascii="Arial" w:eastAsia="Arial" w:hAnsi="Arial" w:cs="Arial"/>
                <w:sz w:val="22"/>
                <w:szCs w:val="22"/>
              </w:rPr>
              <w:t>1 in 10 patients harmed in healthcare</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9F8F0" w14:textId="77777777" w:rsidR="00561EDE" w:rsidRDefault="00000000">
            <w:pPr>
              <w:rPr>
                <w:rFonts w:ascii="Arial" w:eastAsia="Arial" w:hAnsi="Arial" w:cs="Arial"/>
                <w:sz w:val="22"/>
                <w:szCs w:val="22"/>
              </w:rPr>
            </w:pPr>
            <w:r>
              <w:rPr>
                <w:rFonts w:ascii="Arial" w:eastAsia="Arial" w:hAnsi="Arial" w:cs="Arial"/>
                <w:sz w:val="22"/>
                <w:szCs w:val="22"/>
              </w:rPr>
              <w:t>Demonstrates global scale of patient safety issues</w:t>
            </w:r>
          </w:p>
        </w:tc>
      </w:tr>
      <w:tr w:rsidR="00561EDE" w14:paraId="447465A7" w14:textId="77777777">
        <w:trPr>
          <w:trHeight w:val="77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F0092" w14:textId="77777777" w:rsidR="00561EDE" w:rsidRDefault="00000000">
            <w:pPr>
              <w:rPr>
                <w:rFonts w:ascii="Arial" w:eastAsia="Arial" w:hAnsi="Arial" w:cs="Arial"/>
                <w:sz w:val="22"/>
                <w:szCs w:val="22"/>
              </w:rPr>
            </w:pPr>
            <w:r>
              <w:rPr>
                <w:rFonts w:ascii="Arial" w:eastAsia="Arial" w:hAnsi="Arial" w:cs="Arial"/>
                <w:sz w:val="22"/>
                <w:szCs w:val="22"/>
              </w:rPr>
              <w:t>WHO (2023)</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C5C930" w14:textId="77777777" w:rsidR="00561EDE" w:rsidRDefault="00000000">
            <w:pPr>
              <w:rPr>
                <w:rFonts w:ascii="Arial" w:eastAsia="Arial" w:hAnsi="Arial" w:cs="Arial"/>
                <w:sz w:val="22"/>
                <w:szCs w:val="22"/>
              </w:rPr>
            </w:pPr>
            <w:r>
              <w:rPr>
                <w:rFonts w:ascii="Arial" w:eastAsia="Arial" w:hAnsi="Arial" w:cs="Arial"/>
                <w:sz w:val="22"/>
                <w:szCs w:val="22"/>
              </w:rPr>
              <w:t>Over 3 million deaths annually due to unsafe care</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422B6" w14:textId="77777777" w:rsidR="00561EDE" w:rsidRDefault="00000000">
            <w:pPr>
              <w:rPr>
                <w:rFonts w:ascii="Arial" w:eastAsia="Arial" w:hAnsi="Arial" w:cs="Arial"/>
                <w:sz w:val="22"/>
                <w:szCs w:val="22"/>
              </w:rPr>
            </w:pPr>
            <w:r>
              <w:rPr>
                <w:rFonts w:ascii="Arial" w:eastAsia="Arial" w:hAnsi="Arial" w:cs="Arial"/>
                <w:sz w:val="22"/>
                <w:szCs w:val="22"/>
              </w:rPr>
              <w:t>Highlights severity and urgency</w:t>
            </w:r>
          </w:p>
        </w:tc>
      </w:tr>
      <w:tr w:rsidR="00561EDE" w14:paraId="0D5975B9" w14:textId="77777777">
        <w:trPr>
          <w:trHeight w:val="77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C80B9" w14:textId="77777777" w:rsidR="00561EDE" w:rsidRDefault="00000000">
            <w:pPr>
              <w:rPr>
                <w:rFonts w:ascii="Arial" w:eastAsia="Arial" w:hAnsi="Arial" w:cs="Arial"/>
                <w:sz w:val="22"/>
                <w:szCs w:val="22"/>
              </w:rPr>
            </w:pPr>
            <w:r>
              <w:rPr>
                <w:rFonts w:ascii="Arial" w:eastAsia="Arial" w:hAnsi="Arial" w:cs="Arial"/>
                <w:sz w:val="22"/>
                <w:szCs w:val="22"/>
              </w:rPr>
              <w:t>WHO (2023)</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316DF" w14:textId="77777777" w:rsidR="00561EDE" w:rsidRDefault="00000000">
            <w:pPr>
              <w:rPr>
                <w:rFonts w:ascii="Arial" w:eastAsia="Arial" w:hAnsi="Arial" w:cs="Arial"/>
                <w:sz w:val="22"/>
                <w:szCs w:val="22"/>
              </w:rPr>
            </w:pPr>
            <w:r>
              <w:rPr>
                <w:rFonts w:ascii="Arial" w:eastAsia="Arial" w:hAnsi="Arial" w:cs="Arial"/>
                <w:sz w:val="22"/>
                <w:szCs w:val="22"/>
              </w:rPr>
              <w:t>10% of preventable harm occurs in surgical settings</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E11E70" w14:textId="77777777" w:rsidR="00561EDE" w:rsidRDefault="00000000">
            <w:pPr>
              <w:rPr>
                <w:rFonts w:ascii="Arial" w:eastAsia="Arial" w:hAnsi="Arial" w:cs="Arial"/>
                <w:sz w:val="22"/>
                <w:szCs w:val="22"/>
              </w:rPr>
            </w:pPr>
            <w:r>
              <w:rPr>
                <w:rFonts w:ascii="Arial" w:eastAsia="Arial" w:hAnsi="Arial" w:cs="Arial"/>
                <w:sz w:val="22"/>
                <w:szCs w:val="22"/>
              </w:rPr>
              <w:t>Direct relevance to surgical errors</w:t>
            </w:r>
          </w:p>
        </w:tc>
      </w:tr>
      <w:tr w:rsidR="00561EDE" w14:paraId="0907EC4C" w14:textId="77777777">
        <w:trPr>
          <w:trHeight w:val="77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5F52D" w14:textId="77777777" w:rsidR="00561EDE" w:rsidRDefault="00000000">
            <w:pPr>
              <w:rPr>
                <w:rFonts w:ascii="Arial" w:eastAsia="Arial" w:hAnsi="Arial" w:cs="Arial"/>
                <w:sz w:val="22"/>
                <w:szCs w:val="22"/>
              </w:rPr>
            </w:pPr>
            <w:r>
              <w:rPr>
                <w:rFonts w:ascii="Arial" w:eastAsia="Arial" w:hAnsi="Arial" w:cs="Arial"/>
                <w:sz w:val="22"/>
                <w:szCs w:val="22"/>
              </w:rPr>
              <w:t>WHO (2023)</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B9750" w14:textId="77777777" w:rsidR="00561EDE" w:rsidRDefault="00000000">
            <w:pPr>
              <w:rPr>
                <w:rFonts w:ascii="Arial" w:eastAsia="Arial" w:hAnsi="Arial" w:cs="Arial"/>
                <w:sz w:val="22"/>
                <w:szCs w:val="22"/>
              </w:rPr>
            </w:pPr>
            <w:r>
              <w:rPr>
                <w:rFonts w:ascii="Arial" w:eastAsia="Arial" w:hAnsi="Arial" w:cs="Arial"/>
                <w:sz w:val="22"/>
                <w:szCs w:val="22"/>
              </w:rPr>
              <w:t>12.3% of sentinel events linked to patient misidentification</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08BB58" w14:textId="77777777" w:rsidR="00561EDE" w:rsidRDefault="00000000">
            <w:pPr>
              <w:rPr>
                <w:rFonts w:ascii="Arial" w:eastAsia="Arial" w:hAnsi="Arial" w:cs="Arial"/>
                <w:sz w:val="22"/>
                <w:szCs w:val="22"/>
              </w:rPr>
            </w:pPr>
            <w:r>
              <w:rPr>
                <w:rFonts w:ascii="Arial" w:eastAsia="Arial" w:hAnsi="Arial" w:cs="Arial"/>
                <w:sz w:val="22"/>
                <w:szCs w:val="22"/>
              </w:rPr>
              <w:t>Shows importance of identity verification</w:t>
            </w:r>
          </w:p>
        </w:tc>
      </w:tr>
      <w:tr w:rsidR="00561EDE" w14:paraId="4B653A12" w14:textId="77777777">
        <w:trPr>
          <w:trHeight w:val="131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00E479" w14:textId="77777777" w:rsidR="00561EDE" w:rsidRDefault="00000000">
            <w:pPr>
              <w:rPr>
                <w:rFonts w:ascii="Arial" w:eastAsia="Arial" w:hAnsi="Arial" w:cs="Arial"/>
                <w:sz w:val="22"/>
                <w:szCs w:val="22"/>
              </w:rPr>
            </w:pPr>
            <w:r>
              <w:rPr>
                <w:rFonts w:ascii="Arial" w:eastAsia="Arial" w:hAnsi="Arial" w:cs="Arial"/>
                <w:sz w:val="22"/>
                <w:szCs w:val="22"/>
              </w:rPr>
              <w:t>Our World in Data (2016)</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9A6AA" w14:textId="77777777" w:rsidR="00561EDE" w:rsidRDefault="00000000">
            <w:pPr>
              <w:rPr>
                <w:rFonts w:ascii="Arial" w:eastAsia="Arial" w:hAnsi="Arial" w:cs="Arial"/>
                <w:sz w:val="22"/>
                <w:szCs w:val="22"/>
              </w:rPr>
            </w:pPr>
            <w:r>
              <w:rPr>
                <w:rFonts w:ascii="Arial" w:eastAsia="Arial" w:hAnsi="Arial" w:cs="Arial"/>
                <w:sz w:val="22"/>
                <w:szCs w:val="22"/>
              </w:rPr>
              <w:t>Life expectancy has increased globally but remains unequal (e.g., &lt;60 years in some regions vs &gt;80 years in high-income countries)</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8B7DC8" w14:textId="77777777" w:rsidR="00561EDE" w:rsidRDefault="00000000">
            <w:pPr>
              <w:rPr>
                <w:rFonts w:ascii="Arial" w:eastAsia="Arial" w:hAnsi="Arial" w:cs="Arial"/>
                <w:sz w:val="22"/>
                <w:szCs w:val="22"/>
              </w:rPr>
            </w:pPr>
            <w:r>
              <w:rPr>
                <w:rFonts w:ascii="Arial" w:eastAsia="Arial" w:hAnsi="Arial" w:cs="Arial"/>
                <w:sz w:val="22"/>
                <w:szCs w:val="22"/>
              </w:rPr>
              <w:t>Highlights global health inequalities that reflect differences in healthcare quality and safety systems</w:t>
            </w:r>
          </w:p>
        </w:tc>
      </w:tr>
      <w:tr w:rsidR="00561EDE" w14:paraId="0259FE73" w14:textId="77777777">
        <w:trPr>
          <w:trHeight w:val="131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71AB45" w14:textId="77777777" w:rsidR="00561EDE" w:rsidRDefault="00000000">
            <w:pPr>
              <w:rPr>
                <w:rFonts w:ascii="Arial" w:eastAsia="Arial" w:hAnsi="Arial" w:cs="Arial"/>
                <w:sz w:val="22"/>
                <w:szCs w:val="22"/>
              </w:rPr>
            </w:pPr>
            <w:r>
              <w:rPr>
                <w:rFonts w:ascii="Arial" w:eastAsia="Arial" w:hAnsi="Arial" w:cs="Arial"/>
                <w:sz w:val="22"/>
                <w:szCs w:val="22"/>
              </w:rPr>
              <w:t>Our World in Data (2016)</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42AAA" w14:textId="77777777" w:rsidR="00561EDE" w:rsidRDefault="00000000">
            <w:pPr>
              <w:rPr>
                <w:rFonts w:ascii="Arial" w:eastAsia="Arial" w:hAnsi="Arial" w:cs="Arial"/>
                <w:sz w:val="22"/>
                <w:szCs w:val="22"/>
              </w:rPr>
            </w:pPr>
            <w:r>
              <w:rPr>
                <w:rFonts w:ascii="Arial" w:eastAsia="Arial" w:hAnsi="Arial" w:cs="Arial"/>
                <w:sz w:val="22"/>
                <w:szCs w:val="22"/>
              </w:rPr>
              <w:t>Child mortality rates in low-income countries are significantly higher than in high-income countries</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5A93B" w14:textId="77777777" w:rsidR="00561EDE" w:rsidRDefault="00000000">
            <w:pPr>
              <w:rPr>
                <w:rFonts w:ascii="Arial" w:eastAsia="Arial" w:hAnsi="Arial" w:cs="Arial"/>
                <w:sz w:val="22"/>
                <w:szCs w:val="22"/>
              </w:rPr>
            </w:pPr>
            <w:r>
              <w:rPr>
                <w:rFonts w:ascii="Arial" w:eastAsia="Arial" w:hAnsi="Arial" w:cs="Arial"/>
                <w:sz w:val="22"/>
                <w:szCs w:val="22"/>
              </w:rPr>
              <w:t>Indicates disparities in healthcare effectiveness and safety, particularly in vulnerable populations</w:t>
            </w:r>
          </w:p>
        </w:tc>
      </w:tr>
      <w:tr w:rsidR="00561EDE" w14:paraId="0E3D98CE" w14:textId="77777777">
        <w:trPr>
          <w:trHeight w:val="1040"/>
        </w:trPr>
        <w:tc>
          <w:tcPr>
            <w:tcW w:w="13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3363A" w14:textId="77777777" w:rsidR="00561EDE" w:rsidRDefault="00000000">
            <w:pPr>
              <w:rPr>
                <w:rFonts w:ascii="Arial" w:eastAsia="Arial" w:hAnsi="Arial" w:cs="Arial"/>
                <w:sz w:val="22"/>
                <w:szCs w:val="22"/>
              </w:rPr>
            </w:pPr>
            <w:r>
              <w:rPr>
                <w:rFonts w:ascii="Arial" w:eastAsia="Arial" w:hAnsi="Arial" w:cs="Arial"/>
                <w:sz w:val="22"/>
                <w:szCs w:val="22"/>
              </w:rPr>
              <w:t>Our World in Data (2016)</w:t>
            </w:r>
          </w:p>
        </w:tc>
        <w:tc>
          <w:tcPr>
            <w:tcW w:w="4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C42E9B" w14:textId="77777777" w:rsidR="00561EDE" w:rsidRDefault="00000000">
            <w:pPr>
              <w:rPr>
                <w:rFonts w:ascii="Arial" w:eastAsia="Arial" w:hAnsi="Arial" w:cs="Arial"/>
                <w:sz w:val="22"/>
                <w:szCs w:val="22"/>
              </w:rPr>
            </w:pPr>
            <w:r>
              <w:rPr>
                <w:rFonts w:ascii="Arial" w:eastAsia="Arial" w:hAnsi="Arial" w:cs="Arial"/>
                <w:sz w:val="22"/>
                <w:szCs w:val="22"/>
              </w:rPr>
              <w:t>Health outcomes improve with increased healthcare spending</w:t>
            </w:r>
          </w:p>
        </w:tc>
        <w:tc>
          <w:tcPr>
            <w:tcW w:w="33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3CD17D" w14:textId="77777777" w:rsidR="00561EDE" w:rsidRDefault="00000000">
            <w:pPr>
              <w:rPr>
                <w:rFonts w:ascii="Arial" w:eastAsia="Arial" w:hAnsi="Arial" w:cs="Arial"/>
                <w:sz w:val="22"/>
                <w:szCs w:val="22"/>
              </w:rPr>
            </w:pPr>
            <w:r>
              <w:rPr>
                <w:rFonts w:ascii="Arial" w:eastAsia="Arial" w:hAnsi="Arial" w:cs="Arial"/>
                <w:sz w:val="22"/>
                <w:szCs w:val="22"/>
              </w:rPr>
              <w:t>Suggests that stronger health systems and investment are linked to safer patient care</w:t>
            </w:r>
          </w:p>
        </w:tc>
      </w:tr>
    </w:tbl>
    <w:p w14:paraId="6C1BDBFE" w14:textId="77777777" w:rsidR="00561EDE" w:rsidRDefault="00561EDE">
      <w:pPr>
        <w:rPr>
          <w:rFonts w:ascii="Arial" w:eastAsia="Arial" w:hAnsi="Arial" w:cs="Arial"/>
          <w:sz w:val="22"/>
          <w:szCs w:val="22"/>
        </w:rPr>
      </w:pPr>
    </w:p>
    <w:p w14:paraId="03D39238" w14:textId="77777777" w:rsidR="00561EDE" w:rsidRDefault="00000000">
      <w:pPr>
        <w:pStyle w:val="Heading3"/>
        <w:rPr>
          <w:rFonts w:ascii="Arial" w:eastAsia="Arial" w:hAnsi="Arial" w:cs="Arial"/>
          <w:sz w:val="22"/>
          <w:szCs w:val="22"/>
        </w:rPr>
      </w:pPr>
      <w:bookmarkStart w:id="12" w:name="_heading=h.sdrfwyajhxsj" w:colFirst="0" w:colLast="0"/>
      <w:bookmarkEnd w:id="12"/>
      <w:r>
        <w:rPr>
          <w:rFonts w:ascii="Arial" w:eastAsia="Arial" w:hAnsi="Arial" w:cs="Arial"/>
          <w:sz w:val="22"/>
          <w:szCs w:val="22"/>
        </w:rPr>
        <w:t>2a.3 National Context (India)</w:t>
      </w:r>
    </w:p>
    <w:p w14:paraId="669D13E1" w14:textId="77777777" w:rsidR="00561EDE" w:rsidRDefault="00000000">
      <w:pPr>
        <w:rPr>
          <w:rFonts w:ascii="Arial" w:eastAsia="Arial" w:hAnsi="Arial" w:cs="Arial"/>
          <w:sz w:val="22"/>
          <w:szCs w:val="22"/>
        </w:rPr>
      </w:pPr>
      <w:r>
        <w:rPr>
          <w:rFonts w:ascii="Arial" w:eastAsia="Arial" w:hAnsi="Arial" w:cs="Arial"/>
          <w:sz w:val="22"/>
          <w:szCs w:val="22"/>
        </w:rPr>
        <w:t xml:space="preserve">The problem of patient safety in the Indian healthcare system is heavily affected by the discrepancies in infrastructure, workforce and governance systems. The magnitude of the issue all around the world is significant, as the World Health </w:t>
      </w:r>
      <w:proofErr w:type="spellStart"/>
      <w:r>
        <w:rPr>
          <w:rFonts w:ascii="Arial" w:eastAsia="Arial" w:hAnsi="Arial" w:cs="Arial"/>
          <w:sz w:val="22"/>
          <w:szCs w:val="22"/>
        </w:rPr>
        <w:t>Organization</w:t>
      </w:r>
      <w:proofErr w:type="spellEnd"/>
      <w:r>
        <w:rPr>
          <w:rFonts w:ascii="Arial" w:eastAsia="Arial" w:hAnsi="Arial" w:cs="Arial"/>
          <w:sz w:val="22"/>
          <w:szCs w:val="22"/>
        </w:rPr>
        <w:t xml:space="preserve"> says 1 out of 10 patients is injured in the course of healthcare, and more than 3 million people die each year because of unsafe care (WHO, 2023). Moreover, the percentage of sentinel events related to patient misidentification is 12.3, which directly relates to the error observed in the case.</w:t>
      </w:r>
    </w:p>
    <w:p w14:paraId="33109F04" w14:textId="77777777" w:rsidR="00561EDE" w:rsidRDefault="00000000">
      <w:pPr>
        <w:rPr>
          <w:rFonts w:ascii="Arial" w:eastAsia="Arial" w:hAnsi="Arial" w:cs="Arial"/>
          <w:sz w:val="22"/>
          <w:szCs w:val="22"/>
        </w:rPr>
      </w:pPr>
      <w:r>
        <w:rPr>
          <w:rFonts w:ascii="Arial" w:eastAsia="Arial" w:hAnsi="Arial" w:cs="Arial"/>
          <w:noProof/>
          <w:sz w:val="22"/>
          <w:szCs w:val="22"/>
        </w:rPr>
        <w:drawing>
          <wp:inline distT="114300" distB="114300" distL="114300" distR="114300" wp14:anchorId="21595010" wp14:editId="7A612B29">
            <wp:extent cx="5734050" cy="29718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11989"/>
                    <a:stretch>
                      <a:fillRect/>
                    </a:stretch>
                  </pic:blipFill>
                  <pic:spPr>
                    <a:xfrm>
                      <a:off x="0" y="0"/>
                      <a:ext cx="5734050" cy="2971800"/>
                    </a:xfrm>
                    <a:prstGeom prst="rect">
                      <a:avLst/>
                    </a:prstGeom>
                    <a:ln w="25400">
                      <a:solidFill>
                        <a:srgbClr val="000000"/>
                      </a:solidFill>
                      <a:prstDash val="solid"/>
                    </a:ln>
                  </pic:spPr>
                </pic:pic>
              </a:graphicData>
            </a:graphic>
          </wp:inline>
        </w:drawing>
      </w:r>
    </w:p>
    <w:p w14:paraId="1FB13518" w14:textId="77777777" w:rsidR="00561EDE" w:rsidRDefault="00000000">
      <w:pPr>
        <w:jc w:val="center"/>
        <w:rPr>
          <w:rFonts w:ascii="Arial" w:eastAsia="Arial" w:hAnsi="Arial" w:cs="Arial"/>
          <w:b/>
          <w:bCs/>
          <w:sz w:val="22"/>
          <w:szCs w:val="22"/>
        </w:rPr>
      </w:pPr>
      <w:r>
        <w:rPr>
          <w:rFonts w:ascii="Arial" w:eastAsia="Arial" w:hAnsi="Arial" w:cs="Arial"/>
          <w:b/>
          <w:bCs/>
          <w:sz w:val="22"/>
          <w:szCs w:val="22"/>
        </w:rPr>
        <w:t>Figure 2. Global Health and Healthcare</w:t>
      </w:r>
    </w:p>
    <w:p w14:paraId="6C4EAEFC" w14:textId="77777777" w:rsidR="00561EDE" w:rsidRDefault="00000000">
      <w:pPr>
        <w:jc w:val="center"/>
        <w:rPr>
          <w:rFonts w:ascii="Arial" w:eastAsia="Arial" w:hAnsi="Arial" w:cs="Arial"/>
          <w:sz w:val="22"/>
          <w:szCs w:val="22"/>
        </w:rPr>
      </w:pPr>
      <w:r>
        <w:rPr>
          <w:rFonts w:ascii="Arial" w:eastAsia="Arial" w:hAnsi="Arial" w:cs="Arial"/>
          <w:sz w:val="22"/>
          <w:szCs w:val="22"/>
        </w:rPr>
        <w:t>(Source: WHO, 2023)</w:t>
      </w:r>
    </w:p>
    <w:p w14:paraId="219BEE83" w14:textId="77777777" w:rsidR="00561EDE" w:rsidRDefault="00000000">
      <w:pPr>
        <w:rPr>
          <w:rFonts w:ascii="Arial" w:eastAsia="Arial" w:hAnsi="Arial" w:cs="Arial"/>
          <w:sz w:val="22"/>
          <w:szCs w:val="22"/>
        </w:rPr>
      </w:pPr>
      <w:r>
        <w:rPr>
          <w:rFonts w:ascii="Arial" w:eastAsia="Arial" w:hAnsi="Arial" w:cs="Arial"/>
          <w:sz w:val="22"/>
          <w:szCs w:val="22"/>
        </w:rPr>
        <w:t xml:space="preserve">In the Indian context, the Indian Council of Medical Research </w:t>
      </w:r>
      <w:proofErr w:type="spellStart"/>
      <w:r>
        <w:rPr>
          <w:rFonts w:ascii="Arial" w:eastAsia="Arial" w:hAnsi="Arial" w:cs="Arial"/>
          <w:sz w:val="22"/>
          <w:szCs w:val="22"/>
        </w:rPr>
        <w:t>emphasizes</w:t>
      </w:r>
      <w:proofErr w:type="spellEnd"/>
      <w:r>
        <w:rPr>
          <w:rFonts w:ascii="Arial" w:eastAsia="Arial" w:hAnsi="Arial" w:cs="Arial"/>
          <w:sz w:val="22"/>
          <w:szCs w:val="22"/>
        </w:rPr>
        <w:t xml:space="preserve"> the importance of </w:t>
      </w:r>
      <w:proofErr w:type="spellStart"/>
      <w:r>
        <w:rPr>
          <w:rFonts w:ascii="Arial" w:eastAsia="Arial" w:hAnsi="Arial" w:cs="Arial"/>
          <w:sz w:val="22"/>
          <w:szCs w:val="22"/>
        </w:rPr>
        <w:t>organized</w:t>
      </w:r>
      <w:proofErr w:type="spellEnd"/>
      <w:r>
        <w:rPr>
          <w:rFonts w:ascii="Arial" w:eastAsia="Arial" w:hAnsi="Arial" w:cs="Arial"/>
          <w:sz w:val="22"/>
          <w:szCs w:val="22"/>
        </w:rPr>
        <w:t xml:space="preserve"> and available health data that would facilitate evidence-based decision-making (ICMR, 2025). Nevertheless, disjointed reporting mechanisms and inadequate enforcement of safety measures restrain the possibility to track down and avert such instances of incidents. The Kota wrong surgery case clearly shows that a patient underwent surgeries without the due identity check or preoperative planning.</w:t>
      </w:r>
    </w:p>
    <w:p w14:paraId="7619DFE5" w14:textId="77777777" w:rsidR="00561EDE" w:rsidRDefault="00000000">
      <w:pPr>
        <w:pStyle w:val="Heading3"/>
        <w:rPr>
          <w:rFonts w:ascii="Arial" w:eastAsia="Arial" w:hAnsi="Arial" w:cs="Arial"/>
          <w:sz w:val="22"/>
          <w:szCs w:val="22"/>
        </w:rPr>
      </w:pPr>
      <w:bookmarkStart w:id="13" w:name="_heading=h.lt83sw3o0a6k" w:colFirst="0" w:colLast="0"/>
      <w:bookmarkEnd w:id="13"/>
      <w:r>
        <w:rPr>
          <w:rFonts w:ascii="Arial" w:eastAsia="Arial" w:hAnsi="Arial" w:cs="Arial"/>
          <w:sz w:val="22"/>
          <w:szCs w:val="22"/>
        </w:rPr>
        <w:t xml:space="preserve">2a.4. Supporting Clinical Risk Evidence </w:t>
      </w:r>
    </w:p>
    <w:p w14:paraId="59AF38E5" w14:textId="77777777" w:rsidR="00561EDE" w:rsidRDefault="00000000">
      <w:pPr>
        <w:rPr>
          <w:rFonts w:ascii="Arial" w:eastAsia="Arial" w:hAnsi="Arial" w:cs="Arial"/>
          <w:sz w:val="22"/>
          <w:szCs w:val="22"/>
        </w:rPr>
      </w:pPr>
      <w:r>
        <w:rPr>
          <w:rFonts w:ascii="Arial" w:eastAsia="Arial" w:hAnsi="Arial" w:cs="Arial"/>
          <w:sz w:val="22"/>
          <w:szCs w:val="22"/>
        </w:rPr>
        <w:t>The dangers of surgical operations are thoroughly outlined, especially in more complicated operations like arteriovenous fistula repair, where the complications may occur because of the procedure and the patient (</w:t>
      </w:r>
      <w:proofErr w:type="spellStart"/>
      <w:r>
        <w:rPr>
          <w:rFonts w:ascii="Arial" w:eastAsia="Arial" w:hAnsi="Arial" w:cs="Arial"/>
          <w:sz w:val="22"/>
          <w:szCs w:val="22"/>
        </w:rPr>
        <w:t>Haque</w:t>
      </w:r>
      <w:proofErr w:type="spellEnd"/>
      <w:r>
        <w:rPr>
          <w:rFonts w:ascii="Arial" w:eastAsia="Arial" w:hAnsi="Arial" w:cs="Arial"/>
          <w:sz w:val="22"/>
          <w:szCs w:val="22"/>
        </w:rPr>
        <w:t xml:space="preserve"> et al., 2024). The development of new surgical technology, such as minimally invasive and robotic surgery, has enhanced the quality of results but also complicated the work of a surgical unit, making it necessary to follow safety guidelines to the letter (Pellegrino et al., 2023). Moreover, the usage of complex clinical interventions with high-risk patients increases the risk of errors in case the systems are not well-designed and monitored (Gong et al., 2026). These results support the idea that surgical errors are not usually caused by one factor but are the product of a combination of risk factors.</w:t>
      </w:r>
    </w:p>
    <w:p w14:paraId="322687D4" w14:textId="77777777" w:rsidR="00561EDE" w:rsidRDefault="00000000">
      <w:pPr>
        <w:pStyle w:val="Heading3"/>
        <w:rPr>
          <w:rFonts w:ascii="Arial" w:eastAsia="Arial" w:hAnsi="Arial" w:cs="Arial"/>
          <w:sz w:val="22"/>
          <w:szCs w:val="22"/>
        </w:rPr>
      </w:pPr>
      <w:bookmarkStart w:id="14" w:name="_heading=h.4msrfygvmvox" w:colFirst="0" w:colLast="0"/>
      <w:bookmarkEnd w:id="14"/>
      <w:r>
        <w:rPr>
          <w:rFonts w:ascii="Arial" w:eastAsia="Arial" w:hAnsi="Arial" w:cs="Arial"/>
          <w:sz w:val="22"/>
          <w:szCs w:val="22"/>
        </w:rPr>
        <w:t>2a.5 Systems Thinking Analysis</w:t>
      </w:r>
    </w:p>
    <w:p w14:paraId="0B35934E" w14:textId="77777777" w:rsidR="00561EDE" w:rsidRDefault="00000000">
      <w:pPr>
        <w:rPr>
          <w:rFonts w:ascii="Arial" w:eastAsia="Arial" w:hAnsi="Arial" w:cs="Arial"/>
          <w:sz w:val="22"/>
          <w:szCs w:val="22"/>
        </w:rPr>
      </w:pPr>
      <w:r>
        <w:rPr>
          <w:rFonts w:ascii="Arial" w:eastAsia="Arial" w:hAnsi="Arial" w:cs="Arial"/>
          <w:sz w:val="22"/>
          <w:szCs w:val="22"/>
        </w:rPr>
        <w:t>A systems thinking approach proves that the incident was caused by interrelated failures but not individual human mistakes. The World Health Organisation reports that organisational, technological, and human factors, such as communication failures, poor processes, and workflow interruptions are usually associated with patient harm (WHO, 2023). In this instance, poor communication between healthcare personnel, lack of due identity checking processes, and teamwork lack were some contributing factors to the error. The fact that the error was not identified until the anaesthesia and incision is a sign that the various steps in the care pathway are weak and requires a holistic, systems-based approach to patient safety (</w:t>
      </w:r>
      <w:proofErr w:type="spellStart"/>
      <w:r>
        <w:rPr>
          <w:rFonts w:ascii="Arial" w:eastAsia="Arial" w:hAnsi="Arial" w:cs="Arial"/>
          <w:sz w:val="22"/>
          <w:szCs w:val="22"/>
        </w:rPr>
        <w:t>Gómez-Dos-Santos</w:t>
      </w:r>
      <w:proofErr w:type="spellEnd"/>
      <w:r>
        <w:rPr>
          <w:rFonts w:ascii="Arial" w:eastAsia="Arial" w:hAnsi="Arial" w:cs="Arial"/>
          <w:sz w:val="22"/>
          <w:szCs w:val="22"/>
        </w:rPr>
        <w:t xml:space="preserve"> et al., 2023).</w:t>
      </w:r>
    </w:p>
    <w:p w14:paraId="2160CF29" w14:textId="77777777" w:rsidR="00561EDE" w:rsidRDefault="00000000">
      <w:pPr>
        <w:pStyle w:val="Heading3"/>
        <w:rPr>
          <w:rFonts w:ascii="Arial" w:eastAsia="Arial" w:hAnsi="Arial" w:cs="Arial"/>
          <w:sz w:val="22"/>
          <w:szCs w:val="22"/>
        </w:rPr>
      </w:pPr>
      <w:bookmarkStart w:id="15" w:name="_heading=h.t9fsil9dwz39" w:colFirst="0" w:colLast="0"/>
      <w:bookmarkEnd w:id="15"/>
      <w:r>
        <w:rPr>
          <w:rFonts w:ascii="Arial" w:eastAsia="Arial" w:hAnsi="Arial" w:cs="Arial"/>
          <w:sz w:val="22"/>
          <w:szCs w:val="22"/>
        </w:rPr>
        <w:t>2a.6 System Weaknesses</w:t>
      </w:r>
    </w:p>
    <w:p w14:paraId="19F817BC" w14:textId="77777777" w:rsidR="00561EDE" w:rsidRDefault="00000000">
      <w:pPr>
        <w:rPr>
          <w:rFonts w:ascii="Arial" w:eastAsia="Arial" w:hAnsi="Arial" w:cs="Arial"/>
          <w:sz w:val="22"/>
          <w:szCs w:val="22"/>
        </w:rPr>
      </w:pPr>
      <w:r>
        <w:rPr>
          <w:rFonts w:ascii="Arial" w:eastAsia="Arial" w:hAnsi="Arial" w:cs="Arial"/>
          <w:sz w:val="22"/>
          <w:szCs w:val="22"/>
        </w:rPr>
        <w:t>The event shows that there are a number of underlying system vulnerabilities that include lack of personnel training, lack of compliance with safety measures and the underutilisation of technology. Lack of training may reduce the capacity of healthcare workers to be able to identify and avert mistakes, especially in high-pressure settings like the operating room (</w:t>
      </w:r>
      <w:proofErr w:type="spellStart"/>
      <w:r>
        <w:rPr>
          <w:rFonts w:ascii="Arial" w:eastAsia="Arial" w:hAnsi="Arial" w:cs="Arial"/>
          <w:sz w:val="22"/>
          <w:szCs w:val="22"/>
        </w:rPr>
        <w:t>Neuendorf</w:t>
      </w:r>
      <w:proofErr w:type="spellEnd"/>
      <w:r>
        <w:rPr>
          <w:rFonts w:ascii="Arial" w:eastAsia="Arial" w:hAnsi="Arial" w:cs="Arial"/>
          <w:sz w:val="22"/>
          <w:szCs w:val="22"/>
        </w:rPr>
        <w:t>, 2025). Moreover, poor safety and infection control operations indicate larger governance issues in healthcare organisations (</w:t>
      </w:r>
      <w:proofErr w:type="spellStart"/>
      <w:r>
        <w:rPr>
          <w:rFonts w:ascii="Arial" w:eastAsia="Arial" w:hAnsi="Arial" w:cs="Arial"/>
          <w:sz w:val="22"/>
          <w:szCs w:val="22"/>
        </w:rPr>
        <w:t>Stroupe</w:t>
      </w:r>
      <w:proofErr w:type="spellEnd"/>
      <w:r>
        <w:rPr>
          <w:rFonts w:ascii="Arial" w:eastAsia="Arial" w:hAnsi="Arial" w:cs="Arial"/>
          <w:sz w:val="22"/>
          <w:szCs w:val="22"/>
        </w:rPr>
        <w:t xml:space="preserve">, 2022). A lack of digital patient identification systems or decision-support tools can also contribute to the risk of human error, which is further accentuated by studies on predictive analytics in </w:t>
      </w:r>
      <w:proofErr w:type="spellStart"/>
      <w:r>
        <w:rPr>
          <w:rFonts w:ascii="Arial" w:eastAsia="Arial" w:hAnsi="Arial" w:cs="Arial"/>
          <w:sz w:val="22"/>
          <w:szCs w:val="22"/>
        </w:rPr>
        <w:t>perioperative</w:t>
      </w:r>
      <w:proofErr w:type="spellEnd"/>
      <w:r>
        <w:rPr>
          <w:rFonts w:ascii="Arial" w:eastAsia="Arial" w:hAnsi="Arial" w:cs="Arial"/>
          <w:sz w:val="22"/>
          <w:szCs w:val="22"/>
        </w:rPr>
        <w:t xml:space="preserve"> care (Yang et al., 2022). All these weaknesses show the impact of the design of systems on patient safety outcomes.</w:t>
      </w:r>
    </w:p>
    <w:p w14:paraId="5DB357D8" w14:textId="77777777" w:rsidR="00561EDE" w:rsidRDefault="00000000">
      <w:pPr>
        <w:pStyle w:val="Heading3"/>
        <w:rPr>
          <w:rFonts w:ascii="Arial" w:eastAsia="Arial" w:hAnsi="Arial" w:cs="Arial"/>
          <w:sz w:val="22"/>
          <w:szCs w:val="22"/>
        </w:rPr>
      </w:pPr>
      <w:bookmarkStart w:id="16" w:name="_heading=h.u5gmr34sgsja" w:colFirst="0" w:colLast="0"/>
      <w:bookmarkEnd w:id="16"/>
      <w:r>
        <w:rPr>
          <w:rFonts w:ascii="Arial" w:eastAsia="Arial" w:hAnsi="Arial" w:cs="Arial"/>
          <w:sz w:val="22"/>
          <w:szCs w:val="22"/>
        </w:rPr>
        <w:t>2a.7 Rich Picture Explanation</w:t>
      </w:r>
    </w:p>
    <w:p w14:paraId="443DDD6C" w14:textId="77777777" w:rsidR="00561EDE" w:rsidRDefault="00000000">
      <w:pPr>
        <w:jc w:val="center"/>
        <w:rPr>
          <w:b/>
          <w:bCs/>
        </w:rPr>
      </w:pPr>
      <w:r>
        <w:rPr>
          <w:b/>
          <w:bCs/>
          <w:noProof/>
        </w:rPr>
        <w:drawing>
          <wp:inline distT="114300" distB="114300" distL="114300" distR="114300" wp14:anchorId="7CC1B8B4" wp14:editId="2ED7D87D">
            <wp:extent cx="5731200" cy="3822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14645DEA" w14:textId="77777777" w:rsidR="00561EDE" w:rsidRDefault="00000000">
      <w:pPr>
        <w:jc w:val="center"/>
        <w:rPr>
          <w:rFonts w:ascii="Arial" w:eastAsia="Arial" w:hAnsi="Arial" w:cs="Arial"/>
          <w:b/>
          <w:bCs/>
        </w:rPr>
      </w:pPr>
      <w:r>
        <w:rPr>
          <w:rFonts w:ascii="Arial" w:eastAsia="Arial" w:hAnsi="Arial" w:cs="Arial"/>
          <w:b/>
          <w:bCs/>
        </w:rPr>
        <w:t xml:space="preserve">Figure 3. Systemic Factors in Surgical Error </w:t>
      </w:r>
    </w:p>
    <w:p w14:paraId="6973A023" w14:textId="77777777" w:rsidR="00561EDE" w:rsidRDefault="00000000">
      <w:pPr>
        <w:jc w:val="center"/>
      </w:pPr>
      <w:r>
        <w:t xml:space="preserve">(Source: </w:t>
      </w:r>
      <w:r>
        <w:rPr>
          <w:rFonts w:ascii="Arial" w:eastAsia="Arial" w:hAnsi="Arial" w:cs="Arial"/>
          <w:sz w:val="22"/>
          <w:szCs w:val="22"/>
        </w:rPr>
        <w:t>Pellegrino et al., 2023)</w:t>
      </w:r>
    </w:p>
    <w:p w14:paraId="13D35F85" w14:textId="77777777" w:rsidR="00561EDE" w:rsidRDefault="00000000">
      <w:pPr>
        <w:rPr>
          <w:rFonts w:ascii="Arial" w:eastAsia="Arial" w:hAnsi="Arial" w:cs="Arial"/>
          <w:sz w:val="22"/>
          <w:szCs w:val="22"/>
        </w:rPr>
      </w:pPr>
      <w:r>
        <w:rPr>
          <w:rFonts w:ascii="Arial" w:eastAsia="Arial" w:hAnsi="Arial" w:cs="Arial"/>
          <w:sz w:val="22"/>
          <w:szCs w:val="22"/>
        </w:rPr>
        <w:t>The rich picture constructed in this case demonstrates the nature of interplay between people, processes, and organisational structures, which led to the incident. It identifies key players, such as surgeons, nurses, administrative personnel, and patients and charts the activities that take place to admit, identify, and prepare a patient to undergo surgery (Pellegrino et al., 2023). Other critical failures that are captured by the diagram include lack of identity checking and breakdown of communication, emotional effect on patients and staff. Moreover, it indicates the hierarchical organisational structure, which could have deterred the questioning and could be related to the escalation of the error, which fits the systems-based approach to patient safety (WHO, 2023).</w:t>
      </w:r>
    </w:p>
    <w:p w14:paraId="2F042E02" w14:textId="77777777" w:rsidR="00561EDE" w:rsidRDefault="00000000">
      <w:pPr>
        <w:pStyle w:val="Heading2"/>
        <w:rPr>
          <w:rFonts w:ascii="Arial" w:eastAsia="Arial" w:hAnsi="Arial" w:cs="Arial"/>
          <w:sz w:val="22"/>
          <w:szCs w:val="22"/>
        </w:rPr>
      </w:pPr>
      <w:bookmarkStart w:id="17" w:name="_heading=h.d3et1zxcixxy" w:colFirst="0" w:colLast="0"/>
      <w:bookmarkEnd w:id="17"/>
      <w:r>
        <w:rPr>
          <w:rFonts w:ascii="Arial" w:eastAsia="Arial" w:hAnsi="Arial" w:cs="Arial"/>
          <w:sz w:val="22"/>
          <w:szCs w:val="22"/>
        </w:rPr>
        <w:t xml:space="preserve">2b. Centralisation vs Decentralisation </w:t>
      </w:r>
    </w:p>
    <w:p w14:paraId="4E65E183" w14:textId="77777777" w:rsidR="00561EDE" w:rsidRDefault="00000000">
      <w:pPr>
        <w:pStyle w:val="Heading3"/>
        <w:rPr>
          <w:rFonts w:ascii="Arial" w:eastAsia="Arial" w:hAnsi="Arial" w:cs="Arial"/>
          <w:sz w:val="22"/>
          <w:szCs w:val="22"/>
        </w:rPr>
      </w:pPr>
      <w:bookmarkStart w:id="18" w:name="_heading=h.yd2sh45sw4l2" w:colFirst="0" w:colLast="0"/>
      <w:bookmarkEnd w:id="18"/>
      <w:r>
        <w:rPr>
          <w:rFonts w:ascii="Arial" w:eastAsia="Arial" w:hAnsi="Arial" w:cs="Arial"/>
          <w:sz w:val="22"/>
          <w:szCs w:val="22"/>
        </w:rPr>
        <w:t>2b.1 Case Structure is Centralised.</w:t>
      </w:r>
    </w:p>
    <w:p w14:paraId="35892FD0" w14:textId="77777777" w:rsidR="00561EDE" w:rsidRDefault="00000000">
      <w:pPr>
        <w:rPr>
          <w:rFonts w:ascii="Arial" w:eastAsia="Arial" w:hAnsi="Arial" w:cs="Arial"/>
          <w:sz w:val="22"/>
          <w:szCs w:val="22"/>
        </w:rPr>
      </w:pPr>
      <w:r>
        <w:rPr>
          <w:rFonts w:ascii="Arial" w:eastAsia="Arial" w:hAnsi="Arial" w:cs="Arial"/>
          <w:sz w:val="22"/>
          <w:szCs w:val="22"/>
        </w:rPr>
        <w:t>The Kota Medical College Hospital incident illustrates the features of a very centralised healthcare system, in which the power to make decisions rests with senior clinicians and administrators. Frontline staff in such systems tend to be bound by strict hierarchies, and cannot act independently to question or challenge decisions. Here, the surgical team went ahead with anaesthesia and incision without checking the identity of the patient showing that authority was not shared among the team but assumed to be the right way to the top. Strong control mechanisms are common with centralised governance models, but it is important to note that control mechanisms are oppressive when they are implemented poorly as it discourages frontline intervention and the critical thinking process. There is evidence that over-centralisation within healthcare organisations might lead to bottlenecks in decision-making and decrease the responsiveness to short-term risks (</w:t>
      </w:r>
      <w:proofErr w:type="spellStart"/>
      <w:r>
        <w:rPr>
          <w:rFonts w:ascii="Arial" w:eastAsia="Arial" w:hAnsi="Arial" w:cs="Arial"/>
          <w:sz w:val="22"/>
          <w:szCs w:val="22"/>
        </w:rPr>
        <w:t>Fana</w:t>
      </w:r>
      <w:proofErr w:type="spellEnd"/>
      <w:r>
        <w:rPr>
          <w:rFonts w:ascii="Arial" w:eastAsia="Arial" w:hAnsi="Arial" w:cs="Arial"/>
          <w:sz w:val="22"/>
          <w:szCs w:val="22"/>
        </w:rPr>
        <w:t xml:space="preserve"> and </w:t>
      </w:r>
      <w:proofErr w:type="spellStart"/>
      <w:r>
        <w:rPr>
          <w:rFonts w:ascii="Arial" w:eastAsia="Arial" w:hAnsi="Arial" w:cs="Arial"/>
          <w:sz w:val="22"/>
          <w:szCs w:val="22"/>
        </w:rPr>
        <w:t>Mokhele</w:t>
      </w:r>
      <w:proofErr w:type="spellEnd"/>
      <w:r>
        <w:rPr>
          <w:rFonts w:ascii="Arial" w:eastAsia="Arial" w:hAnsi="Arial" w:cs="Arial"/>
          <w:sz w:val="22"/>
          <w:szCs w:val="22"/>
        </w:rPr>
        <w:t>, 2025). This is in line with the failure that was witnessed, as no team member came in even when it is apparent that procedures were not followed, e.g. not having preoperative preparation.</w:t>
      </w:r>
    </w:p>
    <w:p w14:paraId="6AFC1481" w14:textId="77777777" w:rsidR="00561EDE" w:rsidRDefault="00000000">
      <w:pPr>
        <w:pStyle w:val="Heading3"/>
        <w:rPr>
          <w:rFonts w:ascii="Arial" w:eastAsia="Arial" w:hAnsi="Arial" w:cs="Arial"/>
          <w:sz w:val="22"/>
          <w:szCs w:val="22"/>
        </w:rPr>
      </w:pPr>
      <w:bookmarkStart w:id="19" w:name="_heading=h.s0tbajhztdks" w:colFirst="0" w:colLast="0"/>
      <w:bookmarkEnd w:id="19"/>
      <w:r>
        <w:rPr>
          <w:rFonts w:ascii="Arial" w:eastAsia="Arial" w:hAnsi="Arial" w:cs="Arial"/>
          <w:sz w:val="22"/>
          <w:szCs w:val="22"/>
        </w:rPr>
        <w:t>2b.2 Advantages of Centralisation</w:t>
      </w:r>
    </w:p>
    <w:p w14:paraId="63AB7FD0" w14:textId="77777777" w:rsidR="00561EDE" w:rsidRDefault="00000000">
      <w:pPr>
        <w:rPr>
          <w:rFonts w:ascii="Arial" w:eastAsia="Arial" w:hAnsi="Arial" w:cs="Arial"/>
          <w:sz w:val="22"/>
          <w:szCs w:val="22"/>
        </w:rPr>
      </w:pPr>
      <w:r>
        <w:rPr>
          <w:rFonts w:ascii="Arial" w:eastAsia="Arial" w:hAnsi="Arial" w:cs="Arial"/>
          <w:sz w:val="22"/>
          <w:szCs w:val="22"/>
        </w:rPr>
        <w:t>Centralisation does not necessarily mean a problem and, when properly applied, has a number of benefits to healthcare systems. The most notable advantage is that it enhances standardisation of the procedures, therefore making clinical practice uniform and minimising variation in care delivery (</w:t>
      </w:r>
      <w:proofErr w:type="spellStart"/>
      <w:r>
        <w:rPr>
          <w:rFonts w:ascii="Arial" w:eastAsia="Arial" w:hAnsi="Arial" w:cs="Arial"/>
          <w:sz w:val="22"/>
          <w:szCs w:val="22"/>
        </w:rPr>
        <w:t>Gómez-Dos-Santos</w:t>
      </w:r>
      <w:proofErr w:type="spellEnd"/>
      <w:r>
        <w:rPr>
          <w:rFonts w:ascii="Arial" w:eastAsia="Arial" w:hAnsi="Arial" w:cs="Arial"/>
          <w:sz w:val="22"/>
          <w:szCs w:val="22"/>
        </w:rPr>
        <w:t xml:space="preserve"> et al., 2023). An example is centralised policies, which can be used to impose homogenous surgical safety measures, thus minimising variability that can cause error. Furthermore, centralisation helps in making decisions faster in high-pressure situations especially when there is an emergency and decisions need to be made quickly and authoritatively. Studies have shown that centralised healthcare systems have the potential to enhance coordination and efficiency in specialised services through the concentration of expertise and resources (Ramsay et al., 2025). Theoretically, such a system should have facilitated compliance with safety measures, including identity checks before surgery. Nonetheless, the breakdown here indicates that even though there might be a centralised set of rules, their application and observation were poor, thus a discrepancy between policy and practice exists.</w:t>
      </w:r>
    </w:p>
    <w:p w14:paraId="45533E6E" w14:textId="77777777" w:rsidR="00561EDE" w:rsidRDefault="00000000">
      <w:pPr>
        <w:pStyle w:val="Heading3"/>
        <w:rPr>
          <w:rFonts w:ascii="Arial" w:eastAsia="Arial" w:hAnsi="Arial" w:cs="Arial"/>
          <w:sz w:val="22"/>
          <w:szCs w:val="22"/>
        </w:rPr>
      </w:pPr>
      <w:bookmarkStart w:id="20" w:name="_heading=h.qd7i2zmvmud5" w:colFirst="0" w:colLast="0"/>
      <w:bookmarkEnd w:id="20"/>
      <w:r>
        <w:rPr>
          <w:rFonts w:ascii="Arial" w:eastAsia="Arial" w:hAnsi="Arial" w:cs="Arial"/>
          <w:sz w:val="22"/>
          <w:szCs w:val="22"/>
        </w:rPr>
        <w:t>2b.3 The disadvantages of Centralisation (Critical Analysis)</w:t>
      </w:r>
    </w:p>
    <w:p w14:paraId="258EE312" w14:textId="77777777" w:rsidR="00561EDE" w:rsidRDefault="00000000">
      <w:pPr>
        <w:rPr>
          <w:rFonts w:ascii="Arial" w:eastAsia="Arial" w:hAnsi="Arial" w:cs="Arial"/>
          <w:sz w:val="22"/>
          <w:szCs w:val="22"/>
        </w:rPr>
      </w:pPr>
      <w:r>
        <w:rPr>
          <w:rFonts w:ascii="Arial" w:eastAsia="Arial" w:hAnsi="Arial" w:cs="Arial"/>
          <w:sz w:val="22"/>
          <w:szCs w:val="22"/>
        </w:rPr>
        <w:t>In spite of these benefits, centralisation poses great threats especially where it restricts staff involvement and responsibility. The hierarchical structure in the Kota case probably led to the culture in which junior staff members were not able to challenge the decisions made by senior clinicians. This psychological insecurity is a thoroughly recorded effect of overly centralised systems, in which authority gradients restrict free communication (Pellegrino et al., 2023). Consequently, important safety measures, like identification of the patient, can be neglected or even thought to be done by other people. In addition, centralisation may give accountability a blurred picture because accountability is devolved to hierarchical levels instead of being given to specific persons. Empirical data point to the fact that healthcare with strict centralisation tends to be inefficient and poorly performing because of the lack of local flexibility (Dougherty et al., 2022).</w:t>
      </w:r>
    </w:p>
    <w:p w14:paraId="75A9EC99" w14:textId="77777777" w:rsidR="00561EDE" w:rsidRDefault="00000000">
      <w:pPr>
        <w:rPr>
          <w:rFonts w:ascii="Arial" w:eastAsia="Arial" w:hAnsi="Arial" w:cs="Arial"/>
          <w:sz w:val="22"/>
          <w:szCs w:val="22"/>
        </w:rPr>
      </w:pPr>
      <w:r>
        <w:rPr>
          <w:rFonts w:ascii="Arial" w:eastAsia="Arial" w:hAnsi="Arial" w:cs="Arial"/>
          <w:sz w:val="22"/>
          <w:szCs w:val="22"/>
        </w:rPr>
        <w:t xml:space="preserve">Such structural weaknesses have serious implications when thought in terms of global patient safety statistics. WHO has estimated that 1 in 10 patients are harmed in healthcare facilities, and over 3M deaths happen each year as a result of unsafe care (WHO, 2023). Furthermore, one out of ten preventable patient harm happens during surgical care, highlighting the risky character of the surgical procedure in case safety systems fail (WHO, 2023). Within the framework of the case, lack of accountability and a lack of opposition to authority has been a direct cause of a surgical error that could have been avoided, further supporting the hazards of </w:t>
      </w:r>
      <w:proofErr w:type="spellStart"/>
      <w:r>
        <w:rPr>
          <w:rFonts w:ascii="Arial" w:eastAsia="Arial" w:hAnsi="Arial" w:cs="Arial"/>
          <w:sz w:val="22"/>
          <w:szCs w:val="22"/>
        </w:rPr>
        <w:t>overcentralisation</w:t>
      </w:r>
      <w:proofErr w:type="spellEnd"/>
      <w:r>
        <w:rPr>
          <w:rFonts w:ascii="Arial" w:eastAsia="Arial" w:hAnsi="Arial" w:cs="Arial"/>
          <w:sz w:val="22"/>
          <w:szCs w:val="22"/>
        </w:rPr>
        <w:t>.</w:t>
      </w:r>
    </w:p>
    <w:p w14:paraId="12E6993A" w14:textId="77777777" w:rsidR="00561EDE" w:rsidRDefault="00000000">
      <w:pPr>
        <w:jc w:val="center"/>
        <w:rPr>
          <w:rFonts w:ascii="Arial" w:eastAsia="Arial" w:hAnsi="Arial" w:cs="Arial"/>
          <w:sz w:val="22"/>
          <w:szCs w:val="22"/>
        </w:rPr>
      </w:pPr>
      <w:r>
        <w:rPr>
          <w:rFonts w:ascii="Arial" w:eastAsia="Arial" w:hAnsi="Arial" w:cs="Arial"/>
          <w:noProof/>
          <w:sz w:val="22"/>
          <w:szCs w:val="22"/>
        </w:rPr>
        <w:drawing>
          <wp:inline distT="114300" distB="114300" distL="114300" distR="114300" wp14:anchorId="2998FA12" wp14:editId="6CBE4307">
            <wp:extent cx="5731200" cy="42926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4292600"/>
                    </a:xfrm>
                    <a:prstGeom prst="rect">
                      <a:avLst/>
                    </a:prstGeom>
                    <a:ln w="25400">
                      <a:solidFill>
                        <a:srgbClr val="000000"/>
                      </a:solidFill>
                      <a:prstDash val="solid"/>
                    </a:ln>
                  </pic:spPr>
                </pic:pic>
              </a:graphicData>
            </a:graphic>
          </wp:inline>
        </w:drawing>
      </w:r>
    </w:p>
    <w:p w14:paraId="33911246" w14:textId="77777777" w:rsidR="00561EDE" w:rsidRDefault="00000000">
      <w:pPr>
        <w:jc w:val="center"/>
        <w:rPr>
          <w:rFonts w:ascii="Arial" w:eastAsia="Arial" w:hAnsi="Arial" w:cs="Arial"/>
          <w:b/>
          <w:bCs/>
          <w:sz w:val="22"/>
          <w:szCs w:val="22"/>
        </w:rPr>
      </w:pPr>
      <w:r>
        <w:rPr>
          <w:rFonts w:ascii="Arial" w:eastAsia="Arial" w:hAnsi="Arial" w:cs="Arial"/>
          <w:b/>
          <w:bCs/>
          <w:sz w:val="22"/>
          <w:szCs w:val="22"/>
        </w:rPr>
        <w:t>Figure 4. Centralisation V/S Decentralisation</w:t>
      </w:r>
    </w:p>
    <w:p w14:paraId="5F76D6DA" w14:textId="77777777" w:rsidR="00561EDE" w:rsidRDefault="00000000">
      <w:pPr>
        <w:jc w:val="center"/>
        <w:rPr>
          <w:rFonts w:ascii="Arial" w:eastAsia="Arial" w:hAnsi="Arial" w:cs="Arial"/>
          <w:sz w:val="22"/>
          <w:szCs w:val="22"/>
        </w:rPr>
      </w:pPr>
      <w:r>
        <w:rPr>
          <w:rFonts w:ascii="Arial" w:eastAsia="Arial" w:hAnsi="Arial" w:cs="Arial"/>
          <w:sz w:val="22"/>
          <w:szCs w:val="22"/>
        </w:rPr>
        <w:t xml:space="preserve">(Source: Gong et al., 2026). </w:t>
      </w:r>
    </w:p>
    <w:p w14:paraId="6D1D57B6" w14:textId="77777777" w:rsidR="00561EDE" w:rsidRDefault="00000000">
      <w:pPr>
        <w:pStyle w:val="Heading3"/>
        <w:rPr>
          <w:rFonts w:ascii="Arial" w:eastAsia="Arial" w:hAnsi="Arial" w:cs="Arial"/>
          <w:sz w:val="22"/>
          <w:szCs w:val="22"/>
        </w:rPr>
      </w:pPr>
      <w:bookmarkStart w:id="21" w:name="_heading=h.pkpp1zc3krfm" w:colFirst="0" w:colLast="0"/>
      <w:bookmarkEnd w:id="21"/>
      <w:r>
        <w:rPr>
          <w:rFonts w:ascii="Arial" w:eastAsia="Arial" w:hAnsi="Arial" w:cs="Arial"/>
          <w:sz w:val="22"/>
          <w:szCs w:val="22"/>
        </w:rPr>
        <w:t>2b.4 Decentralisation: What Was Lost.</w:t>
      </w:r>
    </w:p>
    <w:p w14:paraId="19BADE40" w14:textId="77777777" w:rsidR="00561EDE" w:rsidRDefault="00000000">
      <w:pPr>
        <w:rPr>
          <w:rFonts w:ascii="Arial" w:eastAsia="Arial" w:hAnsi="Arial" w:cs="Arial"/>
          <w:sz w:val="22"/>
          <w:szCs w:val="22"/>
        </w:rPr>
      </w:pPr>
      <w:r>
        <w:rPr>
          <w:rFonts w:ascii="Arial" w:eastAsia="Arial" w:hAnsi="Arial" w:cs="Arial"/>
          <w:sz w:val="22"/>
          <w:szCs w:val="22"/>
        </w:rPr>
        <w:t xml:space="preserve">On the contrary, decentralisation means that decision making authority is devolved to front line personnel to enable them to address local issues in an effective manner. The lack of decentralised practices as in this case is seen in the inability of nurses and other assistants to independently verify the identity of the patient. A decentralised system would enable the healthcare professionals in all levels to be responsible towards safety checks, instead of just following the instructions of their hierarchy. This approach promotes shared accountability and encourages proactive risk management (Gong et al., 2026). </w:t>
      </w:r>
    </w:p>
    <w:p w14:paraId="30ECFDC4" w14:textId="77777777" w:rsidR="00561EDE" w:rsidRDefault="00000000">
      <w:pPr>
        <w:rPr>
          <w:rFonts w:ascii="Arial" w:eastAsia="Arial" w:hAnsi="Arial" w:cs="Arial"/>
          <w:sz w:val="22"/>
          <w:szCs w:val="22"/>
        </w:rPr>
      </w:pPr>
      <w:r>
        <w:rPr>
          <w:rFonts w:ascii="Arial" w:eastAsia="Arial" w:hAnsi="Arial" w:cs="Arial"/>
          <w:sz w:val="22"/>
          <w:szCs w:val="22"/>
        </w:rPr>
        <w:t>It has been found that decentralisation can improve healthcare system performance by making it more responsive, promoting innovation, and increasing staff engagement (</w:t>
      </w:r>
      <w:proofErr w:type="spellStart"/>
      <w:r>
        <w:rPr>
          <w:rFonts w:ascii="Arial" w:eastAsia="Arial" w:hAnsi="Arial" w:cs="Arial"/>
          <w:sz w:val="22"/>
          <w:szCs w:val="22"/>
        </w:rPr>
        <w:t>Sapkota</w:t>
      </w:r>
      <w:proofErr w:type="spellEnd"/>
      <w:r>
        <w:rPr>
          <w:rFonts w:ascii="Arial" w:eastAsia="Arial" w:hAnsi="Arial" w:cs="Arial"/>
          <w:sz w:val="22"/>
          <w:szCs w:val="22"/>
        </w:rPr>
        <w:t xml:space="preserve"> et al., 2023). Additionally, decentralised governance enables context-specific decision-making in complex and resource-constrained environments, which is essential in ensuring patient safety. Research in underperforming healthcare has shown that decentralisation may enhance service delivery by contributing to local problem-solving and minimise delays in decision-making (Brennan and </w:t>
      </w:r>
      <w:proofErr w:type="spellStart"/>
      <w:r>
        <w:rPr>
          <w:rFonts w:ascii="Arial" w:eastAsia="Arial" w:hAnsi="Arial" w:cs="Arial"/>
          <w:sz w:val="22"/>
          <w:szCs w:val="22"/>
        </w:rPr>
        <w:t>Abimbola</w:t>
      </w:r>
      <w:proofErr w:type="spellEnd"/>
      <w:r>
        <w:rPr>
          <w:rFonts w:ascii="Arial" w:eastAsia="Arial" w:hAnsi="Arial" w:cs="Arial"/>
          <w:sz w:val="22"/>
          <w:szCs w:val="22"/>
        </w:rPr>
        <w:t>, 2023). The absence of such empowerment in the Kota incident was that no employee came forth to halt the mistake even when the lack of consistency in procedures was known.</w:t>
      </w:r>
    </w:p>
    <w:p w14:paraId="0ED00ABE" w14:textId="77777777" w:rsidR="00561EDE" w:rsidRDefault="00000000">
      <w:pPr>
        <w:pStyle w:val="Heading3"/>
        <w:rPr>
          <w:rFonts w:ascii="Arial" w:eastAsia="Arial" w:hAnsi="Arial" w:cs="Arial"/>
          <w:sz w:val="22"/>
          <w:szCs w:val="22"/>
        </w:rPr>
      </w:pPr>
      <w:bookmarkStart w:id="22" w:name="_heading=h.n1jw362x9bss" w:colFirst="0" w:colLast="0"/>
      <w:bookmarkEnd w:id="22"/>
      <w:r>
        <w:rPr>
          <w:rFonts w:ascii="Arial" w:eastAsia="Arial" w:hAnsi="Arial" w:cs="Arial"/>
          <w:sz w:val="22"/>
          <w:szCs w:val="22"/>
        </w:rPr>
        <w:t>2b.5 Evidence from Healthcare Systems</w:t>
      </w:r>
    </w:p>
    <w:p w14:paraId="5E38D9E3" w14:textId="77777777" w:rsidR="00561EDE" w:rsidRDefault="00000000">
      <w:pPr>
        <w:rPr>
          <w:rFonts w:ascii="Arial" w:eastAsia="Arial" w:hAnsi="Arial" w:cs="Arial"/>
          <w:sz w:val="22"/>
          <w:szCs w:val="22"/>
        </w:rPr>
      </w:pPr>
      <w:r>
        <w:rPr>
          <w:rFonts w:ascii="Arial" w:eastAsia="Arial" w:hAnsi="Arial" w:cs="Arial"/>
          <w:sz w:val="22"/>
          <w:szCs w:val="22"/>
        </w:rPr>
        <w:t>Decentralisation in healthcare is, however not always effective and in many cases, the implementation of the same is what makes it effective. There are indications that decentralised systems may have mixed results, especially where there is a lack or absence of co-ordination or lack of guidelines. To illustrate, research indicates that managers in decentralised organisations tend to have different interpretations of policies and this implies that there are inconsistencies in practice (</w:t>
      </w:r>
      <w:proofErr w:type="spellStart"/>
      <w:r>
        <w:rPr>
          <w:rFonts w:ascii="Arial" w:eastAsia="Arial" w:hAnsi="Arial" w:cs="Arial"/>
          <w:sz w:val="22"/>
          <w:szCs w:val="22"/>
        </w:rPr>
        <w:t>Ohrling</w:t>
      </w:r>
      <w:proofErr w:type="spellEnd"/>
      <w:r>
        <w:rPr>
          <w:rFonts w:ascii="Arial" w:eastAsia="Arial" w:hAnsi="Arial" w:cs="Arial"/>
          <w:sz w:val="22"/>
          <w:szCs w:val="22"/>
        </w:rPr>
        <w:t xml:space="preserve"> et al., 2022). On the same note, decentralisation within the clinical setting can introduce variability in decision-making which can destroy standardisation unless it is effectively controlled (</w:t>
      </w:r>
      <w:proofErr w:type="spellStart"/>
      <w:r>
        <w:rPr>
          <w:rFonts w:ascii="Arial" w:eastAsia="Arial" w:hAnsi="Arial" w:cs="Arial"/>
          <w:sz w:val="22"/>
          <w:szCs w:val="22"/>
        </w:rPr>
        <w:t>Sinha</w:t>
      </w:r>
      <w:proofErr w:type="spellEnd"/>
      <w:r>
        <w:rPr>
          <w:rFonts w:ascii="Arial" w:eastAsia="Arial" w:hAnsi="Arial" w:cs="Arial"/>
          <w:sz w:val="22"/>
          <w:szCs w:val="22"/>
        </w:rPr>
        <w:t xml:space="preserve"> et al., 2024).</w:t>
      </w:r>
    </w:p>
    <w:p w14:paraId="460BC284" w14:textId="77777777" w:rsidR="00561EDE" w:rsidRDefault="00000000">
      <w:pPr>
        <w:jc w:val="center"/>
        <w:rPr>
          <w:rFonts w:ascii="Arial" w:eastAsia="Arial" w:hAnsi="Arial" w:cs="Arial"/>
          <w:b/>
          <w:bCs/>
          <w:sz w:val="22"/>
          <w:szCs w:val="22"/>
        </w:rPr>
      </w:pPr>
      <w:r>
        <w:rPr>
          <w:rFonts w:ascii="Arial" w:eastAsia="Arial" w:hAnsi="Arial" w:cs="Arial"/>
          <w:b/>
          <w:bCs/>
          <w:noProof/>
          <w:sz w:val="22"/>
          <w:szCs w:val="22"/>
        </w:rPr>
        <w:drawing>
          <wp:inline distT="114300" distB="114300" distL="114300" distR="114300" wp14:anchorId="5A1E501D" wp14:editId="57F44A04">
            <wp:extent cx="5734050" cy="3496894"/>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t="8826" b="8729"/>
                    <a:stretch>
                      <a:fillRect/>
                    </a:stretch>
                  </pic:blipFill>
                  <pic:spPr>
                    <a:xfrm>
                      <a:off x="0" y="0"/>
                      <a:ext cx="5734050" cy="3496894"/>
                    </a:xfrm>
                    <a:prstGeom prst="rect">
                      <a:avLst/>
                    </a:prstGeom>
                    <a:ln w="25400">
                      <a:solidFill>
                        <a:srgbClr val="000000"/>
                      </a:solidFill>
                      <a:prstDash val="solid"/>
                    </a:ln>
                  </pic:spPr>
                </pic:pic>
              </a:graphicData>
            </a:graphic>
          </wp:inline>
        </w:drawing>
      </w:r>
    </w:p>
    <w:p w14:paraId="4C320EC1" w14:textId="77777777" w:rsidR="00561EDE" w:rsidRDefault="00000000">
      <w:pPr>
        <w:jc w:val="center"/>
        <w:rPr>
          <w:rFonts w:ascii="Arial" w:eastAsia="Arial" w:hAnsi="Arial" w:cs="Arial"/>
          <w:b/>
          <w:bCs/>
          <w:sz w:val="22"/>
          <w:szCs w:val="22"/>
        </w:rPr>
      </w:pPr>
      <w:r>
        <w:rPr>
          <w:rFonts w:ascii="Arial" w:eastAsia="Arial" w:hAnsi="Arial" w:cs="Arial"/>
          <w:b/>
          <w:bCs/>
          <w:sz w:val="22"/>
          <w:szCs w:val="22"/>
        </w:rPr>
        <w:t>Figure 5. Decentralised Healthcare</w:t>
      </w:r>
    </w:p>
    <w:p w14:paraId="376CE2EC" w14:textId="77777777" w:rsidR="00561EDE" w:rsidRDefault="00000000">
      <w:pPr>
        <w:jc w:val="center"/>
        <w:rPr>
          <w:rFonts w:ascii="Arial" w:eastAsia="Arial" w:hAnsi="Arial" w:cs="Arial"/>
          <w:sz w:val="22"/>
          <w:szCs w:val="22"/>
        </w:rPr>
      </w:pPr>
      <w:r>
        <w:rPr>
          <w:rFonts w:ascii="Arial" w:eastAsia="Arial" w:hAnsi="Arial" w:cs="Arial"/>
          <w:sz w:val="22"/>
          <w:szCs w:val="22"/>
        </w:rPr>
        <w:t>(Source: WHO, 2023)</w:t>
      </w:r>
    </w:p>
    <w:p w14:paraId="674A4548" w14:textId="77777777" w:rsidR="00561EDE" w:rsidRDefault="00000000">
      <w:pPr>
        <w:rPr>
          <w:rFonts w:ascii="Arial" w:eastAsia="Arial" w:hAnsi="Arial" w:cs="Arial"/>
          <w:sz w:val="22"/>
          <w:szCs w:val="22"/>
        </w:rPr>
      </w:pPr>
      <w:r>
        <w:rPr>
          <w:rFonts w:ascii="Arial" w:eastAsia="Arial" w:hAnsi="Arial" w:cs="Arial"/>
          <w:sz w:val="22"/>
          <w:szCs w:val="22"/>
        </w:rPr>
        <w:t>However, decentralisation can be a great way to improve patient safety when it is combined with proper supervision. The WHO highlights that healthcare systems need to be led by strong leadership, well-defined processes, and involvement in frontline personnel to reduce risk (WHO, 2023). Moreover, patient misidentification is a serious problem on an international level, and it leads to severe adverse events like wrong-site surgery. Statistics show that 12.3 percent of sentinel events are associated with the error of patient identification and this fact highlights the significance of effective verification systems (WHO, 2023). The results explain that centralisation and decentralisation are not the right options, but instead a mixture of both should be adopted, which combines the best possible features of both.</w:t>
      </w:r>
    </w:p>
    <w:p w14:paraId="2750DB49" w14:textId="77777777" w:rsidR="00561EDE" w:rsidRDefault="00000000">
      <w:pPr>
        <w:pStyle w:val="Heading3"/>
        <w:rPr>
          <w:rFonts w:ascii="Arial" w:eastAsia="Arial" w:hAnsi="Arial" w:cs="Arial"/>
          <w:sz w:val="22"/>
          <w:szCs w:val="22"/>
        </w:rPr>
      </w:pPr>
      <w:bookmarkStart w:id="23" w:name="_heading=h.p01j1xbiq4lw" w:colFirst="0" w:colLast="0"/>
      <w:bookmarkEnd w:id="23"/>
      <w:r>
        <w:rPr>
          <w:rFonts w:ascii="Arial" w:eastAsia="Arial" w:hAnsi="Arial" w:cs="Arial"/>
          <w:sz w:val="22"/>
          <w:szCs w:val="22"/>
        </w:rPr>
        <w:t>2b.6 Critical Analysis</w:t>
      </w:r>
    </w:p>
    <w:p w14:paraId="63F94A39" w14:textId="77777777" w:rsidR="00561EDE" w:rsidRDefault="00000000">
      <w:pPr>
        <w:rPr>
          <w:rFonts w:ascii="Arial" w:eastAsia="Arial" w:hAnsi="Arial" w:cs="Arial"/>
          <w:sz w:val="22"/>
          <w:szCs w:val="22"/>
        </w:rPr>
      </w:pPr>
      <w:r>
        <w:rPr>
          <w:rFonts w:ascii="Arial" w:eastAsia="Arial" w:hAnsi="Arial" w:cs="Arial"/>
          <w:sz w:val="22"/>
          <w:szCs w:val="22"/>
        </w:rPr>
        <w:t>In general, the organisational structure used in this case played a significant role in the occurrence of the surgical error as it restricted accountability, decreased staff autonomy, and undermined safety checks (</w:t>
      </w:r>
      <w:proofErr w:type="spellStart"/>
      <w:r>
        <w:rPr>
          <w:rFonts w:ascii="Arial" w:eastAsia="Arial" w:hAnsi="Arial" w:cs="Arial"/>
          <w:sz w:val="22"/>
          <w:szCs w:val="22"/>
        </w:rPr>
        <w:t>Yuanyuan</w:t>
      </w:r>
      <w:proofErr w:type="spellEnd"/>
      <w:r>
        <w:rPr>
          <w:rFonts w:ascii="Arial" w:eastAsia="Arial" w:hAnsi="Arial" w:cs="Arial"/>
          <w:sz w:val="22"/>
          <w:szCs w:val="22"/>
        </w:rPr>
        <w:t xml:space="preserve"> et al., 2023). The centralised system did not guarantee followed basic protocols and lack of decentralised practices did not ensure that the frontline staff could intervene. This mix resulted in a situation in which mistakes would be left unattended, which eventually caused patient injury. Under the system's perspective, it was not the failure of individual practitioners only but the combination of structural weaknesses and human factors.</w:t>
      </w:r>
    </w:p>
    <w:p w14:paraId="6DA14A37" w14:textId="77777777" w:rsidR="00561EDE" w:rsidRDefault="00000000">
      <w:pPr>
        <w:rPr>
          <w:rFonts w:ascii="Arial" w:eastAsia="Arial" w:hAnsi="Arial" w:cs="Arial"/>
          <w:sz w:val="22"/>
          <w:szCs w:val="22"/>
        </w:rPr>
      </w:pPr>
      <w:r>
        <w:rPr>
          <w:rFonts w:ascii="Arial" w:eastAsia="Arial" w:hAnsi="Arial" w:cs="Arial"/>
          <w:sz w:val="22"/>
          <w:szCs w:val="22"/>
        </w:rPr>
        <w:t>The facts clearly show that patient safety is not possible to be attained by hierarchical control only. Rather, healthcare organisations should embrace balanced governance models that entail centralised standardisation and decentralised empowerment. This would not only make sure that safety measures are always implemented, but also to allow employees to actively engage in risk prevention. Considering the world statistics that more than half of the harm to patients is avoidable (WHO, 2023), it is clear that the enhancement of organisational frameworks is critical to minimising errors and improving healthcare outcomes.</w:t>
      </w:r>
    </w:p>
    <w:p w14:paraId="5FA91431" w14:textId="77777777" w:rsidR="00561EDE" w:rsidRDefault="00000000">
      <w:pPr>
        <w:pStyle w:val="Heading2"/>
        <w:rPr>
          <w:rFonts w:ascii="Arial" w:eastAsia="Arial" w:hAnsi="Arial" w:cs="Arial"/>
          <w:sz w:val="22"/>
          <w:szCs w:val="22"/>
        </w:rPr>
      </w:pPr>
      <w:bookmarkStart w:id="24" w:name="_heading=h.ollhjwxtky7r" w:colFirst="0" w:colLast="0"/>
      <w:bookmarkEnd w:id="24"/>
      <w:r>
        <w:rPr>
          <w:rFonts w:ascii="Arial" w:eastAsia="Arial" w:hAnsi="Arial" w:cs="Arial"/>
          <w:sz w:val="22"/>
          <w:szCs w:val="22"/>
        </w:rPr>
        <w:t xml:space="preserve">2c. Leadership Theory Application </w:t>
      </w:r>
    </w:p>
    <w:p w14:paraId="74789183" w14:textId="77777777" w:rsidR="00561EDE" w:rsidRDefault="00000000">
      <w:pPr>
        <w:rPr>
          <w:rFonts w:ascii="Arial" w:eastAsia="Arial" w:hAnsi="Arial" w:cs="Arial"/>
          <w:b/>
          <w:bCs/>
          <w:sz w:val="22"/>
          <w:szCs w:val="22"/>
        </w:rPr>
      </w:pPr>
      <w:r>
        <w:rPr>
          <w:rFonts w:ascii="Arial" w:eastAsia="Arial" w:hAnsi="Arial" w:cs="Arial"/>
          <w:b/>
          <w:bCs/>
          <w:sz w:val="22"/>
          <w:szCs w:val="22"/>
        </w:rPr>
        <w:t xml:space="preserve">Table 2. Leadership Theory Application with Examples and Supporting Data </w:t>
      </w:r>
    </w:p>
    <w:tbl>
      <w:tblPr>
        <w:tblStyle w:val="a0"/>
        <w:tblW w:w="9025" w:type="dxa"/>
        <w:tblInd w:w="0" w:type="dxa"/>
        <w:tblLayout w:type="fixed"/>
        <w:tblLook w:val="0400" w:firstRow="0" w:lastRow="0" w:firstColumn="0" w:lastColumn="0" w:noHBand="0" w:noVBand="1"/>
      </w:tblPr>
      <w:tblGrid>
        <w:gridCol w:w="2139"/>
        <w:gridCol w:w="2845"/>
        <w:gridCol w:w="4041"/>
      </w:tblGrid>
      <w:tr w:rsidR="00561EDE" w14:paraId="363A4ADB" w14:textId="77777777">
        <w:trPr>
          <w:trHeight w:val="500"/>
        </w:trPr>
        <w:tc>
          <w:tcPr>
            <w:tcW w:w="2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733624" w14:textId="77777777" w:rsidR="00561EDE" w:rsidRDefault="00000000">
            <w:pPr>
              <w:jc w:val="center"/>
              <w:rPr>
                <w:rFonts w:ascii="Arial" w:eastAsia="Arial" w:hAnsi="Arial" w:cs="Arial"/>
                <w:sz w:val="22"/>
                <w:szCs w:val="22"/>
              </w:rPr>
            </w:pPr>
            <w:r>
              <w:rPr>
                <w:rFonts w:ascii="Arial" w:eastAsia="Arial" w:hAnsi="Arial" w:cs="Arial"/>
                <w:b/>
                <w:bCs/>
                <w:sz w:val="22"/>
                <w:szCs w:val="22"/>
              </w:rPr>
              <w:t>Theory / Model</w:t>
            </w:r>
          </w:p>
        </w:tc>
        <w:tc>
          <w:tcPr>
            <w:tcW w:w="2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0DDF7" w14:textId="77777777" w:rsidR="00561EDE" w:rsidRDefault="00000000">
            <w:pPr>
              <w:jc w:val="center"/>
              <w:rPr>
                <w:rFonts w:ascii="Arial" w:eastAsia="Arial" w:hAnsi="Arial" w:cs="Arial"/>
                <w:sz w:val="22"/>
                <w:szCs w:val="22"/>
              </w:rPr>
            </w:pPr>
            <w:r>
              <w:rPr>
                <w:rFonts w:ascii="Arial" w:eastAsia="Arial" w:hAnsi="Arial" w:cs="Arial"/>
                <w:b/>
                <w:bCs/>
                <w:sz w:val="22"/>
                <w:szCs w:val="22"/>
              </w:rPr>
              <w:t>Application to Case</w:t>
            </w:r>
          </w:p>
        </w:tc>
        <w:tc>
          <w:tcPr>
            <w:tcW w:w="4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80333C" w14:textId="77777777" w:rsidR="00561EDE" w:rsidRDefault="00000000">
            <w:pPr>
              <w:jc w:val="center"/>
              <w:rPr>
                <w:rFonts w:ascii="Arial" w:eastAsia="Arial" w:hAnsi="Arial" w:cs="Arial"/>
                <w:sz w:val="22"/>
                <w:szCs w:val="22"/>
              </w:rPr>
            </w:pPr>
            <w:r>
              <w:rPr>
                <w:rFonts w:ascii="Arial" w:eastAsia="Arial" w:hAnsi="Arial" w:cs="Arial"/>
                <w:b/>
                <w:bCs/>
                <w:sz w:val="22"/>
                <w:szCs w:val="22"/>
              </w:rPr>
              <w:t>Supporting Data &amp; Critique</w:t>
            </w:r>
          </w:p>
        </w:tc>
      </w:tr>
      <w:tr w:rsidR="00561EDE" w14:paraId="7A13ED3A" w14:textId="77777777">
        <w:trPr>
          <w:trHeight w:val="1310"/>
        </w:trPr>
        <w:tc>
          <w:tcPr>
            <w:tcW w:w="2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68707" w14:textId="77777777" w:rsidR="00561EDE" w:rsidRDefault="00000000">
            <w:pPr>
              <w:rPr>
                <w:rFonts w:ascii="Arial" w:eastAsia="Arial" w:hAnsi="Arial" w:cs="Arial"/>
                <w:sz w:val="22"/>
                <w:szCs w:val="22"/>
              </w:rPr>
            </w:pPr>
            <w:r>
              <w:rPr>
                <w:rFonts w:ascii="Arial" w:eastAsia="Arial" w:hAnsi="Arial" w:cs="Arial"/>
                <w:sz w:val="22"/>
                <w:szCs w:val="22"/>
              </w:rPr>
              <w:t>Transformational Leadership</w:t>
            </w:r>
          </w:p>
        </w:tc>
        <w:tc>
          <w:tcPr>
            <w:tcW w:w="2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86FEB9" w14:textId="77777777" w:rsidR="00561EDE" w:rsidRDefault="00000000">
            <w:pPr>
              <w:rPr>
                <w:rFonts w:ascii="Arial" w:eastAsia="Arial" w:hAnsi="Arial" w:cs="Arial"/>
                <w:sz w:val="22"/>
                <w:szCs w:val="22"/>
              </w:rPr>
            </w:pPr>
            <w:r>
              <w:rPr>
                <w:rFonts w:ascii="Arial" w:eastAsia="Arial" w:hAnsi="Arial" w:cs="Arial"/>
                <w:sz w:val="22"/>
                <w:szCs w:val="22"/>
              </w:rPr>
              <w:t>Absent in the case; no shared safety vision or encouragement for staff to speak up</w:t>
            </w:r>
          </w:p>
        </w:tc>
        <w:tc>
          <w:tcPr>
            <w:tcW w:w="4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6B754" w14:textId="77777777" w:rsidR="00561EDE" w:rsidRDefault="00000000">
            <w:pPr>
              <w:rPr>
                <w:rFonts w:ascii="Arial" w:eastAsia="Arial" w:hAnsi="Arial" w:cs="Arial"/>
                <w:sz w:val="22"/>
                <w:szCs w:val="22"/>
              </w:rPr>
            </w:pPr>
            <w:r>
              <w:rPr>
                <w:rFonts w:ascii="Arial" w:eastAsia="Arial" w:hAnsi="Arial" w:cs="Arial"/>
                <w:sz w:val="22"/>
                <w:szCs w:val="22"/>
              </w:rPr>
              <w:t>Associated with ~19% better safety outcomes and higher staff engagement; absence contributed to silence and poor safety culture (</w:t>
            </w:r>
            <w:proofErr w:type="spellStart"/>
            <w:r>
              <w:rPr>
                <w:rFonts w:ascii="Arial" w:eastAsia="Arial" w:hAnsi="Arial" w:cs="Arial"/>
                <w:sz w:val="22"/>
                <w:szCs w:val="22"/>
              </w:rPr>
              <w:t>Miralrio</w:t>
            </w:r>
            <w:proofErr w:type="spellEnd"/>
            <w:r>
              <w:rPr>
                <w:rFonts w:ascii="Arial" w:eastAsia="Arial" w:hAnsi="Arial" w:cs="Arial"/>
                <w:sz w:val="22"/>
                <w:szCs w:val="22"/>
              </w:rPr>
              <w:t xml:space="preserve"> and </w:t>
            </w:r>
            <w:proofErr w:type="spellStart"/>
            <w:r>
              <w:rPr>
                <w:rFonts w:ascii="Arial" w:eastAsia="Arial" w:hAnsi="Arial" w:cs="Arial"/>
                <w:sz w:val="22"/>
                <w:szCs w:val="22"/>
              </w:rPr>
              <w:t>Tuka</w:t>
            </w:r>
            <w:proofErr w:type="spellEnd"/>
            <w:r>
              <w:rPr>
                <w:rFonts w:ascii="Arial" w:eastAsia="Arial" w:hAnsi="Arial" w:cs="Arial"/>
                <w:sz w:val="22"/>
                <w:szCs w:val="22"/>
              </w:rPr>
              <w:t>, 2025)</w:t>
            </w:r>
          </w:p>
        </w:tc>
      </w:tr>
      <w:tr w:rsidR="00561EDE" w14:paraId="0324831C" w14:textId="77777777">
        <w:trPr>
          <w:trHeight w:val="1310"/>
        </w:trPr>
        <w:tc>
          <w:tcPr>
            <w:tcW w:w="2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0B07F" w14:textId="77777777" w:rsidR="00561EDE" w:rsidRDefault="00000000">
            <w:pPr>
              <w:rPr>
                <w:rFonts w:ascii="Arial" w:eastAsia="Arial" w:hAnsi="Arial" w:cs="Arial"/>
                <w:sz w:val="22"/>
                <w:szCs w:val="22"/>
              </w:rPr>
            </w:pPr>
            <w:r>
              <w:rPr>
                <w:rFonts w:ascii="Arial" w:eastAsia="Arial" w:hAnsi="Arial" w:cs="Arial"/>
                <w:sz w:val="22"/>
                <w:szCs w:val="22"/>
              </w:rPr>
              <w:t>Transactional Leadership</w:t>
            </w:r>
          </w:p>
        </w:tc>
        <w:tc>
          <w:tcPr>
            <w:tcW w:w="2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FDDAB" w14:textId="77777777" w:rsidR="00561EDE" w:rsidRDefault="00000000">
            <w:pPr>
              <w:rPr>
                <w:rFonts w:ascii="Arial" w:eastAsia="Arial" w:hAnsi="Arial" w:cs="Arial"/>
                <w:sz w:val="22"/>
                <w:szCs w:val="22"/>
              </w:rPr>
            </w:pPr>
            <w:r>
              <w:rPr>
                <w:rFonts w:ascii="Arial" w:eastAsia="Arial" w:hAnsi="Arial" w:cs="Arial"/>
                <w:sz w:val="22"/>
                <w:szCs w:val="22"/>
              </w:rPr>
              <w:t>Dominant approach; staff followed procedures without questioning authority</w:t>
            </w:r>
          </w:p>
        </w:tc>
        <w:tc>
          <w:tcPr>
            <w:tcW w:w="4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E7A151" w14:textId="77777777" w:rsidR="00561EDE" w:rsidRDefault="00000000">
            <w:pPr>
              <w:rPr>
                <w:rFonts w:ascii="Arial" w:eastAsia="Arial" w:hAnsi="Arial" w:cs="Arial"/>
                <w:sz w:val="22"/>
                <w:szCs w:val="22"/>
              </w:rPr>
            </w:pPr>
            <w:r>
              <w:rPr>
                <w:rFonts w:ascii="Arial" w:eastAsia="Arial" w:hAnsi="Arial" w:cs="Arial"/>
                <w:sz w:val="22"/>
                <w:szCs w:val="22"/>
              </w:rPr>
              <w:t>Effective for routine tasks but limits critical thinking in complex situations; contributed to unchecked error progression</w:t>
            </w:r>
          </w:p>
        </w:tc>
      </w:tr>
      <w:tr w:rsidR="00561EDE" w14:paraId="3A633A0D" w14:textId="77777777">
        <w:trPr>
          <w:trHeight w:val="1310"/>
        </w:trPr>
        <w:tc>
          <w:tcPr>
            <w:tcW w:w="2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6851E" w14:textId="77777777" w:rsidR="00561EDE" w:rsidRDefault="00000000">
            <w:pPr>
              <w:rPr>
                <w:rFonts w:ascii="Arial" w:eastAsia="Arial" w:hAnsi="Arial" w:cs="Arial"/>
                <w:sz w:val="22"/>
                <w:szCs w:val="22"/>
              </w:rPr>
            </w:pPr>
            <w:r>
              <w:rPr>
                <w:rFonts w:ascii="Arial" w:eastAsia="Arial" w:hAnsi="Arial" w:cs="Arial"/>
                <w:sz w:val="22"/>
                <w:szCs w:val="22"/>
              </w:rPr>
              <w:t>Situational Leadership</w:t>
            </w:r>
          </w:p>
        </w:tc>
        <w:tc>
          <w:tcPr>
            <w:tcW w:w="2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D8F5E" w14:textId="77777777" w:rsidR="00561EDE" w:rsidRDefault="00000000">
            <w:pPr>
              <w:rPr>
                <w:rFonts w:ascii="Arial" w:eastAsia="Arial" w:hAnsi="Arial" w:cs="Arial"/>
                <w:sz w:val="22"/>
                <w:szCs w:val="22"/>
              </w:rPr>
            </w:pPr>
            <w:r>
              <w:rPr>
                <w:rFonts w:ascii="Arial" w:eastAsia="Arial" w:hAnsi="Arial" w:cs="Arial"/>
                <w:sz w:val="22"/>
                <w:szCs w:val="22"/>
              </w:rPr>
              <w:t>Leadership failed to adapt to high-risk surgical context</w:t>
            </w:r>
          </w:p>
        </w:tc>
        <w:tc>
          <w:tcPr>
            <w:tcW w:w="4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1CDDB" w14:textId="77777777" w:rsidR="00561EDE" w:rsidRDefault="00000000">
            <w:pPr>
              <w:rPr>
                <w:rFonts w:ascii="Arial" w:eastAsia="Arial" w:hAnsi="Arial" w:cs="Arial"/>
                <w:sz w:val="22"/>
                <w:szCs w:val="22"/>
              </w:rPr>
            </w:pPr>
            <w:r>
              <w:rPr>
                <w:rFonts w:ascii="Arial" w:eastAsia="Arial" w:hAnsi="Arial" w:cs="Arial"/>
                <w:sz w:val="22"/>
                <w:szCs w:val="22"/>
              </w:rPr>
              <w:t>Adaptive leadership improves response to clinical incidents; rigid approach reduced team responsiveness (</w:t>
            </w:r>
            <w:proofErr w:type="spellStart"/>
            <w:r>
              <w:rPr>
                <w:rFonts w:ascii="Arial" w:eastAsia="Arial" w:hAnsi="Arial" w:cs="Arial"/>
                <w:sz w:val="22"/>
                <w:szCs w:val="22"/>
              </w:rPr>
              <w:t>Miralrio</w:t>
            </w:r>
            <w:proofErr w:type="spellEnd"/>
            <w:r>
              <w:rPr>
                <w:rFonts w:ascii="Arial" w:eastAsia="Arial" w:hAnsi="Arial" w:cs="Arial"/>
                <w:sz w:val="22"/>
                <w:szCs w:val="22"/>
              </w:rPr>
              <w:t xml:space="preserve"> and </w:t>
            </w:r>
            <w:proofErr w:type="spellStart"/>
            <w:r>
              <w:rPr>
                <w:rFonts w:ascii="Arial" w:eastAsia="Arial" w:hAnsi="Arial" w:cs="Arial"/>
                <w:sz w:val="22"/>
                <w:szCs w:val="22"/>
              </w:rPr>
              <w:t>Tuka</w:t>
            </w:r>
            <w:proofErr w:type="spellEnd"/>
            <w:r>
              <w:rPr>
                <w:rFonts w:ascii="Arial" w:eastAsia="Arial" w:hAnsi="Arial" w:cs="Arial"/>
                <w:sz w:val="22"/>
                <w:szCs w:val="22"/>
              </w:rPr>
              <w:t>, 2025)</w:t>
            </w:r>
          </w:p>
        </w:tc>
      </w:tr>
      <w:tr w:rsidR="00561EDE" w14:paraId="7A3D319C" w14:textId="77777777">
        <w:trPr>
          <w:trHeight w:val="1040"/>
        </w:trPr>
        <w:tc>
          <w:tcPr>
            <w:tcW w:w="2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6E95B" w14:textId="77777777" w:rsidR="00561EDE" w:rsidRDefault="00000000">
            <w:pPr>
              <w:rPr>
                <w:rFonts w:ascii="Arial" w:eastAsia="Arial" w:hAnsi="Arial" w:cs="Arial"/>
                <w:sz w:val="22"/>
                <w:szCs w:val="22"/>
              </w:rPr>
            </w:pPr>
            <w:r>
              <w:rPr>
                <w:rFonts w:ascii="Arial" w:eastAsia="Arial" w:hAnsi="Arial" w:cs="Arial"/>
                <w:sz w:val="22"/>
                <w:szCs w:val="22"/>
              </w:rPr>
              <w:t>Behavioural / Trait Theory</w:t>
            </w:r>
          </w:p>
        </w:tc>
        <w:tc>
          <w:tcPr>
            <w:tcW w:w="2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2F95E" w14:textId="77777777" w:rsidR="00561EDE" w:rsidRDefault="00000000">
            <w:pPr>
              <w:rPr>
                <w:rFonts w:ascii="Arial" w:eastAsia="Arial" w:hAnsi="Arial" w:cs="Arial"/>
                <w:sz w:val="22"/>
                <w:szCs w:val="22"/>
              </w:rPr>
            </w:pPr>
            <w:r>
              <w:rPr>
                <w:rFonts w:ascii="Arial" w:eastAsia="Arial" w:hAnsi="Arial" w:cs="Arial"/>
                <w:sz w:val="22"/>
                <w:szCs w:val="22"/>
              </w:rPr>
              <w:t>Weak communication, low emotional intelligence, lack of situational awareness</w:t>
            </w:r>
          </w:p>
        </w:tc>
        <w:tc>
          <w:tcPr>
            <w:tcW w:w="4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52C30" w14:textId="77777777" w:rsidR="00561EDE" w:rsidRDefault="00000000">
            <w:pPr>
              <w:rPr>
                <w:rFonts w:ascii="Arial" w:eastAsia="Arial" w:hAnsi="Arial" w:cs="Arial"/>
                <w:sz w:val="22"/>
                <w:szCs w:val="22"/>
              </w:rPr>
            </w:pPr>
            <w:r>
              <w:rPr>
                <w:rFonts w:ascii="Arial" w:eastAsia="Arial" w:hAnsi="Arial" w:cs="Arial"/>
                <w:sz w:val="22"/>
                <w:szCs w:val="22"/>
              </w:rPr>
              <w:t>Balanced task–people leadership linked to fewer safety incidents; over-focus on tasks reduced team coordination</w:t>
            </w:r>
          </w:p>
        </w:tc>
      </w:tr>
      <w:tr w:rsidR="00561EDE" w14:paraId="2EEE6C15" w14:textId="77777777">
        <w:trPr>
          <w:trHeight w:val="1040"/>
        </w:trPr>
        <w:tc>
          <w:tcPr>
            <w:tcW w:w="21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52E54" w14:textId="77777777" w:rsidR="00561EDE" w:rsidRDefault="00000000">
            <w:pPr>
              <w:rPr>
                <w:rFonts w:ascii="Arial" w:eastAsia="Arial" w:hAnsi="Arial" w:cs="Arial"/>
                <w:sz w:val="22"/>
                <w:szCs w:val="22"/>
              </w:rPr>
            </w:pPr>
            <w:proofErr w:type="spellStart"/>
            <w:r>
              <w:rPr>
                <w:rFonts w:ascii="Arial" w:eastAsia="Arial" w:hAnsi="Arial" w:cs="Arial"/>
                <w:sz w:val="22"/>
                <w:szCs w:val="22"/>
              </w:rPr>
              <w:t>Tannenbaum</w:t>
            </w:r>
            <w:proofErr w:type="spellEnd"/>
            <w:r>
              <w:rPr>
                <w:rFonts w:ascii="Arial" w:eastAsia="Arial" w:hAnsi="Arial" w:cs="Arial"/>
                <w:sz w:val="22"/>
                <w:szCs w:val="22"/>
              </w:rPr>
              <w:t xml:space="preserve"> &amp; Schmidt Continuum</w:t>
            </w:r>
          </w:p>
        </w:tc>
        <w:tc>
          <w:tcPr>
            <w:tcW w:w="2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EFB59" w14:textId="77777777" w:rsidR="00561EDE" w:rsidRDefault="00000000">
            <w:pPr>
              <w:rPr>
                <w:rFonts w:ascii="Arial" w:eastAsia="Arial" w:hAnsi="Arial" w:cs="Arial"/>
                <w:sz w:val="22"/>
                <w:szCs w:val="22"/>
              </w:rPr>
            </w:pPr>
            <w:r>
              <w:rPr>
                <w:rFonts w:ascii="Arial" w:eastAsia="Arial" w:hAnsi="Arial" w:cs="Arial"/>
                <w:sz w:val="22"/>
                <w:szCs w:val="22"/>
              </w:rPr>
              <w:t>Leadership remained autocratic rather than participative</w:t>
            </w:r>
          </w:p>
        </w:tc>
        <w:tc>
          <w:tcPr>
            <w:tcW w:w="4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D4CF6" w14:textId="77777777" w:rsidR="00561EDE" w:rsidRDefault="00000000">
            <w:pPr>
              <w:rPr>
                <w:rFonts w:ascii="Arial" w:eastAsia="Arial" w:hAnsi="Arial" w:cs="Arial"/>
                <w:sz w:val="22"/>
                <w:szCs w:val="22"/>
              </w:rPr>
            </w:pPr>
            <w:r>
              <w:rPr>
                <w:rFonts w:ascii="Arial" w:eastAsia="Arial" w:hAnsi="Arial" w:cs="Arial"/>
                <w:sz w:val="22"/>
                <w:szCs w:val="22"/>
              </w:rPr>
              <w:t>Participative leadership improves staff engagement and reduces errors; lack of it limited speaking-up culture</w:t>
            </w:r>
          </w:p>
        </w:tc>
      </w:tr>
    </w:tbl>
    <w:p w14:paraId="0BB53EFE" w14:textId="77777777" w:rsidR="00561EDE" w:rsidRDefault="00561EDE">
      <w:pPr>
        <w:rPr>
          <w:rFonts w:ascii="Arial" w:eastAsia="Arial" w:hAnsi="Arial" w:cs="Arial"/>
          <w:sz w:val="22"/>
          <w:szCs w:val="22"/>
        </w:rPr>
      </w:pPr>
    </w:p>
    <w:p w14:paraId="433E5630" w14:textId="77777777" w:rsidR="00561EDE" w:rsidRDefault="00000000">
      <w:pPr>
        <w:pStyle w:val="Heading2"/>
        <w:rPr>
          <w:rFonts w:ascii="Arial" w:eastAsia="Arial" w:hAnsi="Arial" w:cs="Arial"/>
          <w:sz w:val="22"/>
          <w:szCs w:val="22"/>
        </w:rPr>
      </w:pPr>
      <w:bookmarkStart w:id="25" w:name="_heading=h.g0j84ip30con" w:colFirst="0" w:colLast="0"/>
      <w:bookmarkEnd w:id="25"/>
      <w:r>
        <w:rPr>
          <w:rFonts w:ascii="Arial" w:eastAsia="Arial" w:hAnsi="Arial" w:cs="Arial"/>
          <w:sz w:val="22"/>
          <w:szCs w:val="22"/>
        </w:rPr>
        <w:t xml:space="preserve">2d. Lessons learned and improvements </w:t>
      </w:r>
    </w:p>
    <w:p w14:paraId="497D46F4" w14:textId="77777777" w:rsidR="00561EDE" w:rsidRDefault="00000000">
      <w:pPr>
        <w:pStyle w:val="Heading3"/>
        <w:rPr>
          <w:rFonts w:ascii="Arial" w:eastAsia="Arial" w:hAnsi="Arial" w:cs="Arial"/>
          <w:sz w:val="22"/>
          <w:szCs w:val="22"/>
        </w:rPr>
      </w:pPr>
      <w:bookmarkStart w:id="26" w:name="_heading=h.sp7gcnab70n0" w:colFirst="0" w:colLast="0"/>
      <w:bookmarkEnd w:id="26"/>
      <w:r>
        <w:rPr>
          <w:rFonts w:ascii="Arial" w:eastAsia="Arial" w:hAnsi="Arial" w:cs="Arial"/>
          <w:sz w:val="22"/>
          <w:szCs w:val="22"/>
        </w:rPr>
        <w:t>2d.1 Case Study 1: Misidentification of the patient.</w:t>
      </w:r>
    </w:p>
    <w:p w14:paraId="6617DE79" w14:textId="77777777" w:rsidR="00561EDE" w:rsidRDefault="00000000">
      <w:pPr>
        <w:rPr>
          <w:rFonts w:ascii="Arial" w:eastAsia="Arial" w:hAnsi="Arial" w:cs="Arial"/>
          <w:sz w:val="22"/>
          <w:szCs w:val="22"/>
        </w:rPr>
      </w:pPr>
      <w:r>
        <w:rPr>
          <w:rFonts w:ascii="Arial" w:eastAsia="Arial" w:hAnsi="Arial" w:cs="Arial"/>
          <w:sz w:val="22"/>
          <w:szCs w:val="22"/>
        </w:rPr>
        <w:t>Patient misidentification was among the most severe errors in the case as it directly led to the admission of the wrong person in the operating room. This is an indication of a well-documented worldwide patient safety concern, in which misidentification errors are major contributors of adverse events in the healthcare systems. The World Health Organisation states that patient identification errors are one of the primary causes of severe events, such as wrong-site and wrong-patient surgeries, and 12.3% of sentinel events are associated with patient identification errors (WHO, 2023). The lack of even rudimentary verification measures, in the given case, like checking the name or date of birth, or identification bands, prove that it was not an isolated error but an indication of a system failure.</w:t>
      </w:r>
    </w:p>
    <w:p w14:paraId="3CBEAE03" w14:textId="77777777" w:rsidR="00561EDE" w:rsidRDefault="00000000">
      <w:pPr>
        <w:jc w:val="center"/>
        <w:rPr>
          <w:rFonts w:ascii="Arial" w:eastAsia="Arial" w:hAnsi="Arial" w:cs="Arial"/>
          <w:sz w:val="22"/>
          <w:szCs w:val="22"/>
        </w:rPr>
      </w:pPr>
      <w:r>
        <w:rPr>
          <w:rFonts w:ascii="Arial" w:eastAsia="Arial" w:hAnsi="Arial" w:cs="Arial"/>
          <w:noProof/>
          <w:sz w:val="22"/>
          <w:szCs w:val="22"/>
        </w:rPr>
        <w:drawing>
          <wp:inline distT="114300" distB="114300" distL="114300" distR="114300" wp14:anchorId="51C8615B" wp14:editId="0F4BBB1A">
            <wp:extent cx="5731200" cy="3225800"/>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7A266BB3" w14:textId="77777777" w:rsidR="00561EDE" w:rsidRDefault="00000000">
      <w:pPr>
        <w:jc w:val="center"/>
        <w:rPr>
          <w:rFonts w:ascii="Arial" w:eastAsia="Arial" w:hAnsi="Arial" w:cs="Arial"/>
          <w:b/>
          <w:bCs/>
          <w:sz w:val="22"/>
          <w:szCs w:val="22"/>
        </w:rPr>
      </w:pPr>
      <w:r>
        <w:rPr>
          <w:rFonts w:ascii="Arial" w:eastAsia="Arial" w:hAnsi="Arial" w:cs="Arial"/>
          <w:b/>
          <w:bCs/>
          <w:sz w:val="22"/>
          <w:szCs w:val="22"/>
        </w:rPr>
        <w:t>Figure 6. Misidentification of the patient</w:t>
      </w:r>
    </w:p>
    <w:p w14:paraId="2EFE9E3A" w14:textId="77777777" w:rsidR="00561EDE" w:rsidRDefault="00000000">
      <w:pPr>
        <w:jc w:val="center"/>
        <w:rPr>
          <w:rFonts w:ascii="Arial" w:eastAsia="Arial" w:hAnsi="Arial" w:cs="Arial"/>
          <w:sz w:val="22"/>
          <w:szCs w:val="22"/>
        </w:rPr>
      </w:pPr>
      <w:r>
        <w:rPr>
          <w:rFonts w:ascii="Arial" w:eastAsia="Arial" w:hAnsi="Arial" w:cs="Arial"/>
          <w:sz w:val="22"/>
          <w:szCs w:val="22"/>
        </w:rPr>
        <w:t xml:space="preserve">(Source: South China Morning Post, 2025) </w:t>
      </w:r>
    </w:p>
    <w:p w14:paraId="7908D5A2" w14:textId="77777777" w:rsidR="00561EDE" w:rsidRDefault="00000000">
      <w:pPr>
        <w:rPr>
          <w:rFonts w:ascii="Arial" w:eastAsia="Arial" w:hAnsi="Arial" w:cs="Arial"/>
          <w:sz w:val="22"/>
          <w:szCs w:val="22"/>
        </w:rPr>
      </w:pPr>
      <w:r>
        <w:rPr>
          <w:rFonts w:ascii="Arial" w:eastAsia="Arial" w:hAnsi="Arial" w:cs="Arial"/>
          <w:sz w:val="22"/>
          <w:szCs w:val="22"/>
        </w:rPr>
        <w:t>One of the essential improvement strategies is the obligatory adoption of the surgical safety checklist that has been demonstrated to decrease the number of preventable errors drastically in case it is applied properly. The checklist has ensured that important procedures such as verification of patient identity are done prior to anaesthesia and incision. Sufficient evidence also shows that structured checklist use enhances communication and decreases surgical complications, which also supports its use as a safety intervention (</w:t>
      </w:r>
      <w:proofErr w:type="spellStart"/>
      <w:r>
        <w:rPr>
          <w:rFonts w:ascii="Arial" w:eastAsia="Arial" w:hAnsi="Arial" w:cs="Arial"/>
          <w:sz w:val="22"/>
          <w:szCs w:val="22"/>
        </w:rPr>
        <w:t>Gul</w:t>
      </w:r>
      <w:proofErr w:type="spellEnd"/>
      <w:r>
        <w:rPr>
          <w:rFonts w:ascii="Arial" w:eastAsia="Arial" w:hAnsi="Arial" w:cs="Arial"/>
          <w:sz w:val="22"/>
          <w:szCs w:val="22"/>
        </w:rPr>
        <w:t xml:space="preserve"> et al., 2022). Thus, the introduction of checklist protocols in the working process of surgery and their strict observance and control would be a direct solution to the source of the misidentification, and the chances of its recurrence would be minimised (</w:t>
      </w:r>
      <w:proofErr w:type="spellStart"/>
      <w:r>
        <w:rPr>
          <w:rFonts w:ascii="Arial" w:eastAsia="Arial" w:hAnsi="Arial" w:cs="Arial"/>
          <w:sz w:val="22"/>
          <w:szCs w:val="22"/>
        </w:rPr>
        <w:t>Stroupe</w:t>
      </w:r>
      <w:proofErr w:type="spellEnd"/>
      <w:r>
        <w:rPr>
          <w:rFonts w:ascii="Arial" w:eastAsia="Arial" w:hAnsi="Arial" w:cs="Arial"/>
          <w:sz w:val="22"/>
          <w:szCs w:val="22"/>
        </w:rPr>
        <w:t>, 2022).</w:t>
      </w:r>
    </w:p>
    <w:p w14:paraId="62F89B64" w14:textId="77777777" w:rsidR="00561EDE" w:rsidRDefault="00000000">
      <w:pPr>
        <w:pStyle w:val="Heading3"/>
        <w:rPr>
          <w:rFonts w:ascii="Arial" w:eastAsia="Arial" w:hAnsi="Arial" w:cs="Arial"/>
          <w:sz w:val="22"/>
          <w:szCs w:val="22"/>
        </w:rPr>
      </w:pPr>
      <w:bookmarkStart w:id="27" w:name="_heading=h.vw8ofewtun06" w:colFirst="0" w:colLast="0"/>
      <w:bookmarkEnd w:id="27"/>
      <w:r>
        <w:rPr>
          <w:rFonts w:ascii="Arial" w:eastAsia="Arial" w:hAnsi="Arial" w:cs="Arial"/>
          <w:sz w:val="22"/>
          <w:szCs w:val="22"/>
        </w:rPr>
        <w:t>2d.2 Issue 2: Weak Checklists.</w:t>
      </w:r>
    </w:p>
    <w:p w14:paraId="766E289C" w14:textId="77777777" w:rsidR="00561EDE" w:rsidRDefault="00000000">
      <w:pPr>
        <w:rPr>
          <w:rFonts w:ascii="Arial" w:eastAsia="Arial" w:hAnsi="Arial" w:cs="Arial"/>
          <w:sz w:val="22"/>
          <w:szCs w:val="22"/>
        </w:rPr>
      </w:pPr>
      <w:r>
        <w:rPr>
          <w:rFonts w:ascii="Arial" w:eastAsia="Arial" w:hAnsi="Arial" w:cs="Arial"/>
          <w:sz w:val="22"/>
          <w:szCs w:val="22"/>
        </w:rPr>
        <w:t>Surgical safety checklists are highly suggested but only with proper and regular practice can they be effective. In this scenario, the lack of preoperative tests implies either non-use or the shallow adherence to the safety measures. Studies point to the organisational culture, time constraints, and insufficient staff involvement as being the major causes of failures in checklists. As an example, research indicates that the obstacles of low teamwork, and a lack of leadership support, and poor knowledge of the importance of checklists can considerably decrease the rates of compliance (Lim et al., 2023). In like manner, qualitative data suggest that healthcare professionals can feel like skipping checklist items because of an evident redundancy or a workflow interrupt, which eventually affects patient safety (</w:t>
      </w:r>
      <w:proofErr w:type="spellStart"/>
      <w:r>
        <w:rPr>
          <w:rFonts w:ascii="Arial" w:eastAsia="Arial" w:hAnsi="Arial" w:cs="Arial"/>
          <w:sz w:val="22"/>
          <w:szCs w:val="22"/>
        </w:rPr>
        <w:t>Munthali</w:t>
      </w:r>
      <w:proofErr w:type="spellEnd"/>
      <w:r>
        <w:rPr>
          <w:rFonts w:ascii="Arial" w:eastAsia="Arial" w:hAnsi="Arial" w:cs="Arial"/>
          <w:sz w:val="22"/>
          <w:szCs w:val="22"/>
        </w:rPr>
        <w:t xml:space="preserve"> et al., 2023).</w:t>
      </w:r>
    </w:p>
    <w:p w14:paraId="7B18EE57" w14:textId="77777777" w:rsidR="00561EDE" w:rsidRDefault="00000000">
      <w:pPr>
        <w:rPr>
          <w:rFonts w:ascii="Arial" w:eastAsia="Arial" w:hAnsi="Arial" w:cs="Arial"/>
          <w:sz w:val="22"/>
          <w:szCs w:val="22"/>
        </w:rPr>
      </w:pPr>
      <w:r>
        <w:rPr>
          <w:rFonts w:ascii="Arial" w:eastAsia="Arial" w:hAnsi="Arial" w:cs="Arial"/>
          <w:sz w:val="22"/>
          <w:szCs w:val="22"/>
        </w:rPr>
        <w:t>In order to eliminate this problem, healthcare organisations need to leave the checklists availability on the shelf and work on the meaningful implementation. This involves developing a culture of making checklists a key safety instrument instead of an administrative burden. Leadership is important in strengthening compliance with frequent audits, feedback and role modelling (</w:t>
      </w:r>
      <w:proofErr w:type="spellStart"/>
      <w:r>
        <w:rPr>
          <w:rFonts w:ascii="Arial" w:eastAsia="Arial" w:hAnsi="Arial" w:cs="Arial"/>
          <w:sz w:val="22"/>
          <w:szCs w:val="22"/>
        </w:rPr>
        <w:t>Haque</w:t>
      </w:r>
      <w:proofErr w:type="spellEnd"/>
      <w:r>
        <w:rPr>
          <w:rFonts w:ascii="Arial" w:eastAsia="Arial" w:hAnsi="Arial" w:cs="Arial"/>
          <w:sz w:val="22"/>
          <w:szCs w:val="22"/>
        </w:rPr>
        <w:t xml:space="preserve"> et al., 2024). Moreover, the inclusion of checklists in performance reviews and accountability models may help in making compliance a habit, rather than a voluntary activity.</w:t>
      </w:r>
    </w:p>
    <w:p w14:paraId="067C819C" w14:textId="77777777" w:rsidR="00561EDE" w:rsidRDefault="00000000">
      <w:pPr>
        <w:pStyle w:val="Heading3"/>
        <w:rPr>
          <w:rFonts w:ascii="Arial" w:eastAsia="Arial" w:hAnsi="Arial" w:cs="Arial"/>
          <w:sz w:val="22"/>
          <w:szCs w:val="22"/>
        </w:rPr>
      </w:pPr>
      <w:bookmarkStart w:id="28" w:name="_heading=h.72bexedm1ml0" w:colFirst="0" w:colLast="0"/>
      <w:bookmarkEnd w:id="28"/>
      <w:r>
        <w:rPr>
          <w:rFonts w:ascii="Arial" w:eastAsia="Arial" w:hAnsi="Arial" w:cs="Arial"/>
          <w:sz w:val="22"/>
          <w:szCs w:val="22"/>
        </w:rPr>
        <w:t>2d.3 Problem 3: Slim Training and Competency Development.</w:t>
      </w:r>
    </w:p>
    <w:p w14:paraId="7184F6D7" w14:textId="77777777" w:rsidR="00561EDE" w:rsidRDefault="00000000">
      <w:pPr>
        <w:rPr>
          <w:rFonts w:ascii="Arial" w:eastAsia="Arial" w:hAnsi="Arial" w:cs="Arial"/>
          <w:sz w:val="22"/>
          <w:szCs w:val="22"/>
        </w:rPr>
      </w:pPr>
      <w:r>
        <w:rPr>
          <w:rFonts w:ascii="Arial" w:eastAsia="Arial" w:hAnsi="Arial" w:cs="Arial"/>
          <w:sz w:val="22"/>
          <w:szCs w:val="22"/>
        </w:rPr>
        <w:t>Poor training and competency building of the healthcare personnel is another possible cause of the incident. The inability to notice the lapses in the procedure, i.e. the patient not putting on a gown or undergoing a routine preoperative preparation, implies the absence of clinical knowledge and situational awareness. Lack of training is a widespread problem in healthcare systems and may have a serious influence on the results of patient safety. Experience shows that educational interventions that are tailored can increase compliance with safety measures and improve clinical performance (</w:t>
      </w:r>
      <w:proofErr w:type="spellStart"/>
      <w:r>
        <w:rPr>
          <w:rFonts w:ascii="Arial" w:eastAsia="Arial" w:hAnsi="Arial" w:cs="Arial"/>
          <w:sz w:val="22"/>
          <w:szCs w:val="22"/>
        </w:rPr>
        <w:t>Ferorelli</w:t>
      </w:r>
      <w:proofErr w:type="spellEnd"/>
      <w:r>
        <w:rPr>
          <w:rFonts w:ascii="Arial" w:eastAsia="Arial" w:hAnsi="Arial" w:cs="Arial"/>
          <w:sz w:val="22"/>
          <w:szCs w:val="22"/>
        </w:rPr>
        <w:t xml:space="preserve"> et al., 2022).</w:t>
      </w:r>
    </w:p>
    <w:p w14:paraId="14FE86A7" w14:textId="77777777" w:rsidR="00561EDE" w:rsidRDefault="00000000">
      <w:pPr>
        <w:rPr>
          <w:rFonts w:ascii="Arial" w:eastAsia="Arial" w:hAnsi="Arial" w:cs="Arial"/>
          <w:sz w:val="22"/>
          <w:szCs w:val="22"/>
        </w:rPr>
      </w:pPr>
      <w:r>
        <w:rPr>
          <w:rFonts w:ascii="Arial" w:eastAsia="Arial" w:hAnsi="Arial" w:cs="Arial"/>
          <w:sz w:val="22"/>
          <w:szCs w:val="22"/>
        </w:rPr>
        <w:t>The strategies aimed at improvement should then focus on the continuous development of the practitioner which should include simulation-based training, scenario analysis and regular competency assessment (</w:t>
      </w:r>
      <w:proofErr w:type="spellStart"/>
      <w:r>
        <w:rPr>
          <w:rFonts w:ascii="Arial" w:eastAsia="Arial" w:hAnsi="Arial" w:cs="Arial"/>
          <w:sz w:val="22"/>
          <w:szCs w:val="22"/>
        </w:rPr>
        <w:t>Boroz</w:t>
      </w:r>
      <w:proofErr w:type="spellEnd"/>
      <w:r>
        <w:rPr>
          <w:rFonts w:ascii="Arial" w:eastAsia="Arial" w:hAnsi="Arial" w:cs="Arial"/>
          <w:sz w:val="22"/>
          <w:szCs w:val="22"/>
        </w:rPr>
        <w:t>, 2023). The training must also emphasise non-technical skills like communication, teamwork and decision-making besides technical skills. Through enhancing staff competencies, healthcare organisations can make sure that safety measures are comprehended, appreciated and implemented in practice regularly.</w:t>
      </w:r>
    </w:p>
    <w:p w14:paraId="03806167" w14:textId="77777777" w:rsidR="00561EDE" w:rsidRDefault="00000000">
      <w:pPr>
        <w:pStyle w:val="Heading3"/>
        <w:rPr>
          <w:rFonts w:ascii="Arial" w:eastAsia="Arial" w:hAnsi="Arial" w:cs="Arial"/>
          <w:sz w:val="22"/>
          <w:szCs w:val="22"/>
        </w:rPr>
      </w:pPr>
      <w:bookmarkStart w:id="29" w:name="_heading=h.ygej7pt8nkdk" w:colFirst="0" w:colLast="0"/>
      <w:bookmarkEnd w:id="29"/>
      <w:r>
        <w:rPr>
          <w:rFonts w:ascii="Arial" w:eastAsia="Arial" w:hAnsi="Arial" w:cs="Arial"/>
          <w:sz w:val="22"/>
          <w:szCs w:val="22"/>
        </w:rPr>
        <w:t>2d.4 Problem 4: Governance Failure.</w:t>
      </w:r>
    </w:p>
    <w:p w14:paraId="6F2570C0" w14:textId="77777777" w:rsidR="00561EDE" w:rsidRDefault="00000000">
      <w:pPr>
        <w:rPr>
          <w:rFonts w:ascii="Arial" w:eastAsia="Arial" w:hAnsi="Arial" w:cs="Arial"/>
          <w:sz w:val="22"/>
          <w:szCs w:val="22"/>
        </w:rPr>
      </w:pPr>
      <w:r>
        <w:rPr>
          <w:rFonts w:ascii="Arial" w:eastAsia="Arial" w:hAnsi="Arial" w:cs="Arial"/>
          <w:sz w:val="22"/>
          <w:szCs w:val="22"/>
        </w:rPr>
        <w:t>It is also important to note that there were massive governance failures in the incident especially in regards to oversight, accountability and monitoring. Good governance systems are necessary in that safety measures are put in place and sustained throughout the levels of health provision. The absence of control and the inability to identify deviations in the procedures, in this case, shows the ineffectiveness of the organisational control systems. It has been proposed that poor governance may lead to areas where unsafe practices thrive because there is no accountability and oversight (</w:t>
      </w:r>
      <w:proofErr w:type="spellStart"/>
      <w:r>
        <w:rPr>
          <w:rFonts w:ascii="Arial" w:eastAsia="Arial" w:hAnsi="Arial" w:cs="Arial"/>
          <w:sz w:val="22"/>
          <w:szCs w:val="22"/>
        </w:rPr>
        <w:t>Facey</w:t>
      </w:r>
      <w:proofErr w:type="spellEnd"/>
      <w:r>
        <w:rPr>
          <w:rFonts w:ascii="Arial" w:eastAsia="Arial" w:hAnsi="Arial" w:cs="Arial"/>
          <w:sz w:val="22"/>
          <w:szCs w:val="22"/>
        </w:rPr>
        <w:t xml:space="preserve"> et al., 2024).</w:t>
      </w:r>
    </w:p>
    <w:p w14:paraId="0A6368C5" w14:textId="77777777" w:rsidR="00561EDE" w:rsidRDefault="00000000">
      <w:pPr>
        <w:rPr>
          <w:rFonts w:ascii="Arial" w:eastAsia="Arial" w:hAnsi="Arial" w:cs="Arial"/>
          <w:sz w:val="22"/>
          <w:szCs w:val="22"/>
        </w:rPr>
      </w:pPr>
      <w:r>
        <w:rPr>
          <w:rFonts w:ascii="Arial" w:eastAsia="Arial" w:hAnsi="Arial" w:cs="Arial"/>
          <w:sz w:val="22"/>
          <w:szCs w:val="22"/>
        </w:rPr>
        <w:t>To counter this challenge, healthcare organisations need to improve governing structures by introducing effective audit systems and incident reporting systems. Gaps in practice may be discovered during regular audits, and the transparent reporting systems allow learning on mistakes and making continuous improvement (</w:t>
      </w:r>
      <w:proofErr w:type="spellStart"/>
      <w:r>
        <w:rPr>
          <w:rFonts w:ascii="Arial" w:eastAsia="Arial" w:hAnsi="Arial" w:cs="Arial"/>
          <w:sz w:val="22"/>
          <w:szCs w:val="22"/>
        </w:rPr>
        <w:t>Yun</w:t>
      </w:r>
      <w:proofErr w:type="spellEnd"/>
      <w:r>
        <w:rPr>
          <w:rFonts w:ascii="Arial" w:eastAsia="Arial" w:hAnsi="Arial" w:cs="Arial"/>
          <w:sz w:val="22"/>
          <w:szCs w:val="22"/>
        </w:rPr>
        <w:t xml:space="preserve"> et al., 2023). Moreover, defining lines of accountability will help make sure that the responsibility of patient safety is distributed and tracked accordingly. It is also important to endorse a non-punitive culture that promotes reporting and learning as opposed to blame by leadership to recognise and rectify the weaknesses found in the system.</w:t>
      </w:r>
    </w:p>
    <w:p w14:paraId="22B6FA27" w14:textId="77777777" w:rsidR="00561EDE" w:rsidRDefault="00000000">
      <w:pPr>
        <w:pStyle w:val="Heading3"/>
        <w:rPr>
          <w:rFonts w:ascii="Arial" w:eastAsia="Arial" w:hAnsi="Arial" w:cs="Arial"/>
          <w:sz w:val="22"/>
          <w:szCs w:val="22"/>
        </w:rPr>
      </w:pPr>
      <w:bookmarkStart w:id="30" w:name="_heading=h.qdnb80ktf8x" w:colFirst="0" w:colLast="0"/>
      <w:bookmarkEnd w:id="30"/>
      <w:r>
        <w:rPr>
          <w:rFonts w:ascii="Arial" w:eastAsia="Arial" w:hAnsi="Arial" w:cs="Arial"/>
          <w:sz w:val="22"/>
          <w:szCs w:val="22"/>
        </w:rPr>
        <w:t>2d.5 Technology-Based Improvements</w:t>
      </w:r>
    </w:p>
    <w:p w14:paraId="60A76090" w14:textId="77777777" w:rsidR="00561EDE" w:rsidRDefault="00000000">
      <w:pPr>
        <w:rPr>
          <w:rFonts w:ascii="Arial" w:eastAsia="Arial" w:hAnsi="Arial" w:cs="Arial"/>
          <w:sz w:val="22"/>
          <w:szCs w:val="22"/>
        </w:rPr>
      </w:pPr>
      <w:r>
        <w:rPr>
          <w:rFonts w:ascii="Arial" w:eastAsia="Arial" w:hAnsi="Arial" w:cs="Arial"/>
          <w:sz w:val="22"/>
          <w:szCs w:val="22"/>
        </w:rPr>
        <w:t xml:space="preserve">Technological innovations can provide great opportunities to improve patient safety and decrease the possibility of human error. The misidentification mistake in this case might have been avoided with the introduction of digital identification systems, e.g. barcode scanning and electronic health records. The use of machine learning algorithms and predictive analytics is becoming more common to determine risk factors and enhance clinical decision-making. As an example, supervised machine learning models have been shown to be effective in forecasting </w:t>
      </w:r>
      <w:proofErr w:type="spellStart"/>
      <w:r>
        <w:rPr>
          <w:rFonts w:ascii="Arial" w:eastAsia="Arial" w:hAnsi="Arial" w:cs="Arial"/>
          <w:sz w:val="22"/>
          <w:szCs w:val="22"/>
        </w:rPr>
        <w:t>perioperative</w:t>
      </w:r>
      <w:proofErr w:type="spellEnd"/>
      <w:r>
        <w:rPr>
          <w:rFonts w:ascii="Arial" w:eastAsia="Arial" w:hAnsi="Arial" w:cs="Arial"/>
          <w:sz w:val="22"/>
          <w:szCs w:val="22"/>
        </w:rPr>
        <w:t xml:space="preserve"> risks and provide the opportunity to intervene and achieve better outcomes (Yang et al., 2022).</w:t>
      </w:r>
    </w:p>
    <w:p w14:paraId="10306F93" w14:textId="77777777" w:rsidR="00561EDE" w:rsidRDefault="00000000">
      <w:pPr>
        <w:rPr>
          <w:rFonts w:ascii="Arial" w:eastAsia="Arial" w:hAnsi="Arial" w:cs="Arial"/>
          <w:sz w:val="22"/>
          <w:szCs w:val="22"/>
        </w:rPr>
      </w:pPr>
      <w:r>
        <w:rPr>
          <w:rFonts w:ascii="Arial" w:eastAsia="Arial" w:hAnsi="Arial" w:cs="Arial"/>
          <w:sz w:val="22"/>
          <w:szCs w:val="22"/>
        </w:rPr>
        <w:t>Along with predictive tools, monitoring technologies like infrared thermography are able to assist in early identification of complications and improve surgical safety (Ramirez-GarciaLuna et al., 2022). Although these technologies do not substitute human judgment, they offer an extra level of safety by lessening the dependence on manual processes. Such systems can be costly to implement and require training but can greatly enhance accuracy, efficiency and patient outcomes.</w:t>
      </w:r>
    </w:p>
    <w:p w14:paraId="2D350629" w14:textId="77777777" w:rsidR="00561EDE" w:rsidRDefault="00000000">
      <w:pPr>
        <w:pStyle w:val="Heading3"/>
        <w:rPr>
          <w:rFonts w:ascii="Arial" w:eastAsia="Arial" w:hAnsi="Arial" w:cs="Arial"/>
          <w:sz w:val="22"/>
          <w:szCs w:val="22"/>
        </w:rPr>
      </w:pPr>
      <w:bookmarkStart w:id="31" w:name="_heading=h.5w22fhpp5g53" w:colFirst="0" w:colLast="0"/>
      <w:bookmarkEnd w:id="31"/>
      <w:r>
        <w:rPr>
          <w:rFonts w:ascii="Arial" w:eastAsia="Arial" w:hAnsi="Arial" w:cs="Arial"/>
          <w:sz w:val="22"/>
          <w:szCs w:val="22"/>
        </w:rPr>
        <w:t>2d.6 Lessons Learned</w:t>
      </w:r>
    </w:p>
    <w:p w14:paraId="663A2FBB" w14:textId="77777777" w:rsidR="00561EDE" w:rsidRDefault="00000000">
      <w:pPr>
        <w:rPr>
          <w:rFonts w:ascii="Arial" w:eastAsia="Arial" w:hAnsi="Arial" w:cs="Arial"/>
          <w:sz w:val="22"/>
          <w:szCs w:val="22"/>
        </w:rPr>
      </w:pPr>
      <w:r>
        <w:rPr>
          <w:rFonts w:ascii="Arial" w:eastAsia="Arial" w:hAnsi="Arial" w:cs="Arial"/>
          <w:sz w:val="22"/>
          <w:szCs w:val="22"/>
        </w:rPr>
        <w:t>The major moral of the case is that the failures of patient safety can hardly be attributed to personal negligence and are usually prompted by system flaws. This corresponds with the systems-based approach of the WHO, which highlights that mistakes are caused by the poorly-designed processes and organisational structures, but not by single human error (WHO, 2023). As such, solutions should be provided to systemic problems and not individual responsibility.</w:t>
      </w:r>
    </w:p>
    <w:p w14:paraId="6145F4CB" w14:textId="77777777" w:rsidR="00561EDE" w:rsidRDefault="00000000">
      <w:pPr>
        <w:rPr>
          <w:rFonts w:ascii="Arial" w:eastAsia="Arial" w:hAnsi="Arial" w:cs="Arial"/>
          <w:sz w:val="22"/>
          <w:szCs w:val="22"/>
        </w:rPr>
      </w:pPr>
      <w:r>
        <w:rPr>
          <w:rFonts w:ascii="Arial" w:eastAsia="Arial" w:hAnsi="Arial" w:cs="Arial"/>
          <w:sz w:val="22"/>
          <w:szCs w:val="22"/>
        </w:rPr>
        <w:t>The other valuable lesson is that leadership plays a crucial role in the creation of safety culture. Managers should be able to foster a culture that encourages employees to express themselves freely, oppose decisions, and report any form of abuse without fear of being punished. Psychological safety is a critical element of error prevention as it allows open communication and problem-solving (</w:t>
      </w:r>
      <w:proofErr w:type="spellStart"/>
      <w:r>
        <w:rPr>
          <w:rFonts w:ascii="Arial" w:eastAsia="Arial" w:hAnsi="Arial" w:cs="Arial"/>
          <w:sz w:val="22"/>
          <w:szCs w:val="22"/>
        </w:rPr>
        <w:t>Yun</w:t>
      </w:r>
      <w:proofErr w:type="spellEnd"/>
      <w:r>
        <w:rPr>
          <w:rFonts w:ascii="Arial" w:eastAsia="Arial" w:hAnsi="Arial" w:cs="Arial"/>
          <w:sz w:val="22"/>
          <w:szCs w:val="22"/>
        </w:rPr>
        <w:t xml:space="preserve"> et al., 2023). </w:t>
      </w:r>
    </w:p>
    <w:p w14:paraId="53CD041C" w14:textId="77777777" w:rsidR="00561EDE" w:rsidRDefault="00000000">
      <w:pPr>
        <w:rPr>
          <w:rFonts w:ascii="Arial" w:eastAsia="Arial" w:hAnsi="Arial" w:cs="Arial"/>
          <w:sz w:val="22"/>
          <w:szCs w:val="22"/>
        </w:rPr>
      </w:pPr>
      <w:r>
        <w:rPr>
          <w:rFonts w:ascii="Arial" w:eastAsia="Arial" w:hAnsi="Arial" w:cs="Arial"/>
          <w:sz w:val="22"/>
          <w:szCs w:val="22"/>
        </w:rPr>
        <w:t>Lastly, the case highlights the need to incorporate a robust safety culture into healthcare organisations. This is achieved by giving priority to patient safety at every level, implementing uniformity in the implementation of the protocols, as well as promoting continuous learning and improvement. Since over half of patient harm can be avoided (WHO, 2023), system-level enhancements, leadership growth, and employee involvement are critical in realising long-term advances in healthcare quality and safety.</w:t>
      </w:r>
    </w:p>
    <w:p w14:paraId="7B238361" w14:textId="77777777" w:rsidR="00561EDE" w:rsidRDefault="00000000">
      <w:pPr>
        <w:rPr>
          <w:rFonts w:ascii="Arial" w:eastAsia="Arial" w:hAnsi="Arial" w:cs="Arial"/>
          <w:sz w:val="22"/>
          <w:szCs w:val="22"/>
        </w:rPr>
      </w:pPr>
      <w:r>
        <w:rPr>
          <w:rFonts w:ascii="Arial" w:eastAsia="Arial" w:hAnsi="Arial" w:cs="Arial"/>
          <w:b/>
          <w:bCs/>
          <w:sz w:val="22"/>
          <w:szCs w:val="22"/>
        </w:rPr>
        <w:t>Table 3: Problem – Evidence – Improvement Analysis</w:t>
      </w:r>
      <w:r>
        <w:rPr>
          <w:rFonts w:ascii="Arial" w:eastAsia="Arial" w:hAnsi="Arial" w:cs="Arial"/>
          <w:sz w:val="22"/>
          <w:szCs w:val="22"/>
        </w:rPr>
        <w:t xml:space="preserve"> </w:t>
      </w:r>
    </w:p>
    <w:tbl>
      <w:tblPr>
        <w:tblStyle w:val="a1"/>
        <w:tblW w:w="9025" w:type="dxa"/>
        <w:tblInd w:w="0" w:type="dxa"/>
        <w:tblLayout w:type="fixed"/>
        <w:tblLook w:val="0400" w:firstRow="0" w:lastRow="0" w:firstColumn="0" w:lastColumn="0" w:noHBand="0" w:noVBand="1"/>
      </w:tblPr>
      <w:tblGrid>
        <w:gridCol w:w="1995"/>
        <w:gridCol w:w="3767"/>
        <w:gridCol w:w="3263"/>
      </w:tblGrid>
      <w:tr w:rsidR="00561EDE" w14:paraId="533D4BA4" w14:textId="77777777">
        <w:trPr>
          <w:trHeight w:val="50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741EF2" w14:textId="77777777" w:rsidR="00561EDE" w:rsidRDefault="00000000">
            <w:pPr>
              <w:jc w:val="center"/>
              <w:rPr>
                <w:rFonts w:ascii="Arial" w:eastAsia="Arial" w:hAnsi="Arial" w:cs="Arial"/>
                <w:sz w:val="22"/>
                <w:szCs w:val="22"/>
              </w:rPr>
            </w:pPr>
            <w:r>
              <w:rPr>
                <w:rFonts w:ascii="Arial" w:eastAsia="Arial" w:hAnsi="Arial" w:cs="Arial"/>
                <w:b/>
                <w:bCs/>
                <w:sz w:val="22"/>
                <w:szCs w:val="22"/>
              </w:rPr>
              <w:t>Problem</w:t>
            </w:r>
          </w:p>
        </w:tc>
        <w:tc>
          <w:tcPr>
            <w:tcW w:w="3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D3E363" w14:textId="77777777" w:rsidR="00561EDE" w:rsidRDefault="00000000">
            <w:pPr>
              <w:jc w:val="center"/>
              <w:rPr>
                <w:rFonts w:ascii="Arial" w:eastAsia="Arial" w:hAnsi="Arial" w:cs="Arial"/>
                <w:sz w:val="22"/>
                <w:szCs w:val="22"/>
              </w:rPr>
            </w:pPr>
            <w:r>
              <w:rPr>
                <w:rFonts w:ascii="Arial" w:eastAsia="Arial" w:hAnsi="Arial" w:cs="Arial"/>
                <w:b/>
                <w:bCs/>
                <w:sz w:val="22"/>
                <w:szCs w:val="22"/>
              </w:rPr>
              <w:t>Evidence / Data</w:t>
            </w:r>
          </w:p>
        </w:tc>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70CA8" w14:textId="77777777" w:rsidR="00561EDE" w:rsidRDefault="00000000">
            <w:pPr>
              <w:jc w:val="center"/>
              <w:rPr>
                <w:rFonts w:ascii="Arial" w:eastAsia="Arial" w:hAnsi="Arial" w:cs="Arial"/>
                <w:sz w:val="22"/>
                <w:szCs w:val="22"/>
              </w:rPr>
            </w:pPr>
            <w:r>
              <w:rPr>
                <w:rFonts w:ascii="Arial" w:eastAsia="Arial" w:hAnsi="Arial" w:cs="Arial"/>
                <w:b/>
                <w:bCs/>
                <w:sz w:val="22"/>
                <w:szCs w:val="22"/>
              </w:rPr>
              <w:t>Improvement Strategy</w:t>
            </w:r>
          </w:p>
        </w:tc>
      </w:tr>
      <w:tr w:rsidR="00561EDE" w14:paraId="74D7D33C" w14:textId="77777777">
        <w:trPr>
          <w:trHeight w:val="131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8BBEC6" w14:textId="77777777" w:rsidR="00561EDE" w:rsidRDefault="00000000">
            <w:pPr>
              <w:rPr>
                <w:rFonts w:ascii="Arial" w:eastAsia="Arial" w:hAnsi="Arial" w:cs="Arial"/>
                <w:sz w:val="22"/>
                <w:szCs w:val="22"/>
              </w:rPr>
            </w:pPr>
            <w:r>
              <w:rPr>
                <w:rFonts w:ascii="Arial" w:eastAsia="Arial" w:hAnsi="Arial" w:cs="Arial"/>
                <w:sz w:val="22"/>
                <w:szCs w:val="22"/>
              </w:rPr>
              <w:t>Patient misidentification</w:t>
            </w:r>
          </w:p>
        </w:tc>
        <w:tc>
          <w:tcPr>
            <w:tcW w:w="3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296DC" w14:textId="77777777" w:rsidR="00561EDE" w:rsidRDefault="00000000">
            <w:pPr>
              <w:rPr>
                <w:rFonts w:ascii="Arial" w:eastAsia="Arial" w:hAnsi="Arial" w:cs="Arial"/>
                <w:sz w:val="22"/>
                <w:szCs w:val="22"/>
              </w:rPr>
            </w:pPr>
            <w:r>
              <w:rPr>
                <w:rFonts w:ascii="Arial" w:eastAsia="Arial" w:hAnsi="Arial" w:cs="Arial"/>
                <w:sz w:val="22"/>
                <w:szCs w:val="22"/>
              </w:rPr>
              <w:t>12.3% of sentinel events linked to ID errors (WHO, 2023); wrong-patient surgery in case</w:t>
            </w:r>
          </w:p>
        </w:tc>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2432C" w14:textId="77777777" w:rsidR="00561EDE" w:rsidRDefault="00000000">
            <w:pPr>
              <w:rPr>
                <w:rFonts w:ascii="Arial" w:eastAsia="Arial" w:hAnsi="Arial" w:cs="Arial"/>
                <w:sz w:val="22"/>
                <w:szCs w:val="22"/>
              </w:rPr>
            </w:pPr>
            <w:r>
              <w:rPr>
                <w:rFonts w:ascii="Arial" w:eastAsia="Arial" w:hAnsi="Arial" w:cs="Arial"/>
                <w:sz w:val="22"/>
                <w:szCs w:val="22"/>
              </w:rPr>
              <w:t>Mandatory use of surgical safety checklist; strict ID verification protocols before anaesthesia (</w:t>
            </w:r>
            <w:proofErr w:type="spellStart"/>
            <w:r>
              <w:rPr>
                <w:rFonts w:ascii="Arial" w:eastAsia="Arial" w:hAnsi="Arial" w:cs="Arial"/>
                <w:sz w:val="22"/>
                <w:szCs w:val="22"/>
              </w:rPr>
              <w:t>Gul</w:t>
            </w:r>
            <w:proofErr w:type="spellEnd"/>
            <w:r>
              <w:rPr>
                <w:rFonts w:ascii="Arial" w:eastAsia="Arial" w:hAnsi="Arial" w:cs="Arial"/>
                <w:sz w:val="22"/>
                <w:szCs w:val="22"/>
              </w:rPr>
              <w:t xml:space="preserve"> et al., 2022)</w:t>
            </w:r>
          </w:p>
        </w:tc>
      </w:tr>
      <w:tr w:rsidR="00561EDE" w14:paraId="29C78224" w14:textId="77777777">
        <w:trPr>
          <w:trHeight w:val="158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FA65A" w14:textId="77777777" w:rsidR="00561EDE" w:rsidRDefault="00000000">
            <w:pPr>
              <w:rPr>
                <w:rFonts w:ascii="Arial" w:eastAsia="Arial" w:hAnsi="Arial" w:cs="Arial"/>
                <w:sz w:val="22"/>
                <w:szCs w:val="22"/>
              </w:rPr>
            </w:pPr>
            <w:r>
              <w:rPr>
                <w:rFonts w:ascii="Arial" w:eastAsia="Arial" w:hAnsi="Arial" w:cs="Arial"/>
                <w:sz w:val="22"/>
                <w:szCs w:val="22"/>
              </w:rPr>
              <w:t>Poor checklist compliance</w:t>
            </w:r>
          </w:p>
        </w:tc>
        <w:tc>
          <w:tcPr>
            <w:tcW w:w="3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D806B" w14:textId="77777777" w:rsidR="00561EDE" w:rsidRDefault="00000000">
            <w:pPr>
              <w:rPr>
                <w:rFonts w:ascii="Arial" w:eastAsia="Arial" w:hAnsi="Arial" w:cs="Arial"/>
                <w:sz w:val="22"/>
                <w:szCs w:val="22"/>
              </w:rPr>
            </w:pPr>
            <w:r>
              <w:rPr>
                <w:rFonts w:ascii="Arial" w:eastAsia="Arial" w:hAnsi="Arial" w:cs="Arial"/>
                <w:sz w:val="22"/>
                <w:szCs w:val="22"/>
              </w:rPr>
              <w:t>Checklist non-adherence linked to weak teamwork and leadership gaps (Lim et al., 2023); staff skipping steps due to workflow pressure (</w:t>
            </w:r>
            <w:proofErr w:type="spellStart"/>
            <w:r>
              <w:rPr>
                <w:rFonts w:ascii="Arial" w:eastAsia="Arial" w:hAnsi="Arial" w:cs="Arial"/>
                <w:sz w:val="22"/>
                <w:szCs w:val="22"/>
              </w:rPr>
              <w:t>Munthali</w:t>
            </w:r>
            <w:proofErr w:type="spellEnd"/>
            <w:r>
              <w:rPr>
                <w:rFonts w:ascii="Arial" w:eastAsia="Arial" w:hAnsi="Arial" w:cs="Arial"/>
                <w:sz w:val="22"/>
                <w:szCs w:val="22"/>
              </w:rPr>
              <w:t xml:space="preserve"> et al., 2023)</w:t>
            </w:r>
          </w:p>
        </w:tc>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A46BC6" w14:textId="77777777" w:rsidR="00561EDE" w:rsidRDefault="00000000">
            <w:pPr>
              <w:rPr>
                <w:rFonts w:ascii="Arial" w:eastAsia="Arial" w:hAnsi="Arial" w:cs="Arial"/>
                <w:sz w:val="22"/>
                <w:szCs w:val="22"/>
              </w:rPr>
            </w:pPr>
            <w:r>
              <w:rPr>
                <w:rFonts w:ascii="Arial" w:eastAsia="Arial" w:hAnsi="Arial" w:cs="Arial"/>
                <w:sz w:val="22"/>
                <w:szCs w:val="22"/>
              </w:rPr>
              <w:t>Strengthen checklist compliance through audits, leadership enforcement, and embedding into performance systems</w:t>
            </w:r>
          </w:p>
        </w:tc>
      </w:tr>
      <w:tr w:rsidR="00561EDE" w14:paraId="0F129F2E" w14:textId="77777777">
        <w:trPr>
          <w:trHeight w:val="131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8788A" w14:textId="77777777" w:rsidR="00561EDE" w:rsidRDefault="00000000">
            <w:pPr>
              <w:rPr>
                <w:rFonts w:ascii="Arial" w:eastAsia="Arial" w:hAnsi="Arial" w:cs="Arial"/>
                <w:sz w:val="22"/>
                <w:szCs w:val="22"/>
              </w:rPr>
            </w:pPr>
            <w:r>
              <w:rPr>
                <w:rFonts w:ascii="Arial" w:eastAsia="Arial" w:hAnsi="Arial" w:cs="Arial"/>
                <w:sz w:val="22"/>
                <w:szCs w:val="22"/>
              </w:rPr>
              <w:t>Weak training and competency</w:t>
            </w:r>
          </w:p>
        </w:tc>
        <w:tc>
          <w:tcPr>
            <w:tcW w:w="3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541B1" w14:textId="77777777" w:rsidR="00561EDE" w:rsidRDefault="00000000">
            <w:pPr>
              <w:rPr>
                <w:rFonts w:ascii="Arial" w:eastAsia="Arial" w:hAnsi="Arial" w:cs="Arial"/>
                <w:sz w:val="22"/>
                <w:szCs w:val="22"/>
              </w:rPr>
            </w:pPr>
            <w:r>
              <w:rPr>
                <w:rFonts w:ascii="Arial" w:eastAsia="Arial" w:hAnsi="Arial" w:cs="Arial"/>
                <w:sz w:val="22"/>
                <w:szCs w:val="22"/>
              </w:rPr>
              <w:t>Staff failed to recognise missing preoperative steps; lack of situational awareness (</w:t>
            </w:r>
            <w:proofErr w:type="spellStart"/>
            <w:r>
              <w:rPr>
                <w:rFonts w:ascii="Arial" w:eastAsia="Arial" w:hAnsi="Arial" w:cs="Arial"/>
                <w:sz w:val="22"/>
                <w:szCs w:val="22"/>
              </w:rPr>
              <w:t>Ferorelli</w:t>
            </w:r>
            <w:proofErr w:type="spellEnd"/>
            <w:r>
              <w:rPr>
                <w:rFonts w:ascii="Arial" w:eastAsia="Arial" w:hAnsi="Arial" w:cs="Arial"/>
                <w:sz w:val="22"/>
                <w:szCs w:val="22"/>
              </w:rPr>
              <w:t xml:space="preserve"> et al., 2022)</w:t>
            </w:r>
          </w:p>
        </w:tc>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5EAEF" w14:textId="77777777" w:rsidR="00561EDE" w:rsidRDefault="00000000">
            <w:pPr>
              <w:rPr>
                <w:rFonts w:ascii="Arial" w:eastAsia="Arial" w:hAnsi="Arial" w:cs="Arial"/>
                <w:sz w:val="22"/>
                <w:szCs w:val="22"/>
              </w:rPr>
            </w:pPr>
            <w:r>
              <w:rPr>
                <w:rFonts w:ascii="Arial" w:eastAsia="Arial" w:hAnsi="Arial" w:cs="Arial"/>
                <w:sz w:val="22"/>
                <w:szCs w:val="22"/>
              </w:rPr>
              <w:t>Continuous professional development, simulation-based training, and competency assessments (</w:t>
            </w:r>
            <w:proofErr w:type="spellStart"/>
            <w:r>
              <w:rPr>
                <w:rFonts w:ascii="Arial" w:eastAsia="Arial" w:hAnsi="Arial" w:cs="Arial"/>
                <w:sz w:val="22"/>
                <w:szCs w:val="22"/>
              </w:rPr>
              <w:t>Ebeck</w:t>
            </w:r>
            <w:proofErr w:type="spellEnd"/>
            <w:r>
              <w:rPr>
                <w:rFonts w:ascii="Arial" w:eastAsia="Arial" w:hAnsi="Arial" w:cs="Arial"/>
                <w:sz w:val="22"/>
                <w:szCs w:val="22"/>
              </w:rPr>
              <w:t>, 2022)</w:t>
            </w:r>
          </w:p>
        </w:tc>
      </w:tr>
      <w:tr w:rsidR="00561EDE" w14:paraId="23343D12" w14:textId="77777777">
        <w:trPr>
          <w:trHeight w:val="131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715EB5" w14:textId="77777777" w:rsidR="00561EDE" w:rsidRDefault="00000000">
            <w:pPr>
              <w:rPr>
                <w:rFonts w:ascii="Arial" w:eastAsia="Arial" w:hAnsi="Arial" w:cs="Arial"/>
                <w:sz w:val="22"/>
                <w:szCs w:val="22"/>
              </w:rPr>
            </w:pPr>
            <w:r>
              <w:rPr>
                <w:rFonts w:ascii="Arial" w:eastAsia="Arial" w:hAnsi="Arial" w:cs="Arial"/>
                <w:sz w:val="22"/>
                <w:szCs w:val="22"/>
              </w:rPr>
              <w:t>Governance failure</w:t>
            </w:r>
          </w:p>
        </w:tc>
        <w:tc>
          <w:tcPr>
            <w:tcW w:w="3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B2C09" w14:textId="77777777" w:rsidR="00561EDE" w:rsidRDefault="00000000">
            <w:pPr>
              <w:rPr>
                <w:rFonts w:ascii="Arial" w:eastAsia="Arial" w:hAnsi="Arial" w:cs="Arial"/>
                <w:sz w:val="22"/>
                <w:szCs w:val="22"/>
              </w:rPr>
            </w:pPr>
            <w:r>
              <w:rPr>
                <w:rFonts w:ascii="Arial" w:eastAsia="Arial" w:hAnsi="Arial" w:cs="Arial"/>
                <w:sz w:val="22"/>
                <w:szCs w:val="22"/>
              </w:rPr>
              <w:t>Lack of monitoring and accountability systems allowed unsafe practices (</w:t>
            </w:r>
            <w:proofErr w:type="spellStart"/>
            <w:r>
              <w:rPr>
                <w:rFonts w:ascii="Arial" w:eastAsia="Arial" w:hAnsi="Arial" w:cs="Arial"/>
                <w:sz w:val="22"/>
                <w:szCs w:val="22"/>
              </w:rPr>
              <w:t>Facey</w:t>
            </w:r>
            <w:proofErr w:type="spellEnd"/>
            <w:r>
              <w:rPr>
                <w:rFonts w:ascii="Arial" w:eastAsia="Arial" w:hAnsi="Arial" w:cs="Arial"/>
                <w:sz w:val="22"/>
                <w:szCs w:val="22"/>
              </w:rPr>
              <w:t xml:space="preserve"> et al., 2024)</w:t>
            </w:r>
          </w:p>
        </w:tc>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E5066D" w14:textId="77777777" w:rsidR="00561EDE" w:rsidRDefault="00000000">
            <w:pPr>
              <w:rPr>
                <w:rFonts w:ascii="Arial" w:eastAsia="Arial" w:hAnsi="Arial" w:cs="Arial"/>
                <w:sz w:val="22"/>
                <w:szCs w:val="22"/>
              </w:rPr>
            </w:pPr>
            <w:r>
              <w:rPr>
                <w:rFonts w:ascii="Arial" w:eastAsia="Arial" w:hAnsi="Arial" w:cs="Arial"/>
                <w:sz w:val="22"/>
                <w:szCs w:val="22"/>
              </w:rPr>
              <w:t>Implement audit systems, incident reporting frameworks, and clear accountability structures</w:t>
            </w:r>
          </w:p>
        </w:tc>
      </w:tr>
      <w:tr w:rsidR="00561EDE" w14:paraId="264137BB" w14:textId="77777777">
        <w:trPr>
          <w:trHeight w:val="1310"/>
        </w:trPr>
        <w:tc>
          <w:tcPr>
            <w:tcW w:w="19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179B3B" w14:textId="77777777" w:rsidR="00561EDE" w:rsidRDefault="00000000">
            <w:pPr>
              <w:rPr>
                <w:rFonts w:ascii="Arial" w:eastAsia="Arial" w:hAnsi="Arial" w:cs="Arial"/>
                <w:sz w:val="22"/>
                <w:szCs w:val="22"/>
              </w:rPr>
            </w:pPr>
            <w:r>
              <w:rPr>
                <w:rFonts w:ascii="Arial" w:eastAsia="Arial" w:hAnsi="Arial" w:cs="Arial"/>
                <w:sz w:val="22"/>
                <w:szCs w:val="22"/>
              </w:rPr>
              <w:t>Technology gaps</w:t>
            </w:r>
          </w:p>
        </w:tc>
        <w:tc>
          <w:tcPr>
            <w:tcW w:w="3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AAE90B" w14:textId="77777777" w:rsidR="00561EDE" w:rsidRDefault="00000000">
            <w:pPr>
              <w:rPr>
                <w:rFonts w:ascii="Arial" w:eastAsia="Arial" w:hAnsi="Arial" w:cs="Arial"/>
                <w:sz w:val="22"/>
                <w:szCs w:val="22"/>
              </w:rPr>
            </w:pPr>
            <w:r>
              <w:rPr>
                <w:rFonts w:ascii="Arial" w:eastAsia="Arial" w:hAnsi="Arial" w:cs="Arial"/>
                <w:sz w:val="22"/>
                <w:szCs w:val="22"/>
              </w:rPr>
              <w:t>Absence of digital ID systems increased reliance on human judgement (Yang et al., 2022)</w:t>
            </w:r>
          </w:p>
        </w:tc>
        <w:tc>
          <w:tcPr>
            <w:tcW w:w="32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B3732" w14:textId="77777777" w:rsidR="00561EDE" w:rsidRDefault="00000000">
            <w:pPr>
              <w:rPr>
                <w:rFonts w:ascii="Arial" w:eastAsia="Arial" w:hAnsi="Arial" w:cs="Arial"/>
                <w:sz w:val="22"/>
                <w:szCs w:val="22"/>
              </w:rPr>
            </w:pPr>
            <w:r>
              <w:rPr>
                <w:rFonts w:ascii="Arial" w:eastAsia="Arial" w:hAnsi="Arial" w:cs="Arial"/>
                <w:sz w:val="22"/>
                <w:szCs w:val="22"/>
              </w:rPr>
              <w:t>Introduce barcode scanning, EHR systems, and AI-based risk prediction tools (Ramirez-GarciaLuna et al., 2022)</w:t>
            </w:r>
          </w:p>
        </w:tc>
      </w:tr>
    </w:tbl>
    <w:p w14:paraId="2F03CE1C" w14:textId="77777777" w:rsidR="00561EDE" w:rsidRDefault="00561EDE">
      <w:pPr>
        <w:rPr>
          <w:rFonts w:ascii="Arial" w:eastAsia="Arial" w:hAnsi="Arial" w:cs="Arial"/>
          <w:sz w:val="22"/>
          <w:szCs w:val="22"/>
        </w:rPr>
      </w:pPr>
    </w:p>
    <w:p w14:paraId="4006E575" w14:textId="77777777" w:rsidR="00561EDE" w:rsidRDefault="00000000">
      <w:pPr>
        <w:pStyle w:val="Heading1"/>
        <w:rPr>
          <w:rFonts w:ascii="Arial" w:eastAsia="Arial" w:hAnsi="Arial" w:cs="Arial"/>
          <w:sz w:val="22"/>
          <w:szCs w:val="22"/>
        </w:rPr>
      </w:pPr>
      <w:bookmarkStart w:id="32" w:name="_heading=h.zfggbnpnh0z5" w:colFirst="0" w:colLast="0"/>
      <w:bookmarkEnd w:id="32"/>
      <w:r>
        <w:rPr>
          <w:rFonts w:ascii="Arial" w:eastAsia="Arial" w:hAnsi="Arial" w:cs="Arial"/>
          <w:sz w:val="22"/>
          <w:szCs w:val="22"/>
        </w:rPr>
        <w:t xml:space="preserve">3. Recommendations </w:t>
      </w:r>
    </w:p>
    <w:p w14:paraId="639D98D0" w14:textId="77777777" w:rsidR="00561EDE" w:rsidRDefault="00000000">
      <w:pPr>
        <w:pStyle w:val="Heading2"/>
        <w:rPr>
          <w:rFonts w:ascii="Arial" w:eastAsia="Arial" w:hAnsi="Arial" w:cs="Arial"/>
          <w:sz w:val="22"/>
          <w:szCs w:val="22"/>
        </w:rPr>
      </w:pPr>
      <w:bookmarkStart w:id="33" w:name="_heading=h.y7qu1y83ht85" w:colFirst="0" w:colLast="0"/>
      <w:bookmarkEnd w:id="33"/>
      <w:r>
        <w:rPr>
          <w:rFonts w:ascii="Arial" w:eastAsia="Arial" w:hAnsi="Arial" w:cs="Arial"/>
          <w:sz w:val="22"/>
          <w:szCs w:val="22"/>
        </w:rPr>
        <w:t>3.1 Leadership Recommendations</w:t>
      </w:r>
    </w:p>
    <w:p w14:paraId="2FFC3F33" w14:textId="77777777" w:rsidR="00561EDE" w:rsidRDefault="00000000">
      <w:pPr>
        <w:rPr>
          <w:rFonts w:ascii="Arial" w:eastAsia="Arial" w:hAnsi="Arial" w:cs="Arial"/>
          <w:sz w:val="22"/>
          <w:szCs w:val="22"/>
        </w:rPr>
      </w:pPr>
      <w:r>
        <w:rPr>
          <w:rFonts w:ascii="Arial" w:eastAsia="Arial" w:hAnsi="Arial" w:cs="Arial"/>
          <w:sz w:val="22"/>
          <w:szCs w:val="22"/>
        </w:rPr>
        <w:t>The case results clearly point to the fact that leadership was the core of facilitating the circumstances in which the error was committed. It is necessary to have a shift towards transformational and situational form of leadership (</w:t>
      </w:r>
      <w:proofErr w:type="spellStart"/>
      <w:r>
        <w:rPr>
          <w:rFonts w:ascii="Arial" w:eastAsia="Arial" w:hAnsi="Arial" w:cs="Arial"/>
          <w:sz w:val="22"/>
          <w:szCs w:val="22"/>
        </w:rPr>
        <w:t>Neuendorf</w:t>
      </w:r>
      <w:proofErr w:type="spellEnd"/>
      <w:r>
        <w:rPr>
          <w:rFonts w:ascii="Arial" w:eastAsia="Arial" w:hAnsi="Arial" w:cs="Arial"/>
          <w:sz w:val="22"/>
          <w:szCs w:val="22"/>
        </w:rPr>
        <w:t>, 2025). Transformational leadership aims at developing a common patient safety vision, encouraging employees, and promoting an open and accountable culture. Situational leadership, on the other hand, allows leaders to change their approach depending on the clinical circumstances, staff competence and the urgency of the situation. There are indications that a combination of these methods can lead to better responsiveness, engagement, and general safety outcomes among teams (</w:t>
      </w:r>
      <w:proofErr w:type="spellStart"/>
      <w:r>
        <w:rPr>
          <w:rFonts w:ascii="Arial" w:eastAsia="Arial" w:hAnsi="Arial" w:cs="Arial"/>
          <w:sz w:val="22"/>
          <w:szCs w:val="22"/>
        </w:rPr>
        <w:t>Miralrio</w:t>
      </w:r>
      <w:proofErr w:type="spellEnd"/>
      <w:r>
        <w:rPr>
          <w:rFonts w:ascii="Arial" w:eastAsia="Arial" w:hAnsi="Arial" w:cs="Arial"/>
          <w:sz w:val="22"/>
          <w:szCs w:val="22"/>
        </w:rPr>
        <w:t xml:space="preserve"> and </w:t>
      </w:r>
      <w:proofErr w:type="spellStart"/>
      <w:r>
        <w:rPr>
          <w:rFonts w:ascii="Arial" w:eastAsia="Arial" w:hAnsi="Arial" w:cs="Arial"/>
          <w:sz w:val="22"/>
          <w:szCs w:val="22"/>
        </w:rPr>
        <w:t>Tuka</w:t>
      </w:r>
      <w:proofErr w:type="spellEnd"/>
      <w:r>
        <w:rPr>
          <w:rFonts w:ascii="Arial" w:eastAsia="Arial" w:hAnsi="Arial" w:cs="Arial"/>
          <w:sz w:val="22"/>
          <w:szCs w:val="22"/>
        </w:rPr>
        <w:t>, 2025).</w:t>
      </w:r>
    </w:p>
    <w:p w14:paraId="7B1166FC" w14:textId="77777777" w:rsidR="00561EDE" w:rsidRDefault="00000000">
      <w:pPr>
        <w:rPr>
          <w:rFonts w:ascii="Arial" w:eastAsia="Arial" w:hAnsi="Arial" w:cs="Arial"/>
          <w:sz w:val="22"/>
          <w:szCs w:val="22"/>
        </w:rPr>
      </w:pPr>
      <w:r>
        <w:rPr>
          <w:rFonts w:ascii="Arial" w:eastAsia="Arial" w:hAnsi="Arial" w:cs="Arial"/>
          <w:sz w:val="22"/>
          <w:szCs w:val="22"/>
        </w:rPr>
        <w:t>Most importantly, leadership should no longer be based on hierarchical and command-driven leadership models but rather on inclusive and participative leadership. Lack of psychological safety in the Kota case meant that the staff did not question the decisions and this had a direct cause of the error (</w:t>
      </w:r>
      <w:proofErr w:type="spellStart"/>
      <w:r>
        <w:rPr>
          <w:rFonts w:ascii="Arial" w:eastAsia="Arial" w:hAnsi="Arial" w:cs="Arial"/>
          <w:sz w:val="22"/>
          <w:szCs w:val="22"/>
        </w:rPr>
        <w:t>Gómez-Dos-Santos</w:t>
      </w:r>
      <w:proofErr w:type="spellEnd"/>
      <w:r>
        <w:rPr>
          <w:rFonts w:ascii="Arial" w:eastAsia="Arial" w:hAnsi="Arial" w:cs="Arial"/>
          <w:sz w:val="22"/>
          <w:szCs w:val="22"/>
        </w:rPr>
        <w:t xml:space="preserve"> et al., 2023). </w:t>
      </w:r>
    </w:p>
    <w:p w14:paraId="65A8BB1E" w14:textId="77777777" w:rsidR="00561EDE" w:rsidRDefault="00000000">
      <w:pPr>
        <w:pStyle w:val="Heading2"/>
        <w:rPr>
          <w:rFonts w:ascii="Arial" w:eastAsia="Arial" w:hAnsi="Arial" w:cs="Arial"/>
          <w:sz w:val="22"/>
          <w:szCs w:val="22"/>
        </w:rPr>
      </w:pPr>
      <w:bookmarkStart w:id="34" w:name="_heading=h.wt3wqjcnltqk" w:colFirst="0" w:colLast="0"/>
      <w:bookmarkEnd w:id="34"/>
      <w:r>
        <w:rPr>
          <w:rFonts w:ascii="Arial" w:eastAsia="Arial" w:hAnsi="Arial" w:cs="Arial"/>
          <w:sz w:val="22"/>
          <w:szCs w:val="22"/>
        </w:rPr>
        <w:t>3.2 Governance Improvements</w:t>
      </w:r>
    </w:p>
    <w:p w14:paraId="151F6B8E" w14:textId="77777777" w:rsidR="00561EDE" w:rsidRDefault="00000000">
      <w:pPr>
        <w:rPr>
          <w:rFonts w:ascii="Arial" w:eastAsia="Arial" w:hAnsi="Arial" w:cs="Arial"/>
          <w:sz w:val="22"/>
          <w:szCs w:val="22"/>
        </w:rPr>
      </w:pPr>
      <w:r>
        <w:rPr>
          <w:rFonts w:ascii="Arial" w:eastAsia="Arial" w:hAnsi="Arial" w:cs="Arial"/>
          <w:sz w:val="22"/>
          <w:szCs w:val="22"/>
        </w:rPr>
        <w:t>The governance systems should be tightened so that safety measures are not merely put in place but also implemented on a regular basis. Nobody was accountable as the case showed that the fundamental practices like identification of the patient were not identified at all. As a solution to this, organisations must adopt strong governance systems that encompass well-defined lines of accountability, compulsory compliance audits, and routine audits of clinical activities (</w:t>
      </w:r>
      <w:proofErr w:type="spellStart"/>
      <w:r>
        <w:rPr>
          <w:rFonts w:ascii="Arial" w:eastAsia="Arial" w:hAnsi="Arial" w:cs="Arial"/>
          <w:sz w:val="22"/>
          <w:szCs w:val="22"/>
        </w:rPr>
        <w:t>Yuanyuan</w:t>
      </w:r>
      <w:proofErr w:type="spellEnd"/>
      <w:r>
        <w:rPr>
          <w:rFonts w:ascii="Arial" w:eastAsia="Arial" w:hAnsi="Arial" w:cs="Arial"/>
          <w:sz w:val="22"/>
          <w:szCs w:val="22"/>
        </w:rPr>
        <w:t xml:space="preserve"> et al., 2023).</w:t>
      </w:r>
    </w:p>
    <w:p w14:paraId="716DF183" w14:textId="77777777" w:rsidR="00561EDE" w:rsidRDefault="00000000">
      <w:pPr>
        <w:rPr>
          <w:rFonts w:ascii="Arial" w:eastAsia="Arial" w:hAnsi="Arial" w:cs="Arial"/>
          <w:sz w:val="22"/>
          <w:szCs w:val="22"/>
        </w:rPr>
      </w:pPr>
      <w:r>
        <w:rPr>
          <w:rFonts w:ascii="Arial" w:eastAsia="Arial" w:hAnsi="Arial" w:cs="Arial"/>
          <w:sz w:val="22"/>
          <w:szCs w:val="22"/>
        </w:rPr>
        <w:t>Standardised guidelines, especially in high risk procedures, like surgery, should be followed to the letter. Also, a system of accountability must allow detecting non-adherence to protocols and responding to the problem as soon as possible (</w:t>
      </w:r>
      <w:proofErr w:type="spellStart"/>
      <w:r>
        <w:rPr>
          <w:rFonts w:ascii="Arial" w:eastAsia="Arial" w:hAnsi="Arial" w:cs="Arial"/>
          <w:sz w:val="22"/>
          <w:szCs w:val="22"/>
        </w:rPr>
        <w:t>Ansari</w:t>
      </w:r>
      <w:proofErr w:type="spellEnd"/>
      <w:r>
        <w:rPr>
          <w:rFonts w:ascii="Arial" w:eastAsia="Arial" w:hAnsi="Arial" w:cs="Arial"/>
          <w:sz w:val="22"/>
          <w:szCs w:val="22"/>
        </w:rPr>
        <w:t xml:space="preserve"> and </w:t>
      </w:r>
      <w:proofErr w:type="spellStart"/>
      <w:r>
        <w:rPr>
          <w:rFonts w:ascii="Arial" w:eastAsia="Arial" w:hAnsi="Arial" w:cs="Arial"/>
          <w:sz w:val="22"/>
          <w:szCs w:val="22"/>
        </w:rPr>
        <w:t>Darvishi</w:t>
      </w:r>
      <w:proofErr w:type="spellEnd"/>
      <w:r>
        <w:rPr>
          <w:rFonts w:ascii="Arial" w:eastAsia="Arial" w:hAnsi="Arial" w:cs="Arial"/>
          <w:sz w:val="22"/>
          <w:szCs w:val="22"/>
        </w:rPr>
        <w:t xml:space="preserve">, 2024).  </w:t>
      </w:r>
    </w:p>
    <w:p w14:paraId="21D72102" w14:textId="77777777" w:rsidR="00561EDE" w:rsidRDefault="00000000">
      <w:pPr>
        <w:pStyle w:val="Heading2"/>
        <w:rPr>
          <w:rFonts w:ascii="Arial" w:eastAsia="Arial" w:hAnsi="Arial" w:cs="Arial"/>
          <w:sz w:val="22"/>
          <w:szCs w:val="22"/>
        </w:rPr>
      </w:pPr>
      <w:bookmarkStart w:id="35" w:name="_heading=h.k6enlkoucazp" w:colFirst="0" w:colLast="0"/>
      <w:bookmarkEnd w:id="35"/>
      <w:r>
        <w:rPr>
          <w:rFonts w:ascii="Arial" w:eastAsia="Arial" w:hAnsi="Arial" w:cs="Arial"/>
          <w:sz w:val="22"/>
          <w:szCs w:val="22"/>
        </w:rPr>
        <w:t>3.3 Communication Improvements</w:t>
      </w:r>
    </w:p>
    <w:p w14:paraId="551A0B4A" w14:textId="77777777" w:rsidR="00561EDE" w:rsidRDefault="00000000">
      <w:pPr>
        <w:rPr>
          <w:rFonts w:ascii="Arial" w:eastAsia="Arial" w:hAnsi="Arial" w:cs="Arial"/>
          <w:sz w:val="22"/>
          <w:szCs w:val="22"/>
        </w:rPr>
      </w:pPr>
      <w:r>
        <w:rPr>
          <w:rFonts w:ascii="Arial" w:eastAsia="Arial" w:hAnsi="Arial" w:cs="Arial"/>
          <w:sz w:val="22"/>
          <w:szCs w:val="22"/>
        </w:rPr>
        <w:t>Communication breakdown was also a major contributing factor in this incident and this illustrates the necessity to have systematic and cohesive communication practices. Regular safety briefing, including preoperative time-outs and daily safety huddles, can greatly enhance the situation awareness and coordination of the team (</w:t>
      </w:r>
      <w:proofErr w:type="spellStart"/>
      <w:r>
        <w:rPr>
          <w:rFonts w:ascii="Arial" w:eastAsia="Arial" w:hAnsi="Arial" w:cs="Arial"/>
          <w:sz w:val="22"/>
          <w:szCs w:val="22"/>
        </w:rPr>
        <w:t>Haque</w:t>
      </w:r>
      <w:proofErr w:type="spellEnd"/>
      <w:r>
        <w:rPr>
          <w:rFonts w:ascii="Arial" w:eastAsia="Arial" w:hAnsi="Arial" w:cs="Arial"/>
          <w:sz w:val="22"/>
          <w:szCs w:val="22"/>
        </w:rPr>
        <w:t xml:space="preserve"> et al., 2024). The practices will make sure that every team member is on the same page regarding patient information, steps to follow, and possible risks prior to any intervention.</w:t>
      </w:r>
    </w:p>
    <w:p w14:paraId="632FED3F" w14:textId="77777777" w:rsidR="00561EDE" w:rsidRDefault="00000000">
      <w:pPr>
        <w:rPr>
          <w:rFonts w:ascii="Arial" w:eastAsia="Arial" w:hAnsi="Arial" w:cs="Arial"/>
          <w:sz w:val="22"/>
          <w:szCs w:val="22"/>
        </w:rPr>
      </w:pPr>
      <w:r>
        <w:rPr>
          <w:rFonts w:ascii="Arial" w:eastAsia="Arial" w:hAnsi="Arial" w:cs="Arial"/>
          <w:sz w:val="22"/>
          <w:szCs w:val="22"/>
        </w:rPr>
        <w:t>Interdisciplinary collaboration is also a key to effective communication and all the team members, no matter their hierarchies, should be encouraged to contribute. This can be facilitated with the help of training in communication skills, including closed-loop communication and assertiveness methods (</w:t>
      </w:r>
      <w:proofErr w:type="spellStart"/>
      <w:r>
        <w:rPr>
          <w:rFonts w:ascii="Arial" w:eastAsia="Arial" w:hAnsi="Arial" w:cs="Arial"/>
          <w:sz w:val="22"/>
          <w:szCs w:val="22"/>
        </w:rPr>
        <w:t>Neuendorf</w:t>
      </w:r>
      <w:proofErr w:type="spellEnd"/>
      <w:r>
        <w:rPr>
          <w:rFonts w:ascii="Arial" w:eastAsia="Arial" w:hAnsi="Arial" w:cs="Arial"/>
          <w:sz w:val="22"/>
          <w:szCs w:val="22"/>
        </w:rPr>
        <w:t xml:space="preserve">, 2025). </w:t>
      </w:r>
    </w:p>
    <w:p w14:paraId="40AD8226" w14:textId="77777777" w:rsidR="00561EDE" w:rsidRDefault="00000000">
      <w:pPr>
        <w:pStyle w:val="Heading2"/>
        <w:rPr>
          <w:rFonts w:ascii="Arial" w:eastAsia="Arial" w:hAnsi="Arial" w:cs="Arial"/>
          <w:sz w:val="22"/>
          <w:szCs w:val="22"/>
        </w:rPr>
      </w:pPr>
      <w:bookmarkStart w:id="36" w:name="_heading=h.5yac7xbhnji1" w:colFirst="0" w:colLast="0"/>
      <w:bookmarkEnd w:id="36"/>
      <w:r>
        <w:rPr>
          <w:rFonts w:ascii="Arial" w:eastAsia="Arial" w:hAnsi="Arial" w:cs="Arial"/>
          <w:sz w:val="22"/>
          <w:szCs w:val="22"/>
        </w:rPr>
        <w:t>3.4 Technology and Efficiency</w:t>
      </w:r>
    </w:p>
    <w:p w14:paraId="5B66B3BC" w14:textId="77777777" w:rsidR="00561EDE" w:rsidRDefault="00000000">
      <w:pPr>
        <w:rPr>
          <w:rFonts w:ascii="Arial" w:eastAsia="Arial" w:hAnsi="Arial" w:cs="Arial"/>
          <w:sz w:val="22"/>
          <w:szCs w:val="22"/>
        </w:rPr>
      </w:pPr>
      <w:r>
        <w:rPr>
          <w:rFonts w:ascii="Arial" w:eastAsia="Arial" w:hAnsi="Arial" w:cs="Arial"/>
          <w:sz w:val="22"/>
          <w:szCs w:val="22"/>
        </w:rPr>
        <w:t>The application of technology in clinical workflows has immense potential of minimising human error and improving patient safety (</w:t>
      </w:r>
      <w:proofErr w:type="spellStart"/>
      <w:r>
        <w:rPr>
          <w:rFonts w:ascii="Arial" w:eastAsia="Arial" w:hAnsi="Arial" w:cs="Arial"/>
          <w:sz w:val="22"/>
          <w:szCs w:val="22"/>
        </w:rPr>
        <w:t>Khodavandi</w:t>
      </w:r>
      <w:proofErr w:type="spellEnd"/>
      <w:r>
        <w:rPr>
          <w:rFonts w:ascii="Arial" w:eastAsia="Arial" w:hAnsi="Arial" w:cs="Arial"/>
          <w:sz w:val="22"/>
          <w:szCs w:val="22"/>
        </w:rPr>
        <w:t xml:space="preserve"> et al., 2022). Barcode scanning and electronic health records are the digital patient identification systems that can also offer reliable verification procedures that reduce chances of misidentification. Moreover, clinical risks can be predicted and decision-making can be supported with the help of artificial intelligence (AI) tools. To illustrate, machine learning algorithms proved to be effective in detecting </w:t>
      </w:r>
      <w:proofErr w:type="spellStart"/>
      <w:r>
        <w:rPr>
          <w:rFonts w:ascii="Arial" w:eastAsia="Arial" w:hAnsi="Arial" w:cs="Arial"/>
          <w:sz w:val="22"/>
          <w:szCs w:val="22"/>
        </w:rPr>
        <w:t>perioperative</w:t>
      </w:r>
      <w:proofErr w:type="spellEnd"/>
      <w:r>
        <w:rPr>
          <w:rFonts w:ascii="Arial" w:eastAsia="Arial" w:hAnsi="Arial" w:cs="Arial"/>
          <w:sz w:val="22"/>
          <w:szCs w:val="22"/>
        </w:rPr>
        <w:t xml:space="preserve"> risks to provide early intervention and better patient outcomes (Yang et al., 2022).</w:t>
      </w:r>
    </w:p>
    <w:p w14:paraId="0E0A1B87" w14:textId="77777777" w:rsidR="00561EDE" w:rsidRDefault="00000000">
      <w:pPr>
        <w:pStyle w:val="Heading2"/>
        <w:rPr>
          <w:rFonts w:ascii="Arial" w:eastAsia="Arial" w:hAnsi="Arial" w:cs="Arial"/>
          <w:sz w:val="22"/>
          <w:szCs w:val="22"/>
        </w:rPr>
      </w:pPr>
      <w:bookmarkStart w:id="37" w:name="_heading=h.p76z7a99kett" w:colFirst="0" w:colLast="0"/>
      <w:bookmarkEnd w:id="37"/>
      <w:r>
        <w:rPr>
          <w:rFonts w:ascii="Arial" w:eastAsia="Arial" w:hAnsi="Arial" w:cs="Arial"/>
          <w:sz w:val="22"/>
          <w:szCs w:val="22"/>
        </w:rPr>
        <w:t>3.5 Continuous Learning and Improvement</w:t>
      </w:r>
    </w:p>
    <w:p w14:paraId="34CEB08F" w14:textId="77777777" w:rsidR="00561EDE" w:rsidRDefault="00000000">
      <w:pPr>
        <w:rPr>
          <w:rFonts w:ascii="Arial" w:eastAsia="Arial" w:hAnsi="Arial" w:cs="Arial"/>
          <w:sz w:val="22"/>
          <w:szCs w:val="22"/>
        </w:rPr>
      </w:pPr>
      <w:r>
        <w:rPr>
          <w:rFonts w:ascii="Arial" w:eastAsia="Arial" w:hAnsi="Arial" w:cs="Arial"/>
          <w:sz w:val="22"/>
          <w:szCs w:val="22"/>
        </w:rPr>
        <w:t>Continuous learning and development are essential in ensuring sustainable enhancement of patient safety. These involve frequent training programmes, simulation exercises as well as competency assessment to make sure that the staff is kept abreast with best practices. Moreover, organisations must have feedback systems where employees can learn both through errors and near-misses (</w:t>
      </w:r>
      <w:proofErr w:type="spellStart"/>
      <w:r>
        <w:rPr>
          <w:rFonts w:ascii="Arial" w:eastAsia="Arial" w:hAnsi="Arial" w:cs="Arial"/>
          <w:sz w:val="22"/>
          <w:szCs w:val="22"/>
        </w:rPr>
        <w:t>Yuanyuan</w:t>
      </w:r>
      <w:proofErr w:type="spellEnd"/>
      <w:r>
        <w:rPr>
          <w:rFonts w:ascii="Arial" w:eastAsia="Arial" w:hAnsi="Arial" w:cs="Arial"/>
          <w:sz w:val="22"/>
          <w:szCs w:val="22"/>
        </w:rPr>
        <w:t xml:space="preserve"> et al., 2023).</w:t>
      </w:r>
    </w:p>
    <w:p w14:paraId="78581F5C" w14:textId="77777777" w:rsidR="00561EDE" w:rsidRDefault="00000000">
      <w:pPr>
        <w:pStyle w:val="Heading1"/>
        <w:rPr>
          <w:rFonts w:ascii="Arial" w:eastAsia="Arial" w:hAnsi="Arial" w:cs="Arial"/>
          <w:sz w:val="22"/>
          <w:szCs w:val="22"/>
        </w:rPr>
      </w:pPr>
      <w:bookmarkStart w:id="38" w:name="_heading=h.moozlzhedxp8" w:colFirst="0" w:colLast="0"/>
      <w:bookmarkEnd w:id="38"/>
      <w:r>
        <w:rPr>
          <w:rFonts w:ascii="Arial" w:eastAsia="Arial" w:hAnsi="Arial" w:cs="Arial"/>
          <w:sz w:val="22"/>
          <w:szCs w:val="22"/>
        </w:rPr>
        <w:t>4. Conclusion</w:t>
      </w:r>
    </w:p>
    <w:p w14:paraId="67B7FC36" w14:textId="77777777" w:rsidR="00561EDE" w:rsidRDefault="00000000">
      <w:pPr>
        <w:rPr>
          <w:rFonts w:ascii="Arial" w:eastAsia="Arial" w:hAnsi="Arial" w:cs="Arial"/>
          <w:sz w:val="22"/>
          <w:szCs w:val="22"/>
        </w:rPr>
      </w:pPr>
      <w:r>
        <w:rPr>
          <w:rFonts w:ascii="Arial" w:eastAsia="Arial" w:hAnsi="Arial" w:cs="Arial"/>
          <w:sz w:val="22"/>
          <w:szCs w:val="22"/>
        </w:rPr>
        <w:t>This report critically evaluated the medical malpractice that occurred in Kota Medical College Hospital where a patient was wrongly operated on because of the breakdowns in the identity checks and systemic safety procedures. The discussion revealed that the accident was not due to a single mistake but a confluence of leadership, structural, and ineffective safety systems. Specifically, the superiority of a hierarchical leadership strategy constrained the empowerment and responsibility of the staff, and the lack of proper governance and communication also added to the failure in the safety measures.</w:t>
      </w:r>
    </w:p>
    <w:p w14:paraId="1853A41F" w14:textId="77777777" w:rsidR="00561EDE" w:rsidRDefault="00000000">
      <w:pPr>
        <w:rPr>
          <w:rFonts w:ascii="Arial" w:eastAsia="Arial" w:hAnsi="Arial" w:cs="Arial"/>
          <w:sz w:val="22"/>
          <w:szCs w:val="22"/>
        </w:rPr>
      </w:pPr>
      <w:r>
        <w:rPr>
          <w:rFonts w:ascii="Arial" w:eastAsia="Arial" w:hAnsi="Arial" w:cs="Arial"/>
          <w:sz w:val="22"/>
          <w:szCs w:val="22"/>
        </w:rPr>
        <w:t>As a systems thinker, it draws attention to how multifaceted interactions of organisational, human, and technological aspects can cause serious damage to the patient. The World Health Organisation supports the idea that a significant percentage of harm in healthcare is avoidable, which supports the argument that system-level solutions should be employed instead of blaming individuals.</w:t>
      </w:r>
    </w:p>
    <w:p w14:paraId="5BCC0071" w14:textId="77777777" w:rsidR="00561EDE" w:rsidRDefault="00000000">
      <w:pPr>
        <w:rPr>
          <w:rFonts w:ascii="Arial" w:eastAsia="Arial" w:hAnsi="Arial" w:cs="Arial"/>
          <w:sz w:val="22"/>
          <w:szCs w:val="22"/>
        </w:rPr>
      </w:pPr>
      <w:r>
        <w:rPr>
          <w:rFonts w:ascii="Arial" w:eastAsia="Arial" w:hAnsi="Arial" w:cs="Arial"/>
          <w:sz w:val="22"/>
          <w:szCs w:val="22"/>
        </w:rPr>
        <w:t>Finally, the enhancement of patient safety needs to be approached holistically by means of effective leadership, strong governance, effective communication, and technological aids. Healthcare organisations should embrace systems thinking to get beyond reactive response and put in place sustainable strategies that mitigate risk, improve accountability and deliver safe and high-quality care.</w:t>
      </w:r>
    </w:p>
    <w:p w14:paraId="3C39DE52" w14:textId="77777777" w:rsidR="00561EDE" w:rsidRDefault="00000000">
      <w:pPr>
        <w:rPr>
          <w:rFonts w:ascii="Arial" w:eastAsia="Arial" w:hAnsi="Arial" w:cs="Arial"/>
          <w:sz w:val="22"/>
          <w:szCs w:val="22"/>
        </w:rPr>
      </w:pPr>
      <w:r>
        <w:br w:type="page"/>
      </w:r>
    </w:p>
    <w:p w14:paraId="1312BF84" w14:textId="77777777" w:rsidR="00561EDE" w:rsidRDefault="00000000">
      <w:pPr>
        <w:pStyle w:val="Heading1"/>
        <w:rPr>
          <w:rFonts w:ascii="Arial" w:eastAsia="Arial" w:hAnsi="Arial" w:cs="Arial"/>
          <w:sz w:val="22"/>
          <w:szCs w:val="22"/>
        </w:rPr>
      </w:pPr>
      <w:bookmarkStart w:id="39" w:name="_heading=h.18u710rpggoc" w:colFirst="0" w:colLast="0"/>
      <w:bookmarkEnd w:id="39"/>
      <w:r>
        <w:rPr>
          <w:rFonts w:ascii="Arial" w:eastAsia="Arial" w:hAnsi="Arial" w:cs="Arial"/>
          <w:sz w:val="22"/>
          <w:szCs w:val="22"/>
        </w:rPr>
        <w:t>References</w:t>
      </w:r>
    </w:p>
    <w:p w14:paraId="5149E89E" w14:textId="77777777" w:rsidR="00561EDE" w:rsidRDefault="00000000">
      <w:pPr>
        <w:rPr>
          <w:rFonts w:ascii="Arial" w:eastAsia="Arial" w:hAnsi="Arial" w:cs="Arial"/>
          <w:sz w:val="22"/>
          <w:szCs w:val="22"/>
        </w:rPr>
      </w:pPr>
      <w:proofErr w:type="spellStart"/>
      <w:r>
        <w:rPr>
          <w:rFonts w:ascii="Arial" w:eastAsia="Arial" w:hAnsi="Arial" w:cs="Arial"/>
          <w:sz w:val="22"/>
          <w:szCs w:val="22"/>
        </w:rPr>
        <w:t>Ansari</w:t>
      </w:r>
      <w:proofErr w:type="spellEnd"/>
      <w:r>
        <w:rPr>
          <w:rFonts w:ascii="Arial" w:eastAsia="Arial" w:hAnsi="Arial" w:cs="Arial"/>
          <w:sz w:val="22"/>
          <w:szCs w:val="22"/>
        </w:rPr>
        <w:t xml:space="preserve">, M. and </w:t>
      </w:r>
      <w:proofErr w:type="spellStart"/>
      <w:r>
        <w:rPr>
          <w:rFonts w:ascii="Arial" w:eastAsia="Arial" w:hAnsi="Arial" w:cs="Arial"/>
          <w:sz w:val="22"/>
          <w:szCs w:val="22"/>
        </w:rPr>
        <w:t>Darvishi</w:t>
      </w:r>
      <w:proofErr w:type="spellEnd"/>
      <w:r>
        <w:rPr>
          <w:rFonts w:ascii="Arial" w:eastAsia="Arial" w:hAnsi="Arial" w:cs="Arial"/>
          <w:sz w:val="22"/>
          <w:szCs w:val="22"/>
        </w:rPr>
        <w:t xml:space="preserve">, A., 2024. A review of the current state of natural biomaterials in wound healing applications. Frontiers in bioengineering and biotechnology, 12, p.1309541. </w:t>
      </w:r>
    </w:p>
    <w:p w14:paraId="1B6DE20C" w14:textId="77777777" w:rsidR="00561EDE" w:rsidRDefault="00000000">
      <w:pPr>
        <w:rPr>
          <w:rFonts w:ascii="Arial" w:eastAsia="Arial" w:hAnsi="Arial" w:cs="Arial"/>
          <w:sz w:val="22"/>
          <w:szCs w:val="22"/>
        </w:rPr>
      </w:pPr>
      <w:proofErr w:type="spellStart"/>
      <w:r>
        <w:rPr>
          <w:rFonts w:ascii="Arial" w:eastAsia="Arial" w:hAnsi="Arial" w:cs="Arial"/>
          <w:sz w:val="22"/>
          <w:szCs w:val="22"/>
        </w:rPr>
        <w:t>Bhuyan</w:t>
      </w:r>
      <w:proofErr w:type="spellEnd"/>
      <w:r>
        <w:rPr>
          <w:rFonts w:ascii="Arial" w:eastAsia="Arial" w:hAnsi="Arial" w:cs="Arial"/>
          <w:sz w:val="22"/>
          <w:szCs w:val="22"/>
        </w:rPr>
        <w:t xml:space="preserve">, S.S. and Broom, K.D. eds., 2025. Fundamentals of Healthcare Management: Theory and Practice. Springer Publishing. </w:t>
      </w:r>
    </w:p>
    <w:p w14:paraId="6185A85F" w14:textId="77777777" w:rsidR="00561EDE" w:rsidRDefault="00000000">
      <w:pPr>
        <w:rPr>
          <w:rFonts w:ascii="Arial" w:eastAsia="Arial" w:hAnsi="Arial" w:cs="Arial"/>
          <w:sz w:val="22"/>
          <w:szCs w:val="22"/>
        </w:rPr>
      </w:pPr>
      <w:proofErr w:type="spellStart"/>
      <w:r>
        <w:rPr>
          <w:rFonts w:ascii="Arial" w:eastAsia="Arial" w:hAnsi="Arial" w:cs="Arial"/>
          <w:sz w:val="22"/>
          <w:szCs w:val="22"/>
        </w:rPr>
        <w:t>Boroz</w:t>
      </w:r>
      <w:proofErr w:type="spellEnd"/>
      <w:r>
        <w:rPr>
          <w:rFonts w:ascii="Arial" w:eastAsia="Arial" w:hAnsi="Arial" w:cs="Arial"/>
          <w:sz w:val="22"/>
          <w:szCs w:val="22"/>
        </w:rPr>
        <w:t xml:space="preserve">, S.L., 2023. Music Listening as an Intervention to Reduce Patient-Perceived Anxiety and Pain During an Outpatient Wound Dressing Change. William Carey University. </w:t>
      </w:r>
    </w:p>
    <w:p w14:paraId="5F991F53" w14:textId="77777777" w:rsidR="00561EDE" w:rsidRDefault="00000000">
      <w:pPr>
        <w:rPr>
          <w:rFonts w:ascii="Arial" w:eastAsia="Arial" w:hAnsi="Arial" w:cs="Arial"/>
          <w:sz w:val="22"/>
          <w:szCs w:val="22"/>
        </w:rPr>
      </w:pPr>
      <w:r>
        <w:rPr>
          <w:rFonts w:ascii="Arial" w:eastAsia="Arial" w:hAnsi="Arial" w:cs="Arial"/>
          <w:sz w:val="22"/>
          <w:szCs w:val="22"/>
        </w:rPr>
        <w:t xml:space="preserve">Brennan, E. and </w:t>
      </w:r>
      <w:proofErr w:type="spellStart"/>
      <w:r>
        <w:rPr>
          <w:rFonts w:ascii="Arial" w:eastAsia="Arial" w:hAnsi="Arial" w:cs="Arial"/>
          <w:sz w:val="22"/>
          <w:szCs w:val="22"/>
        </w:rPr>
        <w:t>Abimbola</w:t>
      </w:r>
      <w:proofErr w:type="spellEnd"/>
      <w:r>
        <w:rPr>
          <w:rFonts w:ascii="Arial" w:eastAsia="Arial" w:hAnsi="Arial" w:cs="Arial"/>
          <w:sz w:val="22"/>
          <w:szCs w:val="22"/>
        </w:rPr>
        <w:t xml:space="preserve">, S., 2023. The impact of decentralisation on health systems in fragile and post-conflict countries: a narrative synthesis of six case studies in the </w:t>
      </w:r>
      <w:proofErr w:type="spellStart"/>
      <w:r>
        <w:rPr>
          <w:rFonts w:ascii="Arial" w:eastAsia="Arial" w:hAnsi="Arial" w:cs="Arial"/>
          <w:sz w:val="22"/>
          <w:szCs w:val="22"/>
        </w:rPr>
        <w:t>Indo-Pacific</w:t>
      </w:r>
      <w:proofErr w:type="spellEnd"/>
      <w:r>
        <w:rPr>
          <w:rFonts w:ascii="Arial" w:eastAsia="Arial" w:hAnsi="Arial" w:cs="Arial"/>
          <w:sz w:val="22"/>
          <w:szCs w:val="22"/>
        </w:rPr>
        <w:t xml:space="preserve">. Conflict and Health, 17(1), p.31. </w:t>
      </w:r>
    </w:p>
    <w:p w14:paraId="105392B0" w14:textId="77777777" w:rsidR="00561EDE" w:rsidRDefault="00000000">
      <w:pPr>
        <w:rPr>
          <w:rFonts w:ascii="Arial" w:eastAsia="Arial" w:hAnsi="Arial" w:cs="Arial"/>
          <w:sz w:val="22"/>
          <w:szCs w:val="22"/>
        </w:rPr>
      </w:pPr>
      <w:r>
        <w:rPr>
          <w:rFonts w:ascii="Arial" w:eastAsia="Arial" w:hAnsi="Arial" w:cs="Arial"/>
          <w:sz w:val="22"/>
          <w:szCs w:val="22"/>
        </w:rPr>
        <w:t xml:space="preserve">Dougherty, S., </w:t>
      </w:r>
      <w:proofErr w:type="spellStart"/>
      <w:r>
        <w:rPr>
          <w:rFonts w:ascii="Arial" w:eastAsia="Arial" w:hAnsi="Arial" w:cs="Arial"/>
          <w:sz w:val="22"/>
          <w:szCs w:val="22"/>
        </w:rPr>
        <w:t>Lorenzoni</w:t>
      </w:r>
      <w:proofErr w:type="spellEnd"/>
      <w:r>
        <w:rPr>
          <w:rFonts w:ascii="Arial" w:eastAsia="Arial" w:hAnsi="Arial" w:cs="Arial"/>
          <w:sz w:val="22"/>
          <w:szCs w:val="22"/>
        </w:rPr>
        <w:t xml:space="preserve">, L., Marino, A. and </w:t>
      </w:r>
      <w:proofErr w:type="spellStart"/>
      <w:r>
        <w:rPr>
          <w:rFonts w:ascii="Arial" w:eastAsia="Arial" w:hAnsi="Arial" w:cs="Arial"/>
          <w:sz w:val="22"/>
          <w:szCs w:val="22"/>
        </w:rPr>
        <w:t>Murtin</w:t>
      </w:r>
      <w:proofErr w:type="spellEnd"/>
      <w:r>
        <w:rPr>
          <w:rFonts w:ascii="Arial" w:eastAsia="Arial" w:hAnsi="Arial" w:cs="Arial"/>
          <w:sz w:val="22"/>
          <w:szCs w:val="22"/>
        </w:rPr>
        <w:t xml:space="preserve">, F., 2022. The impact of decentralisation on the performance of health care systems: a non-linear relationship. The European Journal of Health Economics, 23(4), pp.705-715. </w:t>
      </w:r>
    </w:p>
    <w:p w14:paraId="712F341D" w14:textId="77777777" w:rsidR="00561EDE" w:rsidRDefault="00000000">
      <w:pPr>
        <w:rPr>
          <w:rFonts w:ascii="Arial" w:eastAsia="Arial" w:hAnsi="Arial" w:cs="Arial"/>
          <w:sz w:val="22"/>
          <w:szCs w:val="22"/>
        </w:rPr>
      </w:pPr>
      <w:proofErr w:type="spellStart"/>
      <w:r>
        <w:rPr>
          <w:rFonts w:ascii="Arial" w:eastAsia="Arial" w:hAnsi="Arial" w:cs="Arial"/>
          <w:sz w:val="22"/>
          <w:szCs w:val="22"/>
        </w:rPr>
        <w:t>Ebeck</w:t>
      </w:r>
      <w:proofErr w:type="spellEnd"/>
      <w:r>
        <w:rPr>
          <w:rFonts w:ascii="Arial" w:eastAsia="Arial" w:hAnsi="Arial" w:cs="Arial"/>
          <w:sz w:val="22"/>
          <w:szCs w:val="22"/>
        </w:rPr>
        <w:t xml:space="preserve">, L., 2022. Surgical safety checklists from concept to implementation. The Veterinary Nurse, 13(2), pp.83-88. </w:t>
      </w:r>
    </w:p>
    <w:p w14:paraId="3AEF35FF" w14:textId="77777777" w:rsidR="00561EDE" w:rsidRDefault="00000000">
      <w:pPr>
        <w:rPr>
          <w:rFonts w:ascii="Arial" w:eastAsia="Arial" w:hAnsi="Arial" w:cs="Arial"/>
          <w:sz w:val="22"/>
          <w:szCs w:val="22"/>
        </w:rPr>
      </w:pPr>
      <w:proofErr w:type="spellStart"/>
      <w:r>
        <w:rPr>
          <w:rFonts w:ascii="Arial" w:eastAsia="Arial" w:hAnsi="Arial" w:cs="Arial"/>
          <w:sz w:val="22"/>
          <w:szCs w:val="22"/>
        </w:rPr>
        <w:t>Facey</w:t>
      </w:r>
      <w:proofErr w:type="spellEnd"/>
      <w:r>
        <w:rPr>
          <w:rFonts w:ascii="Arial" w:eastAsia="Arial" w:hAnsi="Arial" w:cs="Arial"/>
          <w:sz w:val="22"/>
          <w:szCs w:val="22"/>
        </w:rPr>
        <w:t xml:space="preserve">, M., Baxter, N., Hammond </w:t>
      </w:r>
      <w:proofErr w:type="spellStart"/>
      <w:r>
        <w:rPr>
          <w:rFonts w:ascii="Arial" w:eastAsia="Arial" w:hAnsi="Arial" w:cs="Arial"/>
          <w:sz w:val="22"/>
          <w:szCs w:val="22"/>
        </w:rPr>
        <w:t>Mobilio</w:t>
      </w:r>
      <w:proofErr w:type="spellEnd"/>
      <w:r>
        <w:rPr>
          <w:rFonts w:ascii="Arial" w:eastAsia="Arial" w:hAnsi="Arial" w:cs="Arial"/>
          <w:sz w:val="22"/>
          <w:szCs w:val="22"/>
        </w:rPr>
        <w:t xml:space="preserve">, M., Peter, E., </w:t>
      </w:r>
      <w:proofErr w:type="spellStart"/>
      <w:r>
        <w:rPr>
          <w:rFonts w:ascii="Arial" w:eastAsia="Arial" w:hAnsi="Arial" w:cs="Arial"/>
          <w:sz w:val="22"/>
          <w:szCs w:val="22"/>
        </w:rPr>
        <w:t>Moulton</w:t>
      </w:r>
      <w:proofErr w:type="spellEnd"/>
      <w:r>
        <w:rPr>
          <w:rFonts w:ascii="Arial" w:eastAsia="Arial" w:hAnsi="Arial" w:cs="Arial"/>
          <w:sz w:val="22"/>
          <w:szCs w:val="22"/>
        </w:rPr>
        <w:t xml:space="preserve">, C.A. and Paradis, E., 2024. Surgical safety checklist compliance process as a moral hazard: An institutional ethnography. </w:t>
      </w:r>
      <w:proofErr w:type="spellStart"/>
      <w:r>
        <w:rPr>
          <w:rFonts w:ascii="Arial" w:eastAsia="Arial" w:hAnsi="Arial" w:cs="Arial"/>
          <w:sz w:val="22"/>
          <w:szCs w:val="22"/>
        </w:rPr>
        <w:t>Plos</w:t>
      </w:r>
      <w:proofErr w:type="spellEnd"/>
      <w:r>
        <w:rPr>
          <w:rFonts w:ascii="Arial" w:eastAsia="Arial" w:hAnsi="Arial" w:cs="Arial"/>
          <w:sz w:val="22"/>
          <w:szCs w:val="22"/>
        </w:rPr>
        <w:t xml:space="preserve"> one, 19(2), p.e0298224. </w:t>
      </w:r>
    </w:p>
    <w:p w14:paraId="05F73C0D" w14:textId="77777777" w:rsidR="00561EDE" w:rsidRDefault="00000000">
      <w:pPr>
        <w:rPr>
          <w:rFonts w:ascii="Arial" w:eastAsia="Arial" w:hAnsi="Arial" w:cs="Arial"/>
          <w:sz w:val="22"/>
          <w:szCs w:val="22"/>
        </w:rPr>
      </w:pPr>
      <w:proofErr w:type="spellStart"/>
      <w:r>
        <w:rPr>
          <w:rFonts w:ascii="Arial" w:eastAsia="Arial" w:hAnsi="Arial" w:cs="Arial"/>
          <w:sz w:val="22"/>
          <w:szCs w:val="22"/>
        </w:rPr>
        <w:t>Fana</w:t>
      </w:r>
      <w:proofErr w:type="spellEnd"/>
      <w:r>
        <w:rPr>
          <w:rFonts w:ascii="Arial" w:eastAsia="Arial" w:hAnsi="Arial" w:cs="Arial"/>
          <w:sz w:val="22"/>
          <w:szCs w:val="22"/>
        </w:rPr>
        <w:t xml:space="preserve">, T. and </w:t>
      </w:r>
      <w:proofErr w:type="spellStart"/>
      <w:r>
        <w:rPr>
          <w:rFonts w:ascii="Arial" w:eastAsia="Arial" w:hAnsi="Arial" w:cs="Arial"/>
          <w:sz w:val="22"/>
          <w:szCs w:val="22"/>
        </w:rPr>
        <w:t>Mokhele</w:t>
      </w:r>
      <w:proofErr w:type="spellEnd"/>
      <w:r>
        <w:rPr>
          <w:rFonts w:ascii="Arial" w:eastAsia="Arial" w:hAnsi="Arial" w:cs="Arial"/>
          <w:sz w:val="22"/>
          <w:szCs w:val="22"/>
        </w:rPr>
        <w:t xml:space="preserve">, M.O., 2025. Centralisation of financial decision-making on public hospitals in the Eastern Cape province. Africa’s Public Service Delivery and Performance Review, 13(1), p.827. </w:t>
      </w:r>
    </w:p>
    <w:p w14:paraId="78C76BFA" w14:textId="77777777" w:rsidR="00561EDE" w:rsidRDefault="00000000">
      <w:pPr>
        <w:rPr>
          <w:rFonts w:ascii="Arial" w:eastAsia="Arial" w:hAnsi="Arial" w:cs="Arial"/>
          <w:sz w:val="22"/>
          <w:szCs w:val="22"/>
        </w:rPr>
      </w:pPr>
      <w:proofErr w:type="spellStart"/>
      <w:r>
        <w:rPr>
          <w:rFonts w:ascii="Arial" w:eastAsia="Arial" w:hAnsi="Arial" w:cs="Arial"/>
          <w:sz w:val="22"/>
          <w:szCs w:val="22"/>
        </w:rPr>
        <w:t>Ferorelli</w:t>
      </w:r>
      <w:proofErr w:type="spellEnd"/>
      <w:r>
        <w:rPr>
          <w:rFonts w:ascii="Arial" w:eastAsia="Arial" w:hAnsi="Arial" w:cs="Arial"/>
          <w:sz w:val="22"/>
          <w:szCs w:val="22"/>
        </w:rPr>
        <w:t xml:space="preserve">, D., </w:t>
      </w:r>
      <w:proofErr w:type="spellStart"/>
      <w:r>
        <w:rPr>
          <w:rFonts w:ascii="Arial" w:eastAsia="Arial" w:hAnsi="Arial" w:cs="Arial"/>
          <w:sz w:val="22"/>
          <w:szCs w:val="22"/>
        </w:rPr>
        <w:t>Benevento</w:t>
      </w:r>
      <w:proofErr w:type="spellEnd"/>
      <w:r>
        <w:rPr>
          <w:rFonts w:ascii="Arial" w:eastAsia="Arial" w:hAnsi="Arial" w:cs="Arial"/>
          <w:sz w:val="22"/>
          <w:szCs w:val="22"/>
        </w:rPr>
        <w:t xml:space="preserve">, M., </w:t>
      </w:r>
      <w:proofErr w:type="spellStart"/>
      <w:r>
        <w:rPr>
          <w:rFonts w:ascii="Arial" w:eastAsia="Arial" w:hAnsi="Arial" w:cs="Arial"/>
          <w:sz w:val="22"/>
          <w:szCs w:val="22"/>
        </w:rPr>
        <w:t>Vimercati</w:t>
      </w:r>
      <w:proofErr w:type="spellEnd"/>
      <w:r>
        <w:rPr>
          <w:rFonts w:ascii="Arial" w:eastAsia="Arial" w:hAnsi="Arial" w:cs="Arial"/>
          <w:sz w:val="22"/>
          <w:szCs w:val="22"/>
        </w:rPr>
        <w:t xml:space="preserve">, L., </w:t>
      </w:r>
      <w:proofErr w:type="spellStart"/>
      <w:r>
        <w:rPr>
          <w:rFonts w:ascii="Arial" w:eastAsia="Arial" w:hAnsi="Arial" w:cs="Arial"/>
          <w:sz w:val="22"/>
          <w:szCs w:val="22"/>
        </w:rPr>
        <w:t>Spagnolo</w:t>
      </w:r>
      <w:proofErr w:type="spellEnd"/>
      <w:r>
        <w:rPr>
          <w:rFonts w:ascii="Arial" w:eastAsia="Arial" w:hAnsi="Arial" w:cs="Arial"/>
          <w:sz w:val="22"/>
          <w:szCs w:val="22"/>
        </w:rPr>
        <w:t xml:space="preserve">, L., De Maria, L., </w:t>
      </w:r>
      <w:proofErr w:type="spellStart"/>
      <w:r>
        <w:rPr>
          <w:rFonts w:ascii="Arial" w:eastAsia="Arial" w:hAnsi="Arial" w:cs="Arial"/>
          <w:sz w:val="22"/>
          <w:szCs w:val="22"/>
        </w:rPr>
        <w:t>Caputi</w:t>
      </w:r>
      <w:proofErr w:type="spellEnd"/>
      <w:r>
        <w:rPr>
          <w:rFonts w:ascii="Arial" w:eastAsia="Arial" w:hAnsi="Arial" w:cs="Arial"/>
          <w:sz w:val="22"/>
          <w:szCs w:val="22"/>
        </w:rPr>
        <w:t xml:space="preserve">, A., Zotti, F., </w:t>
      </w:r>
      <w:proofErr w:type="spellStart"/>
      <w:r>
        <w:rPr>
          <w:rFonts w:ascii="Arial" w:eastAsia="Arial" w:hAnsi="Arial" w:cs="Arial"/>
          <w:sz w:val="22"/>
          <w:szCs w:val="22"/>
        </w:rPr>
        <w:t>Mandarelli</w:t>
      </w:r>
      <w:proofErr w:type="spellEnd"/>
      <w:r>
        <w:rPr>
          <w:rFonts w:ascii="Arial" w:eastAsia="Arial" w:hAnsi="Arial" w:cs="Arial"/>
          <w:sz w:val="22"/>
          <w:szCs w:val="22"/>
        </w:rPr>
        <w:t xml:space="preserve">, G., </w:t>
      </w:r>
      <w:proofErr w:type="spellStart"/>
      <w:r>
        <w:rPr>
          <w:rFonts w:ascii="Arial" w:eastAsia="Arial" w:hAnsi="Arial" w:cs="Arial"/>
          <w:sz w:val="22"/>
          <w:szCs w:val="22"/>
        </w:rPr>
        <w:t>Dell'Erba</w:t>
      </w:r>
      <w:proofErr w:type="spellEnd"/>
      <w:r>
        <w:rPr>
          <w:rFonts w:ascii="Arial" w:eastAsia="Arial" w:hAnsi="Arial" w:cs="Arial"/>
          <w:sz w:val="22"/>
          <w:szCs w:val="22"/>
        </w:rPr>
        <w:t xml:space="preserve">, A. and </w:t>
      </w:r>
      <w:proofErr w:type="spellStart"/>
      <w:r>
        <w:rPr>
          <w:rFonts w:ascii="Arial" w:eastAsia="Arial" w:hAnsi="Arial" w:cs="Arial"/>
          <w:sz w:val="22"/>
          <w:szCs w:val="22"/>
        </w:rPr>
        <w:t>Solarino</w:t>
      </w:r>
      <w:proofErr w:type="spellEnd"/>
      <w:r>
        <w:rPr>
          <w:rFonts w:ascii="Arial" w:eastAsia="Arial" w:hAnsi="Arial" w:cs="Arial"/>
          <w:sz w:val="22"/>
          <w:szCs w:val="22"/>
        </w:rPr>
        <w:t xml:space="preserve">, B., 2022. Improving healthcare workers' adherence to surgical safety checklist: the impact of a short training. Frontiers in Public Health, 9, p.732707. </w:t>
      </w:r>
    </w:p>
    <w:p w14:paraId="15864AF0" w14:textId="77777777" w:rsidR="00561EDE" w:rsidRDefault="00000000">
      <w:pPr>
        <w:rPr>
          <w:rFonts w:ascii="Arial" w:eastAsia="Arial" w:hAnsi="Arial" w:cs="Arial"/>
          <w:sz w:val="22"/>
          <w:szCs w:val="22"/>
        </w:rPr>
      </w:pPr>
      <w:proofErr w:type="spellStart"/>
      <w:r>
        <w:rPr>
          <w:rFonts w:ascii="Arial" w:eastAsia="Arial" w:hAnsi="Arial" w:cs="Arial"/>
          <w:sz w:val="22"/>
          <w:szCs w:val="22"/>
        </w:rPr>
        <w:t>Gómez-Dos-Santos</w:t>
      </w:r>
      <w:proofErr w:type="spellEnd"/>
      <w:r>
        <w:rPr>
          <w:rFonts w:ascii="Arial" w:eastAsia="Arial" w:hAnsi="Arial" w:cs="Arial"/>
          <w:sz w:val="22"/>
          <w:szCs w:val="22"/>
        </w:rPr>
        <w:t xml:space="preserve">, V., López-Plaza, J.A., </w:t>
      </w:r>
      <w:proofErr w:type="spellStart"/>
      <w:r>
        <w:rPr>
          <w:rFonts w:ascii="Arial" w:eastAsia="Arial" w:hAnsi="Arial" w:cs="Arial"/>
          <w:sz w:val="22"/>
          <w:szCs w:val="22"/>
        </w:rPr>
        <w:t>Molina-Villar</w:t>
      </w:r>
      <w:proofErr w:type="spellEnd"/>
      <w:r>
        <w:rPr>
          <w:rFonts w:ascii="Arial" w:eastAsia="Arial" w:hAnsi="Arial" w:cs="Arial"/>
          <w:sz w:val="22"/>
          <w:szCs w:val="22"/>
        </w:rPr>
        <w:t xml:space="preserve">, J.M., </w:t>
      </w:r>
      <w:proofErr w:type="spellStart"/>
      <w:r>
        <w:rPr>
          <w:rFonts w:ascii="Arial" w:eastAsia="Arial" w:hAnsi="Arial" w:cs="Arial"/>
          <w:sz w:val="22"/>
          <w:szCs w:val="22"/>
        </w:rPr>
        <w:t>Blázquez-Hernando</w:t>
      </w:r>
      <w:proofErr w:type="spellEnd"/>
      <w:r>
        <w:rPr>
          <w:rFonts w:ascii="Arial" w:eastAsia="Arial" w:hAnsi="Arial" w:cs="Arial"/>
          <w:sz w:val="22"/>
          <w:szCs w:val="22"/>
        </w:rPr>
        <w:t xml:space="preserve">, L., </w:t>
      </w:r>
      <w:proofErr w:type="spellStart"/>
      <w:r>
        <w:rPr>
          <w:rFonts w:ascii="Arial" w:eastAsia="Arial" w:hAnsi="Arial" w:cs="Arial"/>
          <w:sz w:val="22"/>
          <w:szCs w:val="22"/>
        </w:rPr>
        <w:t>Diez-Nicolás</w:t>
      </w:r>
      <w:proofErr w:type="spellEnd"/>
      <w:r>
        <w:rPr>
          <w:rFonts w:ascii="Arial" w:eastAsia="Arial" w:hAnsi="Arial" w:cs="Arial"/>
          <w:sz w:val="22"/>
          <w:szCs w:val="22"/>
        </w:rPr>
        <w:t xml:space="preserve">, V., </w:t>
      </w:r>
      <w:proofErr w:type="spellStart"/>
      <w:r>
        <w:rPr>
          <w:rFonts w:ascii="Arial" w:eastAsia="Arial" w:hAnsi="Arial" w:cs="Arial"/>
          <w:sz w:val="22"/>
          <w:szCs w:val="22"/>
        </w:rPr>
        <w:t>Jiménez-Cidre</w:t>
      </w:r>
      <w:proofErr w:type="spellEnd"/>
      <w:r>
        <w:rPr>
          <w:rFonts w:ascii="Arial" w:eastAsia="Arial" w:hAnsi="Arial" w:cs="Arial"/>
          <w:sz w:val="22"/>
          <w:szCs w:val="22"/>
        </w:rPr>
        <w:t xml:space="preserve">, M., </w:t>
      </w:r>
      <w:proofErr w:type="spellStart"/>
      <w:r>
        <w:rPr>
          <w:rFonts w:ascii="Arial" w:eastAsia="Arial" w:hAnsi="Arial" w:cs="Arial"/>
          <w:sz w:val="22"/>
          <w:szCs w:val="22"/>
        </w:rPr>
        <w:t>Porrero-Guerrero</w:t>
      </w:r>
      <w:proofErr w:type="spellEnd"/>
      <w:r>
        <w:rPr>
          <w:rFonts w:ascii="Arial" w:eastAsia="Arial" w:hAnsi="Arial" w:cs="Arial"/>
          <w:sz w:val="22"/>
          <w:szCs w:val="22"/>
        </w:rPr>
        <w:t xml:space="preserve">, B., </w:t>
      </w:r>
      <w:proofErr w:type="spellStart"/>
      <w:r>
        <w:rPr>
          <w:rFonts w:ascii="Arial" w:eastAsia="Arial" w:hAnsi="Arial" w:cs="Arial"/>
          <w:sz w:val="22"/>
          <w:szCs w:val="22"/>
        </w:rPr>
        <w:t>Rodríguez-Patrón</w:t>
      </w:r>
      <w:proofErr w:type="spellEnd"/>
      <w:r>
        <w:rPr>
          <w:rFonts w:ascii="Arial" w:eastAsia="Arial" w:hAnsi="Arial" w:cs="Arial"/>
          <w:sz w:val="22"/>
          <w:szCs w:val="22"/>
        </w:rPr>
        <w:t xml:space="preserve">, R., </w:t>
      </w:r>
      <w:proofErr w:type="spellStart"/>
      <w:r>
        <w:rPr>
          <w:rFonts w:ascii="Arial" w:eastAsia="Arial" w:hAnsi="Arial" w:cs="Arial"/>
          <w:sz w:val="22"/>
          <w:szCs w:val="22"/>
        </w:rPr>
        <w:t>Arias-Fúnez</w:t>
      </w:r>
      <w:proofErr w:type="spellEnd"/>
      <w:r>
        <w:rPr>
          <w:rFonts w:ascii="Arial" w:eastAsia="Arial" w:hAnsi="Arial" w:cs="Arial"/>
          <w:sz w:val="22"/>
          <w:szCs w:val="22"/>
        </w:rPr>
        <w:t xml:space="preserve">, F., Muriel-García, A. and </w:t>
      </w:r>
      <w:proofErr w:type="spellStart"/>
      <w:r>
        <w:rPr>
          <w:rFonts w:ascii="Arial" w:eastAsia="Arial" w:hAnsi="Arial" w:cs="Arial"/>
          <w:sz w:val="22"/>
          <w:szCs w:val="22"/>
        </w:rPr>
        <w:t>Fernández-Cebrián</w:t>
      </w:r>
      <w:proofErr w:type="spellEnd"/>
      <w:r>
        <w:rPr>
          <w:rFonts w:ascii="Arial" w:eastAsia="Arial" w:hAnsi="Arial" w:cs="Arial"/>
          <w:sz w:val="22"/>
          <w:szCs w:val="22"/>
        </w:rPr>
        <w:t xml:space="preserve">, J.M., 2023. Prevention of incisional hernia after kidney transplantation: study protocol for a </w:t>
      </w:r>
      <w:proofErr w:type="spellStart"/>
      <w:r>
        <w:rPr>
          <w:rFonts w:ascii="Arial" w:eastAsia="Arial" w:hAnsi="Arial" w:cs="Arial"/>
          <w:sz w:val="22"/>
          <w:szCs w:val="22"/>
        </w:rPr>
        <w:t>randomized</w:t>
      </w:r>
      <w:proofErr w:type="spellEnd"/>
      <w:r>
        <w:rPr>
          <w:rFonts w:ascii="Arial" w:eastAsia="Arial" w:hAnsi="Arial" w:cs="Arial"/>
          <w:sz w:val="22"/>
          <w:szCs w:val="22"/>
        </w:rPr>
        <w:t xml:space="preserve"> controlled trial. Trials, 24(1), p.528. </w:t>
      </w:r>
    </w:p>
    <w:p w14:paraId="5BF58911" w14:textId="77777777" w:rsidR="00561EDE" w:rsidRDefault="00000000">
      <w:pPr>
        <w:rPr>
          <w:rFonts w:ascii="Arial" w:eastAsia="Arial" w:hAnsi="Arial" w:cs="Arial"/>
          <w:sz w:val="22"/>
          <w:szCs w:val="22"/>
        </w:rPr>
      </w:pPr>
      <w:r>
        <w:rPr>
          <w:rFonts w:ascii="Arial" w:eastAsia="Arial" w:hAnsi="Arial" w:cs="Arial"/>
          <w:sz w:val="22"/>
          <w:szCs w:val="22"/>
        </w:rPr>
        <w:t xml:space="preserve">Gong, Q., Zhang, Y. and Wang, J., 2026. The Application of Risk Care in the Treatment of Complex Renal Calculi with Minimally Invasive Surgery. International Journal of Clinical and Experimental Medicine Research, 10(1). </w:t>
      </w:r>
    </w:p>
    <w:p w14:paraId="75982DA2" w14:textId="77777777" w:rsidR="00561EDE" w:rsidRDefault="00000000">
      <w:pPr>
        <w:rPr>
          <w:rFonts w:ascii="Arial" w:eastAsia="Arial" w:hAnsi="Arial" w:cs="Arial"/>
          <w:sz w:val="22"/>
          <w:szCs w:val="22"/>
        </w:rPr>
      </w:pPr>
      <w:proofErr w:type="spellStart"/>
      <w:r>
        <w:rPr>
          <w:rFonts w:ascii="Arial" w:eastAsia="Arial" w:hAnsi="Arial" w:cs="Arial"/>
          <w:sz w:val="22"/>
          <w:szCs w:val="22"/>
        </w:rPr>
        <w:t>Gul</w:t>
      </w:r>
      <w:proofErr w:type="spellEnd"/>
      <w:r>
        <w:rPr>
          <w:rFonts w:ascii="Arial" w:eastAsia="Arial" w:hAnsi="Arial" w:cs="Arial"/>
          <w:sz w:val="22"/>
          <w:szCs w:val="22"/>
        </w:rPr>
        <w:t xml:space="preserve">, F., </w:t>
      </w:r>
      <w:proofErr w:type="spellStart"/>
      <w:r>
        <w:rPr>
          <w:rFonts w:ascii="Arial" w:eastAsia="Arial" w:hAnsi="Arial" w:cs="Arial"/>
          <w:sz w:val="22"/>
          <w:szCs w:val="22"/>
        </w:rPr>
        <w:t>Nazir</w:t>
      </w:r>
      <w:proofErr w:type="spellEnd"/>
      <w:r>
        <w:rPr>
          <w:rFonts w:ascii="Arial" w:eastAsia="Arial" w:hAnsi="Arial" w:cs="Arial"/>
          <w:sz w:val="22"/>
          <w:szCs w:val="22"/>
        </w:rPr>
        <w:t xml:space="preserve">, M., Abbas, K., Khan, A.A., Malick, D.S., Khan, H., </w:t>
      </w:r>
      <w:proofErr w:type="spellStart"/>
      <w:r>
        <w:rPr>
          <w:rFonts w:ascii="Arial" w:eastAsia="Arial" w:hAnsi="Arial" w:cs="Arial"/>
          <w:sz w:val="22"/>
          <w:szCs w:val="22"/>
        </w:rPr>
        <w:t>Kazmi</w:t>
      </w:r>
      <w:proofErr w:type="spellEnd"/>
      <w:r>
        <w:rPr>
          <w:rFonts w:ascii="Arial" w:eastAsia="Arial" w:hAnsi="Arial" w:cs="Arial"/>
          <w:sz w:val="22"/>
          <w:szCs w:val="22"/>
        </w:rPr>
        <w:t xml:space="preserve">, S.N.H. and Naseem, A.O., 2022. Surgical safety checklist compliance: The clinical audit. Annals of Medicine and Surgery, 81, p.104397. </w:t>
      </w:r>
    </w:p>
    <w:p w14:paraId="6A1BA599" w14:textId="77777777" w:rsidR="00561EDE" w:rsidRDefault="00000000">
      <w:pPr>
        <w:rPr>
          <w:rFonts w:ascii="Arial" w:eastAsia="Arial" w:hAnsi="Arial" w:cs="Arial"/>
          <w:sz w:val="22"/>
          <w:szCs w:val="22"/>
        </w:rPr>
      </w:pPr>
      <w:proofErr w:type="spellStart"/>
      <w:r>
        <w:rPr>
          <w:rFonts w:ascii="Arial" w:eastAsia="Arial" w:hAnsi="Arial" w:cs="Arial"/>
          <w:sz w:val="22"/>
          <w:szCs w:val="22"/>
        </w:rPr>
        <w:t>Haque</w:t>
      </w:r>
      <w:proofErr w:type="spellEnd"/>
      <w:r>
        <w:rPr>
          <w:rFonts w:ascii="Arial" w:eastAsia="Arial" w:hAnsi="Arial" w:cs="Arial"/>
          <w:sz w:val="22"/>
          <w:szCs w:val="22"/>
        </w:rPr>
        <w:t xml:space="preserve">, M.A., Begum, M.M.M., Rahman, M.S. and Hasan, H., 2024. Complications of Arteriovenous Fistula Surgery: A Comprehensive Study in Bangladesh. TAJ: Journal of Teachers Association, 37(2), pp.87-97. </w:t>
      </w:r>
    </w:p>
    <w:p w14:paraId="41ACC143" w14:textId="77777777" w:rsidR="00561EDE" w:rsidRDefault="00000000">
      <w:pPr>
        <w:rPr>
          <w:rFonts w:ascii="Arial" w:eastAsia="Arial" w:hAnsi="Arial" w:cs="Arial"/>
          <w:sz w:val="22"/>
          <w:szCs w:val="22"/>
        </w:rPr>
      </w:pPr>
      <w:r>
        <w:rPr>
          <w:rFonts w:ascii="Arial" w:eastAsia="Arial" w:hAnsi="Arial" w:cs="Arial"/>
          <w:sz w:val="22"/>
          <w:szCs w:val="22"/>
        </w:rPr>
        <w:t xml:space="preserve">Hussain, Z., </w:t>
      </w:r>
      <w:proofErr w:type="spellStart"/>
      <w:r>
        <w:rPr>
          <w:rFonts w:ascii="Arial" w:eastAsia="Arial" w:hAnsi="Arial" w:cs="Arial"/>
          <w:sz w:val="22"/>
          <w:szCs w:val="22"/>
        </w:rPr>
        <w:t>Ambareen</w:t>
      </w:r>
      <w:proofErr w:type="spellEnd"/>
      <w:r>
        <w:rPr>
          <w:rFonts w:ascii="Arial" w:eastAsia="Arial" w:hAnsi="Arial" w:cs="Arial"/>
          <w:sz w:val="22"/>
          <w:szCs w:val="22"/>
        </w:rPr>
        <w:t xml:space="preserve">, A., Rashid, N.U.A., </w:t>
      </w:r>
      <w:proofErr w:type="spellStart"/>
      <w:r>
        <w:rPr>
          <w:rFonts w:ascii="Arial" w:eastAsia="Arial" w:hAnsi="Arial" w:cs="Arial"/>
          <w:sz w:val="22"/>
          <w:szCs w:val="22"/>
        </w:rPr>
        <w:t>Raza</w:t>
      </w:r>
      <w:proofErr w:type="spellEnd"/>
      <w:r>
        <w:rPr>
          <w:rFonts w:ascii="Arial" w:eastAsia="Arial" w:hAnsi="Arial" w:cs="Arial"/>
          <w:sz w:val="22"/>
          <w:szCs w:val="22"/>
        </w:rPr>
        <w:t xml:space="preserve">, A., Anwar, S., </w:t>
      </w:r>
      <w:proofErr w:type="spellStart"/>
      <w:r>
        <w:rPr>
          <w:rFonts w:ascii="Arial" w:eastAsia="Arial" w:hAnsi="Arial" w:cs="Arial"/>
          <w:sz w:val="22"/>
          <w:szCs w:val="22"/>
        </w:rPr>
        <w:t>Minhas</w:t>
      </w:r>
      <w:proofErr w:type="spellEnd"/>
      <w:r>
        <w:rPr>
          <w:rFonts w:ascii="Arial" w:eastAsia="Arial" w:hAnsi="Arial" w:cs="Arial"/>
          <w:sz w:val="22"/>
          <w:szCs w:val="22"/>
        </w:rPr>
        <w:t xml:space="preserve">, M., </w:t>
      </w:r>
      <w:proofErr w:type="spellStart"/>
      <w:r>
        <w:rPr>
          <w:rFonts w:ascii="Arial" w:eastAsia="Arial" w:hAnsi="Arial" w:cs="Arial"/>
          <w:sz w:val="22"/>
          <w:szCs w:val="22"/>
        </w:rPr>
        <w:t>Qureshi</w:t>
      </w:r>
      <w:proofErr w:type="spellEnd"/>
      <w:r>
        <w:rPr>
          <w:rFonts w:ascii="Arial" w:eastAsia="Arial" w:hAnsi="Arial" w:cs="Arial"/>
          <w:sz w:val="22"/>
          <w:szCs w:val="22"/>
        </w:rPr>
        <w:t xml:space="preserve">, S., </w:t>
      </w:r>
      <w:proofErr w:type="spellStart"/>
      <w:r>
        <w:rPr>
          <w:rFonts w:ascii="Arial" w:eastAsia="Arial" w:hAnsi="Arial" w:cs="Arial"/>
          <w:sz w:val="22"/>
          <w:szCs w:val="22"/>
        </w:rPr>
        <w:t>Sana</w:t>
      </w:r>
      <w:proofErr w:type="spellEnd"/>
      <w:r>
        <w:rPr>
          <w:rFonts w:ascii="Arial" w:eastAsia="Arial" w:hAnsi="Arial" w:cs="Arial"/>
          <w:sz w:val="22"/>
          <w:szCs w:val="22"/>
        </w:rPr>
        <w:t xml:space="preserve">, M. and Zara, K., 2025. Insights Into the Assessment of WHO-Recommended Practices Based on Surgical Operations in Tertiary Healthcare Settings. </w:t>
      </w:r>
      <w:proofErr w:type="spellStart"/>
      <w:r>
        <w:rPr>
          <w:rFonts w:ascii="Arial" w:eastAsia="Arial" w:hAnsi="Arial" w:cs="Arial"/>
          <w:sz w:val="22"/>
          <w:szCs w:val="22"/>
        </w:rPr>
        <w:t>Cureus</w:t>
      </w:r>
      <w:proofErr w:type="spellEnd"/>
      <w:r>
        <w:rPr>
          <w:rFonts w:ascii="Arial" w:eastAsia="Arial" w:hAnsi="Arial" w:cs="Arial"/>
          <w:sz w:val="22"/>
          <w:szCs w:val="22"/>
        </w:rPr>
        <w:t xml:space="preserve">, 17(4). </w:t>
      </w:r>
    </w:p>
    <w:p w14:paraId="1B7F09A6" w14:textId="77777777" w:rsidR="00561EDE" w:rsidRDefault="00000000">
      <w:pPr>
        <w:rPr>
          <w:rFonts w:ascii="Arial" w:eastAsia="Arial" w:hAnsi="Arial" w:cs="Arial"/>
          <w:sz w:val="22"/>
          <w:szCs w:val="22"/>
        </w:rPr>
      </w:pPr>
      <w:r>
        <w:rPr>
          <w:rFonts w:ascii="Arial" w:eastAsia="Arial" w:hAnsi="Arial" w:cs="Arial"/>
          <w:sz w:val="22"/>
          <w:szCs w:val="22"/>
        </w:rPr>
        <w:t xml:space="preserve">Indian Council of Medical Research (2025) </w:t>
      </w:r>
      <w:r>
        <w:rPr>
          <w:rFonts w:ascii="Arial" w:eastAsia="Arial" w:hAnsi="Arial" w:cs="Arial"/>
          <w:i/>
          <w:iCs/>
          <w:sz w:val="22"/>
          <w:szCs w:val="22"/>
        </w:rPr>
        <w:t>ICMR Health Research Data Repository</w:t>
      </w:r>
      <w:r>
        <w:rPr>
          <w:rFonts w:ascii="Arial" w:eastAsia="Arial" w:hAnsi="Arial" w:cs="Arial"/>
          <w:sz w:val="22"/>
          <w:szCs w:val="22"/>
        </w:rPr>
        <w:t xml:space="preserve">. Available at: https://main.icmr.nic.in (Accessed: 18 April 2026). </w:t>
      </w:r>
    </w:p>
    <w:p w14:paraId="73A1E4C4" w14:textId="77777777" w:rsidR="00561EDE" w:rsidRDefault="00000000">
      <w:pPr>
        <w:rPr>
          <w:rFonts w:ascii="Arial" w:eastAsia="Arial" w:hAnsi="Arial" w:cs="Arial"/>
          <w:sz w:val="22"/>
          <w:szCs w:val="22"/>
        </w:rPr>
      </w:pPr>
      <w:proofErr w:type="spellStart"/>
      <w:r>
        <w:rPr>
          <w:rFonts w:ascii="Arial" w:eastAsia="Arial" w:hAnsi="Arial" w:cs="Arial"/>
          <w:sz w:val="22"/>
          <w:szCs w:val="22"/>
        </w:rPr>
        <w:t>Khodavandi</w:t>
      </w:r>
      <w:proofErr w:type="spellEnd"/>
      <w:r>
        <w:rPr>
          <w:rFonts w:ascii="Arial" w:eastAsia="Arial" w:hAnsi="Arial" w:cs="Arial"/>
          <w:sz w:val="22"/>
          <w:szCs w:val="22"/>
        </w:rPr>
        <w:t xml:space="preserve">, M., </w:t>
      </w:r>
      <w:proofErr w:type="spellStart"/>
      <w:r>
        <w:rPr>
          <w:rFonts w:ascii="Arial" w:eastAsia="Arial" w:hAnsi="Arial" w:cs="Arial"/>
          <w:sz w:val="22"/>
          <w:szCs w:val="22"/>
        </w:rPr>
        <w:t>Kakemam</w:t>
      </w:r>
      <w:proofErr w:type="spellEnd"/>
      <w:r>
        <w:rPr>
          <w:rFonts w:ascii="Arial" w:eastAsia="Arial" w:hAnsi="Arial" w:cs="Arial"/>
          <w:sz w:val="22"/>
          <w:szCs w:val="22"/>
        </w:rPr>
        <w:t xml:space="preserve">, E., </w:t>
      </w:r>
      <w:proofErr w:type="spellStart"/>
      <w:r>
        <w:rPr>
          <w:rFonts w:ascii="Arial" w:eastAsia="Arial" w:hAnsi="Arial" w:cs="Arial"/>
          <w:sz w:val="22"/>
          <w:szCs w:val="22"/>
        </w:rPr>
        <w:t>Ghasemyani</w:t>
      </w:r>
      <w:proofErr w:type="spellEnd"/>
      <w:r>
        <w:rPr>
          <w:rFonts w:ascii="Arial" w:eastAsia="Arial" w:hAnsi="Arial" w:cs="Arial"/>
          <w:sz w:val="22"/>
          <w:szCs w:val="22"/>
        </w:rPr>
        <w:t xml:space="preserve">, S. and </w:t>
      </w:r>
      <w:proofErr w:type="spellStart"/>
      <w:r>
        <w:rPr>
          <w:rFonts w:ascii="Arial" w:eastAsia="Arial" w:hAnsi="Arial" w:cs="Arial"/>
          <w:sz w:val="22"/>
          <w:szCs w:val="22"/>
        </w:rPr>
        <w:t>Khodayari-Zarnaq</w:t>
      </w:r>
      <w:proofErr w:type="spellEnd"/>
      <w:r>
        <w:rPr>
          <w:rFonts w:ascii="Arial" w:eastAsia="Arial" w:hAnsi="Arial" w:cs="Arial"/>
          <w:sz w:val="22"/>
          <w:szCs w:val="22"/>
        </w:rPr>
        <w:t xml:space="preserve">, R., 2022. Barriers and facilitators of implementing WHO safe surgery checklist: a cross-sectional study in public hospitals of Iran. </w:t>
      </w:r>
    </w:p>
    <w:p w14:paraId="24D22DA3" w14:textId="77777777" w:rsidR="00561EDE" w:rsidRDefault="00000000">
      <w:pPr>
        <w:rPr>
          <w:rFonts w:ascii="Arial" w:eastAsia="Arial" w:hAnsi="Arial" w:cs="Arial"/>
          <w:sz w:val="22"/>
          <w:szCs w:val="22"/>
        </w:rPr>
      </w:pPr>
      <w:r>
        <w:rPr>
          <w:rFonts w:ascii="Arial" w:eastAsia="Arial" w:hAnsi="Arial" w:cs="Arial"/>
          <w:sz w:val="22"/>
          <w:szCs w:val="22"/>
        </w:rPr>
        <w:t xml:space="preserve">Lim, P.J.H., Chen, L., </w:t>
      </w:r>
      <w:proofErr w:type="spellStart"/>
      <w:r>
        <w:rPr>
          <w:rFonts w:ascii="Arial" w:eastAsia="Arial" w:hAnsi="Arial" w:cs="Arial"/>
          <w:sz w:val="22"/>
          <w:szCs w:val="22"/>
        </w:rPr>
        <w:t>Siow</w:t>
      </w:r>
      <w:proofErr w:type="spellEnd"/>
      <w:r>
        <w:rPr>
          <w:rFonts w:ascii="Arial" w:eastAsia="Arial" w:hAnsi="Arial" w:cs="Arial"/>
          <w:sz w:val="22"/>
          <w:szCs w:val="22"/>
        </w:rPr>
        <w:t xml:space="preserve">, S. and Lim, S.H., 2023. Facilitators and barriers to the implementation of surgical safety checklist: an integrative review. International Journal for Quality in Health Care, 35(4), </w:t>
      </w:r>
      <w:proofErr w:type="spellStart"/>
      <w:r>
        <w:rPr>
          <w:rFonts w:ascii="Arial" w:eastAsia="Arial" w:hAnsi="Arial" w:cs="Arial"/>
          <w:sz w:val="22"/>
          <w:szCs w:val="22"/>
        </w:rPr>
        <w:t>p.mzad086</w:t>
      </w:r>
      <w:proofErr w:type="spellEnd"/>
      <w:r>
        <w:rPr>
          <w:rFonts w:ascii="Arial" w:eastAsia="Arial" w:hAnsi="Arial" w:cs="Arial"/>
          <w:sz w:val="22"/>
          <w:szCs w:val="22"/>
        </w:rPr>
        <w:t xml:space="preserve">. </w:t>
      </w:r>
    </w:p>
    <w:p w14:paraId="2E2D986A" w14:textId="77777777" w:rsidR="00561EDE" w:rsidRDefault="00000000">
      <w:pPr>
        <w:rPr>
          <w:rFonts w:ascii="Arial" w:eastAsia="Arial" w:hAnsi="Arial" w:cs="Arial"/>
          <w:sz w:val="22"/>
          <w:szCs w:val="22"/>
        </w:rPr>
      </w:pPr>
      <w:proofErr w:type="spellStart"/>
      <w:r>
        <w:rPr>
          <w:rFonts w:ascii="Arial" w:eastAsia="Arial" w:hAnsi="Arial" w:cs="Arial"/>
          <w:sz w:val="22"/>
          <w:szCs w:val="22"/>
        </w:rPr>
        <w:t>Miralrio</w:t>
      </w:r>
      <w:proofErr w:type="spellEnd"/>
      <w:r>
        <w:rPr>
          <w:rFonts w:ascii="Arial" w:eastAsia="Arial" w:hAnsi="Arial" w:cs="Arial"/>
          <w:sz w:val="22"/>
          <w:szCs w:val="22"/>
        </w:rPr>
        <w:t xml:space="preserve">, H. and </w:t>
      </w:r>
      <w:proofErr w:type="spellStart"/>
      <w:r>
        <w:rPr>
          <w:rFonts w:ascii="Arial" w:eastAsia="Arial" w:hAnsi="Arial" w:cs="Arial"/>
          <w:sz w:val="22"/>
          <w:szCs w:val="22"/>
        </w:rPr>
        <w:t>Tuka</w:t>
      </w:r>
      <w:proofErr w:type="spellEnd"/>
      <w:r>
        <w:rPr>
          <w:rFonts w:ascii="Arial" w:eastAsia="Arial" w:hAnsi="Arial" w:cs="Arial"/>
          <w:sz w:val="22"/>
          <w:szCs w:val="22"/>
        </w:rPr>
        <w:t xml:space="preserve">, K., 2025. Leadership Strategies for Robotic Surgery Adoption: A Case Study of Oslo University Hospital. </w:t>
      </w:r>
    </w:p>
    <w:p w14:paraId="263CD7F3" w14:textId="77777777" w:rsidR="00561EDE" w:rsidRDefault="00000000">
      <w:pPr>
        <w:rPr>
          <w:rFonts w:ascii="Arial" w:eastAsia="Arial" w:hAnsi="Arial" w:cs="Arial"/>
          <w:sz w:val="22"/>
          <w:szCs w:val="22"/>
        </w:rPr>
      </w:pPr>
      <w:r>
        <w:rPr>
          <w:rFonts w:ascii="Arial" w:eastAsia="Arial" w:hAnsi="Arial" w:cs="Arial"/>
          <w:sz w:val="22"/>
          <w:szCs w:val="22"/>
        </w:rPr>
        <w:t xml:space="preserve">Moyal‐Smith, R., Etheridge, J.C., Lim, S.R., </w:t>
      </w:r>
      <w:proofErr w:type="spellStart"/>
      <w:r>
        <w:rPr>
          <w:rFonts w:ascii="Arial" w:eastAsia="Arial" w:hAnsi="Arial" w:cs="Arial"/>
          <w:sz w:val="22"/>
          <w:szCs w:val="22"/>
        </w:rPr>
        <w:t>Sonnay</w:t>
      </w:r>
      <w:proofErr w:type="spellEnd"/>
      <w:r>
        <w:rPr>
          <w:rFonts w:ascii="Arial" w:eastAsia="Arial" w:hAnsi="Arial" w:cs="Arial"/>
          <w:sz w:val="22"/>
          <w:szCs w:val="22"/>
        </w:rPr>
        <w:t xml:space="preserve">, Y., Tan, H.K., </w:t>
      </w:r>
      <w:proofErr w:type="spellStart"/>
      <w:r>
        <w:rPr>
          <w:rFonts w:ascii="Arial" w:eastAsia="Arial" w:hAnsi="Arial" w:cs="Arial"/>
          <w:sz w:val="22"/>
          <w:szCs w:val="22"/>
        </w:rPr>
        <w:t>Yong</w:t>
      </w:r>
      <w:proofErr w:type="spellEnd"/>
      <w:r>
        <w:rPr>
          <w:rFonts w:ascii="Arial" w:eastAsia="Arial" w:hAnsi="Arial" w:cs="Arial"/>
          <w:sz w:val="22"/>
          <w:szCs w:val="22"/>
        </w:rPr>
        <w:t xml:space="preserve">, T.T., Havens, J.M. and Brindle, M.E., 2023. Creating a high‐performance surgical safety checklist: A multimodal evaluation plan to reinvigorate the checklist. Journal of Evaluation in Clinical Practice, 29(2), pp.341-350. </w:t>
      </w:r>
    </w:p>
    <w:p w14:paraId="07355D06" w14:textId="77777777" w:rsidR="00561EDE" w:rsidRDefault="00000000">
      <w:pPr>
        <w:rPr>
          <w:rFonts w:ascii="Arial" w:eastAsia="Arial" w:hAnsi="Arial" w:cs="Arial"/>
          <w:sz w:val="22"/>
          <w:szCs w:val="22"/>
        </w:rPr>
      </w:pPr>
      <w:proofErr w:type="spellStart"/>
      <w:r>
        <w:rPr>
          <w:rFonts w:ascii="Arial" w:eastAsia="Arial" w:hAnsi="Arial" w:cs="Arial"/>
          <w:sz w:val="22"/>
          <w:szCs w:val="22"/>
        </w:rPr>
        <w:t>Munthali</w:t>
      </w:r>
      <w:proofErr w:type="spellEnd"/>
      <w:r>
        <w:rPr>
          <w:rFonts w:ascii="Arial" w:eastAsia="Arial" w:hAnsi="Arial" w:cs="Arial"/>
          <w:sz w:val="22"/>
          <w:szCs w:val="22"/>
        </w:rPr>
        <w:t xml:space="preserve">, J., </w:t>
      </w:r>
      <w:proofErr w:type="spellStart"/>
      <w:r>
        <w:rPr>
          <w:rFonts w:ascii="Arial" w:eastAsia="Arial" w:hAnsi="Arial" w:cs="Arial"/>
          <w:sz w:val="22"/>
          <w:szCs w:val="22"/>
        </w:rPr>
        <w:t>Pittalis</w:t>
      </w:r>
      <w:proofErr w:type="spellEnd"/>
      <w:r>
        <w:rPr>
          <w:rFonts w:ascii="Arial" w:eastAsia="Arial" w:hAnsi="Arial" w:cs="Arial"/>
          <w:sz w:val="22"/>
          <w:szCs w:val="22"/>
        </w:rPr>
        <w:t xml:space="preserve">, C., </w:t>
      </w:r>
      <w:proofErr w:type="spellStart"/>
      <w:r>
        <w:rPr>
          <w:rFonts w:ascii="Arial" w:eastAsia="Arial" w:hAnsi="Arial" w:cs="Arial"/>
          <w:sz w:val="22"/>
          <w:szCs w:val="22"/>
        </w:rPr>
        <w:t>Bijlmakers</w:t>
      </w:r>
      <w:proofErr w:type="spellEnd"/>
      <w:r>
        <w:rPr>
          <w:rFonts w:ascii="Arial" w:eastAsia="Arial" w:hAnsi="Arial" w:cs="Arial"/>
          <w:sz w:val="22"/>
          <w:szCs w:val="22"/>
        </w:rPr>
        <w:t xml:space="preserve">, L., </w:t>
      </w:r>
      <w:proofErr w:type="spellStart"/>
      <w:r>
        <w:rPr>
          <w:rFonts w:ascii="Arial" w:eastAsia="Arial" w:hAnsi="Arial" w:cs="Arial"/>
          <w:sz w:val="22"/>
          <w:szCs w:val="22"/>
        </w:rPr>
        <w:t>Kachimba</w:t>
      </w:r>
      <w:proofErr w:type="spellEnd"/>
      <w:r>
        <w:rPr>
          <w:rFonts w:ascii="Arial" w:eastAsia="Arial" w:hAnsi="Arial" w:cs="Arial"/>
          <w:sz w:val="22"/>
          <w:szCs w:val="22"/>
        </w:rPr>
        <w:t xml:space="preserve">, J., </w:t>
      </w:r>
      <w:proofErr w:type="spellStart"/>
      <w:r>
        <w:rPr>
          <w:rFonts w:ascii="Arial" w:eastAsia="Arial" w:hAnsi="Arial" w:cs="Arial"/>
          <w:sz w:val="22"/>
          <w:szCs w:val="22"/>
        </w:rPr>
        <w:t>Cheelo</w:t>
      </w:r>
      <w:proofErr w:type="spellEnd"/>
      <w:r>
        <w:rPr>
          <w:rFonts w:ascii="Arial" w:eastAsia="Arial" w:hAnsi="Arial" w:cs="Arial"/>
          <w:sz w:val="22"/>
          <w:szCs w:val="22"/>
        </w:rPr>
        <w:t xml:space="preserve">, M., </w:t>
      </w:r>
      <w:proofErr w:type="spellStart"/>
      <w:r>
        <w:rPr>
          <w:rFonts w:ascii="Arial" w:eastAsia="Arial" w:hAnsi="Arial" w:cs="Arial"/>
          <w:sz w:val="22"/>
          <w:szCs w:val="22"/>
        </w:rPr>
        <w:t>Brugha</w:t>
      </w:r>
      <w:proofErr w:type="spellEnd"/>
      <w:r>
        <w:rPr>
          <w:rFonts w:ascii="Arial" w:eastAsia="Arial" w:hAnsi="Arial" w:cs="Arial"/>
          <w:sz w:val="22"/>
          <w:szCs w:val="22"/>
        </w:rPr>
        <w:t xml:space="preserve">, R. and </w:t>
      </w:r>
      <w:proofErr w:type="spellStart"/>
      <w:r>
        <w:rPr>
          <w:rFonts w:ascii="Arial" w:eastAsia="Arial" w:hAnsi="Arial" w:cs="Arial"/>
          <w:sz w:val="22"/>
          <w:szCs w:val="22"/>
        </w:rPr>
        <w:t>Gajewski</w:t>
      </w:r>
      <w:proofErr w:type="spellEnd"/>
      <w:r>
        <w:rPr>
          <w:rFonts w:ascii="Arial" w:eastAsia="Arial" w:hAnsi="Arial" w:cs="Arial"/>
          <w:sz w:val="22"/>
          <w:szCs w:val="22"/>
        </w:rPr>
        <w:t xml:space="preserve">, J., 2022. Barriers and enablers to utilisation of the WHO surgical safety checklist at the university teaching hospital in Lusaka, Zambia: a qualitative study. BMC health services research, 22(1), p.894. </w:t>
      </w:r>
    </w:p>
    <w:p w14:paraId="253E5732" w14:textId="77777777" w:rsidR="00561EDE" w:rsidRDefault="00000000">
      <w:pPr>
        <w:rPr>
          <w:rFonts w:ascii="Arial" w:eastAsia="Arial" w:hAnsi="Arial" w:cs="Arial"/>
          <w:sz w:val="22"/>
          <w:szCs w:val="22"/>
        </w:rPr>
      </w:pPr>
      <w:proofErr w:type="spellStart"/>
      <w:r>
        <w:rPr>
          <w:rFonts w:ascii="Arial" w:eastAsia="Arial" w:hAnsi="Arial" w:cs="Arial"/>
          <w:sz w:val="22"/>
          <w:szCs w:val="22"/>
        </w:rPr>
        <w:t>Neuendorf</w:t>
      </w:r>
      <w:proofErr w:type="spellEnd"/>
      <w:r>
        <w:rPr>
          <w:rFonts w:ascii="Arial" w:eastAsia="Arial" w:hAnsi="Arial" w:cs="Arial"/>
          <w:sz w:val="22"/>
          <w:szCs w:val="22"/>
        </w:rPr>
        <w:t xml:space="preserve">, K.D., 2025. Ultrasound Guided Cannulation in </w:t>
      </w:r>
      <w:proofErr w:type="spellStart"/>
      <w:r>
        <w:rPr>
          <w:rFonts w:ascii="Arial" w:eastAsia="Arial" w:hAnsi="Arial" w:cs="Arial"/>
          <w:sz w:val="22"/>
          <w:szCs w:val="22"/>
        </w:rPr>
        <w:t>Hemodialysis</w:t>
      </w:r>
      <w:proofErr w:type="spellEnd"/>
      <w:r>
        <w:rPr>
          <w:rFonts w:ascii="Arial" w:eastAsia="Arial" w:hAnsi="Arial" w:cs="Arial"/>
          <w:sz w:val="22"/>
          <w:szCs w:val="22"/>
        </w:rPr>
        <w:t xml:space="preserve"> Patients for Difficult Intravenous (Doctoral dissertation, Grand Canyon University). </w:t>
      </w:r>
    </w:p>
    <w:p w14:paraId="63A3CC7D" w14:textId="77777777" w:rsidR="00561EDE" w:rsidRDefault="00000000">
      <w:pPr>
        <w:rPr>
          <w:rFonts w:ascii="Arial" w:eastAsia="Arial" w:hAnsi="Arial" w:cs="Arial"/>
          <w:sz w:val="22"/>
          <w:szCs w:val="22"/>
        </w:rPr>
      </w:pPr>
      <w:proofErr w:type="spellStart"/>
      <w:r>
        <w:rPr>
          <w:rFonts w:ascii="Arial" w:eastAsia="Arial" w:hAnsi="Arial" w:cs="Arial"/>
          <w:sz w:val="22"/>
          <w:szCs w:val="22"/>
        </w:rPr>
        <w:t>Ohrling</w:t>
      </w:r>
      <w:proofErr w:type="spellEnd"/>
      <w:r>
        <w:rPr>
          <w:rFonts w:ascii="Arial" w:eastAsia="Arial" w:hAnsi="Arial" w:cs="Arial"/>
          <w:sz w:val="22"/>
          <w:szCs w:val="22"/>
        </w:rPr>
        <w:t xml:space="preserve">, M., </w:t>
      </w:r>
      <w:proofErr w:type="spellStart"/>
      <w:r>
        <w:rPr>
          <w:rFonts w:ascii="Arial" w:eastAsia="Arial" w:hAnsi="Arial" w:cs="Arial"/>
          <w:sz w:val="22"/>
          <w:szCs w:val="22"/>
        </w:rPr>
        <w:t>Tolf</w:t>
      </w:r>
      <w:proofErr w:type="spellEnd"/>
      <w:r>
        <w:rPr>
          <w:rFonts w:ascii="Arial" w:eastAsia="Arial" w:hAnsi="Arial" w:cs="Arial"/>
          <w:sz w:val="22"/>
          <w:szCs w:val="22"/>
        </w:rPr>
        <w:t xml:space="preserve">, S., </w:t>
      </w:r>
      <w:proofErr w:type="spellStart"/>
      <w:r>
        <w:rPr>
          <w:rFonts w:ascii="Arial" w:eastAsia="Arial" w:hAnsi="Arial" w:cs="Arial"/>
          <w:sz w:val="22"/>
          <w:szCs w:val="22"/>
        </w:rPr>
        <w:t>Solberg-Carlsson</w:t>
      </w:r>
      <w:proofErr w:type="spellEnd"/>
      <w:r>
        <w:rPr>
          <w:rFonts w:ascii="Arial" w:eastAsia="Arial" w:hAnsi="Arial" w:cs="Arial"/>
          <w:sz w:val="22"/>
          <w:szCs w:val="22"/>
        </w:rPr>
        <w:t xml:space="preserve">, K. and </w:t>
      </w:r>
      <w:proofErr w:type="spellStart"/>
      <w:r>
        <w:rPr>
          <w:rFonts w:ascii="Arial" w:eastAsia="Arial" w:hAnsi="Arial" w:cs="Arial"/>
          <w:sz w:val="22"/>
          <w:szCs w:val="22"/>
        </w:rPr>
        <w:t>Brommels</w:t>
      </w:r>
      <w:proofErr w:type="spellEnd"/>
      <w:r>
        <w:rPr>
          <w:rFonts w:ascii="Arial" w:eastAsia="Arial" w:hAnsi="Arial" w:cs="Arial"/>
          <w:sz w:val="22"/>
          <w:szCs w:val="22"/>
        </w:rPr>
        <w:t xml:space="preserve">, M., 2022. Managers do it their way: How managers act in a decentralised healthcare services provider organisation–a mixed methods study. Health Services Management Research, 35(4), pp.215-228. </w:t>
      </w:r>
    </w:p>
    <w:p w14:paraId="1DE8C183" w14:textId="77777777" w:rsidR="00561EDE" w:rsidRDefault="00000000">
      <w:pPr>
        <w:spacing w:before="240" w:after="240"/>
        <w:rPr>
          <w:rFonts w:ascii="Arial" w:eastAsia="Arial" w:hAnsi="Arial" w:cs="Arial"/>
          <w:sz w:val="22"/>
          <w:szCs w:val="22"/>
        </w:rPr>
      </w:pPr>
      <w:r>
        <w:rPr>
          <w:rFonts w:ascii="Arial" w:eastAsia="Arial" w:hAnsi="Arial" w:cs="Arial"/>
          <w:sz w:val="22"/>
          <w:szCs w:val="22"/>
        </w:rPr>
        <w:t xml:space="preserve">Our World in Data (2016) </w:t>
      </w:r>
      <w:r>
        <w:rPr>
          <w:rFonts w:ascii="Arial" w:eastAsia="Arial" w:hAnsi="Arial" w:cs="Arial"/>
          <w:i/>
          <w:iCs/>
          <w:sz w:val="22"/>
          <w:szCs w:val="22"/>
        </w:rPr>
        <w:t>Global Health</w:t>
      </w:r>
      <w:r>
        <w:rPr>
          <w:rFonts w:ascii="Arial" w:eastAsia="Arial" w:hAnsi="Arial" w:cs="Arial"/>
          <w:sz w:val="22"/>
          <w:szCs w:val="22"/>
        </w:rPr>
        <w:t>. Available at:</w:t>
      </w:r>
      <w:hyperlink r:id="rId14">
        <w:r>
          <w:rPr>
            <w:rFonts w:ascii="Arial" w:eastAsia="Arial" w:hAnsi="Arial" w:cs="Arial"/>
            <w:sz w:val="22"/>
            <w:szCs w:val="22"/>
          </w:rPr>
          <w:t xml:space="preserve"> </w:t>
        </w:r>
      </w:hyperlink>
      <w:hyperlink r:id="rId15">
        <w:r>
          <w:rPr>
            <w:rFonts w:ascii="Arial" w:eastAsia="Arial" w:hAnsi="Arial" w:cs="Arial"/>
            <w:color w:val="1155CC"/>
            <w:sz w:val="22"/>
            <w:szCs w:val="22"/>
            <w:u w:val="single"/>
          </w:rPr>
          <w:t>https://ourworldindata.org/health-meta</w:t>
        </w:r>
      </w:hyperlink>
      <w:r>
        <w:rPr>
          <w:rFonts w:ascii="Arial" w:eastAsia="Arial" w:hAnsi="Arial" w:cs="Arial"/>
          <w:sz w:val="22"/>
          <w:szCs w:val="22"/>
        </w:rPr>
        <w:t xml:space="preserve"> (Accessed: 18 April 2026). </w:t>
      </w:r>
    </w:p>
    <w:p w14:paraId="055479DD" w14:textId="77777777" w:rsidR="00561EDE" w:rsidRDefault="00000000">
      <w:pPr>
        <w:rPr>
          <w:rFonts w:ascii="Arial" w:eastAsia="Arial" w:hAnsi="Arial" w:cs="Arial"/>
          <w:sz w:val="22"/>
          <w:szCs w:val="22"/>
        </w:rPr>
      </w:pPr>
      <w:r>
        <w:rPr>
          <w:rFonts w:ascii="Arial" w:eastAsia="Arial" w:hAnsi="Arial" w:cs="Arial"/>
          <w:sz w:val="22"/>
          <w:szCs w:val="22"/>
        </w:rPr>
        <w:t xml:space="preserve">Pellegrino, A.A., Chen, G., </w:t>
      </w:r>
      <w:proofErr w:type="spellStart"/>
      <w:r>
        <w:rPr>
          <w:rFonts w:ascii="Arial" w:eastAsia="Arial" w:hAnsi="Arial" w:cs="Arial"/>
          <w:sz w:val="22"/>
          <w:szCs w:val="22"/>
        </w:rPr>
        <w:t>Morgantini</w:t>
      </w:r>
      <w:proofErr w:type="spellEnd"/>
      <w:r>
        <w:rPr>
          <w:rFonts w:ascii="Arial" w:eastAsia="Arial" w:hAnsi="Arial" w:cs="Arial"/>
          <w:sz w:val="22"/>
          <w:szCs w:val="22"/>
        </w:rPr>
        <w:t xml:space="preserve">, L., </w:t>
      </w:r>
      <w:proofErr w:type="spellStart"/>
      <w:r>
        <w:rPr>
          <w:rFonts w:ascii="Arial" w:eastAsia="Arial" w:hAnsi="Arial" w:cs="Arial"/>
          <w:sz w:val="22"/>
          <w:szCs w:val="22"/>
        </w:rPr>
        <w:t>Calvo</w:t>
      </w:r>
      <w:proofErr w:type="spellEnd"/>
      <w:r>
        <w:rPr>
          <w:rFonts w:ascii="Arial" w:eastAsia="Arial" w:hAnsi="Arial" w:cs="Arial"/>
          <w:sz w:val="22"/>
          <w:szCs w:val="22"/>
        </w:rPr>
        <w:t xml:space="preserve">, R.S. and </w:t>
      </w:r>
      <w:proofErr w:type="spellStart"/>
      <w:r>
        <w:rPr>
          <w:rFonts w:ascii="Arial" w:eastAsia="Arial" w:hAnsi="Arial" w:cs="Arial"/>
          <w:sz w:val="22"/>
          <w:szCs w:val="22"/>
        </w:rPr>
        <w:t>Crivellaro</w:t>
      </w:r>
      <w:proofErr w:type="spellEnd"/>
      <w:r>
        <w:rPr>
          <w:rFonts w:ascii="Arial" w:eastAsia="Arial" w:hAnsi="Arial" w:cs="Arial"/>
          <w:sz w:val="22"/>
          <w:szCs w:val="22"/>
        </w:rPr>
        <w:t xml:space="preserve">, S., 2023. Simplifying retroperitoneal robotic single-port surgery: novel supine anterior retroperitoneal access. European Urology, 84(2), pp.223-228. </w:t>
      </w:r>
    </w:p>
    <w:p w14:paraId="14D3BA67" w14:textId="77777777" w:rsidR="00561EDE" w:rsidRDefault="00000000">
      <w:pPr>
        <w:rPr>
          <w:rFonts w:ascii="Arial" w:eastAsia="Arial" w:hAnsi="Arial" w:cs="Arial"/>
          <w:sz w:val="22"/>
          <w:szCs w:val="22"/>
        </w:rPr>
      </w:pPr>
      <w:r>
        <w:rPr>
          <w:rFonts w:ascii="Arial" w:eastAsia="Arial" w:hAnsi="Arial" w:cs="Arial"/>
          <w:sz w:val="22"/>
          <w:szCs w:val="22"/>
        </w:rPr>
        <w:t xml:space="preserve">Ramirez-GarciaLuna, J.L., Bartlett, R., Arriaga-Caballero, J.E., Fraser, R.D. and </w:t>
      </w:r>
      <w:proofErr w:type="spellStart"/>
      <w:r>
        <w:rPr>
          <w:rFonts w:ascii="Arial" w:eastAsia="Arial" w:hAnsi="Arial" w:cs="Arial"/>
          <w:sz w:val="22"/>
          <w:szCs w:val="22"/>
        </w:rPr>
        <w:t>Saiko</w:t>
      </w:r>
      <w:proofErr w:type="spellEnd"/>
      <w:r>
        <w:rPr>
          <w:rFonts w:ascii="Arial" w:eastAsia="Arial" w:hAnsi="Arial" w:cs="Arial"/>
          <w:sz w:val="22"/>
          <w:szCs w:val="22"/>
        </w:rPr>
        <w:t xml:space="preserve">, G., 2022. Infrared thermography in wound care, surgery, and sports medicine: a review. Frontiers in physiology, 13, p.838528. </w:t>
      </w:r>
    </w:p>
    <w:p w14:paraId="19A2ADDA" w14:textId="77777777" w:rsidR="00561EDE" w:rsidRDefault="00000000">
      <w:pPr>
        <w:rPr>
          <w:rFonts w:ascii="Arial" w:eastAsia="Arial" w:hAnsi="Arial" w:cs="Arial"/>
          <w:sz w:val="22"/>
          <w:szCs w:val="22"/>
        </w:rPr>
      </w:pPr>
      <w:r>
        <w:rPr>
          <w:rFonts w:ascii="Arial" w:eastAsia="Arial" w:hAnsi="Arial" w:cs="Arial"/>
          <w:sz w:val="22"/>
          <w:szCs w:val="22"/>
        </w:rPr>
        <w:t xml:space="preserve">Ramsay, A.I., Ramsay, A., </w:t>
      </w:r>
      <w:proofErr w:type="spellStart"/>
      <w:r>
        <w:rPr>
          <w:rFonts w:ascii="Arial" w:eastAsia="Arial" w:hAnsi="Arial" w:cs="Arial"/>
          <w:sz w:val="22"/>
          <w:szCs w:val="22"/>
        </w:rPr>
        <w:t>Tomini</w:t>
      </w:r>
      <w:proofErr w:type="spellEnd"/>
      <w:r>
        <w:rPr>
          <w:rFonts w:ascii="Arial" w:eastAsia="Arial" w:hAnsi="Arial" w:cs="Arial"/>
          <w:sz w:val="22"/>
          <w:szCs w:val="22"/>
        </w:rPr>
        <w:t xml:space="preserve">, S.M., </w:t>
      </w:r>
      <w:proofErr w:type="spellStart"/>
      <w:r>
        <w:rPr>
          <w:rFonts w:ascii="Arial" w:eastAsia="Arial" w:hAnsi="Arial" w:cs="Arial"/>
          <w:sz w:val="22"/>
          <w:szCs w:val="22"/>
        </w:rPr>
        <w:t>Tomini</w:t>
      </w:r>
      <w:proofErr w:type="spellEnd"/>
      <w:r>
        <w:rPr>
          <w:rFonts w:ascii="Arial" w:eastAsia="Arial" w:hAnsi="Arial" w:cs="Arial"/>
          <w:sz w:val="22"/>
          <w:szCs w:val="22"/>
        </w:rPr>
        <w:t xml:space="preserve">, S., Gandhi, S., </w:t>
      </w:r>
      <w:proofErr w:type="spellStart"/>
      <w:r>
        <w:rPr>
          <w:rFonts w:ascii="Arial" w:eastAsia="Arial" w:hAnsi="Arial" w:cs="Arial"/>
          <w:sz w:val="22"/>
          <w:szCs w:val="22"/>
        </w:rPr>
        <w:t>Fulop</w:t>
      </w:r>
      <w:proofErr w:type="spellEnd"/>
      <w:r>
        <w:rPr>
          <w:rFonts w:ascii="Arial" w:eastAsia="Arial" w:hAnsi="Arial" w:cs="Arial"/>
          <w:sz w:val="22"/>
          <w:szCs w:val="22"/>
        </w:rPr>
        <w:t xml:space="preserve">, N.J., </w:t>
      </w:r>
      <w:proofErr w:type="spellStart"/>
      <w:r>
        <w:rPr>
          <w:rFonts w:ascii="Arial" w:eastAsia="Arial" w:hAnsi="Arial" w:cs="Arial"/>
          <w:sz w:val="22"/>
          <w:szCs w:val="22"/>
        </w:rPr>
        <w:t>Fulop</w:t>
      </w:r>
      <w:proofErr w:type="spellEnd"/>
      <w:r>
        <w:rPr>
          <w:rFonts w:ascii="Arial" w:eastAsia="Arial" w:hAnsi="Arial" w:cs="Arial"/>
          <w:sz w:val="22"/>
          <w:szCs w:val="22"/>
        </w:rPr>
        <w:t xml:space="preserve">, N. and Morris, S., 2025. Centralisation of specialised healthcare services: a scoping review of definitions, types, and impact on outcomes. Health and Social Care Delivery Research, (43), pp.1-70. </w:t>
      </w:r>
    </w:p>
    <w:p w14:paraId="10F45306" w14:textId="77777777" w:rsidR="00561EDE" w:rsidRDefault="00000000">
      <w:pPr>
        <w:rPr>
          <w:rFonts w:ascii="Arial" w:eastAsia="Arial" w:hAnsi="Arial" w:cs="Arial"/>
          <w:sz w:val="22"/>
          <w:szCs w:val="22"/>
        </w:rPr>
      </w:pPr>
      <w:proofErr w:type="spellStart"/>
      <w:r>
        <w:rPr>
          <w:rFonts w:ascii="Arial" w:eastAsia="Arial" w:hAnsi="Arial" w:cs="Arial"/>
          <w:sz w:val="22"/>
          <w:szCs w:val="22"/>
        </w:rPr>
        <w:t>Sapkota</w:t>
      </w:r>
      <w:proofErr w:type="spellEnd"/>
      <w:r>
        <w:rPr>
          <w:rFonts w:ascii="Arial" w:eastAsia="Arial" w:hAnsi="Arial" w:cs="Arial"/>
          <w:sz w:val="22"/>
          <w:szCs w:val="22"/>
        </w:rPr>
        <w:t xml:space="preserve">, S., </w:t>
      </w:r>
      <w:proofErr w:type="spellStart"/>
      <w:r>
        <w:rPr>
          <w:rFonts w:ascii="Arial" w:eastAsia="Arial" w:hAnsi="Arial" w:cs="Arial"/>
          <w:sz w:val="22"/>
          <w:szCs w:val="22"/>
        </w:rPr>
        <w:t>Dhakal</w:t>
      </w:r>
      <w:proofErr w:type="spellEnd"/>
      <w:r>
        <w:rPr>
          <w:rFonts w:ascii="Arial" w:eastAsia="Arial" w:hAnsi="Arial" w:cs="Arial"/>
          <w:sz w:val="22"/>
          <w:szCs w:val="22"/>
        </w:rPr>
        <w:t xml:space="preserve">, A., </w:t>
      </w:r>
      <w:proofErr w:type="spellStart"/>
      <w:r>
        <w:rPr>
          <w:rFonts w:ascii="Arial" w:eastAsia="Arial" w:hAnsi="Arial" w:cs="Arial"/>
          <w:sz w:val="22"/>
          <w:szCs w:val="22"/>
        </w:rPr>
        <w:t>Rushton</w:t>
      </w:r>
      <w:proofErr w:type="spellEnd"/>
      <w:r>
        <w:rPr>
          <w:rFonts w:ascii="Arial" w:eastAsia="Arial" w:hAnsi="Arial" w:cs="Arial"/>
          <w:sz w:val="22"/>
          <w:szCs w:val="22"/>
        </w:rPr>
        <w:t xml:space="preserve">, S., van </w:t>
      </w:r>
      <w:proofErr w:type="spellStart"/>
      <w:r>
        <w:rPr>
          <w:rFonts w:ascii="Arial" w:eastAsia="Arial" w:hAnsi="Arial" w:cs="Arial"/>
          <w:sz w:val="22"/>
          <w:szCs w:val="22"/>
        </w:rPr>
        <w:t>Teijlingen</w:t>
      </w:r>
      <w:proofErr w:type="spellEnd"/>
      <w:r>
        <w:rPr>
          <w:rFonts w:ascii="Arial" w:eastAsia="Arial" w:hAnsi="Arial" w:cs="Arial"/>
          <w:sz w:val="22"/>
          <w:szCs w:val="22"/>
        </w:rPr>
        <w:t xml:space="preserve">, E., </w:t>
      </w:r>
      <w:proofErr w:type="spellStart"/>
      <w:r>
        <w:rPr>
          <w:rFonts w:ascii="Arial" w:eastAsia="Arial" w:hAnsi="Arial" w:cs="Arial"/>
          <w:sz w:val="22"/>
          <w:szCs w:val="22"/>
        </w:rPr>
        <w:t>Marahatta</w:t>
      </w:r>
      <w:proofErr w:type="spellEnd"/>
      <w:r>
        <w:rPr>
          <w:rFonts w:ascii="Arial" w:eastAsia="Arial" w:hAnsi="Arial" w:cs="Arial"/>
          <w:sz w:val="22"/>
          <w:szCs w:val="22"/>
        </w:rPr>
        <w:t xml:space="preserve">, S.B., </w:t>
      </w:r>
      <w:proofErr w:type="spellStart"/>
      <w:r>
        <w:rPr>
          <w:rFonts w:ascii="Arial" w:eastAsia="Arial" w:hAnsi="Arial" w:cs="Arial"/>
          <w:sz w:val="22"/>
          <w:szCs w:val="22"/>
        </w:rPr>
        <w:t>Balen</w:t>
      </w:r>
      <w:proofErr w:type="spellEnd"/>
      <w:r>
        <w:rPr>
          <w:rFonts w:ascii="Arial" w:eastAsia="Arial" w:hAnsi="Arial" w:cs="Arial"/>
          <w:sz w:val="22"/>
          <w:szCs w:val="22"/>
        </w:rPr>
        <w:t xml:space="preserve">, J. and Lee, A.C., 2023. The impact of decentralisation on health systems: a systematic review of reviews. BMJ Global Health, 8(12). </w:t>
      </w:r>
    </w:p>
    <w:p w14:paraId="0821C3F5" w14:textId="77777777" w:rsidR="00561EDE" w:rsidRDefault="00000000">
      <w:pPr>
        <w:rPr>
          <w:rFonts w:ascii="Arial" w:eastAsia="Arial" w:hAnsi="Arial" w:cs="Arial"/>
          <w:sz w:val="22"/>
          <w:szCs w:val="22"/>
        </w:rPr>
      </w:pPr>
      <w:proofErr w:type="spellStart"/>
      <w:r>
        <w:rPr>
          <w:rFonts w:ascii="Arial" w:eastAsia="Arial" w:hAnsi="Arial" w:cs="Arial"/>
          <w:sz w:val="22"/>
          <w:szCs w:val="22"/>
        </w:rPr>
        <w:t>Sinha</w:t>
      </w:r>
      <w:proofErr w:type="spellEnd"/>
      <w:r>
        <w:rPr>
          <w:rFonts w:ascii="Arial" w:eastAsia="Arial" w:hAnsi="Arial" w:cs="Arial"/>
          <w:sz w:val="22"/>
          <w:szCs w:val="22"/>
        </w:rPr>
        <w:t xml:space="preserve">, S.D., </w:t>
      </w:r>
      <w:proofErr w:type="spellStart"/>
      <w:r>
        <w:rPr>
          <w:rFonts w:ascii="Arial" w:eastAsia="Arial" w:hAnsi="Arial" w:cs="Arial"/>
          <w:sz w:val="22"/>
          <w:szCs w:val="22"/>
        </w:rPr>
        <w:t>Sriramadasu</w:t>
      </w:r>
      <w:proofErr w:type="spellEnd"/>
      <w:r>
        <w:rPr>
          <w:rFonts w:ascii="Arial" w:eastAsia="Arial" w:hAnsi="Arial" w:cs="Arial"/>
          <w:sz w:val="22"/>
          <w:szCs w:val="22"/>
        </w:rPr>
        <w:t xml:space="preserve">, S.C., Raphael, R. and Roy, S., 2024. Decentralisation in clinical trials and patient centricity: benefits and challenges. Pharmaceutical Medicine, 38(2), pp.109-120. </w:t>
      </w:r>
    </w:p>
    <w:p w14:paraId="12673904" w14:textId="77777777" w:rsidR="00561EDE" w:rsidRDefault="00000000">
      <w:pPr>
        <w:rPr>
          <w:rFonts w:ascii="Arial" w:eastAsia="Arial" w:hAnsi="Arial" w:cs="Arial"/>
          <w:sz w:val="22"/>
          <w:szCs w:val="22"/>
        </w:rPr>
      </w:pPr>
      <w:r>
        <w:rPr>
          <w:rFonts w:ascii="Arial" w:eastAsia="Arial" w:hAnsi="Arial" w:cs="Arial"/>
          <w:sz w:val="22"/>
          <w:szCs w:val="22"/>
        </w:rPr>
        <w:t xml:space="preserve">South China Morning Post (2025) </w:t>
      </w:r>
      <w:r>
        <w:rPr>
          <w:rFonts w:ascii="Arial" w:eastAsia="Arial" w:hAnsi="Arial" w:cs="Arial"/>
          <w:i/>
          <w:iCs/>
          <w:sz w:val="22"/>
          <w:szCs w:val="22"/>
        </w:rPr>
        <w:t>Indian hospital probed after man mistakenly operated on while waiting on son’s surgery</w:t>
      </w:r>
      <w:r>
        <w:rPr>
          <w:rFonts w:ascii="Arial" w:eastAsia="Arial" w:hAnsi="Arial" w:cs="Arial"/>
          <w:sz w:val="22"/>
          <w:szCs w:val="22"/>
        </w:rPr>
        <w:t>. Available at:</w:t>
      </w:r>
      <w:hyperlink r:id="rId16">
        <w:r>
          <w:rPr>
            <w:rFonts w:ascii="Arial" w:eastAsia="Arial" w:hAnsi="Arial" w:cs="Arial"/>
            <w:sz w:val="22"/>
            <w:szCs w:val="22"/>
          </w:rPr>
          <w:t xml:space="preserve"> </w:t>
        </w:r>
      </w:hyperlink>
      <w:r>
        <w:rPr>
          <w:rFonts w:ascii="Arial" w:eastAsia="Arial" w:hAnsi="Arial" w:cs="Arial"/>
          <w:sz w:val="22"/>
          <w:szCs w:val="22"/>
        </w:rPr>
        <w:t xml:space="preserve">https://www.scmp.com/week-asia/health-environment/article/3307457/indian-hospital-probed-after-man-mistakenly-operated-while-waiting-sons-surgery  (Accessed: 18 April 2026). </w:t>
      </w:r>
    </w:p>
    <w:p w14:paraId="1D030BF9" w14:textId="77777777" w:rsidR="00561EDE" w:rsidRDefault="00000000">
      <w:pPr>
        <w:rPr>
          <w:rFonts w:ascii="Arial" w:eastAsia="Arial" w:hAnsi="Arial" w:cs="Arial"/>
          <w:sz w:val="22"/>
          <w:szCs w:val="22"/>
        </w:rPr>
      </w:pPr>
      <w:proofErr w:type="spellStart"/>
      <w:r>
        <w:rPr>
          <w:rFonts w:ascii="Arial" w:eastAsia="Arial" w:hAnsi="Arial" w:cs="Arial"/>
          <w:sz w:val="22"/>
          <w:szCs w:val="22"/>
        </w:rPr>
        <w:t>Stroupe</w:t>
      </w:r>
      <w:proofErr w:type="spellEnd"/>
      <w:r>
        <w:rPr>
          <w:rFonts w:ascii="Arial" w:eastAsia="Arial" w:hAnsi="Arial" w:cs="Arial"/>
          <w:sz w:val="22"/>
          <w:szCs w:val="22"/>
        </w:rPr>
        <w:t xml:space="preserve">, J., 2022. Prevention of Infection During </w:t>
      </w:r>
      <w:proofErr w:type="spellStart"/>
      <w:r>
        <w:rPr>
          <w:rFonts w:ascii="Arial" w:eastAsia="Arial" w:hAnsi="Arial" w:cs="Arial"/>
          <w:sz w:val="22"/>
          <w:szCs w:val="22"/>
        </w:rPr>
        <w:t>Hemodialysis</w:t>
      </w:r>
      <w:proofErr w:type="spellEnd"/>
      <w:r>
        <w:rPr>
          <w:rFonts w:ascii="Arial" w:eastAsia="Arial" w:hAnsi="Arial" w:cs="Arial"/>
          <w:sz w:val="22"/>
          <w:szCs w:val="22"/>
        </w:rPr>
        <w:t xml:space="preserve"> Treatment Initiation. </w:t>
      </w:r>
    </w:p>
    <w:p w14:paraId="18EF07CE" w14:textId="77777777" w:rsidR="00561EDE" w:rsidRDefault="00000000">
      <w:pPr>
        <w:spacing w:before="240" w:after="240"/>
        <w:rPr>
          <w:rFonts w:ascii="Arial" w:eastAsia="Arial" w:hAnsi="Arial" w:cs="Arial"/>
          <w:sz w:val="22"/>
          <w:szCs w:val="22"/>
        </w:rPr>
      </w:pPr>
      <w:r>
        <w:rPr>
          <w:rFonts w:ascii="Arial" w:eastAsia="Arial" w:hAnsi="Arial" w:cs="Arial"/>
          <w:sz w:val="22"/>
          <w:szCs w:val="22"/>
        </w:rPr>
        <w:t xml:space="preserve">World Health </w:t>
      </w:r>
      <w:proofErr w:type="spellStart"/>
      <w:r>
        <w:rPr>
          <w:rFonts w:ascii="Arial" w:eastAsia="Arial" w:hAnsi="Arial" w:cs="Arial"/>
          <w:sz w:val="22"/>
          <w:szCs w:val="22"/>
        </w:rPr>
        <w:t>Organization</w:t>
      </w:r>
      <w:proofErr w:type="spellEnd"/>
      <w:r>
        <w:rPr>
          <w:rFonts w:ascii="Arial" w:eastAsia="Arial" w:hAnsi="Arial" w:cs="Arial"/>
          <w:sz w:val="22"/>
          <w:szCs w:val="22"/>
        </w:rPr>
        <w:t xml:space="preserve"> (2023) </w:t>
      </w:r>
      <w:r>
        <w:rPr>
          <w:rFonts w:ascii="Arial" w:eastAsia="Arial" w:hAnsi="Arial" w:cs="Arial"/>
          <w:i/>
          <w:iCs/>
          <w:sz w:val="22"/>
          <w:szCs w:val="22"/>
        </w:rPr>
        <w:t>Patient safety</w:t>
      </w:r>
      <w:r>
        <w:rPr>
          <w:rFonts w:ascii="Arial" w:eastAsia="Arial" w:hAnsi="Arial" w:cs="Arial"/>
          <w:sz w:val="22"/>
          <w:szCs w:val="22"/>
        </w:rPr>
        <w:t>. Available at:</w:t>
      </w:r>
      <w:hyperlink r:id="rId17">
        <w:r>
          <w:rPr>
            <w:rFonts w:ascii="Arial" w:eastAsia="Arial" w:hAnsi="Arial" w:cs="Arial"/>
            <w:sz w:val="22"/>
            <w:szCs w:val="22"/>
          </w:rPr>
          <w:t xml:space="preserve"> </w:t>
        </w:r>
      </w:hyperlink>
      <w:hyperlink r:id="rId18">
        <w:r>
          <w:rPr>
            <w:rFonts w:ascii="Arial" w:eastAsia="Arial" w:hAnsi="Arial" w:cs="Arial"/>
            <w:color w:val="1155CC"/>
            <w:sz w:val="22"/>
            <w:szCs w:val="22"/>
            <w:u w:val="single"/>
          </w:rPr>
          <w:t>https://www.who.int/news-room/fact-sheets/detail/patient-safety</w:t>
        </w:r>
      </w:hyperlink>
      <w:r>
        <w:rPr>
          <w:rFonts w:ascii="Arial" w:eastAsia="Arial" w:hAnsi="Arial" w:cs="Arial"/>
          <w:sz w:val="22"/>
          <w:szCs w:val="22"/>
        </w:rPr>
        <w:t xml:space="preserve"> (Accessed: 18 April 2026).</w:t>
      </w:r>
    </w:p>
    <w:p w14:paraId="250B3418" w14:textId="77777777" w:rsidR="00561EDE" w:rsidRDefault="00000000">
      <w:pPr>
        <w:rPr>
          <w:rFonts w:ascii="Arial" w:eastAsia="Arial" w:hAnsi="Arial" w:cs="Arial"/>
          <w:sz w:val="22"/>
          <w:szCs w:val="22"/>
        </w:rPr>
      </w:pPr>
      <w:r>
        <w:rPr>
          <w:rFonts w:ascii="Arial" w:eastAsia="Arial" w:hAnsi="Arial" w:cs="Arial"/>
          <w:sz w:val="22"/>
          <w:szCs w:val="22"/>
        </w:rPr>
        <w:t xml:space="preserve">Yang, B., </w:t>
      </w:r>
      <w:proofErr w:type="spellStart"/>
      <w:r>
        <w:rPr>
          <w:rFonts w:ascii="Arial" w:eastAsia="Arial" w:hAnsi="Arial" w:cs="Arial"/>
          <w:sz w:val="22"/>
          <w:szCs w:val="22"/>
        </w:rPr>
        <w:t>Gao</w:t>
      </w:r>
      <w:proofErr w:type="spellEnd"/>
      <w:r>
        <w:rPr>
          <w:rFonts w:ascii="Arial" w:eastAsia="Arial" w:hAnsi="Arial" w:cs="Arial"/>
          <w:sz w:val="22"/>
          <w:szCs w:val="22"/>
        </w:rPr>
        <w:t xml:space="preserve">, L., Wang, X., Wei, J., </w:t>
      </w:r>
      <w:proofErr w:type="spellStart"/>
      <w:r>
        <w:rPr>
          <w:rFonts w:ascii="Arial" w:eastAsia="Arial" w:hAnsi="Arial" w:cs="Arial"/>
          <w:sz w:val="22"/>
          <w:szCs w:val="22"/>
        </w:rPr>
        <w:t>Xia</w:t>
      </w:r>
      <w:proofErr w:type="spellEnd"/>
      <w:r>
        <w:rPr>
          <w:rFonts w:ascii="Arial" w:eastAsia="Arial" w:hAnsi="Arial" w:cs="Arial"/>
          <w:sz w:val="22"/>
          <w:szCs w:val="22"/>
        </w:rPr>
        <w:t xml:space="preserve">, B., Liu, X. and Zheng, P., 2022. Application of supervised machine learning algorithms to predict the risk of hidden blood loss during the </w:t>
      </w:r>
      <w:proofErr w:type="spellStart"/>
      <w:r>
        <w:rPr>
          <w:rFonts w:ascii="Arial" w:eastAsia="Arial" w:hAnsi="Arial" w:cs="Arial"/>
          <w:sz w:val="22"/>
          <w:szCs w:val="22"/>
        </w:rPr>
        <w:t>perioperative</w:t>
      </w:r>
      <w:proofErr w:type="spellEnd"/>
      <w:r>
        <w:rPr>
          <w:rFonts w:ascii="Arial" w:eastAsia="Arial" w:hAnsi="Arial" w:cs="Arial"/>
          <w:sz w:val="22"/>
          <w:szCs w:val="22"/>
        </w:rPr>
        <w:t xml:space="preserve"> period in thoracolumbar burst fracture patients complicated with neurological compromise. Frontiers in Public Health, 10, p.969919. </w:t>
      </w:r>
    </w:p>
    <w:p w14:paraId="39DA306C" w14:textId="77777777" w:rsidR="00561EDE" w:rsidRDefault="00000000">
      <w:pPr>
        <w:rPr>
          <w:rFonts w:ascii="Arial" w:eastAsia="Arial" w:hAnsi="Arial" w:cs="Arial"/>
          <w:sz w:val="22"/>
          <w:szCs w:val="22"/>
        </w:rPr>
      </w:pPr>
      <w:proofErr w:type="spellStart"/>
      <w:r>
        <w:rPr>
          <w:rFonts w:ascii="Arial" w:eastAsia="Arial" w:hAnsi="Arial" w:cs="Arial"/>
          <w:sz w:val="22"/>
          <w:szCs w:val="22"/>
        </w:rPr>
        <w:t>Yuanyuan</w:t>
      </w:r>
      <w:proofErr w:type="spellEnd"/>
      <w:r>
        <w:rPr>
          <w:rFonts w:ascii="Arial" w:eastAsia="Arial" w:hAnsi="Arial" w:cs="Arial"/>
          <w:sz w:val="22"/>
          <w:szCs w:val="22"/>
        </w:rPr>
        <w:t xml:space="preserve">, Z., </w:t>
      </w:r>
      <w:proofErr w:type="spellStart"/>
      <w:r>
        <w:rPr>
          <w:rFonts w:ascii="Arial" w:eastAsia="Arial" w:hAnsi="Arial" w:cs="Arial"/>
          <w:sz w:val="22"/>
          <w:szCs w:val="22"/>
        </w:rPr>
        <w:t>Xiaohe</w:t>
      </w:r>
      <w:proofErr w:type="spellEnd"/>
      <w:r>
        <w:rPr>
          <w:rFonts w:ascii="Arial" w:eastAsia="Arial" w:hAnsi="Arial" w:cs="Arial"/>
          <w:sz w:val="22"/>
          <w:szCs w:val="22"/>
        </w:rPr>
        <w:t xml:space="preserve">, W., </w:t>
      </w:r>
      <w:proofErr w:type="spellStart"/>
      <w:r>
        <w:rPr>
          <w:rFonts w:ascii="Arial" w:eastAsia="Arial" w:hAnsi="Arial" w:cs="Arial"/>
          <w:sz w:val="22"/>
          <w:szCs w:val="22"/>
        </w:rPr>
        <w:t>Zhen</w:t>
      </w:r>
      <w:proofErr w:type="spellEnd"/>
      <w:r>
        <w:rPr>
          <w:rFonts w:ascii="Arial" w:eastAsia="Arial" w:hAnsi="Arial" w:cs="Arial"/>
          <w:sz w:val="22"/>
          <w:szCs w:val="22"/>
        </w:rPr>
        <w:t xml:space="preserve">, L. and </w:t>
      </w:r>
      <w:proofErr w:type="spellStart"/>
      <w:r>
        <w:rPr>
          <w:rFonts w:ascii="Arial" w:eastAsia="Arial" w:hAnsi="Arial" w:cs="Arial"/>
          <w:sz w:val="22"/>
          <w:szCs w:val="22"/>
        </w:rPr>
        <w:t>Guocun</w:t>
      </w:r>
      <w:proofErr w:type="spellEnd"/>
      <w:r>
        <w:rPr>
          <w:rFonts w:ascii="Arial" w:eastAsia="Arial" w:hAnsi="Arial" w:cs="Arial"/>
          <w:sz w:val="22"/>
          <w:szCs w:val="22"/>
        </w:rPr>
        <w:t xml:space="preserve">, H., 2022. Creating radio-cephalic arteriovenous fistula in the forearm with a modified no-touch technique. JoVE (Journal of </w:t>
      </w:r>
      <w:proofErr w:type="spellStart"/>
      <w:r>
        <w:rPr>
          <w:rFonts w:ascii="Arial" w:eastAsia="Arial" w:hAnsi="Arial" w:cs="Arial"/>
          <w:sz w:val="22"/>
          <w:szCs w:val="22"/>
        </w:rPr>
        <w:t>Visualized</w:t>
      </w:r>
      <w:proofErr w:type="spellEnd"/>
      <w:r>
        <w:rPr>
          <w:rFonts w:ascii="Arial" w:eastAsia="Arial" w:hAnsi="Arial" w:cs="Arial"/>
          <w:sz w:val="22"/>
          <w:szCs w:val="22"/>
        </w:rPr>
        <w:t xml:space="preserve"> Experiments), (182), p.e62784. </w:t>
      </w:r>
    </w:p>
    <w:p w14:paraId="02805F74" w14:textId="77777777" w:rsidR="00561EDE" w:rsidRDefault="00000000">
      <w:pPr>
        <w:rPr>
          <w:rFonts w:ascii="Arial" w:eastAsia="Arial" w:hAnsi="Arial" w:cs="Arial"/>
          <w:sz w:val="22"/>
          <w:szCs w:val="22"/>
        </w:rPr>
      </w:pPr>
      <w:proofErr w:type="spellStart"/>
      <w:r>
        <w:rPr>
          <w:rFonts w:ascii="Arial" w:eastAsia="Arial" w:hAnsi="Arial" w:cs="Arial"/>
          <w:sz w:val="22"/>
          <w:szCs w:val="22"/>
        </w:rPr>
        <w:t>Yun</w:t>
      </w:r>
      <w:proofErr w:type="spellEnd"/>
      <w:r>
        <w:rPr>
          <w:rFonts w:ascii="Arial" w:eastAsia="Arial" w:hAnsi="Arial" w:cs="Arial"/>
          <w:sz w:val="22"/>
          <w:szCs w:val="22"/>
        </w:rPr>
        <w:t xml:space="preserve">, S.S., </w:t>
      </w:r>
      <w:proofErr w:type="spellStart"/>
      <w:r>
        <w:rPr>
          <w:rFonts w:ascii="Arial" w:eastAsia="Arial" w:hAnsi="Arial" w:cs="Arial"/>
          <w:sz w:val="22"/>
          <w:szCs w:val="22"/>
        </w:rPr>
        <w:t>Mok</w:t>
      </w:r>
      <w:proofErr w:type="spellEnd"/>
      <w:r>
        <w:rPr>
          <w:rFonts w:ascii="Arial" w:eastAsia="Arial" w:hAnsi="Arial" w:cs="Arial"/>
          <w:sz w:val="22"/>
          <w:szCs w:val="22"/>
        </w:rPr>
        <w:t xml:space="preserve">, S., Park, S.C., Park, Y.J. and Kim, J.Y., 2023. Efficacy of blood flow measurement using </w:t>
      </w:r>
      <w:proofErr w:type="spellStart"/>
      <w:r>
        <w:rPr>
          <w:rFonts w:ascii="Arial" w:eastAsia="Arial" w:hAnsi="Arial" w:cs="Arial"/>
          <w:sz w:val="22"/>
          <w:szCs w:val="22"/>
        </w:rPr>
        <w:t>intraoperative</w:t>
      </w:r>
      <w:proofErr w:type="spellEnd"/>
      <w:r>
        <w:rPr>
          <w:rFonts w:ascii="Arial" w:eastAsia="Arial" w:hAnsi="Arial" w:cs="Arial"/>
          <w:sz w:val="22"/>
          <w:szCs w:val="22"/>
        </w:rPr>
        <w:t xml:space="preserve"> </w:t>
      </w:r>
      <w:proofErr w:type="spellStart"/>
      <w:r>
        <w:rPr>
          <w:rFonts w:ascii="Arial" w:eastAsia="Arial" w:hAnsi="Arial" w:cs="Arial"/>
          <w:sz w:val="22"/>
          <w:szCs w:val="22"/>
        </w:rPr>
        <w:t>color</w:t>
      </w:r>
      <w:proofErr w:type="spellEnd"/>
      <w:r>
        <w:rPr>
          <w:rFonts w:ascii="Arial" w:eastAsia="Arial" w:hAnsi="Arial" w:cs="Arial"/>
          <w:sz w:val="22"/>
          <w:szCs w:val="22"/>
        </w:rPr>
        <w:t xml:space="preserve"> flow Doppler ultrasound as a predictor of autologous arteriovenous fistula maturation. Therapeutic </w:t>
      </w:r>
      <w:proofErr w:type="spellStart"/>
      <w:r>
        <w:rPr>
          <w:rFonts w:ascii="Arial" w:eastAsia="Arial" w:hAnsi="Arial" w:cs="Arial"/>
          <w:sz w:val="22"/>
          <w:szCs w:val="22"/>
        </w:rPr>
        <w:t>Apheresis</w:t>
      </w:r>
      <w:proofErr w:type="spellEnd"/>
      <w:r>
        <w:rPr>
          <w:rFonts w:ascii="Arial" w:eastAsia="Arial" w:hAnsi="Arial" w:cs="Arial"/>
          <w:sz w:val="22"/>
          <w:szCs w:val="22"/>
        </w:rPr>
        <w:t xml:space="preserve"> and Dialysis, 27(1), pp.50-58. </w:t>
      </w:r>
    </w:p>
    <w:p w14:paraId="11DA8BCF" w14:textId="77777777" w:rsidR="00561EDE" w:rsidRDefault="00561EDE">
      <w:pPr>
        <w:rPr>
          <w:rFonts w:ascii="Arial" w:eastAsia="Arial" w:hAnsi="Arial" w:cs="Arial"/>
          <w:sz w:val="22"/>
          <w:szCs w:val="22"/>
        </w:rPr>
      </w:pPr>
    </w:p>
    <w:p w14:paraId="08322D31" w14:textId="77777777" w:rsidR="00561EDE" w:rsidRDefault="00561EDE">
      <w:pPr>
        <w:rPr>
          <w:rFonts w:ascii="Arial" w:eastAsia="Arial" w:hAnsi="Arial" w:cs="Arial"/>
          <w:sz w:val="22"/>
          <w:szCs w:val="22"/>
        </w:rPr>
      </w:pPr>
    </w:p>
    <w:p w14:paraId="07FC62A2" w14:textId="77777777" w:rsidR="00561EDE" w:rsidRDefault="00561EDE">
      <w:pPr>
        <w:rPr>
          <w:rFonts w:ascii="Arial" w:eastAsia="Arial" w:hAnsi="Arial" w:cs="Arial"/>
          <w:sz w:val="22"/>
          <w:szCs w:val="22"/>
        </w:rPr>
      </w:pPr>
    </w:p>
    <w:p w14:paraId="78608C4F" w14:textId="77777777" w:rsidR="00561EDE" w:rsidRDefault="00561EDE">
      <w:pPr>
        <w:rPr>
          <w:rFonts w:ascii="Arial" w:eastAsia="Arial" w:hAnsi="Arial" w:cs="Arial"/>
          <w:sz w:val="22"/>
          <w:szCs w:val="22"/>
        </w:rPr>
      </w:pPr>
    </w:p>
    <w:sectPr w:rsidR="00561EDE">
      <w:footerReference w:type="default" r:id="rId1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9C0D3" w14:textId="77777777" w:rsidR="00A818F3" w:rsidRDefault="00A818F3">
      <w:pPr>
        <w:spacing w:after="0" w:line="240" w:lineRule="auto"/>
      </w:pPr>
      <w:r>
        <w:separator/>
      </w:r>
    </w:p>
  </w:endnote>
  <w:endnote w:type="continuationSeparator" w:id="0">
    <w:p w14:paraId="65EF923A" w14:textId="77777777" w:rsidR="00A818F3" w:rsidRDefault="00A81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E23BA" w14:textId="77777777" w:rsidR="00561EDE" w:rsidRDefault="00000000">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color w:val="000000"/>
      </w:rPr>
      <w:fldChar w:fldCharType="end"/>
    </w:r>
  </w:p>
  <w:p w14:paraId="117D755C" w14:textId="77777777" w:rsidR="00561EDE" w:rsidRDefault="00561ED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76E62" w14:textId="77777777" w:rsidR="00A818F3" w:rsidRDefault="00A818F3">
      <w:pPr>
        <w:spacing w:after="0" w:line="240" w:lineRule="auto"/>
      </w:pPr>
      <w:r>
        <w:separator/>
      </w:r>
    </w:p>
  </w:footnote>
  <w:footnote w:type="continuationSeparator" w:id="0">
    <w:p w14:paraId="1412F982" w14:textId="77777777" w:rsidR="00A818F3" w:rsidRDefault="00A818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1EDE"/>
    <w:rsid w:val="000C61D9"/>
    <w:rsid w:val="00561EDE"/>
    <w:rsid w:val="00A544D6"/>
    <w:rsid w:val="00A818F3"/>
    <w:rsid w:val="00E9697D"/>
    <w:rsid w:val="00F44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0ED9C7"/>
  <w15:docId w15:val="{98AE699A-936E-F74F-A3D7-DDEB7C16A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who.int/news-room/fact-sheets/detail/patient-safe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who.int/news-room/fact-sheets/detail/patient-safety" TargetMode="External"/><Relationship Id="rId2" Type="http://schemas.openxmlformats.org/officeDocument/2006/relationships/styles" Target="styles.xml"/><Relationship Id="rId16" Type="http://schemas.openxmlformats.org/officeDocument/2006/relationships/hyperlink" Target="https://www.scmp.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ourworldindata.org/health-meta"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urworldindata.org/health-me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SPeLUe3QRuzVMgb2vUt4B49+BA==">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6950</Words>
  <Characters>39618</Characters>
  <Application>Microsoft Office Word</Application>
  <DocSecurity>0</DocSecurity>
  <Lines>330</Lines>
  <Paragraphs>92</Paragraphs>
  <ScaleCrop>false</ScaleCrop>
  <Company/>
  <LinksUpToDate>false</LinksUpToDate>
  <CharactersWithSpaces>46476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pratham solanki</cp:lastModifiedBy>
  <cp:revision>4</cp:revision>
  <dcterms:created xsi:type="dcterms:W3CDTF">2026-04-20T21:24:00Z</dcterms:created>
  <dcterms:modified xsi:type="dcterms:W3CDTF">2026-04-20T21:25:00Z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C9022929CA8941A3902F49B45B8E6E34_12</vt:lpwstr>
  </property>
</Properties>
</file>