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9DA18" w14:textId="3C43ABC9" w:rsidR="00FA5EB8" w:rsidRDefault="00FA5EB8" w:rsidP="00B90FC4">
      <w:pPr>
        <w:jc w:val="center"/>
        <w:rPr>
          <w:rFonts w:ascii="Arial" w:hAnsi="Arial" w:cs="Arial"/>
          <w:sz w:val="24"/>
          <w:szCs w:val="24"/>
        </w:rPr>
      </w:pPr>
    </w:p>
    <w:p w14:paraId="0B22014F" w14:textId="3298EB86" w:rsidR="00B90FC4" w:rsidRDefault="00B90FC4" w:rsidP="00B90FC4">
      <w:pPr>
        <w:jc w:val="center"/>
        <w:rPr>
          <w:rFonts w:ascii="Arial" w:hAnsi="Arial" w:cs="Arial"/>
          <w:sz w:val="24"/>
          <w:szCs w:val="24"/>
        </w:rPr>
      </w:pPr>
    </w:p>
    <w:p w14:paraId="2F903385" w14:textId="4A1545DD" w:rsidR="00B90FC4" w:rsidRDefault="00B90FC4" w:rsidP="00B90FC4">
      <w:pPr>
        <w:jc w:val="center"/>
        <w:rPr>
          <w:rFonts w:ascii="Arial" w:hAnsi="Arial" w:cs="Arial"/>
          <w:sz w:val="24"/>
          <w:szCs w:val="24"/>
        </w:rPr>
      </w:pPr>
    </w:p>
    <w:p w14:paraId="50C83E55" w14:textId="77777777" w:rsidR="00B90FC4" w:rsidRDefault="00B90FC4" w:rsidP="00B90FC4">
      <w:pPr>
        <w:jc w:val="center"/>
        <w:rPr>
          <w:rFonts w:ascii="Arial" w:hAnsi="Arial" w:cs="Arial"/>
          <w:b/>
          <w:bCs/>
          <w:sz w:val="52"/>
          <w:szCs w:val="52"/>
        </w:rPr>
      </w:pPr>
    </w:p>
    <w:p w14:paraId="1E3DFCAC" w14:textId="77777777" w:rsidR="00B90FC4" w:rsidRDefault="00B90FC4" w:rsidP="00B90FC4">
      <w:pPr>
        <w:jc w:val="center"/>
        <w:rPr>
          <w:rFonts w:ascii="Arial" w:hAnsi="Arial" w:cs="Arial"/>
          <w:b/>
          <w:bCs/>
          <w:sz w:val="52"/>
          <w:szCs w:val="52"/>
        </w:rPr>
      </w:pPr>
    </w:p>
    <w:p w14:paraId="2D26133E" w14:textId="45EFDEAA" w:rsidR="00B90FC4" w:rsidRDefault="00B90FC4" w:rsidP="00B90FC4">
      <w:pPr>
        <w:jc w:val="center"/>
        <w:rPr>
          <w:rFonts w:ascii="Arial" w:hAnsi="Arial" w:cs="Arial"/>
          <w:b/>
          <w:bCs/>
          <w:sz w:val="52"/>
          <w:szCs w:val="52"/>
        </w:rPr>
      </w:pPr>
      <w:r>
        <w:rPr>
          <w:rFonts w:ascii="Arial" w:hAnsi="Arial" w:cs="Arial"/>
          <w:b/>
          <w:bCs/>
          <w:sz w:val="52"/>
          <w:szCs w:val="52"/>
        </w:rPr>
        <w:t>Contract Law – Assignment 2</w:t>
      </w:r>
    </w:p>
    <w:p w14:paraId="2DE49971" w14:textId="44B67BE7" w:rsidR="00B90FC4" w:rsidRDefault="00B90FC4" w:rsidP="00B90FC4">
      <w:pPr>
        <w:jc w:val="center"/>
        <w:rPr>
          <w:rFonts w:ascii="Arial" w:hAnsi="Arial" w:cs="Arial"/>
          <w:sz w:val="44"/>
          <w:szCs w:val="44"/>
        </w:rPr>
      </w:pPr>
      <w:r>
        <w:rPr>
          <w:rFonts w:ascii="Arial" w:hAnsi="Arial" w:cs="Arial"/>
          <w:sz w:val="44"/>
          <w:szCs w:val="44"/>
        </w:rPr>
        <w:t xml:space="preserve">By George </w:t>
      </w:r>
      <w:proofErr w:type="spellStart"/>
      <w:r>
        <w:rPr>
          <w:rFonts w:ascii="Arial" w:hAnsi="Arial" w:cs="Arial"/>
          <w:sz w:val="44"/>
          <w:szCs w:val="44"/>
        </w:rPr>
        <w:t>Lovering</w:t>
      </w:r>
      <w:proofErr w:type="spellEnd"/>
    </w:p>
    <w:p w14:paraId="27BC21BD" w14:textId="77777777" w:rsidR="00B90FC4" w:rsidRDefault="00B90FC4">
      <w:pPr>
        <w:rPr>
          <w:rFonts w:ascii="Arial" w:hAnsi="Arial" w:cs="Arial"/>
          <w:sz w:val="44"/>
          <w:szCs w:val="44"/>
        </w:rPr>
      </w:pPr>
      <w:r>
        <w:rPr>
          <w:rFonts w:ascii="Arial" w:hAnsi="Arial" w:cs="Arial"/>
          <w:sz w:val="44"/>
          <w:szCs w:val="44"/>
        </w:rPr>
        <w:br w:type="page"/>
      </w:r>
    </w:p>
    <w:p w14:paraId="5280F053" w14:textId="47563A50" w:rsidR="00FD46ED" w:rsidRDefault="00EF1387" w:rsidP="00FD46ED">
      <w:pPr>
        <w:rPr>
          <w:rFonts w:ascii="Arial" w:hAnsi="Arial" w:cs="Arial"/>
          <w:sz w:val="24"/>
          <w:szCs w:val="24"/>
        </w:rPr>
      </w:pPr>
      <w:r>
        <w:rPr>
          <w:rFonts w:ascii="Arial" w:hAnsi="Arial" w:cs="Arial"/>
          <w:sz w:val="24"/>
          <w:szCs w:val="24"/>
        </w:rPr>
        <w:lastRenderedPageBreak/>
        <w:t xml:space="preserve">When looking at the concepts of duress and undue influence, </w:t>
      </w:r>
      <w:r w:rsidR="008D6A35">
        <w:rPr>
          <w:rFonts w:ascii="Arial" w:hAnsi="Arial" w:cs="Arial"/>
          <w:sz w:val="24"/>
          <w:szCs w:val="24"/>
        </w:rPr>
        <w:t xml:space="preserve">there must be a thorough examination using the history of these concepts in common law and also discussing the relevant case law that relate to both concepts, evaluating the significance of duress and undue influence in contract law. </w:t>
      </w:r>
      <w:r w:rsidR="00112830">
        <w:rPr>
          <w:rFonts w:ascii="Arial" w:hAnsi="Arial" w:cs="Arial"/>
          <w:sz w:val="24"/>
          <w:szCs w:val="24"/>
        </w:rPr>
        <w:t xml:space="preserve">Firstly, duress from a contract law standpoint can be defined as </w:t>
      </w:r>
      <w:r w:rsidR="007D140D">
        <w:rPr>
          <w:rFonts w:ascii="Arial" w:hAnsi="Arial" w:cs="Arial"/>
          <w:sz w:val="24"/>
          <w:szCs w:val="24"/>
        </w:rPr>
        <w:t>“</w:t>
      </w:r>
      <w:r w:rsidR="00112830" w:rsidRPr="00112830">
        <w:rPr>
          <w:rFonts w:ascii="Arial" w:eastAsia="Times New Roman" w:hAnsi="Arial" w:cs="Arial"/>
          <w:sz w:val="24"/>
          <w:szCs w:val="24"/>
          <w:lang w:eastAsia="en-GB"/>
        </w:rPr>
        <w:t>Occurs when one party exerts improper pressure on another party and that party feels they have no choice but to enter into the agreement or transaction as a result. Duress makes the agreement voidable. The court considers factors such as:</w:t>
      </w:r>
      <w:r w:rsidR="00112830">
        <w:rPr>
          <w:rFonts w:ascii="Arial" w:eastAsia="Times New Roman" w:hAnsi="Arial" w:cs="Arial"/>
          <w:sz w:val="24"/>
          <w:szCs w:val="24"/>
          <w:lang w:eastAsia="en-GB"/>
        </w:rPr>
        <w:t xml:space="preserve"> </w:t>
      </w:r>
      <w:r w:rsidR="00112830" w:rsidRPr="00112830">
        <w:rPr>
          <w:rFonts w:ascii="Arial" w:eastAsia="Times New Roman" w:hAnsi="Arial" w:cs="Arial"/>
          <w:sz w:val="24"/>
          <w:szCs w:val="24"/>
          <w:lang w:eastAsia="en-GB"/>
        </w:rPr>
        <w:t>The seriousness of the improper pressure</w:t>
      </w:r>
      <w:r w:rsidR="00112830">
        <w:rPr>
          <w:rFonts w:ascii="Arial" w:eastAsia="Times New Roman" w:hAnsi="Arial" w:cs="Arial"/>
          <w:sz w:val="24"/>
          <w:szCs w:val="24"/>
          <w:lang w:eastAsia="en-GB"/>
        </w:rPr>
        <w:t>; w</w:t>
      </w:r>
      <w:r w:rsidR="00112830" w:rsidRPr="00112830">
        <w:rPr>
          <w:rFonts w:ascii="Arial" w:eastAsia="Times New Roman" w:hAnsi="Arial" w:cs="Arial"/>
          <w:sz w:val="24"/>
          <w:szCs w:val="24"/>
          <w:lang w:eastAsia="en-GB"/>
        </w:rPr>
        <w:t>hether the complaining party protested</w:t>
      </w:r>
      <w:r w:rsidR="00112830">
        <w:rPr>
          <w:rFonts w:ascii="Arial" w:eastAsia="Times New Roman" w:hAnsi="Arial" w:cs="Arial"/>
          <w:sz w:val="24"/>
          <w:szCs w:val="24"/>
          <w:lang w:eastAsia="en-GB"/>
        </w:rPr>
        <w:t>; w</w:t>
      </w:r>
      <w:r w:rsidR="00112830" w:rsidRPr="00112830">
        <w:rPr>
          <w:rFonts w:ascii="Arial" w:eastAsia="Times New Roman" w:hAnsi="Arial" w:cs="Arial"/>
          <w:sz w:val="24"/>
          <w:szCs w:val="24"/>
          <w:lang w:eastAsia="en-GB"/>
        </w:rPr>
        <w:t>hether the complaining party had a real choice or realistic alternative to entering the agreement.</w:t>
      </w:r>
      <w:r w:rsidR="00112830">
        <w:rPr>
          <w:rFonts w:ascii="Arial" w:eastAsia="Times New Roman" w:hAnsi="Arial" w:cs="Arial"/>
          <w:sz w:val="24"/>
          <w:szCs w:val="24"/>
          <w:lang w:eastAsia="en-GB"/>
        </w:rPr>
        <w:t xml:space="preserve">” </w:t>
      </w:r>
      <w:r w:rsidR="00DF5BED">
        <w:rPr>
          <w:rFonts w:ascii="Arial" w:eastAsia="Times New Roman" w:hAnsi="Arial" w:cs="Arial"/>
          <w:sz w:val="24"/>
          <w:szCs w:val="24"/>
          <w:lang w:eastAsia="en-GB"/>
        </w:rPr>
        <w:t>Expanding on this</w:t>
      </w:r>
      <w:r w:rsidR="006A3C53">
        <w:rPr>
          <w:rFonts w:ascii="Arial" w:eastAsia="Times New Roman" w:hAnsi="Arial" w:cs="Arial"/>
          <w:sz w:val="24"/>
          <w:szCs w:val="24"/>
          <w:lang w:eastAsia="en-GB"/>
        </w:rPr>
        <w:t xml:space="preserve"> definition, physical duress also falls under this, it’s important to discuss the development of duress, this can be done using relevant case law, for example, the case of </w:t>
      </w:r>
      <w:proofErr w:type="spellStart"/>
      <w:r w:rsidR="006A3C53" w:rsidRPr="006A3C53">
        <w:rPr>
          <w:rFonts w:ascii="Arial" w:hAnsi="Arial" w:cs="Arial"/>
          <w:sz w:val="24"/>
          <w:szCs w:val="24"/>
        </w:rPr>
        <w:t>Skeate</w:t>
      </w:r>
      <w:proofErr w:type="spellEnd"/>
      <w:r w:rsidR="006A3C53" w:rsidRPr="006A3C53">
        <w:rPr>
          <w:rFonts w:ascii="Arial" w:hAnsi="Arial" w:cs="Arial"/>
          <w:sz w:val="24"/>
          <w:szCs w:val="24"/>
        </w:rPr>
        <w:t xml:space="preserve"> v Beale </w:t>
      </w:r>
      <w:r w:rsidR="00E261B0">
        <w:rPr>
          <w:rFonts w:ascii="Arial" w:hAnsi="Arial" w:cs="Arial"/>
          <w:sz w:val="24"/>
          <w:szCs w:val="24"/>
        </w:rPr>
        <w:t>[</w:t>
      </w:r>
      <w:r w:rsidR="006A3C53" w:rsidRPr="006A3C53">
        <w:rPr>
          <w:rFonts w:ascii="Arial" w:hAnsi="Arial" w:cs="Arial"/>
          <w:sz w:val="24"/>
          <w:szCs w:val="24"/>
        </w:rPr>
        <w:t>1840</w:t>
      </w:r>
      <w:r w:rsidR="00E261B0">
        <w:rPr>
          <w:rFonts w:ascii="Arial" w:hAnsi="Arial" w:cs="Arial"/>
          <w:sz w:val="24"/>
          <w:szCs w:val="24"/>
        </w:rPr>
        <w:t>]</w:t>
      </w:r>
      <w:r w:rsidR="006A3C53">
        <w:rPr>
          <w:rFonts w:ascii="Arial" w:hAnsi="Arial" w:cs="Arial"/>
          <w:sz w:val="24"/>
          <w:szCs w:val="24"/>
        </w:rPr>
        <w:t xml:space="preserve"> is relevant when looking at the development of the concept of duress. </w:t>
      </w:r>
      <w:r w:rsidR="00590F2A">
        <w:rPr>
          <w:rFonts w:ascii="Arial" w:hAnsi="Arial" w:cs="Arial"/>
          <w:sz w:val="24"/>
          <w:szCs w:val="24"/>
        </w:rPr>
        <w:t xml:space="preserve">In the case of </w:t>
      </w:r>
      <w:proofErr w:type="spellStart"/>
      <w:r w:rsidR="00590F2A">
        <w:rPr>
          <w:rFonts w:ascii="Arial" w:hAnsi="Arial" w:cs="Arial"/>
          <w:sz w:val="24"/>
          <w:szCs w:val="24"/>
        </w:rPr>
        <w:t>Skeate</w:t>
      </w:r>
      <w:proofErr w:type="spellEnd"/>
      <w:r w:rsidR="00590F2A">
        <w:rPr>
          <w:rFonts w:ascii="Arial" w:hAnsi="Arial" w:cs="Arial"/>
          <w:sz w:val="24"/>
          <w:szCs w:val="24"/>
        </w:rPr>
        <w:t xml:space="preserve"> v Beale, a distinction was made in the ruling after the court assessed the facts of the case, the court decided that the threat made prior to the contract was directed at property, therefore it didn’t constitute duress. </w:t>
      </w:r>
      <w:r w:rsidR="00E261B0">
        <w:rPr>
          <w:rFonts w:ascii="Arial" w:hAnsi="Arial" w:cs="Arial"/>
          <w:sz w:val="24"/>
          <w:szCs w:val="24"/>
        </w:rPr>
        <w:t xml:space="preserve">But, despite the ruling of </w:t>
      </w:r>
      <w:proofErr w:type="spellStart"/>
      <w:r w:rsidR="00E261B0">
        <w:rPr>
          <w:rFonts w:ascii="Arial" w:hAnsi="Arial" w:cs="Arial"/>
          <w:sz w:val="24"/>
          <w:szCs w:val="24"/>
        </w:rPr>
        <w:t>Skeate</w:t>
      </w:r>
      <w:proofErr w:type="spellEnd"/>
      <w:r w:rsidR="00E261B0">
        <w:rPr>
          <w:rFonts w:ascii="Arial" w:hAnsi="Arial" w:cs="Arial"/>
          <w:sz w:val="24"/>
          <w:szCs w:val="24"/>
        </w:rPr>
        <w:t xml:space="preserve"> v Beale and </w:t>
      </w:r>
      <w:proofErr w:type="spellStart"/>
      <w:proofErr w:type="gramStart"/>
      <w:r w:rsidR="00E261B0">
        <w:rPr>
          <w:rFonts w:ascii="Arial" w:hAnsi="Arial" w:cs="Arial"/>
          <w:sz w:val="24"/>
          <w:szCs w:val="24"/>
        </w:rPr>
        <w:t>it’s</w:t>
      </w:r>
      <w:proofErr w:type="spellEnd"/>
      <w:proofErr w:type="gramEnd"/>
      <w:r w:rsidR="00E261B0">
        <w:rPr>
          <w:rFonts w:ascii="Arial" w:hAnsi="Arial" w:cs="Arial"/>
          <w:sz w:val="24"/>
          <w:szCs w:val="24"/>
        </w:rPr>
        <w:t xml:space="preserve"> significance in the development of duress, later, the case of </w:t>
      </w:r>
      <w:proofErr w:type="spellStart"/>
      <w:r w:rsidR="00E261B0" w:rsidRPr="00E261B0">
        <w:rPr>
          <w:rFonts w:ascii="Arial" w:hAnsi="Arial" w:cs="Arial"/>
          <w:color w:val="111111"/>
          <w:sz w:val="24"/>
          <w:szCs w:val="24"/>
          <w:shd w:val="clear" w:color="auto" w:fill="FFFFFF"/>
        </w:rPr>
        <w:t>Siboen</w:t>
      </w:r>
      <w:proofErr w:type="spellEnd"/>
      <w:r w:rsidR="00E261B0" w:rsidRPr="00E261B0">
        <w:rPr>
          <w:rFonts w:ascii="Arial" w:hAnsi="Arial" w:cs="Arial"/>
          <w:color w:val="111111"/>
          <w:sz w:val="24"/>
          <w:szCs w:val="24"/>
          <w:shd w:val="clear" w:color="auto" w:fill="FFFFFF"/>
        </w:rPr>
        <w:t xml:space="preserve"> and the </w:t>
      </w:r>
      <w:proofErr w:type="spellStart"/>
      <w:r w:rsidR="00E261B0" w:rsidRPr="00E261B0">
        <w:rPr>
          <w:rFonts w:ascii="Arial" w:hAnsi="Arial" w:cs="Arial"/>
          <w:color w:val="111111"/>
          <w:sz w:val="24"/>
          <w:szCs w:val="24"/>
          <w:shd w:val="clear" w:color="auto" w:fill="FFFFFF"/>
        </w:rPr>
        <w:t>Sibotre</w:t>
      </w:r>
      <w:proofErr w:type="spellEnd"/>
      <w:r w:rsidR="00E261B0" w:rsidRPr="00E261B0">
        <w:rPr>
          <w:rFonts w:ascii="Arial" w:hAnsi="Arial" w:cs="Arial"/>
          <w:color w:val="111111"/>
          <w:sz w:val="24"/>
          <w:szCs w:val="24"/>
          <w:shd w:val="clear" w:color="auto" w:fill="FFFFFF"/>
        </w:rPr>
        <w:t xml:space="preserve"> </w:t>
      </w:r>
      <w:r w:rsidR="00E261B0">
        <w:rPr>
          <w:rFonts w:ascii="Arial" w:hAnsi="Arial" w:cs="Arial"/>
          <w:color w:val="111111"/>
          <w:sz w:val="24"/>
          <w:szCs w:val="24"/>
          <w:shd w:val="clear" w:color="auto" w:fill="FFFFFF"/>
        </w:rPr>
        <w:t>[</w:t>
      </w:r>
      <w:r w:rsidR="00E261B0" w:rsidRPr="00E261B0">
        <w:rPr>
          <w:rFonts w:ascii="Arial" w:hAnsi="Arial" w:cs="Arial"/>
          <w:color w:val="111111"/>
          <w:sz w:val="24"/>
          <w:szCs w:val="24"/>
          <w:shd w:val="clear" w:color="auto" w:fill="FFFFFF"/>
        </w:rPr>
        <w:t>1976</w:t>
      </w:r>
      <w:r w:rsidR="00E261B0">
        <w:rPr>
          <w:rFonts w:ascii="Arial" w:hAnsi="Arial" w:cs="Arial"/>
          <w:color w:val="111111"/>
          <w:sz w:val="24"/>
          <w:szCs w:val="24"/>
          <w:shd w:val="clear" w:color="auto" w:fill="FFFFFF"/>
        </w:rPr>
        <w:t>] went against precedent and</w:t>
      </w:r>
      <w:r w:rsidR="00590F2A" w:rsidRPr="00E261B0">
        <w:rPr>
          <w:rFonts w:ascii="Arial" w:eastAsia="Times New Roman" w:hAnsi="Arial" w:cs="Arial"/>
          <w:sz w:val="24"/>
          <w:szCs w:val="24"/>
          <w:lang w:eastAsia="en-GB"/>
        </w:rPr>
        <w:t xml:space="preserve"> </w:t>
      </w:r>
      <w:r w:rsidR="00E261B0">
        <w:rPr>
          <w:rFonts w:ascii="Arial" w:eastAsia="Times New Roman" w:hAnsi="Arial" w:cs="Arial"/>
          <w:sz w:val="24"/>
          <w:szCs w:val="24"/>
          <w:lang w:eastAsia="en-GB"/>
        </w:rPr>
        <w:t xml:space="preserve">established that threats against property was considered to be duress because in this case it was noted threats such as destroying art or burning down a house should constitute duress. </w:t>
      </w:r>
      <w:r w:rsidR="007D140D">
        <w:rPr>
          <w:rFonts w:ascii="Arial" w:eastAsia="Times New Roman" w:hAnsi="Arial" w:cs="Arial"/>
          <w:sz w:val="24"/>
          <w:szCs w:val="24"/>
          <w:lang w:eastAsia="en-GB"/>
        </w:rPr>
        <w:t xml:space="preserve">Additionally, in terms of duress being used as a defence, the Crown Prosecution Service (2018) states </w:t>
      </w:r>
      <w:r w:rsidR="007D140D" w:rsidRPr="007D140D">
        <w:rPr>
          <w:rFonts w:ascii="Arial" w:eastAsia="Times New Roman" w:hAnsi="Arial" w:cs="Arial"/>
          <w:sz w:val="24"/>
          <w:szCs w:val="24"/>
          <w:lang w:eastAsia="en-GB"/>
        </w:rPr>
        <w:t>“</w:t>
      </w:r>
      <w:r w:rsidR="007D140D" w:rsidRPr="007D140D">
        <w:rPr>
          <w:rFonts w:ascii="Arial" w:hAnsi="Arial" w:cs="Arial"/>
          <w:sz w:val="24"/>
          <w:szCs w:val="24"/>
          <w:shd w:val="clear" w:color="auto" w:fill="FFFFFF"/>
        </w:rPr>
        <w:t>Duress is a defence at common law to all crimes except murder, attempted murder and treason involving the death of the sovereign: </w:t>
      </w:r>
      <w:r w:rsidR="007D140D" w:rsidRPr="007D140D">
        <w:rPr>
          <w:rStyle w:val="Emphasis"/>
          <w:rFonts w:ascii="Arial" w:hAnsi="Arial" w:cs="Arial"/>
          <w:sz w:val="24"/>
          <w:szCs w:val="24"/>
          <w:shd w:val="clear" w:color="auto" w:fill="FFFFFF"/>
        </w:rPr>
        <w:t>R v Gotts</w:t>
      </w:r>
      <w:r w:rsidR="007D140D" w:rsidRPr="007D140D">
        <w:rPr>
          <w:rFonts w:ascii="Arial" w:hAnsi="Arial" w:cs="Arial"/>
          <w:sz w:val="24"/>
          <w:szCs w:val="24"/>
          <w:shd w:val="clear" w:color="auto" w:fill="FFFFFF"/>
        </w:rPr>
        <w:t> [1992] 2 AC 412</w:t>
      </w:r>
      <w:r w:rsidR="007D140D">
        <w:rPr>
          <w:rFonts w:ascii="Arial" w:hAnsi="Arial" w:cs="Arial"/>
          <w:color w:val="444444"/>
          <w:shd w:val="clear" w:color="auto" w:fill="FFFFFF"/>
        </w:rPr>
        <w:t xml:space="preserve">.” </w:t>
      </w:r>
      <w:r w:rsidR="002A298C">
        <w:rPr>
          <w:rFonts w:ascii="Arial" w:eastAsia="Times New Roman" w:hAnsi="Arial" w:cs="Arial"/>
          <w:sz w:val="24"/>
          <w:szCs w:val="24"/>
          <w:lang w:eastAsia="en-GB"/>
        </w:rPr>
        <w:t xml:space="preserve">Another form of duress is economic duress, the test for this can be found in </w:t>
      </w:r>
      <w:r w:rsidR="002A298C" w:rsidRPr="002A298C">
        <w:rPr>
          <w:rFonts w:ascii="Arial" w:hAnsi="Arial" w:cs="Arial"/>
          <w:sz w:val="24"/>
          <w:szCs w:val="24"/>
        </w:rPr>
        <w:t xml:space="preserve">Pao On v Lau You Long </w:t>
      </w:r>
      <w:r w:rsidR="002A298C">
        <w:rPr>
          <w:rFonts w:ascii="Arial" w:hAnsi="Arial" w:cs="Arial"/>
          <w:sz w:val="24"/>
          <w:szCs w:val="24"/>
        </w:rPr>
        <w:t>[</w:t>
      </w:r>
      <w:r w:rsidR="002A298C" w:rsidRPr="002A298C">
        <w:rPr>
          <w:rFonts w:ascii="Arial" w:hAnsi="Arial" w:cs="Arial"/>
          <w:sz w:val="24"/>
          <w:szCs w:val="24"/>
        </w:rPr>
        <w:t>1980</w:t>
      </w:r>
      <w:r w:rsidR="002A298C">
        <w:rPr>
          <w:rFonts w:ascii="Arial" w:hAnsi="Arial" w:cs="Arial"/>
          <w:sz w:val="24"/>
          <w:szCs w:val="24"/>
        </w:rPr>
        <w:t>]</w:t>
      </w:r>
      <w:r w:rsidR="005D4E01">
        <w:rPr>
          <w:rFonts w:ascii="Arial" w:hAnsi="Arial" w:cs="Arial"/>
          <w:sz w:val="24"/>
          <w:szCs w:val="24"/>
        </w:rPr>
        <w:t xml:space="preserve">, in the case of </w:t>
      </w:r>
      <w:r w:rsidR="005D4E01" w:rsidRPr="005D4E01">
        <w:rPr>
          <w:rFonts w:ascii="Arial" w:hAnsi="Arial" w:cs="Arial"/>
          <w:sz w:val="24"/>
          <w:szCs w:val="24"/>
        </w:rPr>
        <w:t>Pao On v Lau You Long,</w:t>
      </w:r>
      <w:r w:rsidR="005D4E01">
        <w:rPr>
          <w:rFonts w:ascii="Arial" w:hAnsi="Arial" w:cs="Arial"/>
          <w:sz w:val="24"/>
          <w:szCs w:val="24"/>
        </w:rPr>
        <w:t xml:space="preserve"> </w:t>
      </w:r>
      <w:r w:rsidR="00C13FF9">
        <w:rPr>
          <w:rFonts w:ascii="Arial" w:hAnsi="Arial" w:cs="Arial"/>
          <w:sz w:val="24"/>
          <w:szCs w:val="24"/>
        </w:rPr>
        <w:t xml:space="preserve">consideration and past consideration was deemed to be a key factor when determining duress. </w:t>
      </w:r>
      <w:r w:rsidR="00FD46ED">
        <w:rPr>
          <w:rFonts w:ascii="Arial" w:hAnsi="Arial" w:cs="Arial"/>
          <w:sz w:val="24"/>
          <w:szCs w:val="24"/>
        </w:rPr>
        <w:t xml:space="preserve">Another example of </w:t>
      </w:r>
      <w:r w:rsidR="00C00536">
        <w:rPr>
          <w:rFonts w:ascii="Arial" w:hAnsi="Arial" w:cs="Arial"/>
          <w:sz w:val="24"/>
          <w:szCs w:val="24"/>
        </w:rPr>
        <w:t xml:space="preserve">an </w:t>
      </w:r>
      <w:r w:rsidR="00FD46ED">
        <w:rPr>
          <w:rFonts w:ascii="Arial" w:hAnsi="Arial" w:cs="Arial"/>
          <w:sz w:val="24"/>
          <w:szCs w:val="24"/>
        </w:rPr>
        <w:t xml:space="preserve">economic duress </w:t>
      </w:r>
      <w:r w:rsidR="00C00536">
        <w:rPr>
          <w:rFonts w:ascii="Arial" w:hAnsi="Arial" w:cs="Arial"/>
          <w:sz w:val="24"/>
          <w:szCs w:val="24"/>
        </w:rPr>
        <w:t xml:space="preserve">claim </w:t>
      </w:r>
      <w:r w:rsidR="00FD46ED">
        <w:rPr>
          <w:rFonts w:ascii="Arial" w:hAnsi="Arial" w:cs="Arial"/>
          <w:sz w:val="24"/>
          <w:szCs w:val="24"/>
        </w:rPr>
        <w:t xml:space="preserve">was in the case of </w:t>
      </w:r>
      <w:r w:rsidR="00FD46ED" w:rsidRPr="003E7BE5">
        <w:rPr>
          <w:rFonts w:ascii="Arial" w:hAnsi="Arial" w:cs="Arial"/>
          <w:sz w:val="24"/>
          <w:szCs w:val="24"/>
        </w:rPr>
        <w:t xml:space="preserve">Atlas Express v </w:t>
      </w:r>
      <w:proofErr w:type="spellStart"/>
      <w:r w:rsidR="00FD46ED" w:rsidRPr="003E7BE5">
        <w:rPr>
          <w:rFonts w:ascii="Arial" w:hAnsi="Arial" w:cs="Arial"/>
          <w:sz w:val="24"/>
          <w:szCs w:val="24"/>
        </w:rPr>
        <w:t>Kafco</w:t>
      </w:r>
      <w:proofErr w:type="spellEnd"/>
      <w:r w:rsidR="00FD46ED" w:rsidRPr="003E7BE5">
        <w:rPr>
          <w:rFonts w:ascii="Arial" w:hAnsi="Arial" w:cs="Arial"/>
          <w:sz w:val="24"/>
          <w:szCs w:val="24"/>
        </w:rPr>
        <w:t xml:space="preserve"> </w:t>
      </w:r>
      <w:r w:rsidR="00FD46ED">
        <w:rPr>
          <w:rFonts w:ascii="Arial" w:hAnsi="Arial" w:cs="Arial"/>
          <w:sz w:val="24"/>
          <w:szCs w:val="24"/>
        </w:rPr>
        <w:t>[1</w:t>
      </w:r>
      <w:r w:rsidR="00FD46ED" w:rsidRPr="003E7BE5">
        <w:rPr>
          <w:rFonts w:ascii="Arial" w:hAnsi="Arial" w:cs="Arial"/>
          <w:sz w:val="24"/>
          <w:szCs w:val="24"/>
        </w:rPr>
        <w:t>989</w:t>
      </w:r>
      <w:r w:rsidR="00FD46ED">
        <w:rPr>
          <w:rFonts w:ascii="Arial" w:hAnsi="Arial" w:cs="Arial"/>
          <w:sz w:val="24"/>
          <w:szCs w:val="24"/>
        </w:rPr>
        <w:t>]</w:t>
      </w:r>
      <w:r w:rsidR="00C00536">
        <w:rPr>
          <w:rFonts w:ascii="Arial" w:hAnsi="Arial" w:cs="Arial"/>
          <w:sz w:val="24"/>
          <w:szCs w:val="24"/>
        </w:rPr>
        <w:t xml:space="preserve">, where </w:t>
      </w:r>
      <w:proofErr w:type="spellStart"/>
      <w:r w:rsidR="00C00536">
        <w:rPr>
          <w:rFonts w:ascii="Arial" w:hAnsi="Arial" w:cs="Arial"/>
          <w:sz w:val="24"/>
          <w:szCs w:val="24"/>
        </w:rPr>
        <w:t>Kafco</w:t>
      </w:r>
      <w:proofErr w:type="spellEnd"/>
      <w:r w:rsidR="00C00536">
        <w:rPr>
          <w:rFonts w:ascii="Arial" w:hAnsi="Arial" w:cs="Arial"/>
          <w:sz w:val="24"/>
          <w:szCs w:val="24"/>
        </w:rPr>
        <w:t xml:space="preserve"> signed an agreement after feeling they had no other choice when Atlas Express supposedly enforced the agreement, however the court dismissed this claim of economic duress after </w:t>
      </w:r>
      <w:proofErr w:type="spellStart"/>
      <w:r w:rsidR="00C00536">
        <w:rPr>
          <w:rFonts w:ascii="Arial" w:hAnsi="Arial" w:cs="Arial"/>
          <w:sz w:val="24"/>
          <w:szCs w:val="24"/>
        </w:rPr>
        <w:t>if</w:t>
      </w:r>
      <w:proofErr w:type="spellEnd"/>
      <w:r w:rsidR="00C00536">
        <w:rPr>
          <w:rFonts w:ascii="Arial" w:hAnsi="Arial" w:cs="Arial"/>
          <w:sz w:val="24"/>
          <w:szCs w:val="24"/>
        </w:rPr>
        <w:t xml:space="preserve"> failed to meet the classifications already established that related to the issue of no consideration being provided. </w:t>
      </w:r>
    </w:p>
    <w:p w14:paraId="061B6DFF" w14:textId="37908695" w:rsidR="00112830" w:rsidRDefault="00112830" w:rsidP="00112830">
      <w:pPr>
        <w:shd w:val="clear" w:color="auto" w:fill="FFFFFF"/>
        <w:textAlignment w:val="baseline"/>
        <w:rPr>
          <w:rFonts w:ascii="Arial" w:eastAsia="Times New Roman" w:hAnsi="Arial" w:cs="Arial"/>
          <w:sz w:val="24"/>
          <w:szCs w:val="24"/>
          <w:lang w:eastAsia="en-GB"/>
        </w:rPr>
      </w:pPr>
    </w:p>
    <w:p w14:paraId="14298ED8" w14:textId="6B4B7D15" w:rsidR="008F35A0" w:rsidRDefault="008F35A0" w:rsidP="00112830">
      <w:pPr>
        <w:shd w:val="clear" w:color="auto" w:fill="FFFFFF"/>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Now, in order to thoroughly examine the concept of undue influence, a clear definition must be presented. A legal definition of undue influence in the context of contract law is </w:t>
      </w:r>
      <w:r w:rsidRPr="008F35A0">
        <w:rPr>
          <w:rFonts w:ascii="Arial" w:eastAsia="Times New Roman" w:hAnsi="Arial" w:cs="Arial"/>
          <w:sz w:val="24"/>
          <w:szCs w:val="24"/>
          <w:lang w:eastAsia="en-GB"/>
        </w:rPr>
        <w:t>“</w:t>
      </w:r>
      <w:r w:rsidRPr="008F35A0">
        <w:rPr>
          <w:rFonts w:ascii="Arial" w:hAnsi="Arial" w:cs="Arial"/>
          <w:spacing w:val="3"/>
          <w:sz w:val="24"/>
          <w:szCs w:val="24"/>
          <w:shd w:val="clear" w:color="auto" w:fill="FFFFFF"/>
        </w:rPr>
        <w:t>improper influence that deprives a person of freedom of choice or substitutes another's choice or desire for the person's own</w:t>
      </w:r>
      <w:r>
        <w:rPr>
          <w:rFonts w:ascii="Arial" w:hAnsi="Arial" w:cs="Arial"/>
          <w:spacing w:val="3"/>
          <w:sz w:val="24"/>
          <w:szCs w:val="24"/>
          <w:shd w:val="clear" w:color="auto" w:fill="FFFFFF"/>
        </w:rPr>
        <w:t xml:space="preserve">”. </w:t>
      </w:r>
      <w:r w:rsidR="002D77F0">
        <w:rPr>
          <w:rFonts w:ascii="Arial" w:hAnsi="Arial" w:cs="Arial"/>
          <w:spacing w:val="3"/>
          <w:sz w:val="24"/>
          <w:szCs w:val="24"/>
          <w:shd w:val="clear" w:color="auto" w:fill="FFFFFF"/>
        </w:rPr>
        <w:t xml:space="preserve">The case of </w:t>
      </w:r>
      <w:r w:rsidR="002D77F0" w:rsidRPr="002D77F0">
        <w:rPr>
          <w:rFonts w:ascii="Arial" w:hAnsi="Arial" w:cs="Arial"/>
          <w:sz w:val="24"/>
          <w:szCs w:val="24"/>
        </w:rPr>
        <w:t xml:space="preserve">BCCI v Aboody </w:t>
      </w:r>
      <w:r w:rsidR="002D77F0">
        <w:rPr>
          <w:rFonts w:ascii="Arial" w:hAnsi="Arial" w:cs="Arial"/>
          <w:sz w:val="24"/>
          <w:szCs w:val="24"/>
        </w:rPr>
        <w:t>[</w:t>
      </w:r>
      <w:r w:rsidR="002D77F0" w:rsidRPr="002D77F0">
        <w:rPr>
          <w:rFonts w:ascii="Arial" w:hAnsi="Arial" w:cs="Arial"/>
          <w:sz w:val="24"/>
          <w:szCs w:val="24"/>
        </w:rPr>
        <w:t>1990</w:t>
      </w:r>
      <w:r w:rsidR="002D77F0">
        <w:rPr>
          <w:rFonts w:ascii="Arial" w:hAnsi="Arial" w:cs="Arial"/>
          <w:sz w:val="24"/>
          <w:szCs w:val="24"/>
        </w:rPr>
        <w:t xml:space="preserve">] helps shed some light on what conditions need to be identified in order to establish undue influence. In </w:t>
      </w:r>
      <w:r w:rsidR="002D77F0" w:rsidRPr="002D77F0">
        <w:rPr>
          <w:rFonts w:ascii="Arial" w:hAnsi="Arial" w:cs="Arial"/>
          <w:sz w:val="24"/>
          <w:szCs w:val="24"/>
        </w:rPr>
        <w:t>BCCI v Aboody</w:t>
      </w:r>
      <w:r w:rsidR="002D77F0">
        <w:rPr>
          <w:rFonts w:ascii="Arial" w:hAnsi="Arial" w:cs="Arial"/>
          <w:sz w:val="24"/>
          <w:szCs w:val="24"/>
        </w:rPr>
        <w:t xml:space="preserve">, in the case it is stated that </w:t>
      </w:r>
      <w:r w:rsidR="002D77F0" w:rsidRPr="002D77F0">
        <w:rPr>
          <w:rFonts w:ascii="Arial" w:hAnsi="Arial" w:cs="Arial"/>
          <w:sz w:val="24"/>
          <w:szCs w:val="24"/>
        </w:rPr>
        <w:t>“To establish actual undue influence the claimant must show that a number of conditions have been satisfied. These conditions were identified by the Court of Appeal in </w:t>
      </w:r>
      <w:r w:rsidR="002D77F0" w:rsidRPr="002D77F0">
        <w:rPr>
          <w:rFonts w:ascii="Arial" w:hAnsi="Arial" w:cs="Arial"/>
          <w:i/>
          <w:iCs/>
          <w:sz w:val="24"/>
          <w:szCs w:val="24"/>
        </w:rPr>
        <w:t>Bank of Credit and Commerce International SA v Aboody</w:t>
      </w:r>
      <w:r w:rsidR="002D77F0">
        <w:rPr>
          <w:rFonts w:ascii="Arial" w:hAnsi="Arial" w:cs="Arial"/>
          <w:sz w:val="24"/>
          <w:szCs w:val="24"/>
          <w:vertAlign w:val="superscript"/>
        </w:rPr>
        <w:t xml:space="preserve">” </w:t>
      </w:r>
      <w:r w:rsidR="002D77F0">
        <w:rPr>
          <w:rFonts w:ascii="Arial" w:eastAsia="Times New Roman" w:hAnsi="Arial" w:cs="Arial"/>
          <w:sz w:val="24"/>
          <w:szCs w:val="24"/>
          <w:lang w:eastAsia="en-GB"/>
        </w:rPr>
        <w:t>To expand on this ruling, the necessary conditions must be understood, furthermore, in this case it is stated that the conditions for undue influence were</w:t>
      </w:r>
      <w:r w:rsidR="00093541">
        <w:rPr>
          <w:rFonts w:ascii="Arial" w:eastAsia="Times New Roman" w:hAnsi="Arial" w:cs="Arial"/>
          <w:sz w:val="24"/>
          <w:szCs w:val="24"/>
          <w:lang w:eastAsia="en-GB"/>
        </w:rPr>
        <w:t>:</w:t>
      </w:r>
    </w:p>
    <w:p w14:paraId="003E3829" w14:textId="77777777" w:rsidR="00B405E6" w:rsidRDefault="00093541" w:rsidP="00112830">
      <w:pPr>
        <w:shd w:val="clear" w:color="auto" w:fill="FFFFFF"/>
        <w:textAlignment w:val="baseline"/>
        <w:rPr>
          <w:rFonts w:ascii="Arial" w:hAnsi="Arial" w:cs="Arial"/>
          <w:sz w:val="24"/>
          <w:szCs w:val="24"/>
        </w:rPr>
      </w:pPr>
      <w:r w:rsidRPr="00093541">
        <w:rPr>
          <w:rFonts w:ascii="Arial" w:eastAsia="Times New Roman" w:hAnsi="Arial" w:cs="Arial"/>
          <w:sz w:val="24"/>
          <w:szCs w:val="24"/>
          <w:lang w:eastAsia="en-GB"/>
        </w:rPr>
        <w:t>“</w:t>
      </w:r>
      <w:r w:rsidRPr="00093541">
        <w:rPr>
          <w:rFonts w:ascii="Arial" w:hAnsi="Arial" w:cs="Arial"/>
          <w:sz w:val="24"/>
          <w:szCs w:val="24"/>
        </w:rPr>
        <w:t>The defendant must have had the ability to influence the claimant</w:t>
      </w:r>
      <w:r>
        <w:rPr>
          <w:rFonts w:ascii="Arial" w:hAnsi="Arial" w:cs="Arial"/>
          <w:sz w:val="24"/>
          <w:szCs w:val="24"/>
        </w:rPr>
        <w:t>.</w:t>
      </w:r>
    </w:p>
    <w:p w14:paraId="405081C3" w14:textId="47A0D5FD" w:rsidR="00093541" w:rsidRDefault="00093541" w:rsidP="00112830">
      <w:pPr>
        <w:shd w:val="clear" w:color="auto" w:fill="FFFFFF"/>
        <w:textAlignment w:val="baseline"/>
        <w:rPr>
          <w:rFonts w:ascii="Arial" w:hAnsi="Arial" w:cs="Arial"/>
          <w:sz w:val="24"/>
          <w:szCs w:val="24"/>
        </w:rPr>
      </w:pPr>
      <w:r w:rsidRPr="00093541">
        <w:rPr>
          <w:rFonts w:ascii="Arial" w:hAnsi="Arial" w:cs="Arial"/>
          <w:sz w:val="24"/>
          <w:szCs w:val="24"/>
        </w:rPr>
        <w:lastRenderedPageBreak/>
        <w:t>The influence must have been exercised unduly</w:t>
      </w:r>
      <w:r>
        <w:rPr>
          <w:rFonts w:ascii="Arial" w:hAnsi="Arial" w:cs="Arial"/>
          <w:sz w:val="24"/>
          <w:szCs w:val="24"/>
        </w:rPr>
        <w:t>,</w:t>
      </w:r>
      <w:r w:rsidRPr="00093541">
        <w:rPr>
          <w:rFonts w:ascii="Arial" w:hAnsi="Arial" w:cs="Arial"/>
          <w:sz w:val="24"/>
          <w:szCs w:val="24"/>
        </w:rPr>
        <w:t> as will be the case where the defendant has victimized the claimant in some way, for example by forcing, tricking, or misleading the claimant into parting with assets or agreeing to part with assets</w:t>
      </w:r>
      <w:r>
        <w:rPr>
          <w:rFonts w:ascii="Arial" w:hAnsi="Arial" w:cs="Arial"/>
          <w:sz w:val="24"/>
          <w:szCs w:val="24"/>
        </w:rPr>
        <w:t>,</w:t>
      </w:r>
      <w:r w:rsidRPr="00093541">
        <w:rPr>
          <w:rFonts w:ascii="Arial" w:hAnsi="Arial" w:cs="Arial"/>
          <w:sz w:val="24"/>
          <w:szCs w:val="24"/>
        </w:rPr>
        <w:t xml:space="preserve"> such as through the deliberate non-disclosure of relevant information.</w:t>
      </w:r>
    </w:p>
    <w:p w14:paraId="1D7F63B4" w14:textId="07017794" w:rsidR="00093541" w:rsidRDefault="00093541" w:rsidP="00112830">
      <w:pPr>
        <w:shd w:val="clear" w:color="auto" w:fill="FFFFFF"/>
        <w:textAlignment w:val="baseline"/>
        <w:rPr>
          <w:rFonts w:ascii="Arial" w:hAnsi="Arial" w:cs="Arial"/>
          <w:sz w:val="24"/>
          <w:szCs w:val="24"/>
        </w:rPr>
      </w:pPr>
      <w:r w:rsidRPr="00093541">
        <w:rPr>
          <w:rFonts w:ascii="Arial" w:hAnsi="Arial" w:cs="Arial"/>
          <w:sz w:val="24"/>
          <w:szCs w:val="24"/>
        </w:rPr>
        <w:t>The undue influence must have caused the claimant to enter into the relevant transaction, and therefore it must have been operating at the time the transaction was entered into.</w:t>
      </w:r>
      <w:r>
        <w:rPr>
          <w:rFonts w:ascii="Arial" w:hAnsi="Arial" w:cs="Arial"/>
          <w:sz w:val="24"/>
          <w:szCs w:val="24"/>
        </w:rPr>
        <w:t>”</w:t>
      </w:r>
    </w:p>
    <w:p w14:paraId="148DC913" w14:textId="3518C0BC" w:rsidR="00E12F17" w:rsidRDefault="00E12F17" w:rsidP="00112830">
      <w:pPr>
        <w:shd w:val="clear" w:color="auto" w:fill="FFFFFF"/>
        <w:textAlignment w:val="baseline"/>
        <w:rPr>
          <w:rFonts w:ascii="Arial" w:hAnsi="Arial" w:cs="Arial"/>
          <w:sz w:val="24"/>
          <w:szCs w:val="24"/>
        </w:rPr>
      </w:pPr>
      <w:r>
        <w:rPr>
          <w:rFonts w:ascii="Arial" w:hAnsi="Arial" w:cs="Arial"/>
          <w:sz w:val="24"/>
          <w:szCs w:val="24"/>
        </w:rPr>
        <w:t xml:space="preserve">Although it can be argued after looking at the conditions for undue influence that were established in </w:t>
      </w:r>
      <w:r w:rsidRPr="002D77F0">
        <w:rPr>
          <w:rFonts w:ascii="Arial" w:hAnsi="Arial" w:cs="Arial"/>
          <w:sz w:val="24"/>
          <w:szCs w:val="24"/>
        </w:rPr>
        <w:t>BCCI v Aboody</w:t>
      </w:r>
      <w:r>
        <w:rPr>
          <w:rFonts w:ascii="Arial" w:hAnsi="Arial" w:cs="Arial"/>
          <w:sz w:val="24"/>
          <w:szCs w:val="24"/>
        </w:rPr>
        <w:t xml:space="preserve"> were quite clear and informative going forward as a valuable piece of case law, these conditions were scrutinized in the case of </w:t>
      </w:r>
      <w:r w:rsidRPr="00E12F17">
        <w:rPr>
          <w:rFonts w:ascii="Arial" w:hAnsi="Arial" w:cs="Arial"/>
          <w:sz w:val="24"/>
          <w:szCs w:val="24"/>
        </w:rPr>
        <w:t xml:space="preserve">RBS </w:t>
      </w:r>
      <w:proofErr w:type="spellStart"/>
      <w:r w:rsidRPr="00E12F17">
        <w:rPr>
          <w:rFonts w:ascii="Arial" w:hAnsi="Arial" w:cs="Arial"/>
          <w:sz w:val="24"/>
          <w:szCs w:val="24"/>
        </w:rPr>
        <w:t>Etridge</w:t>
      </w:r>
      <w:proofErr w:type="spellEnd"/>
      <w:r w:rsidRPr="00E12F17">
        <w:rPr>
          <w:rFonts w:ascii="Arial" w:hAnsi="Arial" w:cs="Arial"/>
          <w:sz w:val="24"/>
          <w:szCs w:val="24"/>
        </w:rPr>
        <w:t xml:space="preserve"> (no </w:t>
      </w:r>
      <w:proofErr w:type="gramStart"/>
      <w:r w:rsidRPr="00E12F17">
        <w:rPr>
          <w:rFonts w:ascii="Arial" w:hAnsi="Arial" w:cs="Arial"/>
          <w:sz w:val="24"/>
          <w:szCs w:val="24"/>
        </w:rPr>
        <w:t>2)(</w:t>
      </w:r>
      <w:proofErr w:type="gramEnd"/>
      <w:r w:rsidRPr="00E12F17">
        <w:rPr>
          <w:rFonts w:ascii="Arial" w:hAnsi="Arial" w:cs="Arial"/>
          <w:sz w:val="24"/>
          <w:szCs w:val="24"/>
        </w:rPr>
        <w:t>2001)</w:t>
      </w:r>
      <w:r>
        <w:rPr>
          <w:rFonts w:ascii="Arial" w:hAnsi="Arial" w:cs="Arial"/>
          <w:sz w:val="24"/>
          <w:szCs w:val="24"/>
        </w:rPr>
        <w:t xml:space="preserve">, where </w:t>
      </w:r>
      <w:r w:rsidR="00CC7AD0">
        <w:rPr>
          <w:rFonts w:ascii="Arial" w:hAnsi="Arial" w:cs="Arial"/>
          <w:sz w:val="24"/>
          <w:szCs w:val="24"/>
        </w:rPr>
        <w:t>in this</w:t>
      </w:r>
      <w:r w:rsidR="00702022">
        <w:rPr>
          <w:rFonts w:ascii="Arial" w:hAnsi="Arial" w:cs="Arial"/>
          <w:sz w:val="24"/>
          <w:szCs w:val="24"/>
        </w:rPr>
        <w:t xml:space="preserve"> </w:t>
      </w:r>
      <w:r w:rsidR="00CC7AD0">
        <w:rPr>
          <w:rFonts w:ascii="Arial" w:hAnsi="Arial" w:cs="Arial"/>
          <w:sz w:val="24"/>
          <w:szCs w:val="24"/>
        </w:rPr>
        <w:t xml:space="preserve">case it was </w:t>
      </w:r>
      <w:r w:rsidR="00702022">
        <w:rPr>
          <w:rFonts w:ascii="Arial" w:hAnsi="Arial" w:cs="Arial"/>
          <w:sz w:val="24"/>
          <w:szCs w:val="24"/>
        </w:rPr>
        <w:t xml:space="preserve">argued that </w:t>
      </w:r>
      <w:r w:rsidR="00702022" w:rsidRPr="00702022">
        <w:rPr>
          <w:rFonts w:ascii="Arial" w:hAnsi="Arial" w:cs="Arial"/>
          <w:sz w:val="24"/>
          <w:szCs w:val="24"/>
        </w:rPr>
        <w:t>“</w:t>
      </w:r>
      <w:r w:rsidR="00702022" w:rsidRPr="00702022">
        <w:rPr>
          <w:rFonts w:ascii="Arial" w:hAnsi="Arial" w:cs="Arial"/>
          <w:color w:val="000000"/>
          <w:sz w:val="24"/>
          <w:szCs w:val="24"/>
          <w:shd w:val="clear" w:color="auto" w:fill="FFFFFF"/>
        </w:rPr>
        <w:t>Undue influence is one of the grounds of relief developed by the courts of equity as a court of conscience. The objective is to ensure that the influence of one person over another is not abused. In everyday life people constantly seek to influence the decisions of others. They seek to persuade those with whom they are dealing to enter into transactions, whether great or small. The law has set limits to the means properly employable for this purpose. The law will investigate the manner in which the intention to enter into the transaction was secured: If the intention was produced by an unacceptable means, the law will not permit the transaction to stand. The means used is regarded as an exercise of improper or 'undue' influence, and hence unacceptable, whenever the consent thus procured ought not fairly to be treated as the expression of a person's free will. It is impossible to be more precise or definitive. The circumstances in which one person acquires influence over another, and the manner in which influence may be exercised, vary too widely to permit of any more specific criterion."</w:t>
      </w:r>
      <w:r w:rsidR="00702022">
        <w:rPr>
          <w:rFonts w:ascii="Arial" w:hAnsi="Arial" w:cs="Arial"/>
          <w:sz w:val="24"/>
          <w:szCs w:val="24"/>
        </w:rPr>
        <w:t xml:space="preserve"> </w:t>
      </w:r>
      <w:r w:rsidR="00AC7756">
        <w:rPr>
          <w:rFonts w:ascii="Arial" w:hAnsi="Arial" w:cs="Arial"/>
          <w:sz w:val="24"/>
          <w:szCs w:val="24"/>
        </w:rPr>
        <w:t xml:space="preserve">Reflecting on this statement from </w:t>
      </w:r>
      <w:r w:rsidR="003C7CD0">
        <w:rPr>
          <w:rFonts w:ascii="Arial" w:hAnsi="Arial" w:cs="Arial"/>
          <w:sz w:val="24"/>
          <w:szCs w:val="24"/>
        </w:rPr>
        <w:t xml:space="preserve">RBS </w:t>
      </w:r>
      <w:proofErr w:type="spellStart"/>
      <w:r w:rsidR="003C7CD0">
        <w:rPr>
          <w:rFonts w:ascii="Arial" w:hAnsi="Arial" w:cs="Arial"/>
          <w:sz w:val="24"/>
          <w:szCs w:val="24"/>
        </w:rPr>
        <w:t>Etridge</w:t>
      </w:r>
      <w:proofErr w:type="spellEnd"/>
      <w:r w:rsidR="00AC7756">
        <w:rPr>
          <w:rFonts w:ascii="Arial" w:hAnsi="Arial" w:cs="Arial"/>
          <w:sz w:val="24"/>
          <w:szCs w:val="24"/>
        </w:rPr>
        <w:t xml:space="preserve"> and comparing it to the previous qualifications for undue influence,</w:t>
      </w:r>
      <w:r w:rsidR="003C7CD0">
        <w:rPr>
          <w:rFonts w:ascii="Arial" w:hAnsi="Arial" w:cs="Arial"/>
          <w:sz w:val="24"/>
          <w:szCs w:val="24"/>
        </w:rPr>
        <w:t xml:space="preserve"> it is argued that determining how someone gained influence over another person and how the influence was exercised is too ambiguous and varies too much to apply specific criteria as was previously established. </w:t>
      </w:r>
    </w:p>
    <w:p w14:paraId="368D2C8E" w14:textId="5EAF8DD6" w:rsidR="00571BB7" w:rsidRDefault="007006C6" w:rsidP="00571BB7">
      <w:pPr>
        <w:rPr>
          <w:rFonts w:ascii="Arial" w:hAnsi="Arial" w:cs="Arial"/>
          <w:sz w:val="24"/>
          <w:szCs w:val="24"/>
        </w:rPr>
      </w:pPr>
      <w:r>
        <w:rPr>
          <w:rFonts w:ascii="Arial" w:hAnsi="Arial" w:cs="Arial"/>
          <w:sz w:val="24"/>
          <w:szCs w:val="24"/>
        </w:rPr>
        <w:t xml:space="preserve">After examining the concepts of duress and undue influence, it is important to recap this in order to identify the difference(s) between the two. </w:t>
      </w:r>
      <w:r w:rsidR="002A298C">
        <w:rPr>
          <w:rFonts w:ascii="Arial" w:hAnsi="Arial" w:cs="Arial"/>
          <w:sz w:val="24"/>
          <w:szCs w:val="24"/>
        </w:rPr>
        <w:t xml:space="preserve">To quote </w:t>
      </w:r>
      <w:proofErr w:type="spellStart"/>
      <w:r w:rsidR="002A298C">
        <w:rPr>
          <w:rFonts w:ascii="Arial" w:hAnsi="Arial" w:cs="Arial"/>
          <w:sz w:val="24"/>
          <w:szCs w:val="24"/>
        </w:rPr>
        <w:t>Agabu</w:t>
      </w:r>
      <w:proofErr w:type="spellEnd"/>
      <w:r w:rsidR="002A298C">
        <w:rPr>
          <w:rFonts w:ascii="Arial" w:hAnsi="Arial" w:cs="Arial"/>
          <w:sz w:val="24"/>
          <w:szCs w:val="24"/>
        </w:rPr>
        <w:t xml:space="preserve"> (2020), “</w:t>
      </w:r>
      <w:r w:rsidR="002A298C" w:rsidRPr="002A298C">
        <w:rPr>
          <w:rFonts w:ascii="Arial" w:hAnsi="Arial" w:cs="Arial"/>
          <w:spacing w:val="-1"/>
          <w:sz w:val="24"/>
          <w:szCs w:val="24"/>
          <w:shd w:val="clear" w:color="auto" w:fill="FFFFFF"/>
        </w:rPr>
        <w:t>duress much affects the rightness or legality of contracts while the undue influence, on the other hand,</w:t>
      </w:r>
      <w:r w:rsidR="002A298C" w:rsidRPr="002A298C">
        <w:rPr>
          <w:rFonts w:ascii="Georgia" w:hAnsi="Georgia"/>
          <w:spacing w:val="-1"/>
          <w:sz w:val="32"/>
          <w:szCs w:val="32"/>
          <w:shd w:val="clear" w:color="auto" w:fill="FFFFFF"/>
        </w:rPr>
        <w:t xml:space="preserve"> </w:t>
      </w:r>
      <w:r w:rsidR="002A298C" w:rsidRPr="002A298C">
        <w:rPr>
          <w:rFonts w:ascii="Arial" w:hAnsi="Arial" w:cs="Arial"/>
          <w:spacing w:val="-1"/>
          <w:sz w:val="24"/>
          <w:szCs w:val="24"/>
          <w:shd w:val="clear" w:color="auto" w:fill="FFFFFF"/>
        </w:rPr>
        <w:t>deals much with consent, fairness, and intention of entering into a contract aspect of contracts and legal agreements.</w:t>
      </w:r>
      <w:r w:rsidR="002A298C">
        <w:rPr>
          <w:rFonts w:ascii="Arial" w:hAnsi="Arial" w:cs="Arial"/>
          <w:spacing w:val="-1"/>
          <w:sz w:val="24"/>
          <w:szCs w:val="24"/>
          <w:shd w:val="clear" w:color="auto" w:fill="FFFFFF"/>
        </w:rPr>
        <w:t xml:space="preserve">” Using </w:t>
      </w:r>
      <w:proofErr w:type="spellStart"/>
      <w:r w:rsidR="002A298C">
        <w:rPr>
          <w:rFonts w:ascii="Arial" w:hAnsi="Arial" w:cs="Arial"/>
          <w:spacing w:val="-1"/>
          <w:sz w:val="24"/>
          <w:szCs w:val="24"/>
          <w:shd w:val="clear" w:color="auto" w:fill="FFFFFF"/>
        </w:rPr>
        <w:t>Agabu’s</w:t>
      </w:r>
      <w:proofErr w:type="spellEnd"/>
      <w:r w:rsidR="002A298C">
        <w:rPr>
          <w:rFonts w:ascii="Arial" w:hAnsi="Arial" w:cs="Arial"/>
          <w:spacing w:val="-1"/>
          <w:sz w:val="24"/>
          <w:szCs w:val="24"/>
          <w:shd w:val="clear" w:color="auto" w:fill="FFFFFF"/>
        </w:rPr>
        <w:t xml:space="preserve"> observation on the difference between duress and undue influence as a starting point and the basis to explore this further</w:t>
      </w:r>
      <w:r w:rsidR="00821D6E">
        <w:rPr>
          <w:rFonts w:ascii="Arial" w:hAnsi="Arial" w:cs="Arial"/>
          <w:spacing w:val="-1"/>
          <w:sz w:val="24"/>
          <w:szCs w:val="24"/>
          <w:shd w:val="clear" w:color="auto" w:fill="FFFFFF"/>
        </w:rPr>
        <w:t xml:space="preserve">, it is </w:t>
      </w:r>
      <w:r w:rsidR="0087407C">
        <w:rPr>
          <w:rFonts w:ascii="Arial" w:hAnsi="Arial" w:cs="Arial"/>
          <w:spacing w:val="-1"/>
          <w:sz w:val="24"/>
          <w:szCs w:val="24"/>
          <w:shd w:val="clear" w:color="auto" w:fill="FFFFFF"/>
        </w:rPr>
        <w:t xml:space="preserve">valuable to expand on the point previously made and once again refer to the relevant case law of each concept, such as there being a definitive test for types of duress (e.g., consideration and past consideration in </w:t>
      </w:r>
      <w:r w:rsidR="00310FAA" w:rsidRPr="009579E0">
        <w:rPr>
          <w:rFonts w:ascii="Arial" w:hAnsi="Arial" w:cs="Arial"/>
          <w:sz w:val="24"/>
          <w:szCs w:val="24"/>
        </w:rPr>
        <w:t xml:space="preserve">Pao On v Lau You Long </w:t>
      </w:r>
      <w:r w:rsidR="00310FAA">
        <w:rPr>
          <w:rFonts w:ascii="Arial" w:hAnsi="Arial" w:cs="Arial"/>
          <w:sz w:val="24"/>
          <w:szCs w:val="24"/>
        </w:rPr>
        <w:t>[1980])</w:t>
      </w:r>
      <w:r w:rsidR="00571BB7">
        <w:rPr>
          <w:rFonts w:ascii="Arial" w:hAnsi="Arial" w:cs="Arial"/>
          <w:sz w:val="24"/>
          <w:szCs w:val="24"/>
        </w:rPr>
        <w:t xml:space="preserve"> and there being conditions for undue influence (e.g. </w:t>
      </w:r>
      <w:r w:rsidR="00571BB7" w:rsidRPr="00B02AE7">
        <w:rPr>
          <w:rFonts w:ascii="Arial" w:hAnsi="Arial" w:cs="Arial"/>
          <w:sz w:val="24"/>
          <w:szCs w:val="24"/>
        </w:rPr>
        <w:t xml:space="preserve">BCCI v Aboody </w:t>
      </w:r>
      <w:r w:rsidR="00571BB7">
        <w:rPr>
          <w:rFonts w:ascii="Arial" w:hAnsi="Arial" w:cs="Arial"/>
          <w:sz w:val="24"/>
          <w:szCs w:val="24"/>
        </w:rPr>
        <w:t xml:space="preserve">[1990] and </w:t>
      </w:r>
      <w:r w:rsidR="00571BB7" w:rsidRPr="00B02AE7">
        <w:rPr>
          <w:rFonts w:ascii="Arial" w:hAnsi="Arial" w:cs="Arial"/>
          <w:sz w:val="24"/>
          <w:szCs w:val="24"/>
        </w:rPr>
        <w:t xml:space="preserve">RBS </w:t>
      </w:r>
      <w:proofErr w:type="spellStart"/>
      <w:r w:rsidR="00571BB7" w:rsidRPr="00B02AE7">
        <w:rPr>
          <w:rFonts w:ascii="Arial" w:hAnsi="Arial" w:cs="Arial"/>
          <w:sz w:val="24"/>
          <w:szCs w:val="24"/>
        </w:rPr>
        <w:t>Etridge</w:t>
      </w:r>
      <w:proofErr w:type="spellEnd"/>
      <w:r w:rsidR="00571BB7" w:rsidRPr="00B02AE7">
        <w:rPr>
          <w:rFonts w:ascii="Arial" w:hAnsi="Arial" w:cs="Arial"/>
          <w:sz w:val="24"/>
          <w:szCs w:val="24"/>
        </w:rPr>
        <w:t xml:space="preserve"> (no </w:t>
      </w:r>
      <w:proofErr w:type="gramStart"/>
      <w:r w:rsidR="00571BB7" w:rsidRPr="00B02AE7">
        <w:rPr>
          <w:rFonts w:ascii="Arial" w:hAnsi="Arial" w:cs="Arial"/>
          <w:sz w:val="24"/>
          <w:szCs w:val="24"/>
        </w:rPr>
        <w:t>2)</w:t>
      </w:r>
      <w:r w:rsidR="00571BB7">
        <w:rPr>
          <w:rFonts w:ascii="Arial" w:hAnsi="Arial" w:cs="Arial"/>
          <w:sz w:val="24"/>
          <w:szCs w:val="24"/>
        </w:rPr>
        <w:t>[</w:t>
      </w:r>
      <w:proofErr w:type="gramEnd"/>
      <w:r w:rsidR="00571BB7" w:rsidRPr="00B02AE7">
        <w:rPr>
          <w:rFonts w:ascii="Arial" w:hAnsi="Arial" w:cs="Arial"/>
          <w:sz w:val="24"/>
          <w:szCs w:val="24"/>
        </w:rPr>
        <w:t>2001</w:t>
      </w:r>
      <w:r w:rsidR="00571BB7">
        <w:rPr>
          <w:rFonts w:ascii="Arial" w:hAnsi="Arial" w:cs="Arial"/>
          <w:sz w:val="24"/>
          <w:szCs w:val="24"/>
        </w:rPr>
        <w:t>]).</w:t>
      </w:r>
    </w:p>
    <w:p w14:paraId="22E58217" w14:textId="39C3731F" w:rsidR="00BD15AD" w:rsidRDefault="00BD15AD" w:rsidP="00571BB7">
      <w:pPr>
        <w:rPr>
          <w:rFonts w:ascii="Arial" w:hAnsi="Arial" w:cs="Arial"/>
          <w:sz w:val="24"/>
          <w:szCs w:val="24"/>
        </w:rPr>
      </w:pPr>
      <w:r>
        <w:rPr>
          <w:rFonts w:ascii="Arial" w:hAnsi="Arial" w:cs="Arial"/>
          <w:sz w:val="24"/>
          <w:szCs w:val="24"/>
        </w:rPr>
        <w:t xml:space="preserve">Looking at how undue influence has developed post </w:t>
      </w:r>
      <w:proofErr w:type="spellStart"/>
      <w:r>
        <w:rPr>
          <w:rFonts w:ascii="Arial" w:hAnsi="Arial" w:cs="Arial"/>
          <w:sz w:val="24"/>
          <w:szCs w:val="24"/>
        </w:rPr>
        <w:t>Etridge</w:t>
      </w:r>
      <w:proofErr w:type="spellEnd"/>
      <w:r>
        <w:rPr>
          <w:rFonts w:ascii="Arial" w:hAnsi="Arial" w:cs="Arial"/>
          <w:sz w:val="24"/>
          <w:szCs w:val="24"/>
        </w:rPr>
        <w:t xml:space="preserve">, there must be a discussion about how the case influenced decisions and the practices of solicitors going forward, per the Law Society’s Conveyancing Handbook (2002), “The important House of Lords decision in Royal Bank of Scotland v. </w:t>
      </w:r>
      <w:proofErr w:type="spellStart"/>
      <w:r>
        <w:rPr>
          <w:rFonts w:ascii="Arial" w:hAnsi="Arial" w:cs="Arial"/>
          <w:sz w:val="24"/>
          <w:szCs w:val="24"/>
        </w:rPr>
        <w:t>Etridge</w:t>
      </w:r>
      <w:proofErr w:type="spellEnd"/>
      <w:r>
        <w:rPr>
          <w:rFonts w:ascii="Arial" w:hAnsi="Arial" w:cs="Arial"/>
          <w:sz w:val="24"/>
          <w:szCs w:val="24"/>
        </w:rPr>
        <w:t xml:space="preserve"> was </w:t>
      </w:r>
      <w:r>
        <w:rPr>
          <w:rFonts w:ascii="Arial" w:hAnsi="Arial" w:cs="Arial"/>
          <w:sz w:val="24"/>
          <w:szCs w:val="24"/>
        </w:rPr>
        <w:lastRenderedPageBreak/>
        <w:t>delivered on 11</w:t>
      </w:r>
      <w:r w:rsidRPr="00BD15AD">
        <w:rPr>
          <w:rFonts w:ascii="Arial" w:hAnsi="Arial" w:cs="Arial"/>
          <w:sz w:val="24"/>
          <w:szCs w:val="24"/>
          <w:vertAlign w:val="superscript"/>
        </w:rPr>
        <w:t>th</w:t>
      </w:r>
      <w:r>
        <w:rPr>
          <w:rFonts w:ascii="Arial" w:hAnsi="Arial" w:cs="Arial"/>
          <w:sz w:val="24"/>
          <w:szCs w:val="24"/>
        </w:rPr>
        <w:t xml:space="preserve"> October 2001 and as a result all conveyancing lawyers should consider carefully their procedures when faced with a transaction where a third party provides security for another person’s borrowing.” </w:t>
      </w:r>
      <w:r w:rsidR="00B53961">
        <w:rPr>
          <w:rFonts w:ascii="Arial" w:hAnsi="Arial" w:cs="Arial"/>
          <w:sz w:val="24"/>
          <w:szCs w:val="24"/>
        </w:rPr>
        <w:t xml:space="preserve">Assessing this quote, it is clear that </w:t>
      </w:r>
      <w:proofErr w:type="spellStart"/>
      <w:r w:rsidR="00B53961">
        <w:rPr>
          <w:rFonts w:ascii="Arial" w:hAnsi="Arial" w:cs="Arial"/>
          <w:sz w:val="24"/>
          <w:szCs w:val="24"/>
        </w:rPr>
        <w:t>Etridge</w:t>
      </w:r>
      <w:proofErr w:type="spellEnd"/>
      <w:r w:rsidR="00B53961">
        <w:rPr>
          <w:rFonts w:ascii="Arial" w:hAnsi="Arial" w:cs="Arial"/>
          <w:sz w:val="24"/>
          <w:szCs w:val="24"/>
        </w:rPr>
        <w:t xml:space="preserve"> influenced practices after the case concluded, furthermore, </w:t>
      </w:r>
      <w:r w:rsidR="00134163">
        <w:rPr>
          <w:rFonts w:ascii="Arial" w:hAnsi="Arial" w:cs="Arial"/>
          <w:sz w:val="24"/>
          <w:szCs w:val="24"/>
        </w:rPr>
        <w:t xml:space="preserve">post </w:t>
      </w:r>
      <w:proofErr w:type="spellStart"/>
      <w:r w:rsidR="00134163">
        <w:rPr>
          <w:rFonts w:ascii="Arial" w:hAnsi="Arial" w:cs="Arial"/>
          <w:sz w:val="24"/>
          <w:szCs w:val="24"/>
        </w:rPr>
        <w:t>Etridge</w:t>
      </w:r>
      <w:proofErr w:type="spellEnd"/>
      <w:r w:rsidR="00134163">
        <w:rPr>
          <w:rFonts w:ascii="Arial" w:hAnsi="Arial" w:cs="Arial"/>
          <w:sz w:val="24"/>
          <w:szCs w:val="24"/>
        </w:rPr>
        <w:t xml:space="preserve"> it could be argued that there was more caution taken when dealing with situations similar to that of the </w:t>
      </w:r>
      <w:proofErr w:type="spellStart"/>
      <w:r w:rsidR="00134163">
        <w:rPr>
          <w:rFonts w:ascii="Arial" w:hAnsi="Arial" w:cs="Arial"/>
          <w:sz w:val="24"/>
          <w:szCs w:val="24"/>
        </w:rPr>
        <w:t>Etridge</w:t>
      </w:r>
      <w:proofErr w:type="spellEnd"/>
      <w:r w:rsidR="00134163">
        <w:rPr>
          <w:rFonts w:ascii="Arial" w:hAnsi="Arial" w:cs="Arial"/>
          <w:sz w:val="24"/>
          <w:szCs w:val="24"/>
        </w:rPr>
        <w:t xml:space="preserve"> case. The Law Society’s Conveyancing Handbook further outlines and clarifies what caution a solicitor should take by pointing out that the risk of conflict in these cases can be extreme and also the solicitor should be considering if they should be acting at all. </w:t>
      </w:r>
    </w:p>
    <w:p w14:paraId="7170C81D" w14:textId="2A87EC73" w:rsidR="001F0BF7" w:rsidRDefault="001F0BF7" w:rsidP="00571BB7">
      <w:pPr>
        <w:rPr>
          <w:rFonts w:ascii="Arial" w:hAnsi="Arial" w:cs="Arial"/>
          <w:sz w:val="24"/>
          <w:szCs w:val="24"/>
        </w:rPr>
      </w:pPr>
    </w:p>
    <w:p w14:paraId="3B86C88D" w14:textId="3E69148D" w:rsidR="001F0BF7" w:rsidRPr="00694C1E" w:rsidRDefault="001F0BF7" w:rsidP="00571BB7">
      <w:pPr>
        <w:rPr>
          <w:rFonts w:ascii="Arial" w:hAnsi="Arial" w:cs="Arial"/>
          <w:sz w:val="24"/>
          <w:szCs w:val="24"/>
        </w:rPr>
      </w:pPr>
      <w:r>
        <w:rPr>
          <w:rFonts w:ascii="Arial" w:hAnsi="Arial" w:cs="Arial"/>
          <w:sz w:val="24"/>
          <w:szCs w:val="24"/>
        </w:rPr>
        <w:t xml:space="preserve">In conclusion, </w:t>
      </w:r>
      <w:r w:rsidR="00B405E6">
        <w:rPr>
          <w:rFonts w:ascii="Arial" w:hAnsi="Arial" w:cs="Arial"/>
          <w:sz w:val="24"/>
          <w:szCs w:val="24"/>
        </w:rPr>
        <w:t xml:space="preserve">after clarifying the legal definition of undue influence and then examining the case law surrounding this, it should be noted that the concept developed and changed significantly after the RBS v </w:t>
      </w:r>
      <w:proofErr w:type="spellStart"/>
      <w:r w:rsidR="00B405E6">
        <w:rPr>
          <w:rFonts w:ascii="Arial" w:hAnsi="Arial" w:cs="Arial"/>
          <w:sz w:val="24"/>
          <w:szCs w:val="24"/>
        </w:rPr>
        <w:t>Etridge</w:t>
      </w:r>
      <w:proofErr w:type="spellEnd"/>
      <w:r w:rsidR="00B405E6">
        <w:rPr>
          <w:rFonts w:ascii="Arial" w:hAnsi="Arial" w:cs="Arial"/>
          <w:sz w:val="24"/>
          <w:szCs w:val="24"/>
        </w:rPr>
        <w:t xml:space="preserve"> [2001] ruling.</w:t>
      </w:r>
      <w:r w:rsidR="00D351CE">
        <w:rPr>
          <w:rFonts w:ascii="Arial" w:hAnsi="Arial" w:cs="Arial"/>
          <w:sz w:val="24"/>
          <w:szCs w:val="24"/>
        </w:rPr>
        <w:t xml:space="preserve"> Before this, </w:t>
      </w:r>
      <w:r w:rsidR="00D351CE" w:rsidRPr="002D77F0">
        <w:rPr>
          <w:rFonts w:ascii="Arial" w:hAnsi="Arial" w:cs="Arial"/>
          <w:sz w:val="24"/>
          <w:szCs w:val="24"/>
        </w:rPr>
        <w:t>BCCI v Aboody</w:t>
      </w:r>
      <w:r w:rsidR="00D351CE">
        <w:rPr>
          <w:rFonts w:ascii="Arial" w:hAnsi="Arial" w:cs="Arial"/>
          <w:sz w:val="24"/>
          <w:szCs w:val="24"/>
        </w:rPr>
        <w:t xml:space="preserve"> presented the conditions needed for undue influence, but again, it could be argued a much greater impact was made in contract law post </w:t>
      </w:r>
      <w:proofErr w:type="spellStart"/>
      <w:r w:rsidR="00D351CE">
        <w:rPr>
          <w:rFonts w:ascii="Arial" w:hAnsi="Arial" w:cs="Arial"/>
          <w:sz w:val="24"/>
          <w:szCs w:val="24"/>
        </w:rPr>
        <w:t>Etridge</w:t>
      </w:r>
      <w:proofErr w:type="spellEnd"/>
      <w:r w:rsidR="00D351CE">
        <w:rPr>
          <w:rFonts w:ascii="Arial" w:hAnsi="Arial" w:cs="Arial"/>
          <w:sz w:val="24"/>
          <w:szCs w:val="24"/>
        </w:rPr>
        <w:t>.</w:t>
      </w:r>
      <w:r w:rsidR="00B405E6">
        <w:rPr>
          <w:rFonts w:ascii="Arial" w:hAnsi="Arial" w:cs="Arial"/>
          <w:sz w:val="24"/>
          <w:szCs w:val="24"/>
        </w:rPr>
        <w:t xml:space="preserve"> As previously stated, the influence this case had made solicitors consider their approach in these cases and also the risk of conflict involved. </w:t>
      </w:r>
      <w:r w:rsidR="000132FC">
        <w:rPr>
          <w:rFonts w:ascii="Arial" w:hAnsi="Arial" w:cs="Arial"/>
          <w:sz w:val="24"/>
          <w:szCs w:val="24"/>
        </w:rPr>
        <w:t xml:space="preserve">The difference between duress and undue influence has been established, additionally, the test for duress has been discussed and consideration/past consideration in </w:t>
      </w:r>
      <w:r w:rsidR="000132FC" w:rsidRPr="009579E0">
        <w:rPr>
          <w:rFonts w:ascii="Arial" w:hAnsi="Arial" w:cs="Arial"/>
          <w:sz w:val="24"/>
          <w:szCs w:val="24"/>
        </w:rPr>
        <w:t xml:space="preserve">Pao </w:t>
      </w:r>
      <w:proofErr w:type="gramStart"/>
      <w:r w:rsidR="000132FC" w:rsidRPr="009579E0">
        <w:rPr>
          <w:rFonts w:ascii="Arial" w:hAnsi="Arial" w:cs="Arial"/>
          <w:sz w:val="24"/>
          <w:szCs w:val="24"/>
        </w:rPr>
        <w:t>On</w:t>
      </w:r>
      <w:proofErr w:type="gramEnd"/>
      <w:r w:rsidR="000132FC" w:rsidRPr="009579E0">
        <w:rPr>
          <w:rFonts w:ascii="Arial" w:hAnsi="Arial" w:cs="Arial"/>
          <w:sz w:val="24"/>
          <w:szCs w:val="24"/>
        </w:rPr>
        <w:t xml:space="preserve"> v Lau You Long </w:t>
      </w:r>
      <w:r w:rsidR="000132FC">
        <w:rPr>
          <w:rFonts w:ascii="Arial" w:hAnsi="Arial" w:cs="Arial"/>
          <w:sz w:val="24"/>
          <w:szCs w:val="24"/>
        </w:rPr>
        <w:t>[1980]</w:t>
      </w:r>
      <w:r w:rsidR="000132FC">
        <w:rPr>
          <w:rFonts w:ascii="Arial" w:hAnsi="Arial" w:cs="Arial"/>
          <w:sz w:val="24"/>
          <w:szCs w:val="24"/>
        </w:rPr>
        <w:t xml:space="preserve"> has been analysed. </w:t>
      </w:r>
      <w:r w:rsidR="00B53243">
        <w:rPr>
          <w:rFonts w:ascii="Arial" w:hAnsi="Arial" w:cs="Arial"/>
          <w:sz w:val="24"/>
          <w:szCs w:val="24"/>
        </w:rPr>
        <w:t xml:space="preserve">It is important to differentiate between duress and undue influence as they are separate from each other and depending on which has occurred, it can significantly affect the outcome of a case. </w:t>
      </w:r>
      <w:r w:rsidR="009C090E">
        <w:rPr>
          <w:rFonts w:ascii="Arial" w:hAnsi="Arial" w:cs="Arial"/>
          <w:sz w:val="24"/>
          <w:szCs w:val="24"/>
        </w:rPr>
        <w:t>All cases previously looked at are valuable because each shed light on the many complexities and different aspects of contract law</w:t>
      </w:r>
      <w:r w:rsidR="00694C1E">
        <w:rPr>
          <w:rFonts w:ascii="Arial" w:hAnsi="Arial" w:cs="Arial"/>
          <w:sz w:val="24"/>
          <w:szCs w:val="24"/>
        </w:rPr>
        <w:t>;</w:t>
      </w:r>
      <w:r w:rsidR="009C090E">
        <w:rPr>
          <w:rFonts w:ascii="Arial" w:hAnsi="Arial" w:cs="Arial"/>
          <w:sz w:val="24"/>
          <w:szCs w:val="24"/>
        </w:rPr>
        <w:t xml:space="preserve"> </w:t>
      </w:r>
      <w:r w:rsidR="009C090E" w:rsidRPr="003E7BE5">
        <w:rPr>
          <w:rFonts w:ascii="Arial" w:hAnsi="Arial" w:cs="Arial"/>
          <w:sz w:val="24"/>
          <w:szCs w:val="24"/>
        </w:rPr>
        <w:t xml:space="preserve">Atlas Express v </w:t>
      </w:r>
      <w:proofErr w:type="spellStart"/>
      <w:r w:rsidR="009C090E" w:rsidRPr="003E7BE5">
        <w:rPr>
          <w:rFonts w:ascii="Arial" w:hAnsi="Arial" w:cs="Arial"/>
          <w:sz w:val="24"/>
          <w:szCs w:val="24"/>
        </w:rPr>
        <w:t>Kafco</w:t>
      </w:r>
      <w:proofErr w:type="spellEnd"/>
      <w:r w:rsidR="009C090E" w:rsidRPr="003E7BE5">
        <w:rPr>
          <w:rFonts w:ascii="Arial" w:hAnsi="Arial" w:cs="Arial"/>
          <w:sz w:val="24"/>
          <w:szCs w:val="24"/>
        </w:rPr>
        <w:t xml:space="preserve"> (1989)</w:t>
      </w:r>
      <w:r w:rsidR="009C090E">
        <w:rPr>
          <w:rFonts w:ascii="Arial" w:hAnsi="Arial" w:cs="Arial"/>
          <w:sz w:val="24"/>
          <w:szCs w:val="24"/>
        </w:rPr>
        <w:t xml:space="preserve">, </w:t>
      </w:r>
      <w:r w:rsidR="009C090E" w:rsidRPr="00B02AE7">
        <w:rPr>
          <w:rFonts w:ascii="Arial" w:hAnsi="Arial" w:cs="Arial"/>
          <w:sz w:val="24"/>
          <w:szCs w:val="24"/>
        </w:rPr>
        <w:t>BCCI v Aboody (1990)</w:t>
      </w:r>
      <w:r w:rsidR="00694C1E">
        <w:rPr>
          <w:rFonts w:ascii="Arial" w:hAnsi="Arial" w:cs="Arial"/>
          <w:sz w:val="24"/>
          <w:szCs w:val="24"/>
        </w:rPr>
        <w:t xml:space="preserve">, </w:t>
      </w:r>
      <w:proofErr w:type="spellStart"/>
      <w:r w:rsidR="00694C1E" w:rsidRPr="009579E0">
        <w:rPr>
          <w:rFonts w:ascii="Arial" w:hAnsi="Arial" w:cs="Arial"/>
          <w:sz w:val="24"/>
          <w:szCs w:val="24"/>
        </w:rPr>
        <w:t>Skeate</w:t>
      </w:r>
      <w:proofErr w:type="spellEnd"/>
      <w:r w:rsidR="00694C1E" w:rsidRPr="009579E0">
        <w:rPr>
          <w:rFonts w:ascii="Arial" w:hAnsi="Arial" w:cs="Arial"/>
          <w:sz w:val="24"/>
          <w:szCs w:val="24"/>
        </w:rPr>
        <w:t xml:space="preserve"> v Beale (1840)</w:t>
      </w:r>
      <w:r w:rsidR="00694C1E">
        <w:rPr>
          <w:rFonts w:ascii="Arial" w:hAnsi="Arial" w:cs="Arial"/>
          <w:sz w:val="24"/>
          <w:szCs w:val="24"/>
        </w:rPr>
        <w:t xml:space="preserve">, </w:t>
      </w:r>
      <w:r w:rsidR="00694C1E" w:rsidRPr="009579E0">
        <w:rPr>
          <w:rFonts w:ascii="Arial" w:hAnsi="Arial" w:cs="Arial"/>
          <w:sz w:val="24"/>
          <w:szCs w:val="24"/>
        </w:rPr>
        <w:t>Pao On v Lau You Long (1980)</w:t>
      </w:r>
      <w:r w:rsidR="00694C1E">
        <w:rPr>
          <w:rFonts w:ascii="Arial" w:hAnsi="Arial" w:cs="Arial"/>
          <w:sz w:val="24"/>
          <w:szCs w:val="24"/>
        </w:rPr>
        <w:t xml:space="preserve">, </w:t>
      </w:r>
      <w:r w:rsidR="00694C1E" w:rsidRPr="00B02AE7">
        <w:rPr>
          <w:rFonts w:ascii="Arial" w:hAnsi="Arial" w:cs="Arial"/>
          <w:sz w:val="24"/>
          <w:szCs w:val="24"/>
        </w:rPr>
        <w:t xml:space="preserve">RBS </w:t>
      </w:r>
      <w:proofErr w:type="spellStart"/>
      <w:r w:rsidR="00694C1E" w:rsidRPr="00B02AE7">
        <w:rPr>
          <w:rFonts w:ascii="Arial" w:hAnsi="Arial" w:cs="Arial"/>
          <w:sz w:val="24"/>
          <w:szCs w:val="24"/>
        </w:rPr>
        <w:t>Etridge</w:t>
      </w:r>
      <w:proofErr w:type="spellEnd"/>
      <w:r w:rsidR="00694C1E" w:rsidRPr="00B02AE7">
        <w:rPr>
          <w:rFonts w:ascii="Arial" w:hAnsi="Arial" w:cs="Arial"/>
          <w:sz w:val="24"/>
          <w:szCs w:val="24"/>
        </w:rPr>
        <w:t xml:space="preserve"> (no </w:t>
      </w:r>
      <w:proofErr w:type="gramStart"/>
      <w:r w:rsidR="00694C1E" w:rsidRPr="00B02AE7">
        <w:rPr>
          <w:rFonts w:ascii="Arial" w:hAnsi="Arial" w:cs="Arial"/>
          <w:sz w:val="24"/>
          <w:szCs w:val="24"/>
        </w:rPr>
        <w:t>2)(</w:t>
      </w:r>
      <w:proofErr w:type="gramEnd"/>
      <w:r w:rsidR="00694C1E" w:rsidRPr="00B02AE7">
        <w:rPr>
          <w:rFonts w:ascii="Arial" w:hAnsi="Arial" w:cs="Arial"/>
          <w:sz w:val="24"/>
          <w:szCs w:val="24"/>
        </w:rPr>
        <w:t>2001)</w:t>
      </w:r>
      <w:r w:rsidR="00694C1E">
        <w:rPr>
          <w:rFonts w:ascii="Arial" w:hAnsi="Arial" w:cs="Arial"/>
          <w:sz w:val="24"/>
          <w:szCs w:val="24"/>
        </w:rPr>
        <w:t xml:space="preserve"> and </w:t>
      </w:r>
      <w:proofErr w:type="spellStart"/>
      <w:r w:rsidR="00694C1E" w:rsidRPr="00E261B0">
        <w:rPr>
          <w:rFonts w:ascii="Arial" w:hAnsi="Arial" w:cs="Arial"/>
          <w:color w:val="111111"/>
          <w:sz w:val="24"/>
          <w:szCs w:val="24"/>
          <w:shd w:val="clear" w:color="auto" w:fill="FFFFFF"/>
        </w:rPr>
        <w:t>Siboen</w:t>
      </w:r>
      <w:proofErr w:type="spellEnd"/>
      <w:r w:rsidR="00694C1E" w:rsidRPr="00E261B0">
        <w:rPr>
          <w:rFonts w:ascii="Arial" w:hAnsi="Arial" w:cs="Arial"/>
          <w:color w:val="111111"/>
          <w:sz w:val="24"/>
          <w:szCs w:val="24"/>
          <w:shd w:val="clear" w:color="auto" w:fill="FFFFFF"/>
        </w:rPr>
        <w:t xml:space="preserve"> and </w:t>
      </w:r>
      <w:r w:rsidR="00694C1E">
        <w:rPr>
          <w:rFonts w:ascii="Arial" w:hAnsi="Arial" w:cs="Arial"/>
          <w:color w:val="111111"/>
          <w:sz w:val="24"/>
          <w:szCs w:val="24"/>
          <w:shd w:val="clear" w:color="auto" w:fill="FFFFFF"/>
        </w:rPr>
        <w:t xml:space="preserve">the </w:t>
      </w:r>
      <w:proofErr w:type="spellStart"/>
      <w:r w:rsidR="00694C1E" w:rsidRPr="00E261B0">
        <w:rPr>
          <w:rFonts w:ascii="Arial" w:hAnsi="Arial" w:cs="Arial"/>
          <w:color w:val="111111"/>
          <w:sz w:val="24"/>
          <w:szCs w:val="24"/>
          <w:shd w:val="clear" w:color="auto" w:fill="FFFFFF"/>
        </w:rPr>
        <w:t>Sibotre</w:t>
      </w:r>
      <w:proofErr w:type="spellEnd"/>
      <w:r w:rsidR="00694C1E" w:rsidRPr="00E261B0">
        <w:rPr>
          <w:rFonts w:ascii="Arial" w:hAnsi="Arial" w:cs="Arial"/>
          <w:color w:val="111111"/>
          <w:sz w:val="24"/>
          <w:szCs w:val="24"/>
          <w:shd w:val="clear" w:color="auto" w:fill="FFFFFF"/>
        </w:rPr>
        <w:t xml:space="preserve"> </w:t>
      </w:r>
      <w:r w:rsidR="00694C1E">
        <w:rPr>
          <w:rFonts w:ascii="Arial" w:hAnsi="Arial" w:cs="Arial"/>
          <w:color w:val="111111"/>
          <w:sz w:val="24"/>
          <w:szCs w:val="24"/>
          <w:shd w:val="clear" w:color="auto" w:fill="FFFFFF"/>
        </w:rPr>
        <w:t>[</w:t>
      </w:r>
      <w:r w:rsidR="00694C1E" w:rsidRPr="00E261B0">
        <w:rPr>
          <w:rFonts w:ascii="Arial" w:hAnsi="Arial" w:cs="Arial"/>
          <w:color w:val="111111"/>
          <w:sz w:val="24"/>
          <w:szCs w:val="24"/>
          <w:shd w:val="clear" w:color="auto" w:fill="FFFFFF"/>
        </w:rPr>
        <w:t>1976</w:t>
      </w:r>
      <w:r w:rsidR="00694C1E">
        <w:rPr>
          <w:rFonts w:ascii="Arial" w:hAnsi="Arial" w:cs="Arial"/>
          <w:color w:val="111111"/>
          <w:sz w:val="24"/>
          <w:szCs w:val="24"/>
          <w:shd w:val="clear" w:color="auto" w:fill="FFFFFF"/>
        </w:rPr>
        <w:t>]</w:t>
      </w:r>
      <w:r w:rsidR="00694C1E">
        <w:rPr>
          <w:rFonts w:ascii="Arial" w:hAnsi="Arial" w:cs="Arial"/>
          <w:sz w:val="24"/>
          <w:szCs w:val="24"/>
        </w:rPr>
        <w:t xml:space="preserve"> provide many lessons in the rulings and statements that were made in these cases. </w:t>
      </w:r>
      <w:r w:rsidR="006F6903">
        <w:rPr>
          <w:rFonts w:ascii="Arial" w:hAnsi="Arial" w:cs="Arial"/>
          <w:sz w:val="24"/>
          <w:szCs w:val="24"/>
        </w:rPr>
        <w:t xml:space="preserve">BCCI v Aboody and RBS v </w:t>
      </w:r>
      <w:proofErr w:type="spellStart"/>
      <w:r w:rsidR="006F6903">
        <w:rPr>
          <w:rFonts w:ascii="Arial" w:hAnsi="Arial" w:cs="Arial"/>
          <w:sz w:val="24"/>
          <w:szCs w:val="24"/>
        </w:rPr>
        <w:t>Etridge</w:t>
      </w:r>
      <w:proofErr w:type="spellEnd"/>
      <w:r w:rsidR="006F6903">
        <w:rPr>
          <w:rFonts w:ascii="Arial" w:hAnsi="Arial" w:cs="Arial"/>
          <w:sz w:val="24"/>
          <w:szCs w:val="24"/>
        </w:rPr>
        <w:t xml:space="preserve"> are clear examples of how case law can influence and change practices going forward regarding development in this area of law.</w:t>
      </w:r>
    </w:p>
    <w:p w14:paraId="51D9F897" w14:textId="60F311A9" w:rsidR="00310FAA" w:rsidRPr="00571BB7" w:rsidRDefault="00310FAA" w:rsidP="00310FAA">
      <w:pPr>
        <w:rPr>
          <w:rFonts w:ascii="Arial" w:hAnsi="Arial" w:cs="Arial"/>
          <w:sz w:val="24"/>
          <w:szCs w:val="24"/>
        </w:rPr>
      </w:pPr>
    </w:p>
    <w:p w14:paraId="11A6BEF2" w14:textId="3222A5F4" w:rsidR="007006C6" w:rsidRPr="00093541" w:rsidRDefault="007006C6" w:rsidP="00112830">
      <w:pPr>
        <w:shd w:val="clear" w:color="auto" w:fill="FFFFFF"/>
        <w:textAlignment w:val="baseline"/>
        <w:rPr>
          <w:rFonts w:ascii="Arial" w:hAnsi="Arial" w:cs="Arial"/>
          <w:sz w:val="24"/>
          <w:szCs w:val="24"/>
        </w:rPr>
      </w:pPr>
    </w:p>
    <w:p w14:paraId="3FDDB878" w14:textId="77777777" w:rsidR="00093541" w:rsidRPr="00112830" w:rsidRDefault="00093541" w:rsidP="00112830">
      <w:pPr>
        <w:shd w:val="clear" w:color="auto" w:fill="FFFFFF"/>
        <w:textAlignment w:val="baseline"/>
        <w:rPr>
          <w:rFonts w:ascii="Arial" w:eastAsia="Times New Roman" w:hAnsi="Arial" w:cs="Arial"/>
          <w:sz w:val="24"/>
          <w:szCs w:val="24"/>
          <w:lang w:eastAsia="en-GB"/>
        </w:rPr>
      </w:pPr>
    </w:p>
    <w:p w14:paraId="35317085" w14:textId="65579146" w:rsidR="00C54D18" w:rsidRPr="00112830" w:rsidRDefault="00C54D18" w:rsidP="00112830">
      <w:pPr>
        <w:spacing w:line="480" w:lineRule="auto"/>
        <w:rPr>
          <w:rFonts w:ascii="Arial" w:hAnsi="Arial" w:cs="Arial"/>
          <w:sz w:val="24"/>
          <w:szCs w:val="24"/>
        </w:rPr>
      </w:pPr>
      <w:r w:rsidRPr="00112830">
        <w:rPr>
          <w:rFonts w:ascii="Arial" w:hAnsi="Arial" w:cs="Arial"/>
          <w:sz w:val="24"/>
          <w:szCs w:val="24"/>
        </w:rPr>
        <w:br w:type="page"/>
      </w:r>
    </w:p>
    <w:p w14:paraId="7B0969C5" w14:textId="41D75826" w:rsidR="00B90FC4" w:rsidRDefault="00C54D18" w:rsidP="00B90FC4">
      <w:pPr>
        <w:rPr>
          <w:rFonts w:ascii="Arial" w:hAnsi="Arial" w:cs="Arial"/>
          <w:sz w:val="24"/>
          <w:szCs w:val="24"/>
          <w:u w:val="single"/>
        </w:rPr>
      </w:pPr>
      <w:r>
        <w:rPr>
          <w:rFonts w:ascii="Arial" w:hAnsi="Arial" w:cs="Arial"/>
          <w:sz w:val="24"/>
          <w:szCs w:val="24"/>
          <w:u w:val="single"/>
        </w:rPr>
        <w:lastRenderedPageBreak/>
        <w:t>References</w:t>
      </w:r>
    </w:p>
    <w:p w14:paraId="7D5D8A62" w14:textId="2D4FE29E" w:rsidR="009523E8" w:rsidRDefault="009523E8" w:rsidP="00B90FC4">
      <w:pPr>
        <w:rPr>
          <w:rFonts w:ascii="Arial" w:hAnsi="Arial" w:cs="Arial"/>
          <w:color w:val="000000"/>
          <w:sz w:val="24"/>
          <w:szCs w:val="24"/>
        </w:rPr>
      </w:pPr>
      <w:proofErr w:type="spellStart"/>
      <w:r w:rsidRPr="00E15D58">
        <w:rPr>
          <w:rFonts w:ascii="Arial" w:hAnsi="Arial" w:cs="Arial"/>
          <w:color w:val="000000"/>
          <w:sz w:val="24"/>
          <w:szCs w:val="24"/>
        </w:rPr>
        <w:t>Agabu</w:t>
      </w:r>
      <w:proofErr w:type="spellEnd"/>
      <w:r w:rsidRPr="00E15D58">
        <w:rPr>
          <w:rFonts w:ascii="Arial" w:hAnsi="Arial" w:cs="Arial"/>
          <w:color w:val="000000"/>
          <w:sz w:val="24"/>
          <w:szCs w:val="24"/>
        </w:rPr>
        <w:t>, J. (2020). </w:t>
      </w:r>
      <w:r w:rsidRPr="00E15D58">
        <w:rPr>
          <w:rFonts w:ascii="Arial" w:hAnsi="Arial" w:cs="Arial"/>
          <w:i/>
          <w:iCs/>
          <w:color w:val="000000"/>
          <w:sz w:val="24"/>
          <w:szCs w:val="24"/>
        </w:rPr>
        <w:t xml:space="preserve">Duress and Undue Influence </w:t>
      </w:r>
      <w:proofErr w:type="gramStart"/>
      <w:r w:rsidRPr="00E15D58">
        <w:rPr>
          <w:rFonts w:ascii="Arial" w:hAnsi="Arial" w:cs="Arial"/>
          <w:i/>
          <w:iCs/>
          <w:color w:val="000000"/>
          <w:sz w:val="24"/>
          <w:szCs w:val="24"/>
        </w:rPr>
        <w:t>In</w:t>
      </w:r>
      <w:proofErr w:type="gramEnd"/>
      <w:r w:rsidRPr="00E15D58">
        <w:rPr>
          <w:rFonts w:ascii="Arial" w:hAnsi="Arial" w:cs="Arial"/>
          <w:i/>
          <w:iCs/>
          <w:color w:val="000000"/>
          <w:sz w:val="24"/>
          <w:szCs w:val="24"/>
        </w:rPr>
        <w:t xml:space="preserve"> The Law of Contracts.</w:t>
      </w:r>
      <w:r w:rsidRPr="00E15D58">
        <w:rPr>
          <w:rFonts w:ascii="Arial" w:hAnsi="Arial" w:cs="Arial"/>
          <w:color w:val="000000"/>
          <w:sz w:val="24"/>
          <w:szCs w:val="24"/>
        </w:rPr>
        <w:t> Available: https://medium.com/an-idea/duress-and-undue-influence-in-the-law-of-contracts-e66894d12b9f. Last accessed 7th May 2021.</w:t>
      </w:r>
    </w:p>
    <w:p w14:paraId="6CB58656" w14:textId="28C967D1" w:rsidR="009523E8" w:rsidRDefault="009523E8" w:rsidP="00B90FC4">
      <w:pPr>
        <w:rPr>
          <w:rFonts w:ascii="Arial" w:hAnsi="Arial" w:cs="Arial"/>
          <w:color w:val="000000"/>
          <w:sz w:val="24"/>
          <w:szCs w:val="24"/>
        </w:rPr>
      </w:pPr>
      <w:r w:rsidRPr="005C18E7">
        <w:rPr>
          <w:rFonts w:ascii="Arial" w:hAnsi="Arial" w:cs="Arial"/>
          <w:color w:val="000000"/>
          <w:sz w:val="24"/>
          <w:szCs w:val="24"/>
        </w:rPr>
        <w:t>CPS. (2018). </w:t>
      </w:r>
      <w:r w:rsidRPr="005C18E7">
        <w:rPr>
          <w:rFonts w:ascii="Arial" w:hAnsi="Arial" w:cs="Arial"/>
          <w:i/>
          <w:iCs/>
          <w:color w:val="000000"/>
          <w:sz w:val="24"/>
          <w:szCs w:val="24"/>
        </w:rPr>
        <w:t>Defences - Duress and Necessity.</w:t>
      </w:r>
      <w:r w:rsidRPr="005C18E7">
        <w:rPr>
          <w:rFonts w:ascii="Arial" w:hAnsi="Arial" w:cs="Arial"/>
          <w:color w:val="000000"/>
          <w:sz w:val="24"/>
          <w:szCs w:val="24"/>
        </w:rPr>
        <w:t xml:space="preserve"> Available: </w:t>
      </w:r>
      <w:hyperlink r:id="rId5" w:history="1">
        <w:r w:rsidRPr="0087737E">
          <w:rPr>
            <w:rStyle w:val="Hyperlink"/>
            <w:rFonts w:ascii="Arial" w:hAnsi="Arial" w:cs="Arial"/>
            <w:sz w:val="24"/>
            <w:szCs w:val="24"/>
          </w:rPr>
          <w:t>https://www.cps.gov.uk/legal-guidance/defences-duress-and-necessity</w:t>
        </w:r>
      </w:hyperlink>
      <w:r w:rsidRPr="005C18E7">
        <w:rPr>
          <w:rFonts w:ascii="Arial" w:hAnsi="Arial" w:cs="Arial"/>
          <w:color w:val="000000"/>
          <w:sz w:val="24"/>
          <w:szCs w:val="24"/>
        </w:rPr>
        <w:t>.</w:t>
      </w:r>
      <w:r>
        <w:rPr>
          <w:rFonts w:ascii="Arial" w:hAnsi="Arial" w:cs="Arial"/>
          <w:color w:val="000000"/>
          <w:sz w:val="24"/>
          <w:szCs w:val="24"/>
        </w:rPr>
        <w:t xml:space="preserve"> </w:t>
      </w:r>
      <w:r w:rsidRPr="005C18E7">
        <w:rPr>
          <w:rFonts w:ascii="Arial" w:hAnsi="Arial" w:cs="Arial"/>
          <w:color w:val="000000"/>
          <w:sz w:val="24"/>
          <w:szCs w:val="24"/>
        </w:rPr>
        <w:t>Last accessed 7th May 2021.</w:t>
      </w:r>
    </w:p>
    <w:p w14:paraId="51A072B9" w14:textId="0763983B" w:rsidR="009523E8" w:rsidRDefault="009523E8" w:rsidP="00B90FC4">
      <w:pPr>
        <w:rPr>
          <w:rFonts w:ascii="Arial" w:hAnsi="Arial" w:cs="Arial"/>
          <w:color w:val="000000"/>
          <w:sz w:val="24"/>
          <w:szCs w:val="24"/>
        </w:rPr>
      </w:pPr>
      <w:r w:rsidRPr="00E15D58">
        <w:rPr>
          <w:rFonts w:ascii="Arial" w:hAnsi="Arial" w:cs="Arial"/>
          <w:color w:val="000000"/>
          <w:sz w:val="24"/>
          <w:szCs w:val="24"/>
        </w:rPr>
        <w:t>Laver, N. (2021). </w:t>
      </w:r>
      <w:r w:rsidRPr="00E15D58">
        <w:rPr>
          <w:rFonts w:ascii="Arial" w:hAnsi="Arial" w:cs="Arial"/>
          <w:i/>
          <w:iCs/>
          <w:color w:val="000000"/>
          <w:sz w:val="24"/>
          <w:szCs w:val="24"/>
        </w:rPr>
        <w:t>The doctrine of undue influence.</w:t>
      </w:r>
      <w:r w:rsidRPr="00E15D58">
        <w:rPr>
          <w:rFonts w:ascii="Arial" w:hAnsi="Arial" w:cs="Arial"/>
          <w:color w:val="000000"/>
          <w:sz w:val="24"/>
          <w:szCs w:val="24"/>
        </w:rPr>
        <w:t xml:space="preserve"> Available: </w:t>
      </w:r>
      <w:hyperlink r:id="rId6" w:history="1">
        <w:r w:rsidRPr="00E15D58">
          <w:rPr>
            <w:rStyle w:val="Hyperlink"/>
            <w:rFonts w:ascii="Arial" w:hAnsi="Arial" w:cs="Arial"/>
            <w:sz w:val="24"/>
            <w:szCs w:val="24"/>
          </w:rPr>
          <w:t>https://www.inbrief.co.uk/contract-law/undue-influence/</w:t>
        </w:r>
      </w:hyperlink>
      <w:r w:rsidRPr="00E15D58">
        <w:rPr>
          <w:rFonts w:ascii="Arial" w:hAnsi="Arial" w:cs="Arial"/>
          <w:color w:val="000000"/>
          <w:sz w:val="24"/>
          <w:szCs w:val="24"/>
        </w:rPr>
        <w:t>. Last accessed 7th May 2021.</w:t>
      </w:r>
    </w:p>
    <w:p w14:paraId="12D3C276" w14:textId="3C569F38" w:rsidR="009523E8" w:rsidRDefault="009523E8" w:rsidP="00B90FC4">
      <w:pPr>
        <w:rPr>
          <w:rFonts w:ascii="Arial" w:hAnsi="Arial" w:cs="Arial"/>
          <w:color w:val="000000"/>
          <w:sz w:val="24"/>
          <w:szCs w:val="24"/>
        </w:rPr>
      </w:pPr>
      <w:r w:rsidRPr="00E15D58">
        <w:rPr>
          <w:rFonts w:ascii="Arial" w:hAnsi="Arial" w:cs="Arial"/>
          <w:color w:val="000000"/>
          <w:sz w:val="24"/>
          <w:szCs w:val="24"/>
        </w:rPr>
        <w:t>Merriam-Webster. (2021). </w:t>
      </w:r>
      <w:r w:rsidRPr="00E15D58">
        <w:rPr>
          <w:rFonts w:ascii="Arial" w:hAnsi="Arial" w:cs="Arial"/>
          <w:i/>
          <w:iCs/>
          <w:color w:val="000000"/>
          <w:sz w:val="24"/>
          <w:szCs w:val="24"/>
        </w:rPr>
        <w:t>Legal Definition of undue influence.</w:t>
      </w:r>
      <w:r w:rsidRPr="00E15D58">
        <w:rPr>
          <w:rFonts w:ascii="Arial" w:hAnsi="Arial" w:cs="Arial"/>
          <w:color w:val="000000"/>
          <w:sz w:val="24"/>
          <w:szCs w:val="24"/>
        </w:rPr>
        <w:t> Available: https://www.merriam-webster.com/legal/undue%20influence. Last accessed 7th May 2021.</w:t>
      </w:r>
    </w:p>
    <w:p w14:paraId="6226F7BD" w14:textId="1F4E9E79" w:rsidR="00257F4B" w:rsidRPr="00257F4B" w:rsidRDefault="00257F4B" w:rsidP="00B90FC4">
      <w:pPr>
        <w:rPr>
          <w:rFonts w:ascii="Arial" w:hAnsi="Arial" w:cs="Arial"/>
          <w:color w:val="000000"/>
          <w:sz w:val="24"/>
          <w:szCs w:val="24"/>
        </w:rPr>
      </w:pPr>
      <w:r>
        <w:rPr>
          <w:rFonts w:ascii="Arial" w:hAnsi="Arial" w:cs="Arial"/>
          <w:color w:val="000000"/>
          <w:sz w:val="24"/>
          <w:szCs w:val="24"/>
        </w:rPr>
        <w:t xml:space="preserve">Silverman, F. (2002). </w:t>
      </w:r>
      <w:r>
        <w:rPr>
          <w:rFonts w:ascii="Arial" w:hAnsi="Arial" w:cs="Arial"/>
          <w:i/>
          <w:iCs/>
          <w:color w:val="000000"/>
          <w:sz w:val="24"/>
          <w:szCs w:val="24"/>
        </w:rPr>
        <w:t xml:space="preserve">Conveyancing Handbook 2002. </w:t>
      </w:r>
      <w:r>
        <w:rPr>
          <w:rFonts w:ascii="Arial" w:hAnsi="Arial" w:cs="Arial"/>
          <w:color w:val="000000"/>
          <w:sz w:val="24"/>
          <w:szCs w:val="24"/>
        </w:rPr>
        <w:t>1</w:t>
      </w:r>
      <w:r w:rsidRPr="00257F4B">
        <w:rPr>
          <w:rFonts w:ascii="Arial" w:hAnsi="Arial" w:cs="Arial"/>
          <w:color w:val="000000"/>
          <w:sz w:val="24"/>
          <w:szCs w:val="24"/>
          <w:vertAlign w:val="superscript"/>
        </w:rPr>
        <w:t>st</w:t>
      </w:r>
      <w:r>
        <w:rPr>
          <w:rFonts w:ascii="Arial" w:hAnsi="Arial" w:cs="Arial"/>
          <w:color w:val="000000"/>
          <w:sz w:val="24"/>
          <w:szCs w:val="24"/>
        </w:rPr>
        <w:t xml:space="preserve"> ed. UK: The Law Society. </w:t>
      </w:r>
    </w:p>
    <w:p w14:paraId="37AE0A95" w14:textId="14AA8ABA" w:rsidR="00787BF9" w:rsidRPr="00E15D58" w:rsidRDefault="00787BF9" w:rsidP="00B90FC4">
      <w:pPr>
        <w:rPr>
          <w:rFonts w:ascii="Arial" w:hAnsi="Arial" w:cs="Arial"/>
          <w:color w:val="000000"/>
          <w:sz w:val="24"/>
          <w:szCs w:val="24"/>
        </w:rPr>
      </w:pPr>
      <w:r w:rsidRPr="00E15D58">
        <w:rPr>
          <w:rFonts w:ascii="Arial" w:hAnsi="Arial" w:cs="Arial"/>
          <w:color w:val="000000"/>
          <w:sz w:val="24"/>
          <w:szCs w:val="24"/>
        </w:rPr>
        <w:t>Thompson Reuters. (2021). </w:t>
      </w:r>
      <w:r w:rsidRPr="00E15D58">
        <w:rPr>
          <w:rFonts w:ascii="Arial" w:hAnsi="Arial" w:cs="Arial"/>
          <w:i/>
          <w:iCs/>
          <w:color w:val="000000"/>
          <w:sz w:val="24"/>
          <w:szCs w:val="24"/>
        </w:rPr>
        <w:t>Duress.</w:t>
      </w:r>
      <w:r w:rsidRPr="00E15D58">
        <w:rPr>
          <w:rFonts w:ascii="Arial" w:hAnsi="Arial" w:cs="Arial"/>
          <w:color w:val="000000"/>
          <w:sz w:val="24"/>
          <w:szCs w:val="24"/>
        </w:rPr>
        <w:t xml:space="preserve"> Available: </w:t>
      </w:r>
      <w:hyperlink r:id="rId7" w:history="1">
        <w:r w:rsidRPr="00E15D58">
          <w:rPr>
            <w:rStyle w:val="Hyperlink"/>
            <w:rFonts w:ascii="Arial" w:hAnsi="Arial" w:cs="Arial"/>
            <w:sz w:val="24"/>
            <w:szCs w:val="24"/>
          </w:rPr>
          <w:t>https://uk.practicallaw.thomsonreuters.com/0-536-1685?transitionType=Default&amp;contextData=(sc.Default)&amp;firstPage=true</w:t>
        </w:r>
      </w:hyperlink>
      <w:r w:rsidRPr="00E15D58">
        <w:rPr>
          <w:rFonts w:ascii="Arial" w:hAnsi="Arial" w:cs="Arial"/>
          <w:color w:val="000000"/>
          <w:sz w:val="24"/>
          <w:szCs w:val="24"/>
        </w:rPr>
        <w:t>. Last accessed 7th May 2021.</w:t>
      </w:r>
    </w:p>
    <w:p w14:paraId="759990B3" w14:textId="4F85C108" w:rsidR="001E783A" w:rsidRPr="00E15D58" w:rsidRDefault="001E783A" w:rsidP="00B90FC4">
      <w:pPr>
        <w:rPr>
          <w:rFonts w:ascii="Arial" w:hAnsi="Arial" w:cs="Arial"/>
          <w:sz w:val="24"/>
          <w:szCs w:val="24"/>
        </w:rPr>
      </w:pPr>
      <w:r w:rsidRPr="00E15D58">
        <w:rPr>
          <w:rFonts w:ascii="Arial" w:hAnsi="Arial" w:cs="Arial"/>
          <w:sz w:val="24"/>
          <w:szCs w:val="24"/>
        </w:rPr>
        <w:t>Virgo, G (2015). </w:t>
      </w:r>
      <w:r w:rsidRPr="00E15D58">
        <w:rPr>
          <w:rFonts w:ascii="Arial" w:hAnsi="Arial" w:cs="Arial"/>
          <w:i/>
          <w:iCs/>
          <w:sz w:val="24"/>
          <w:szCs w:val="24"/>
        </w:rPr>
        <w:t>The principles of the law of restitution</w:t>
      </w:r>
      <w:r w:rsidRPr="00E15D58">
        <w:rPr>
          <w:rFonts w:ascii="Arial" w:hAnsi="Arial" w:cs="Arial"/>
          <w:sz w:val="24"/>
          <w:szCs w:val="24"/>
        </w:rPr>
        <w:t xml:space="preserve">. 3rd ed. Oxford: Oxford University Press. p67-72. </w:t>
      </w:r>
    </w:p>
    <w:p w14:paraId="42C19B86" w14:textId="77777777" w:rsidR="00787BF9" w:rsidRPr="00787BF9" w:rsidRDefault="00787BF9" w:rsidP="00B90FC4">
      <w:pPr>
        <w:rPr>
          <w:rFonts w:ascii="Verdana" w:hAnsi="Verdana"/>
          <w:color w:val="000000"/>
          <w:sz w:val="20"/>
          <w:szCs w:val="20"/>
        </w:rPr>
      </w:pPr>
    </w:p>
    <w:p w14:paraId="2A1D9985" w14:textId="4C974062" w:rsidR="00C54D18" w:rsidRDefault="00C54D18" w:rsidP="00B90FC4">
      <w:pPr>
        <w:rPr>
          <w:rFonts w:ascii="Arial" w:hAnsi="Arial" w:cs="Arial"/>
          <w:sz w:val="24"/>
          <w:szCs w:val="24"/>
          <w:u w:val="single"/>
        </w:rPr>
      </w:pPr>
    </w:p>
    <w:p w14:paraId="618DCADD" w14:textId="5858A3E0" w:rsidR="00C54D18" w:rsidRDefault="00C54D18" w:rsidP="00B90FC4">
      <w:pPr>
        <w:rPr>
          <w:rFonts w:ascii="Arial" w:hAnsi="Arial" w:cs="Arial"/>
          <w:sz w:val="24"/>
          <w:szCs w:val="24"/>
          <w:u w:val="single"/>
        </w:rPr>
      </w:pPr>
      <w:r>
        <w:rPr>
          <w:rFonts w:ascii="Arial" w:hAnsi="Arial" w:cs="Arial"/>
          <w:sz w:val="24"/>
          <w:szCs w:val="24"/>
          <w:u w:val="single"/>
        </w:rPr>
        <w:t>Case List</w:t>
      </w:r>
    </w:p>
    <w:p w14:paraId="5B939D6B" w14:textId="03BDB758" w:rsidR="003E7BE5" w:rsidRDefault="003E7BE5" w:rsidP="00B90FC4">
      <w:pPr>
        <w:rPr>
          <w:rFonts w:ascii="Arial" w:hAnsi="Arial" w:cs="Arial"/>
          <w:sz w:val="24"/>
          <w:szCs w:val="24"/>
        </w:rPr>
      </w:pPr>
      <w:r w:rsidRPr="003E7BE5">
        <w:rPr>
          <w:rFonts w:ascii="Arial" w:hAnsi="Arial" w:cs="Arial"/>
          <w:sz w:val="24"/>
          <w:szCs w:val="24"/>
        </w:rPr>
        <w:t xml:space="preserve">Atlas Express v </w:t>
      </w:r>
      <w:proofErr w:type="spellStart"/>
      <w:r w:rsidRPr="003E7BE5">
        <w:rPr>
          <w:rFonts w:ascii="Arial" w:hAnsi="Arial" w:cs="Arial"/>
          <w:sz w:val="24"/>
          <w:szCs w:val="24"/>
        </w:rPr>
        <w:t>Kafco</w:t>
      </w:r>
      <w:proofErr w:type="spellEnd"/>
      <w:r w:rsidRPr="003E7BE5">
        <w:rPr>
          <w:rFonts w:ascii="Arial" w:hAnsi="Arial" w:cs="Arial"/>
          <w:sz w:val="24"/>
          <w:szCs w:val="24"/>
        </w:rPr>
        <w:t xml:space="preserve"> (1989)</w:t>
      </w:r>
    </w:p>
    <w:p w14:paraId="202F5EE5" w14:textId="5956284B" w:rsidR="00B02AE7" w:rsidRPr="00B02AE7" w:rsidRDefault="00B02AE7" w:rsidP="00B90FC4">
      <w:pPr>
        <w:rPr>
          <w:rFonts w:ascii="Arial" w:hAnsi="Arial" w:cs="Arial"/>
          <w:sz w:val="24"/>
          <w:szCs w:val="24"/>
          <w:u w:val="single"/>
        </w:rPr>
      </w:pPr>
      <w:r w:rsidRPr="00B02AE7">
        <w:rPr>
          <w:rFonts w:ascii="Arial" w:hAnsi="Arial" w:cs="Arial"/>
          <w:sz w:val="24"/>
          <w:szCs w:val="24"/>
        </w:rPr>
        <w:t>BCCI v Aboody (1990)</w:t>
      </w:r>
    </w:p>
    <w:p w14:paraId="19E8C05E" w14:textId="3493A364" w:rsidR="00C54D18" w:rsidRDefault="009579E0" w:rsidP="00B90FC4">
      <w:pPr>
        <w:rPr>
          <w:rFonts w:ascii="Arial" w:hAnsi="Arial" w:cs="Arial"/>
          <w:sz w:val="24"/>
          <w:szCs w:val="24"/>
        </w:rPr>
      </w:pPr>
      <w:proofErr w:type="spellStart"/>
      <w:r w:rsidRPr="009579E0">
        <w:rPr>
          <w:rFonts w:ascii="Arial" w:hAnsi="Arial" w:cs="Arial"/>
          <w:sz w:val="24"/>
          <w:szCs w:val="24"/>
        </w:rPr>
        <w:t>Skeate</w:t>
      </w:r>
      <w:proofErr w:type="spellEnd"/>
      <w:r w:rsidRPr="009579E0">
        <w:rPr>
          <w:rFonts w:ascii="Arial" w:hAnsi="Arial" w:cs="Arial"/>
          <w:sz w:val="24"/>
          <w:szCs w:val="24"/>
        </w:rPr>
        <w:t xml:space="preserve"> v Beale (1840)</w:t>
      </w:r>
    </w:p>
    <w:p w14:paraId="1EF006F3" w14:textId="33CD1B10" w:rsidR="009579E0" w:rsidRDefault="009579E0" w:rsidP="00B90FC4">
      <w:pPr>
        <w:rPr>
          <w:rFonts w:ascii="Arial" w:hAnsi="Arial" w:cs="Arial"/>
          <w:sz w:val="24"/>
          <w:szCs w:val="24"/>
        </w:rPr>
      </w:pPr>
      <w:r w:rsidRPr="009579E0">
        <w:rPr>
          <w:rFonts w:ascii="Arial" w:hAnsi="Arial" w:cs="Arial"/>
          <w:sz w:val="24"/>
          <w:szCs w:val="24"/>
        </w:rPr>
        <w:t>Pao On v Lau You Long (1980)</w:t>
      </w:r>
    </w:p>
    <w:p w14:paraId="5E940176" w14:textId="7EAA5538" w:rsidR="003E7BE5" w:rsidRDefault="00B02AE7" w:rsidP="00B90FC4">
      <w:pPr>
        <w:rPr>
          <w:rFonts w:ascii="Arial" w:hAnsi="Arial" w:cs="Arial"/>
          <w:sz w:val="24"/>
          <w:szCs w:val="24"/>
        </w:rPr>
      </w:pPr>
      <w:r w:rsidRPr="00B02AE7">
        <w:rPr>
          <w:rFonts w:ascii="Arial" w:hAnsi="Arial" w:cs="Arial"/>
          <w:sz w:val="24"/>
          <w:szCs w:val="24"/>
        </w:rPr>
        <w:t xml:space="preserve">RBS </w:t>
      </w:r>
      <w:proofErr w:type="spellStart"/>
      <w:r w:rsidRPr="00B02AE7">
        <w:rPr>
          <w:rFonts w:ascii="Arial" w:hAnsi="Arial" w:cs="Arial"/>
          <w:sz w:val="24"/>
          <w:szCs w:val="24"/>
        </w:rPr>
        <w:t>Etridge</w:t>
      </w:r>
      <w:proofErr w:type="spellEnd"/>
      <w:r w:rsidRPr="00B02AE7">
        <w:rPr>
          <w:rFonts w:ascii="Arial" w:hAnsi="Arial" w:cs="Arial"/>
          <w:sz w:val="24"/>
          <w:szCs w:val="24"/>
        </w:rPr>
        <w:t xml:space="preserve"> (no </w:t>
      </w:r>
      <w:proofErr w:type="gramStart"/>
      <w:r w:rsidRPr="00B02AE7">
        <w:rPr>
          <w:rFonts w:ascii="Arial" w:hAnsi="Arial" w:cs="Arial"/>
          <w:sz w:val="24"/>
          <w:szCs w:val="24"/>
        </w:rPr>
        <w:t>2)(</w:t>
      </w:r>
      <w:proofErr w:type="gramEnd"/>
      <w:r w:rsidRPr="00B02AE7">
        <w:rPr>
          <w:rFonts w:ascii="Arial" w:hAnsi="Arial" w:cs="Arial"/>
          <w:sz w:val="24"/>
          <w:szCs w:val="24"/>
        </w:rPr>
        <w:t>2001)</w:t>
      </w:r>
    </w:p>
    <w:p w14:paraId="679445C5" w14:textId="3E457D4B" w:rsidR="00D47738" w:rsidRPr="00B02AE7" w:rsidRDefault="00D47738" w:rsidP="00B90FC4">
      <w:pPr>
        <w:rPr>
          <w:rFonts w:ascii="Arial" w:hAnsi="Arial" w:cs="Arial"/>
          <w:sz w:val="24"/>
          <w:szCs w:val="24"/>
        </w:rPr>
      </w:pPr>
      <w:proofErr w:type="spellStart"/>
      <w:r w:rsidRPr="00E261B0">
        <w:rPr>
          <w:rFonts w:ascii="Arial" w:hAnsi="Arial" w:cs="Arial"/>
          <w:color w:val="111111"/>
          <w:sz w:val="24"/>
          <w:szCs w:val="24"/>
          <w:shd w:val="clear" w:color="auto" w:fill="FFFFFF"/>
        </w:rPr>
        <w:t>Siboen</w:t>
      </w:r>
      <w:proofErr w:type="spellEnd"/>
      <w:r w:rsidRPr="00E261B0">
        <w:rPr>
          <w:rFonts w:ascii="Arial" w:hAnsi="Arial" w:cs="Arial"/>
          <w:color w:val="111111"/>
          <w:sz w:val="24"/>
          <w:szCs w:val="24"/>
          <w:shd w:val="clear" w:color="auto" w:fill="FFFFFF"/>
        </w:rPr>
        <w:t xml:space="preserve"> and the </w:t>
      </w:r>
      <w:proofErr w:type="spellStart"/>
      <w:r w:rsidRPr="00E261B0">
        <w:rPr>
          <w:rFonts w:ascii="Arial" w:hAnsi="Arial" w:cs="Arial"/>
          <w:color w:val="111111"/>
          <w:sz w:val="24"/>
          <w:szCs w:val="24"/>
          <w:shd w:val="clear" w:color="auto" w:fill="FFFFFF"/>
        </w:rPr>
        <w:t>Sibotre</w:t>
      </w:r>
      <w:proofErr w:type="spellEnd"/>
      <w:r w:rsidRPr="00E261B0">
        <w:rPr>
          <w:rFonts w:ascii="Arial" w:hAnsi="Arial" w:cs="Arial"/>
          <w:color w:val="111111"/>
          <w:sz w:val="24"/>
          <w:szCs w:val="24"/>
          <w:shd w:val="clear" w:color="auto" w:fill="FFFFFF"/>
        </w:rPr>
        <w:t xml:space="preserve"> </w:t>
      </w:r>
      <w:r>
        <w:rPr>
          <w:rFonts w:ascii="Arial" w:hAnsi="Arial" w:cs="Arial"/>
          <w:color w:val="111111"/>
          <w:sz w:val="24"/>
          <w:szCs w:val="24"/>
          <w:shd w:val="clear" w:color="auto" w:fill="FFFFFF"/>
        </w:rPr>
        <w:t>[</w:t>
      </w:r>
      <w:r w:rsidRPr="00E261B0">
        <w:rPr>
          <w:rFonts w:ascii="Arial" w:hAnsi="Arial" w:cs="Arial"/>
          <w:color w:val="111111"/>
          <w:sz w:val="24"/>
          <w:szCs w:val="24"/>
          <w:shd w:val="clear" w:color="auto" w:fill="FFFFFF"/>
        </w:rPr>
        <w:t>1976</w:t>
      </w:r>
      <w:r>
        <w:rPr>
          <w:rFonts w:ascii="Arial" w:hAnsi="Arial" w:cs="Arial"/>
          <w:color w:val="111111"/>
          <w:sz w:val="24"/>
          <w:szCs w:val="24"/>
          <w:shd w:val="clear" w:color="auto" w:fill="FFFFFF"/>
        </w:rPr>
        <w:t>]</w:t>
      </w:r>
    </w:p>
    <w:sectPr w:rsidR="00D47738" w:rsidRPr="00B02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E6DB6"/>
    <w:multiLevelType w:val="multilevel"/>
    <w:tmpl w:val="606A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8FB"/>
    <w:rsid w:val="000132FC"/>
    <w:rsid w:val="00093541"/>
    <w:rsid w:val="00112830"/>
    <w:rsid w:val="00134163"/>
    <w:rsid w:val="001A54B8"/>
    <w:rsid w:val="001E783A"/>
    <w:rsid w:val="001F0BF7"/>
    <w:rsid w:val="00257F4B"/>
    <w:rsid w:val="002A298C"/>
    <w:rsid w:val="002D77F0"/>
    <w:rsid w:val="00310FAA"/>
    <w:rsid w:val="0033433B"/>
    <w:rsid w:val="003C7CD0"/>
    <w:rsid w:val="003E7BE5"/>
    <w:rsid w:val="0053799F"/>
    <w:rsid w:val="00571BB7"/>
    <w:rsid w:val="00575C4E"/>
    <w:rsid w:val="00590F2A"/>
    <w:rsid w:val="005C18E7"/>
    <w:rsid w:val="005D4E01"/>
    <w:rsid w:val="00694C1E"/>
    <w:rsid w:val="006A3C53"/>
    <w:rsid w:val="006F6903"/>
    <w:rsid w:val="007006C6"/>
    <w:rsid w:val="00702022"/>
    <w:rsid w:val="00730FF0"/>
    <w:rsid w:val="00787BF9"/>
    <w:rsid w:val="007D140D"/>
    <w:rsid w:val="007F77B7"/>
    <w:rsid w:val="00821D6E"/>
    <w:rsid w:val="00852946"/>
    <w:rsid w:val="0087407C"/>
    <w:rsid w:val="008D6A35"/>
    <w:rsid w:val="008F35A0"/>
    <w:rsid w:val="009523E8"/>
    <w:rsid w:val="009579E0"/>
    <w:rsid w:val="009C090E"/>
    <w:rsid w:val="00A53C5C"/>
    <w:rsid w:val="00AC7756"/>
    <w:rsid w:val="00B02AE7"/>
    <w:rsid w:val="00B405E6"/>
    <w:rsid w:val="00B53243"/>
    <w:rsid w:val="00B53961"/>
    <w:rsid w:val="00B90FC4"/>
    <w:rsid w:val="00BC11AE"/>
    <w:rsid w:val="00BD15AD"/>
    <w:rsid w:val="00C00536"/>
    <w:rsid w:val="00C13FF9"/>
    <w:rsid w:val="00C54D18"/>
    <w:rsid w:val="00CC7AD0"/>
    <w:rsid w:val="00D351CE"/>
    <w:rsid w:val="00D47738"/>
    <w:rsid w:val="00DF5BED"/>
    <w:rsid w:val="00E12F17"/>
    <w:rsid w:val="00E15D58"/>
    <w:rsid w:val="00E261B0"/>
    <w:rsid w:val="00EF1387"/>
    <w:rsid w:val="00FA5EB8"/>
    <w:rsid w:val="00FD46ED"/>
    <w:rsid w:val="00FF3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2235E"/>
  <w15:chartTrackingRefBased/>
  <w15:docId w15:val="{0721C4A7-0D22-4A07-8A0F-6FAA7888D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77F0"/>
    <w:rPr>
      <w:color w:val="0000FF"/>
      <w:u w:val="single"/>
    </w:rPr>
  </w:style>
  <w:style w:type="character" w:styleId="UnresolvedMention">
    <w:name w:val="Unresolved Mention"/>
    <w:basedOn w:val="DefaultParagraphFont"/>
    <w:uiPriority w:val="99"/>
    <w:semiHidden/>
    <w:unhideWhenUsed/>
    <w:rsid w:val="00787BF9"/>
    <w:rPr>
      <w:color w:val="605E5C"/>
      <w:shd w:val="clear" w:color="auto" w:fill="E1DFDD"/>
    </w:rPr>
  </w:style>
  <w:style w:type="character" w:styleId="Emphasis">
    <w:name w:val="Emphasis"/>
    <w:basedOn w:val="DefaultParagraphFont"/>
    <w:uiPriority w:val="20"/>
    <w:qFormat/>
    <w:rsid w:val="007D14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019394">
      <w:bodyDiv w:val="1"/>
      <w:marLeft w:val="0"/>
      <w:marRight w:val="0"/>
      <w:marTop w:val="0"/>
      <w:marBottom w:val="0"/>
      <w:divBdr>
        <w:top w:val="none" w:sz="0" w:space="0" w:color="auto"/>
        <w:left w:val="none" w:sz="0" w:space="0" w:color="auto"/>
        <w:bottom w:val="none" w:sz="0" w:space="0" w:color="auto"/>
        <w:right w:val="none" w:sz="0" w:space="0" w:color="auto"/>
      </w:divBdr>
      <w:divsChild>
        <w:div w:id="685643085">
          <w:marLeft w:val="0"/>
          <w:marRight w:val="0"/>
          <w:marTop w:val="0"/>
          <w:marBottom w:val="0"/>
          <w:divBdr>
            <w:top w:val="none" w:sz="0" w:space="0" w:color="auto"/>
            <w:left w:val="none" w:sz="0" w:space="0" w:color="auto"/>
            <w:bottom w:val="none" w:sz="0" w:space="0" w:color="auto"/>
            <w:right w:val="none" w:sz="0" w:space="0" w:color="auto"/>
          </w:divBdr>
          <w:divsChild>
            <w:div w:id="63725359">
              <w:marLeft w:val="0"/>
              <w:marRight w:val="0"/>
              <w:marTop w:val="0"/>
              <w:marBottom w:val="0"/>
              <w:divBdr>
                <w:top w:val="none" w:sz="0" w:space="0" w:color="auto"/>
                <w:left w:val="none" w:sz="0" w:space="0" w:color="auto"/>
                <w:bottom w:val="none" w:sz="0" w:space="0" w:color="auto"/>
                <w:right w:val="none" w:sz="0" w:space="0" w:color="auto"/>
              </w:divBdr>
            </w:div>
          </w:divsChild>
        </w:div>
        <w:div w:id="1494225877">
          <w:marLeft w:val="0"/>
          <w:marRight w:val="0"/>
          <w:marTop w:val="0"/>
          <w:marBottom w:val="0"/>
          <w:divBdr>
            <w:top w:val="none" w:sz="0" w:space="0" w:color="auto"/>
            <w:left w:val="none" w:sz="0" w:space="0" w:color="auto"/>
            <w:bottom w:val="none" w:sz="0" w:space="0" w:color="auto"/>
            <w:right w:val="none" w:sz="0" w:space="0" w:color="auto"/>
          </w:divBdr>
          <w:divsChild>
            <w:div w:id="1820070403">
              <w:marLeft w:val="0"/>
              <w:marRight w:val="0"/>
              <w:marTop w:val="0"/>
              <w:marBottom w:val="0"/>
              <w:divBdr>
                <w:top w:val="none" w:sz="0" w:space="0" w:color="auto"/>
                <w:left w:val="none" w:sz="0" w:space="0" w:color="auto"/>
                <w:bottom w:val="none" w:sz="0" w:space="0" w:color="auto"/>
                <w:right w:val="none" w:sz="0" w:space="0" w:color="auto"/>
              </w:divBdr>
              <w:divsChild>
                <w:div w:id="346180359">
                  <w:marLeft w:val="0"/>
                  <w:marRight w:val="0"/>
                  <w:marTop w:val="0"/>
                  <w:marBottom w:val="0"/>
                  <w:divBdr>
                    <w:top w:val="none" w:sz="0" w:space="0" w:color="auto"/>
                    <w:left w:val="none" w:sz="0" w:space="0" w:color="auto"/>
                    <w:bottom w:val="none" w:sz="0" w:space="0" w:color="auto"/>
                    <w:right w:val="none" w:sz="0" w:space="0" w:color="auto"/>
                  </w:divBdr>
                  <w:divsChild>
                    <w:div w:id="25370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06505">
              <w:marLeft w:val="0"/>
              <w:marRight w:val="0"/>
              <w:marTop w:val="0"/>
              <w:marBottom w:val="0"/>
              <w:divBdr>
                <w:top w:val="none" w:sz="0" w:space="0" w:color="auto"/>
                <w:left w:val="none" w:sz="0" w:space="0" w:color="auto"/>
                <w:bottom w:val="none" w:sz="0" w:space="0" w:color="auto"/>
                <w:right w:val="none" w:sz="0" w:space="0" w:color="auto"/>
              </w:divBdr>
              <w:divsChild>
                <w:div w:id="543098228">
                  <w:marLeft w:val="0"/>
                  <w:marRight w:val="0"/>
                  <w:marTop w:val="0"/>
                  <w:marBottom w:val="0"/>
                  <w:divBdr>
                    <w:top w:val="none" w:sz="0" w:space="0" w:color="auto"/>
                    <w:left w:val="none" w:sz="0" w:space="0" w:color="auto"/>
                    <w:bottom w:val="none" w:sz="0" w:space="0" w:color="auto"/>
                    <w:right w:val="none" w:sz="0" w:space="0" w:color="auto"/>
                  </w:divBdr>
                  <w:divsChild>
                    <w:div w:id="205766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850735">
              <w:marLeft w:val="0"/>
              <w:marRight w:val="0"/>
              <w:marTop w:val="0"/>
              <w:marBottom w:val="0"/>
              <w:divBdr>
                <w:top w:val="none" w:sz="0" w:space="0" w:color="auto"/>
                <w:left w:val="none" w:sz="0" w:space="0" w:color="auto"/>
                <w:bottom w:val="none" w:sz="0" w:space="0" w:color="auto"/>
                <w:right w:val="none" w:sz="0" w:space="0" w:color="auto"/>
              </w:divBdr>
              <w:divsChild>
                <w:div w:id="217397808">
                  <w:marLeft w:val="0"/>
                  <w:marRight w:val="0"/>
                  <w:marTop w:val="0"/>
                  <w:marBottom w:val="0"/>
                  <w:divBdr>
                    <w:top w:val="none" w:sz="0" w:space="0" w:color="auto"/>
                    <w:left w:val="none" w:sz="0" w:space="0" w:color="auto"/>
                    <w:bottom w:val="none" w:sz="0" w:space="0" w:color="auto"/>
                    <w:right w:val="none" w:sz="0" w:space="0" w:color="auto"/>
                  </w:divBdr>
                  <w:divsChild>
                    <w:div w:id="1326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practicallaw.thomsonreuters.com/0-536-1685?transitionType=Default&amp;contextData=(sc.Default)&amp;firstPage=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brief.co.uk/contract-law/undue-influence/" TargetMode="External"/><Relationship Id="rId5" Type="http://schemas.openxmlformats.org/officeDocument/2006/relationships/hyperlink" Target="https://www.cps.gov.uk/legal-guidance/defences-duress-and-necessit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5</Pages>
  <Words>1598</Words>
  <Characters>9110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Spencer</dc:creator>
  <cp:keywords/>
  <dc:description/>
  <cp:lastModifiedBy>Kirsty Spencer</cp:lastModifiedBy>
  <cp:revision>155</cp:revision>
  <dcterms:created xsi:type="dcterms:W3CDTF">2021-05-07T02:45:00Z</dcterms:created>
  <dcterms:modified xsi:type="dcterms:W3CDTF">2021-07-19T21:56:00Z</dcterms:modified>
</cp:coreProperties>
</file>