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2150C" w14:textId="77777777" w:rsidR="004B4463" w:rsidRDefault="00F763E6">
      <w:pPr>
        <w:jc w:val="center"/>
        <w:rPr>
          <w:rFonts w:cs="Arial"/>
          <w:b/>
          <w:bCs/>
          <w:sz w:val="28"/>
          <w:szCs w:val="24"/>
        </w:rPr>
      </w:pPr>
      <w:r>
        <w:rPr>
          <w:rFonts w:cs="Arial"/>
          <w:b/>
          <w:bCs/>
          <w:noProof/>
          <w:sz w:val="28"/>
          <w:szCs w:val="24"/>
        </w:rPr>
        <mc:AlternateContent>
          <mc:Choice Requires="wps">
            <w:drawing>
              <wp:anchor distT="0" distB="0" distL="114300" distR="114300" simplePos="0" relativeHeight="5" behindDoc="0" locked="0" layoutInCell="0" allowOverlap="1" wp14:anchorId="04441B7A" wp14:editId="43DEB7FD">
                <wp:simplePos x="0" y="0"/>
                <wp:positionH relativeFrom="margin">
                  <wp:align>center</wp:align>
                </wp:positionH>
                <wp:positionV relativeFrom="paragraph">
                  <wp:posOffset>635</wp:posOffset>
                </wp:positionV>
                <wp:extent cx="3454400" cy="1145540"/>
                <wp:effectExtent l="0" t="0" r="0" b="0"/>
                <wp:wrapTopAndBottom/>
                <wp:docPr id="1" name="Picture 1967843545"/>
                <wp:cNvGraphicFramePr/>
                <a:graphic xmlns:a="http://schemas.openxmlformats.org/drawingml/2006/main">
                  <a:graphicData uri="http://schemas.openxmlformats.org/drawingml/2006/picture">
                    <pic:pic xmlns:pic="http://schemas.openxmlformats.org/drawingml/2006/picture">
                      <pic:nvPicPr>
                        <pic:cNvPr id="2" name="Picture 1967843545"/>
                        <pic:cNvPicPr/>
                      </pic:nvPicPr>
                      <pic:blipFill>
                        <a:blip r:embed="rId8">
                          <a:extLst>
                            <a:ext uri="{BEBA8EAE-BF5A-486C-A8C5-ECC9F3942E4B}">
                              <a14:imgProps xmlns:a14="http://schemas.microsoft.com/office/drawing/2010/main">
                                <a14:imgLayer r:embed="rId9">
                                  <a14:imgEffect>
                                    <a14:colorTemperature colorTemp="8800"/>
                                  </a14:imgEffect>
                                </a14:imgLayer>
                              </a14:imgProps>
                            </a:ext>
                          </a:extLst>
                        </a:blip>
                        <a:stretch/>
                      </pic:blipFill>
                      <pic:spPr>
                        <a:xfrm>
                          <a:off x="0" y="0"/>
                          <a:ext cx="3454560" cy="1145520"/>
                        </a:xfrm>
                        <a:prstGeom prst="rect">
                          <a:avLst/>
                        </a:prstGeom>
                        <a:noFill/>
                        <a:ln w="0">
                          <a:noFill/>
                        </a:ln>
                      </pic:spPr>
                    </pic:pic>
                  </a:graphicData>
                </a:graphic>
              </wp:anchor>
            </w:drawing>
          </mc:Choice>
          <mc:Fallback xmlns:pic="http://schemas.openxmlformats.org/drawingml/2006/picture">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1967843545" stroked="f" o:allowincell="f" style="position:absolute;margin-left:98pt;margin-top:0.05pt;width:271.95pt;height:90.15pt;mso-wrap-style:none;v-text-anchor:middle;mso-position-horizontal:center;mso-position-horizontal-relative:margin" wp14:anchorId="753192A5" type="_x0000_t75">
                <v:imagedata r:id="rId10" o:detectmouseclick="t"/>
                <v:stroke color="#3465a4" joinstyle="round" endcap="flat"/>
                <w10:wrap type="topAndBottom"/>
              </v:shape>
            </w:pict>
          </mc:Fallback>
        </mc:AlternateContent>
      </w:r>
    </w:p>
    <w:p w14:paraId="326E62FF" w14:textId="77777777" w:rsidR="004B4463" w:rsidRDefault="00F763E6">
      <w:pPr>
        <w:jc w:val="center"/>
        <w:rPr>
          <w:rFonts w:cs="Arial"/>
          <w:b/>
          <w:bCs/>
          <w:sz w:val="28"/>
          <w:szCs w:val="24"/>
        </w:rPr>
      </w:pPr>
      <w:r>
        <w:rPr>
          <w:rFonts w:cs="Arial"/>
          <w:b/>
          <w:bCs/>
          <w:sz w:val="28"/>
          <w:szCs w:val="24"/>
        </w:rPr>
        <w:t>Institute of Inner-City Learning</w:t>
      </w:r>
    </w:p>
    <w:p w14:paraId="4FD8B15E" w14:textId="77777777" w:rsidR="004B4463" w:rsidRDefault="00F763E6">
      <w:pPr>
        <w:jc w:val="center"/>
        <w:rPr>
          <w:rFonts w:cs="Arial"/>
          <w:b/>
          <w:bCs/>
          <w:sz w:val="28"/>
          <w:szCs w:val="24"/>
        </w:rPr>
      </w:pPr>
      <w:r>
        <w:rPr>
          <w:rFonts w:cs="Arial"/>
          <w:b/>
          <w:bCs/>
          <w:sz w:val="28"/>
          <w:szCs w:val="24"/>
        </w:rPr>
        <w:t>London Campus</w:t>
      </w:r>
    </w:p>
    <w:p w14:paraId="47195018" w14:textId="43A9F092" w:rsidR="004B4463" w:rsidRDefault="00F763E6">
      <w:pPr>
        <w:jc w:val="center"/>
        <w:rPr>
          <w:rFonts w:cs="Arial"/>
          <w:b/>
          <w:bCs/>
          <w:sz w:val="28"/>
          <w:szCs w:val="24"/>
        </w:rPr>
      </w:pPr>
      <w:r>
        <w:rPr>
          <w:rFonts w:cs="Arial"/>
          <w:b/>
          <w:bCs/>
          <w:sz w:val="28"/>
          <w:szCs w:val="24"/>
        </w:rPr>
        <w:t>Master of Business Administration (MBA)</w:t>
      </w:r>
    </w:p>
    <w:p w14:paraId="697EEA47" w14:textId="77777777" w:rsidR="007959CC" w:rsidRDefault="007959CC">
      <w:pPr>
        <w:jc w:val="center"/>
        <w:rPr>
          <w:rFonts w:cs="Arial"/>
          <w:b/>
          <w:bCs/>
          <w:sz w:val="28"/>
          <w:szCs w:val="24"/>
        </w:rPr>
      </w:pPr>
    </w:p>
    <w:p w14:paraId="3122869B" w14:textId="77777777" w:rsidR="004B4463" w:rsidRDefault="00F763E6">
      <w:pPr>
        <w:jc w:val="center"/>
        <w:rPr>
          <w:rFonts w:cs="Arial"/>
          <w:b/>
          <w:bCs/>
          <w:sz w:val="28"/>
          <w:szCs w:val="24"/>
        </w:rPr>
      </w:pPr>
      <w:r>
        <w:rPr>
          <w:rFonts w:cs="Arial"/>
          <w:b/>
          <w:bCs/>
          <w:sz w:val="28"/>
          <w:szCs w:val="24"/>
        </w:rPr>
        <w:t xml:space="preserve">Dissertation Title: </w:t>
      </w:r>
    </w:p>
    <w:p w14:paraId="1492B2A4" w14:textId="44EE8C72" w:rsidR="004B4463" w:rsidRDefault="00F763E6">
      <w:pPr>
        <w:jc w:val="center"/>
        <w:rPr>
          <w:rFonts w:cs="Arial"/>
          <w:b/>
          <w:bCs/>
          <w:sz w:val="28"/>
          <w:szCs w:val="24"/>
        </w:rPr>
      </w:pPr>
      <w:r>
        <w:rPr>
          <w:rFonts w:cs="Arial"/>
          <w:b/>
          <w:bCs/>
          <w:sz w:val="28"/>
          <w:szCs w:val="24"/>
        </w:rPr>
        <w:t>"Evaluating the Impact of Environmental, Social and Governance (ESG) Strategy on Corporate Reputation and Long-Term Competitive Advantage: A Secondary Study of the UK Consumer Goods Industry"</w:t>
      </w:r>
    </w:p>
    <w:p w14:paraId="0E8EC569" w14:textId="77777777" w:rsidR="007959CC" w:rsidRDefault="007959CC">
      <w:pPr>
        <w:jc w:val="center"/>
        <w:rPr>
          <w:rFonts w:cs="Arial"/>
          <w:b/>
          <w:bCs/>
          <w:sz w:val="28"/>
          <w:szCs w:val="24"/>
        </w:rPr>
      </w:pPr>
    </w:p>
    <w:p w14:paraId="5ADBF83F" w14:textId="77777777" w:rsidR="004B4463" w:rsidRDefault="00F763E6">
      <w:pPr>
        <w:jc w:val="center"/>
        <w:rPr>
          <w:rFonts w:cs="Arial"/>
          <w:b/>
          <w:bCs/>
          <w:sz w:val="28"/>
          <w:szCs w:val="24"/>
        </w:rPr>
      </w:pPr>
      <w:r>
        <w:rPr>
          <w:rFonts w:cs="Arial"/>
          <w:b/>
          <w:bCs/>
          <w:sz w:val="28"/>
          <w:szCs w:val="24"/>
        </w:rPr>
        <w:t xml:space="preserve">Student Name: </w:t>
      </w:r>
      <w:proofErr w:type="spellStart"/>
      <w:r>
        <w:rPr>
          <w:rFonts w:cs="Arial"/>
          <w:b/>
          <w:bCs/>
          <w:sz w:val="28"/>
          <w:szCs w:val="24"/>
        </w:rPr>
        <w:t>Resvy</w:t>
      </w:r>
      <w:proofErr w:type="spellEnd"/>
      <w:r>
        <w:rPr>
          <w:rFonts w:cs="Arial"/>
          <w:b/>
          <w:bCs/>
          <w:sz w:val="28"/>
          <w:szCs w:val="24"/>
        </w:rPr>
        <w:t xml:space="preserve"> Ahmed</w:t>
      </w:r>
    </w:p>
    <w:p w14:paraId="43CF6B58" w14:textId="77777777" w:rsidR="004B4463" w:rsidRDefault="00F763E6">
      <w:pPr>
        <w:jc w:val="center"/>
        <w:rPr>
          <w:rFonts w:cs="Arial"/>
          <w:b/>
          <w:bCs/>
          <w:sz w:val="28"/>
          <w:szCs w:val="24"/>
        </w:rPr>
      </w:pPr>
      <w:r>
        <w:rPr>
          <w:rFonts w:cs="Arial"/>
          <w:b/>
          <w:bCs/>
          <w:sz w:val="28"/>
          <w:szCs w:val="24"/>
        </w:rPr>
        <w:t>Student Number:</w:t>
      </w:r>
      <w:r>
        <w:rPr>
          <w:rFonts w:cs="Arial"/>
          <w:sz w:val="28"/>
          <w:szCs w:val="24"/>
        </w:rPr>
        <w:t xml:space="preserve"> </w:t>
      </w:r>
      <w:r>
        <w:rPr>
          <w:rFonts w:cs="Arial"/>
          <w:b/>
          <w:bCs/>
          <w:sz w:val="28"/>
          <w:szCs w:val="24"/>
        </w:rPr>
        <w:t>2504376</w:t>
      </w:r>
    </w:p>
    <w:p w14:paraId="0755DC60" w14:textId="77777777" w:rsidR="004B4463" w:rsidRDefault="00F763E6">
      <w:pPr>
        <w:jc w:val="center"/>
        <w:rPr>
          <w:rFonts w:cs="Arial"/>
          <w:b/>
          <w:bCs/>
          <w:sz w:val="28"/>
          <w:szCs w:val="24"/>
        </w:rPr>
      </w:pPr>
      <w:r>
        <w:rPr>
          <w:rFonts w:cs="Arial"/>
          <w:b/>
          <w:bCs/>
          <w:sz w:val="28"/>
          <w:szCs w:val="24"/>
        </w:rPr>
        <w:t>Module code: LCMB7035</w:t>
      </w:r>
    </w:p>
    <w:p w14:paraId="03F3F458" w14:textId="77777777" w:rsidR="004B4463" w:rsidRDefault="00F763E6">
      <w:pPr>
        <w:jc w:val="center"/>
        <w:rPr>
          <w:rFonts w:cs="Arial"/>
          <w:b/>
          <w:bCs/>
          <w:sz w:val="28"/>
          <w:szCs w:val="24"/>
        </w:rPr>
      </w:pPr>
      <w:r>
        <w:rPr>
          <w:rFonts w:cs="Arial"/>
          <w:b/>
          <w:bCs/>
          <w:sz w:val="28"/>
          <w:szCs w:val="24"/>
        </w:rPr>
        <w:t xml:space="preserve">Module Name: Dissertation </w:t>
      </w:r>
    </w:p>
    <w:p w14:paraId="40F1808D" w14:textId="77777777" w:rsidR="004B4463" w:rsidRDefault="00F763E6">
      <w:pPr>
        <w:jc w:val="center"/>
        <w:rPr>
          <w:rFonts w:cs="Arial"/>
          <w:b/>
          <w:bCs/>
          <w:sz w:val="28"/>
          <w:szCs w:val="24"/>
        </w:rPr>
      </w:pPr>
      <w:r>
        <w:rPr>
          <w:rFonts w:cs="Arial"/>
          <w:b/>
          <w:bCs/>
          <w:sz w:val="28"/>
          <w:szCs w:val="24"/>
        </w:rPr>
        <w:t>Supervisor: Dr Ghulam Mujtaba</w:t>
      </w:r>
    </w:p>
    <w:p w14:paraId="49940DC7" w14:textId="77777777" w:rsidR="007959CC" w:rsidRDefault="007959CC">
      <w:pPr>
        <w:jc w:val="center"/>
      </w:pPr>
    </w:p>
    <w:p w14:paraId="0BDD7DFD" w14:textId="41753C38" w:rsidR="004B4463" w:rsidRPr="007959CC" w:rsidRDefault="00F763E6">
      <w:pPr>
        <w:jc w:val="center"/>
        <w:rPr>
          <w:rFonts w:cs="Arial"/>
          <w:b/>
          <w:bCs/>
          <w:i/>
          <w:iCs/>
          <w:sz w:val="28"/>
          <w:szCs w:val="28"/>
        </w:rPr>
      </w:pPr>
      <w:r w:rsidRPr="007959CC">
        <w:rPr>
          <w:b/>
          <w:bCs/>
          <w:sz w:val="28"/>
          <w:szCs w:val="28"/>
        </w:rPr>
        <w:t>Word Count: 143</w:t>
      </w:r>
      <w:r w:rsidR="00B80509" w:rsidRPr="007959CC">
        <w:rPr>
          <w:b/>
          <w:bCs/>
          <w:sz w:val="28"/>
          <w:szCs w:val="28"/>
        </w:rPr>
        <w:t>19</w:t>
      </w:r>
    </w:p>
    <w:p w14:paraId="4B370171" w14:textId="77777777" w:rsidR="004B4463" w:rsidRPr="00624E33" w:rsidRDefault="00F763E6">
      <w:pPr>
        <w:jc w:val="center"/>
        <w:rPr>
          <w:rFonts w:cs="Arial"/>
          <w:b/>
          <w:bCs/>
          <w:i/>
          <w:iCs/>
          <w:sz w:val="28"/>
          <w:szCs w:val="28"/>
        </w:rPr>
        <w:sectPr w:rsidR="004B4463" w:rsidRPr="00624E33">
          <w:pgSz w:w="12240" w:h="15840"/>
          <w:pgMar w:top="1440" w:right="1440" w:bottom="1440" w:left="1440" w:header="0" w:footer="0" w:gutter="0"/>
          <w:cols w:space="720"/>
          <w:formProt w:val="0"/>
          <w:docGrid w:linePitch="360"/>
        </w:sectPr>
      </w:pPr>
      <w:r w:rsidRPr="007959CC">
        <w:rPr>
          <w:b/>
          <w:bCs/>
          <w:sz w:val="28"/>
          <w:szCs w:val="28"/>
        </w:rPr>
        <w:t>Submission Date: 25 September 2026</w:t>
      </w:r>
    </w:p>
    <w:p w14:paraId="183F1E2D" w14:textId="77777777" w:rsidR="004B4463" w:rsidRDefault="004B4463">
      <w:pPr>
        <w:pStyle w:val="Heading1"/>
        <w:jc w:val="center"/>
      </w:pPr>
    </w:p>
    <w:p w14:paraId="48755AD2" w14:textId="77777777" w:rsidR="004B4463" w:rsidRDefault="00F763E6">
      <w:pPr>
        <w:pStyle w:val="Heading1"/>
        <w:jc w:val="center"/>
      </w:pPr>
      <w:bookmarkStart w:id="0" w:name="_Toc240378591"/>
      <w:bookmarkStart w:id="1" w:name="_Toc240858643"/>
      <w:r>
        <w:t>Declaration</w:t>
      </w:r>
      <w:bookmarkEnd w:id="0"/>
      <w:bookmarkEnd w:id="1"/>
    </w:p>
    <w:p w14:paraId="592A0626" w14:textId="77777777" w:rsidR="004B4463" w:rsidRDefault="00F763E6">
      <w:r>
        <w:t>I declare that the dissertation, as finally submitted, is my own work and that all sources used have been acknowledged in accordance with the required referencing conventions. The work has not been submitted, in whole or in part, for another academic award.</w:t>
      </w:r>
    </w:p>
    <w:p w14:paraId="3C3AD42B" w14:textId="77777777" w:rsidR="004B4463" w:rsidRDefault="004B4463">
      <w:pPr>
        <w:rPr>
          <w:i/>
          <w:color w:val="687386"/>
          <w:sz w:val="21"/>
        </w:rPr>
      </w:pPr>
    </w:p>
    <w:p w14:paraId="37EA52D5" w14:textId="77777777" w:rsidR="004B4463" w:rsidRDefault="00F763E6">
      <w:r>
        <w:t xml:space="preserve">Name: </w:t>
      </w:r>
      <w:proofErr w:type="spellStart"/>
      <w:r>
        <w:t>Resvy</w:t>
      </w:r>
      <w:proofErr w:type="spellEnd"/>
      <w:r>
        <w:t xml:space="preserve"> Ahmed</w:t>
      </w:r>
    </w:p>
    <w:p w14:paraId="33788DB8" w14:textId="77777777" w:rsidR="004B4463" w:rsidRDefault="00F763E6">
      <w:r>
        <w:t>Student number: 2504376</w:t>
      </w:r>
    </w:p>
    <w:p w14:paraId="32E1AB9A" w14:textId="77777777" w:rsidR="004B4463" w:rsidRDefault="004B4463"/>
    <w:p w14:paraId="16811208" w14:textId="77777777" w:rsidR="004B4463" w:rsidRDefault="004B4463"/>
    <w:p w14:paraId="709D83A3" w14:textId="77777777" w:rsidR="004B4463" w:rsidRDefault="004B4463"/>
    <w:p w14:paraId="65CFF009" w14:textId="77777777" w:rsidR="004B4463" w:rsidRDefault="004B4463"/>
    <w:p w14:paraId="753871CB" w14:textId="77777777" w:rsidR="004B4463" w:rsidRDefault="004B4463"/>
    <w:p w14:paraId="11726180" w14:textId="77777777" w:rsidR="004B4463" w:rsidRDefault="004B4463"/>
    <w:p w14:paraId="6C131C93" w14:textId="77777777" w:rsidR="004B4463" w:rsidRDefault="004B4463"/>
    <w:p w14:paraId="343C32A2" w14:textId="77777777" w:rsidR="004B4463" w:rsidRDefault="004B4463"/>
    <w:p w14:paraId="046F34D1" w14:textId="77777777" w:rsidR="004B4463" w:rsidRDefault="004B4463"/>
    <w:p w14:paraId="3949DFBD" w14:textId="77777777" w:rsidR="004B4463" w:rsidRDefault="004B4463"/>
    <w:p w14:paraId="621916C5" w14:textId="77777777" w:rsidR="004B4463" w:rsidRDefault="004B4463"/>
    <w:p w14:paraId="778B7DD9" w14:textId="77777777" w:rsidR="004B4463" w:rsidRDefault="004B4463"/>
    <w:p w14:paraId="3D67D875" w14:textId="77777777" w:rsidR="004B4463" w:rsidRDefault="004B4463"/>
    <w:p w14:paraId="53E7C643" w14:textId="77777777" w:rsidR="004B4463" w:rsidRDefault="004B4463"/>
    <w:p w14:paraId="7DADD64C" w14:textId="77777777" w:rsidR="004B4463" w:rsidRDefault="004B4463"/>
    <w:p w14:paraId="11031946" w14:textId="77777777" w:rsidR="004B4463" w:rsidRDefault="004B4463"/>
    <w:p w14:paraId="3EED490E" w14:textId="77777777" w:rsidR="004B4463" w:rsidRDefault="004B4463" w:rsidP="00D90FFE">
      <w:pPr>
        <w:pStyle w:val="Heading1"/>
      </w:pPr>
    </w:p>
    <w:p w14:paraId="30186186" w14:textId="77777777" w:rsidR="004B4463" w:rsidRDefault="00F763E6">
      <w:pPr>
        <w:pStyle w:val="Heading1"/>
        <w:jc w:val="center"/>
      </w:pPr>
      <w:bookmarkStart w:id="2" w:name="_Toc240378592"/>
      <w:bookmarkStart w:id="3" w:name="_Toc240858644"/>
      <w:r>
        <w:t>Acknowledgements</w:t>
      </w:r>
      <w:bookmarkEnd w:id="2"/>
      <w:bookmarkEnd w:id="3"/>
    </w:p>
    <w:p w14:paraId="32621770" w14:textId="77777777" w:rsidR="004B4463" w:rsidRDefault="00F763E6">
      <w:r>
        <w:t>I wish to thank Dr Ghulam Mujtaba for supervisory guidance and the academic staff of the Institute of Inner-City Learning for the learning environment supporting this dissertation. Appreciation is also extended to the researchers, regulators, assurance providers and companies whose published work made the secondary analysis possible. Any remaining interpretation or error is my responsibility.</w:t>
      </w:r>
    </w:p>
    <w:p w14:paraId="782A01A5" w14:textId="77777777" w:rsidR="004B4463" w:rsidRDefault="004B4463"/>
    <w:p w14:paraId="7E8E0E99" w14:textId="77777777" w:rsidR="004B4463" w:rsidRDefault="004B4463"/>
    <w:p w14:paraId="2AD306EF" w14:textId="77777777" w:rsidR="004B4463" w:rsidRDefault="004B4463"/>
    <w:p w14:paraId="7CBDC255" w14:textId="77777777" w:rsidR="004B4463" w:rsidRDefault="004B4463"/>
    <w:p w14:paraId="16D529F9" w14:textId="77777777" w:rsidR="004B4463" w:rsidRDefault="004B4463"/>
    <w:p w14:paraId="0AB7E8F0" w14:textId="77777777" w:rsidR="004B4463" w:rsidRDefault="004B4463"/>
    <w:p w14:paraId="4C6FEA7F" w14:textId="77777777" w:rsidR="004B4463" w:rsidRDefault="004B4463"/>
    <w:p w14:paraId="7C83E386" w14:textId="77777777" w:rsidR="004B4463" w:rsidRDefault="004B4463"/>
    <w:p w14:paraId="6ABC8044" w14:textId="77777777" w:rsidR="004B4463" w:rsidRDefault="004B4463"/>
    <w:p w14:paraId="5C91A2D1" w14:textId="77777777" w:rsidR="004B4463" w:rsidRDefault="004B4463"/>
    <w:p w14:paraId="5A201E44" w14:textId="77777777" w:rsidR="004B4463" w:rsidRDefault="004B4463"/>
    <w:p w14:paraId="1D35F796" w14:textId="77777777" w:rsidR="004B4463" w:rsidRDefault="004B4463"/>
    <w:p w14:paraId="3A680A03" w14:textId="77777777" w:rsidR="004B4463" w:rsidRDefault="004B4463"/>
    <w:p w14:paraId="4454EABC" w14:textId="77777777" w:rsidR="004B4463" w:rsidRDefault="004B4463"/>
    <w:p w14:paraId="08BDF961" w14:textId="77777777" w:rsidR="004B4463" w:rsidRDefault="004B4463"/>
    <w:p w14:paraId="7B14B1DC" w14:textId="77777777" w:rsidR="004B4463" w:rsidRDefault="00F763E6">
      <w:pPr>
        <w:pStyle w:val="Heading1"/>
        <w:jc w:val="center"/>
      </w:pPr>
      <w:bookmarkStart w:id="4" w:name="_Toc240378593"/>
      <w:bookmarkStart w:id="5" w:name="_Toc240858645"/>
      <w:r>
        <w:lastRenderedPageBreak/>
        <w:t>Abstract</w:t>
      </w:r>
      <w:bookmarkEnd w:id="4"/>
      <w:bookmarkEnd w:id="5"/>
    </w:p>
    <w:p w14:paraId="64BE47DB" w14:textId="3FC5CF81" w:rsidR="00B4429C" w:rsidRPr="00B4429C" w:rsidRDefault="00F763E6" w:rsidP="00B4429C">
      <w:pPr>
        <w:rPr>
          <w:color w:val="auto"/>
        </w:rPr>
      </w:pPr>
      <w:r>
        <w:t>This dissertation examines how environmental, social and governance (ESG) strategy may contribute to corporate reputation and long-term competitive advantage in the UK consumer goods sector. It addresses a recurring problem in ESG research: associations between ESG ratings and financial performance do not explain how value is created, and disclosure is not equivalent to performance. Four UK-listed companies</w:t>
      </w:r>
      <w:r w:rsidR="00B4429C">
        <w:t xml:space="preserve">; </w:t>
      </w:r>
      <w:r>
        <w:t>Unilever PLC, Reckitt Benckiser Group plc, Diageo plc and Associated British Foods plc</w:t>
      </w:r>
      <w:r w:rsidR="00B4429C">
        <w:t xml:space="preserve"> </w:t>
      </w:r>
      <w:r>
        <w:t xml:space="preserve">are </w:t>
      </w:r>
      <w:proofErr w:type="spellStart"/>
      <w:r>
        <w:t>analysed</w:t>
      </w:r>
      <w:proofErr w:type="spellEnd"/>
      <w:r>
        <w:t xml:space="preserve"> through a critical-realist, abductive, qualitatively dominant multiple-case design using annual and sustainability reports, assurance statements, regulatory material, independent benchmarks and peer-reviewed research. Evidence is examined through reflexive thematic analysis, within-case timelines, cross-case pattern matching and descriptive trend comparison. Findings indicate two interdependent pathways. The operational pathway concerns innovation, resource efficiency, supply-chain capability and risk management; the relational pathway concerns credibility, trust and reputation. Neither pathway is automatic. Materiality, governance ownership, incentive alignment, transparent baselines and credible assurance can strengthen contribution, whereas Scope 3 dependency, affordability pressure, portfolio change, inconsistent measurement and greenwashing risk can weaken it. Mixed commercial outcomes alongside ESG progress prevent a one-to-one causal interpretation and do not demonstrate reputation as a statistical mediator. Instead, reputation is treated as a conditional mechanism, while embedded operational capabilities provide more directly observable evidence of durable advantage. The study recommends materiality-led portfolio selection, claim-level evidence control, progressive assurance, affordable eco-innovation, stakeholder-specific reputation measurement and supplier transition partnerships. It concludes that defensible advantage depends on converting material ESG commitments into credible, measurable outcomes that stakeholders value and competitors cannot readily imitate.</w:t>
      </w:r>
    </w:p>
    <w:p w14:paraId="52A32DA9" w14:textId="77777777" w:rsidR="00B4429C" w:rsidRDefault="00B4429C" w:rsidP="00B4429C"/>
    <w:p w14:paraId="375BB4D7" w14:textId="113B6EFD" w:rsidR="00B4429C" w:rsidRDefault="00B4429C" w:rsidP="00B4429C">
      <w:pPr>
        <w:sectPr w:rsidR="00B4429C">
          <w:footerReference w:type="even" r:id="rId11"/>
          <w:footerReference w:type="default" r:id="rId12"/>
          <w:footerReference w:type="first" r:id="rId13"/>
          <w:pgSz w:w="12240" w:h="15840"/>
          <w:pgMar w:top="1440" w:right="1440" w:bottom="1440" w:left="1440" w:header="0" w:footer="720" w:gutter="0"/>
          <w:pgNumType w:fmt="lowerRoman" w:start="1"/>
          <w:cols w:space="720"/>
          <w:formProt w:val="0"/>
          <w:docGrid w:linePitch="360"/>
        </w:sectPr>
      </w:pPr>
      <w:r w:rsidRPr="00B4429C">
        <w:rPr>
          <w:b/>
          <w:bCs/>
        </w:rPr>
        <w:t>Keywords:</w:t>
      </w:r>
      <w:r w:rsidRPr="00B4429C">
        <w:t xml:space="preserve"> ESG strategy; corporate reputation; competitive advantage; consumer goods; greenwashing; secondary research; United Kingdom</w:t>
      </w:r>
    </w:p>
    <w:sdt>
      <w:sdtPr>
        <w:rPr>
          <w:rFonts w:ascii="Arial" w:eastAsia="Times New Roman" w:hAnsi="Arial" w:cstheme="minorBidi"/>
          <w:color w:val="111111"/>
          <w:sz w:val="24"/>
          <w:szCs w:val="22"/>
        </w:rPr>
        <w:id w:val="-326136090"/>
        <w:docPartObj>
          <w:docPartGallery w:val="Table of Contents"/>
          <w:docPartUnique/>
        </w:docPartObj>
      </w:sdtPr>
      <w:sdtEndPr/>
      <w:sdtContent>
        <w:p w14:paraId="5435654F" w14:textId="77777777" w:rsidR="004B4463" w:rsidRPr="00624E33" w:rsidRDefault="00F763E6">
          <w:pPr>
            <w:pStyle w:val="TOCHeading"/>
            <w:rPr>
              <w:rFonts w:ascii="Arial" w:hAnsi="Arial" w:cs="Arial"/>
              <w:b/>
              <w:bCs/>
              <w:color w:val="auto"/>
            </w:rPr>
          </w:pPr>
          <w:r w:rsidRPr="00624E33">
            <w:rPr>
              <w:rFonts w:ascii="Arial" w:hAnsi="Arial" w:cs="Arial"/>
              <w:b/>
              <w:bCs/>
              <w:color w:val="auto"/>
            </w:rPr>
            <w:t>Table of Contents</w:t>
          </w:r>
        </w:p>
        <w:p w14:paraId="4CCF0F6B" w14:textId="34F0002D" w:rsidR="007E140B" w:rsidRDefault="00F763E6">
          <w:pPr>
            <w:pStyle w:val="TOC1"/>
            <w:tabs>
              <w:tab w:val="right" w:leader="dot" w:pos="9350"/>
            </w:tabs>
            <w:rPr>
              <w:rFonts w:asciiTheme="minorHAnsi" w:eastAsiaTheme="minorEastAsia" w:hAnsiTheme="minorHAnsi"/>
              <w:noProof/>
              <w:color w:val="auto"/>
              <w:sz w:val="22"/>
            </w:rPr>
          </w:pPr>
          <w:r>
            <w:fldChar w:fldCharType="begin"/>
          </w:r>
          <w:r>
            <w:rPr>
              <w:rStyle w:val="IndexLink"/>
              <w:webHidden/>
            </w:rPr>
            <w:instrText xml:space="preserve"> TOC \z \o "1-3" \u \h</w:instrText>
          </w:r>
          <w:r>
            <w:rPr>
              <w:rStyle w:val="IndexLink"/>
            </w:rPr>
            <w:fldChar w:fldCharType="separate"/>
          </w:r>
          <w:hyperlink w:anchor="_Toc240858643" w:history="1">
            <w:r w:rsidR="007E140B" w:rsidRPr="00F14962">
              <w:rPr>
                <w:rStyle w:val="Hyperlink"/>
                <w:noProof/>
              </w:rPr>
              <w:t>Declaration</w:t>
            </w:r>
            <w:r w:rsidR="007E140B">
              <w:rPr>
                <w:noProof/>
                <w:webHidden/>
              </w:rPr>
              <w:tab/>
            </w:r>
            <w:r w:rsidR="007E140B">
              <w:rPr>
                <w:noProof/>
                <w:webHidden/>
              </w:rPr>
              <w:fldChar w:fldCharType="begin"/>
            </w:r>
            <w:r w:rsidR="007E140B">
              <w:rPr>
                <w:noProof/>
                <w:webHidden/>
              </w:rPr>
              <w:instrText xml:space="preserve"> PAGEREF _Toc240858643 \h </w:instrText>
            </w:r>
            <w:r w:rsidR="007E140B">
              <w:rPr>
                <w:noProof/>
                <w:webHidden/>
              </w:rPr>
            </w:r>
            <w:r w:rsidR="007E140B">
              <w:rPr>
                <w:noProof/>
                <w:webHidden/>
              </w:rPr>
              <w:fldChar w:fldCharType="separate"/>
            </w:r>
            <w:r w:rsidR="007E140B">
              <w:rPr>
                <w:noProof/>
                <w:webHidden/>
              </w:rPr>
              <w:t>i</w:t>
            </w:r>
            <w:r w:rsidR="007E140B">
              <w:rPr>
                <w:noProof/>
                <w:webHidden/>
              </w:rPr>
              <w:fldChar w:fldCharType="end"/>
            </w:r>
          </w:hyperlink>
        </w:p>
        <w:p w14:paraId="3E8F6D2A" w14:textId="43AB7B24" w:rsidR="007E140B" w:rsidRDefault="007E140B">
          <w:pPr>
            <w:pStyle w:val="TOC1"/>
            <w:tabs>
              <w:tab w:val="right" w:leader="dot" w:pos="9350"/>
            </w:tabs>
            <w:rPr>
              <w:rFonts w:asciiTheme="minorHAnsi" w:eastAsiaTheme="minorEastAsia" w:hAnsiTheme="minorHAnsi"/>
              <w:noProof/>
              <w:color w:val="auto"/>
              <w:sz w:val="22"/>
            </w:rPr>
          </w:pPr>
          <w:hyperlink w:anchor="_Toc240858644" w:history="1">
            <w:r w:rsidRPr="00F14962">
              <w:rPr>
                <w:rStyle w:val="Hyperlink"/>
                <w:noProof/>
              </w:rPr>
              <w:t>Acknowledgements</w:t>
            </w:r>
            <w:r>
              <w:rPr>
                <w:noProof/>
                <w:webHidden/>
              </w:rPr>
              <w:tab/>
            </w:r>
            <w:r>
              <w:rPr>
                <w:noProof/>
                <w:webHidden/>
              </w:rPr>
              <w:fldChar w:fldCharType="begin"/>
            </w:r>
            <w:r>
              <w:rPr>
                <w:noProof/>
                <w:webHidden/>
              </w:rPr>
              <w:instrText xml:space="preserve"> PAGEREF _Toc240858644 \h </w:instrText>
            </w:r>
            <w:r>
              <w:rPr>
                <w:noProof/>
                <w:webHidden/>
              </w:rPr>
            </w:r>
            <w:r>
              <w:rPr>
                <w:noProof/>
                <w:webHidden/>
              </w:rPr>
              <w:fldChar w:fldCharType="separate"/>
            </w:r>
            <w:r>
              <w:rPr>
                <w:noProof/>
                <w:webHidden/>
              </w:rPr>
              <w:t>ii</w:t>
            </w:r>
            <w:r>
              <w:rPr>
                <w:noProof/>
                <w:webHidden/>
              </w:rPr>
              <w:fldChar w:fldCharType="end"/>
            </w:r>
          </w:hyperlink>
        </w:p>
        <w:p w14:paraId="1F5BB050" w14:textId="795AE3B5" w:rsidR="007E140B" w:rsidRDefault="007E140B">
          <w:pPr>
            <w:pStyle w:val="TOC1"/>
            <w:tabs>
              <w:tab w:val="right" w:leader="dot" w:pos="9350"/>
            </w:tabs>
            <w:rPr>
              <w:rFonts w:asciiTheme="minorHAnsi" w:eastAsiaTheme="minorEastAsia" w:hAnsiTheme="minorHAnsi"/>
              <w:noProof/>
              <w:color w:val="auto"/>
              <w:sz w:val="22"/>
            </w:rPr>
          </w:pPr>
          <w:hyperlink w:anchor="_Toc240858645" w:history="1">
            <w:r w:rsidRPr="00F14962">
              <w:rPr>
                <w:rStyle w:val="Hyperlink"/>
                <w:noProof/>
              </w:rPr>
              <w:t>Abstract</w:t>
            </w:r>
            <w:r>
              <w:rPr>
                <w:noProof/>
                <w:webHidden/>
              </w:rPr>
              <w:tab/>
            </w:r>
            <w:r>
              <w:rPr>
                <w:noProof/>
                <w:webHidden/>
              </w:rPr>
              <w:fldChar w:fldCharType="begin"/>
            </w:r>
            <w:r>
              <w:rPr>
                <w:noProof/>
                <w:webHidden/>
              </w:rPr>
              <w:instrText xml:space="preserve"> PAGEREF _Toc240858645 \h </w:instrText>
            </w:r>
            <w:r>
              <w:rPr>
                <w:noProof/>
                <w:webHidden/>
              </w:rPr>
            </w:r>
            <w:r>
              <w:rPr>
                <w:noProof/>
                <w:webHidden/>
              </w:rPr>
              <w:fldChar w:fldCharType="separate"/>
            </w:r>
            <w:r>
              <w:rPr>
                <w:noProof/>
                <w:webHidden/>
              </w:rPr>
              <w:t>iii</w:t>
            </w:r>
            <w:r>
              <w:rPr>
                <w:noProof/>
                <w:webHidden/>
              </w:rPr>
              <w:fldChar w:fldCharType="end"/>
            </w:r>
          </w:hyperlink>
        </w:p>
        <w:p w14:paraId="1B87AE8D" w14:textId="51D35A3F" w:rsidR="007E140B" w:rsidRDefault="007E140B">
          <w:pPr>
            <w:pStyle w:val="TOC1"/>
            <w:tabs>
              <w:tab w:val="right" w:leader="dot" w:pos="9350"/>
            </w:tabs>
            <w:rPr>
              <w:rFonts w:asciiTheme="minorHAnsi" w:eastAsiaTheme="minorEastAsia" w:hAnsiTheme="minorHAnsi"/>
              <w:noProof/>
              <w:color w:val="auto"/>
              <w:sz w:val="22"/>
            </w:rPr>
          </w:pPr>
          <w:hyperlink w:anchor="_Toc240858646" w:history="1">
            <w:r w:rsidRPr="00F14962">
              <w:rPr>
                <w:rStyle w:val="Hyperlink"/>
                <w:noProof/>
              </w:rPr>
              <w:t>List of Tables</w:t>
            </w:r>
            <w:r>
              <w:rPr>
                <w:noProof/>
                <w:webHidden/>
              </w:rPr>
              <w:tab/>
            </w:r>
            <w:r>
              <w:rPr>
                <w:noProof/>
                <w:webHidden/>
              </w:rPr>
              <w:fldChar w:fldCharType="begin"/>
            </w:r>
            <w:r>
              <w:rPr>
                <w:noProof/>
                <w:webHidden/>
              </w:rPr>
              <w:instrText xml:space="preserve"> PAGEREF _Toc240858646 \h </w:instrText>
            </w:r>
            <w:r>
              <w:rPr>
                <w:noProof/>
                <w:webHidden/>
              </w:rPr>
            </w:r>
            <w:r>
              <w:rPr>
                <w:noProof/>
                <w:webHidden/>
              </w:rPr>
              <w:fldChar w:fldCharType="separate"/>
            </w:r>
            <w:r>
              <w:rPr>
                <w:noProof/>
                <w:webHidden/>
              </w:rPr>
              <w:t>ix</w:t>
            </w:r>
            <w:r>
              <w:rPr>
                <w:noProof/>
                <w:webHidden/>
              </w:rPr>
              <w:fldChar w:fldCharType="end"/>
            </w:r>
          </w:hyperlink>
        </w:p>
        <w:p w14:paraId="3F40279F" w14:textId="1D010B9D" w:rsidR="007E140B" w:rsidRDefault="007E140B">
          <w:pPr>
            <w:pStyle w:val="TOC1"/>
            <w:tabs>
              <w:tab w:val="right" w:leader="dot" w:pos="9350"/>
            </w:tabs>
            <w:rPr>
              <w:rFonts w:asciiTheme="minorHAnsi" w:eastAsiaTheme="minorEastAsia" w:hAnsiTheme="minorHAnsi"/>
              <w:noProof/>
              <w:color w:val="auto"/>
              <w:sz w:val="22"/>
            </w:rPr>
          </w:pPr>
          <w:hyperlink w:anchor="_Toc240858647" w:history="1">
            <w:r w:rsidRPr="00F14962">
              <w:rPr>
                <w:rStyle w:val="Hyperlink"/>
                <w:noProof/>
              </w:rPr>
              <w:t>List of Figures</w:t>
            </w:r>
            <w:r>
              <w:rPr>
                <w:noProof/>
                <w:webHidden/>
              </w:rPr>
              <w:tab/>
            </w:r>
            <w:r>
              <w:rPr>
                <w:noProof/>
                <w:webHidden/>
              </w:rPr>
              <w:fldChar w:fldCharType="begin"/>
            </w:r>
            <w:r>
              <w:rPr>
                <w:noProof/>
                <w:webHidden/>
              </w:rPr>
              <w:instrText xml:space="preserve"> PAGEREF _Toc240858647 \h </w:instrText>
            </w:r>
            <w:r>
              <w:rPr>
                <w:noProof/>
                <w:webHidden/>
              </w:rPr>
            </w:r>
            <w:r>
              <w:rPr>
                <w:noProof/>
                <w:webHidden/>
              </w:rPr>
              <w:fldChar w:fldCharType="separate"/>
            </w:r>
            <w:r>
              <w:rPr>
                <w:noProof/>
                <w:webHidden/>
              </w:rPr>
              <w:t>ix</w:t>
            </w:r>
            <w:r>
              <w:rPr>
                <w:noProof/>
                <w:webHidden/>
              </w:rPr>
              <w:fldChar w:fldCharType="end"/>
            </w:r>
          </w:hyperlink>
        </w:p>
        <w:p w14:paraId="1B3CD4C8" w14:textId="29FB51A1" w:rsidR="007E140B" w:rsidRDefault="007E140B">
          <w:pPr>
            <w:pStyle w:val="TOC1"/>
            <w:tabs>
              <w:tab w:val="right" w:leader="dot" w:pos="9350"/>
            </w:tabs>
            <w:rPr>
              <w:rFonts w:asciiTheme="minorHAnsi" w:eastAsiaTheme="minorEastAsia" w:hAnsiTheme="minorHAnsi"/>
              <w:noProof/>
              <w:color w:val="auto"/>
              <w:sz w:val="22"/>
            </w:rPr>
          </w:pPr>
          <w:hyperlink w:anchor="_Toc240858648" w:history="1">
            <w:r w:rsidRPr="00F14962">
              <w:rPr>
                <w:rStyle w:val="Hyperlink"/>
                <w:noProof/>
              </w:rPr>
              <w:t>Chapter 1: Introduction</w:t>
            </w:r>
            <w:r>
              <w:rPr>
                <w:noProof/>
                <w:webHidden/>
              </w:rPr>
              <w:tab/>
            </w:r>
            <w:r>
              <w:rPr>
                <w:noProof/>
                <w:webHidden/>
              </w:rPr>
              <w:fldChar w:fldCharType="begin"/>
            </w:r>
            <w:r>
              <w:rPr>
                <w:noProof/>
                <w:webHidden/>
              </w:rPr>
              <w:instrText xml:space="preserve"> PAGEREF _Toc240858648 \h </w:instrText>
            </w:r>
            <w:r>
              <w:rPr>
                <w:noProof/>
                <w:webHidden/>
              </w:rPr>
            </w:r>
            <w:r>
              <w:rPr>
                <w:noProof/>
                <w:webHidden/>
              </w:rPr>
              <w:fldChar w:fldCharType="separate"/>
            </w:r>
            <w:r>
              <w:rPr>
                <w:noProof/>
                <w:webHidden/>
              </w:rPr>
              <w:t>1</w:t>
            </w:r>
            <w:r>
              <w:rPr>
                <w:noProof/>
                <w:webHidden/>
              </w:rPr>
              <w:fldChar w:fldCharType="end"/>
            </w:r>
          </w:hyperlink>
        </w:p>
        <w:p w14:paraId="07BBC437" w14:textId="4C3A347A" w:rsidR="007E140B" w:rsidRDefault="007E140B">
          <w:pPr>
            <w:pStyle w:val="TOC2"/>
            <w:tabs>
              <w:tab w:val="right" w:leader="dot" w:pos="9350"/>
            </w:tabs>
            <w:rPr>
              <w:rFonts w:asciiTheme="minorHAnsi" w:eastAsiaTheme="minorEastAsia" w:hAnsiTheme="minorHAnsi"/>
              <w:noProof/>
              <w:color w:val="auto"/>
              <w:sz w:val="22"/>
            </w:rPr>
          </w:pPr>
          <w:hyperlink w:anchor="_Toc240858649" w:history="1">
            <w:r w:rsidRPr="00F14962">
              <w:rPr>
                <w:rStyle w:val="Hyperlink"/>
                <w:noProof/>
              </w:rPr>
              <w:t>1.1 Background of the Study</w:t>
            </w:r>
            <w:r>
              <w:rPr>
                <w:noProof/>
                <w:webHidden/>
              </w:rPr>
              <w:tab/>
            </w:r>
            <w:r>
              <w:rPr>
                <w:noProof/>
                <w:webHidden/>
              </w:rPr>
              <w:fldChar w:fldCharType="begin"/>
            </w:r>
            <w:r>
              <w:rPr>
                <w:noProof/>
                <w:webHidden/>
              </w:rPr>
              <w:instrText xml:space="preserve"> PAGEREF _Toc240858649 \h </w:instrText>
            </w:r>
            <w:r>
              <w:rPr>
                <w:noProof/>
                <w:webHidden/>
              </w:rPr>
            </w:r>
            <w:r>
              <w:rPr>
                <w:noProof/>
                <w:webHidden/>
              </w:rPr>
              <w:fldChar w:fldCharType="separate"/>
            </w:r>
            <w:r>
              <w:rPr>
                <w:noProof/>
                <w:webHidden/>
              </w:rPr>
              <w:t>1</w:t>
            </w:r>
            <w:r>
              <w:rPr>
                <w:noProof/>
                <w:webHidden/>
              </w:rPr>
              <w:fldChar w:fldCharType="end"/>
            </w:r>
          </w:hyperlink>
        </w:p>
        <w:p w14:paraId="4963375D" w14:textId="55D794C3" w:rsidR="007E140B" w:rsidRDefault="007E140B">
          <w:pPr>
            <w:pStyle w:val="TOC2"/>
            <w:tabs>
              <w:tab w:val="right" w:leader="dot" w:pos="9350"/>
            </w:tabs>
            <w:rPr>
              <w:rFonts w:asciiTheme="minorHAnsi" w:eastAsiaTheme="minorEastAsia" w:hAnsiTheme="minorHAnsi"/>
              <w:noProof/>
              <w:color w:val="auto"/>
              <w:sz w:val="22"/>
            </w:rPr>
          </w:pPr>
          <w:hyperlink w:anchor="_Toc240858650" w:history="1">
            <w:r w:rsidRPr="00F14962">
              <w:rPr>
                <w:rStyle w:val="Hyperlink"/>
                <w:noProof/>
              </w:rPr>
              <w:t>1.2 Problem Statement</w:t>
            </w:r>
            <w:r>
              <w:rPr>
                <w:noProof/>
                <w:webHidden/>
              </w:rPr>
              <w:tab/>
            </w:r>
            <w:r>
              <w:rPr>
                <w:noProof/>
                <w:webHidden/>
              </w:rPr>
              <w:fldChar w:fldCharType="begin"/>
            </w:r>
            <w:r>
              <w:rPr>
                <w:noProof/>
                <w:webHidden/>
              </w:rPr>
              <w:instrText xml:space="preserve"> PAGEREF _Toc240858650 \h </w:instrText>
            </w:r>
            <w:r>
              <w:rPr>
                <w:noProof/>
                <w:webHidden/>
              </w:rPr>
            </w:r>
            <w:r>
              <w:rPr>
                <w:noProof/>
                <w:webHidden/>
              </w:rPr>
              <w:fldChar w:fldCharType="separate"/>
            </w:r>
            <w:r>
              <w:rPr>
                <w:noProof/>
                <w:webHidden/>
              </w:rPr>
              <w:t>2</w:t>
            </w:r>
            <w:r>
              <w:rPr>
                <w:noProof/>
                <w:webHidden/>
              </w:rPr>
              <w:fldChar w:fldCharType="end"/>
            </w:r>
          </w:hyperlink>
        </w:p>
        <w:p w14:paraId="7E4FCC43" w14:textId="0B124F37" w:rsidR="007E140B" w:rsidRDefault="007E140B">
          <w:pPr>
            <w:pStyle w:val="TOC2"/>
            <w:tabs>
              <w:tab w:val="right" w:leader="dot" w:pos="9350"/>
            </w:tabs>
            <w:rPr>
              <w:rFonts w:asciiTheme="minorHAnsi" w:eastAsiaTheme="minorEastAsia" w:hAnsiTheme="minorHAnsi"/>
              <w:noProof/>
              <w:color w:val="auto"/>
              <w:sz w:val="22"/>
            </w:rPr>
          </w:pPr>
          <w:hyperlink w:anchor="_Toc240858651" w:history="1">
            <w:r w:rsidRPr="00F14962">
              <w:rPr>
                <w:rStyle w:val="Hyperlink"/>
                <w:noProof/>
              </w:rPr>
              <w:t>1.3 Research Aim</w:t>
            </w:r>
            <w:r>
              <w:rPr>
                <w:noProof/>
                <w:webHidden/>
              </w:rPr>
              <w:tab/>
            </w:r>
            <w:r>
              <w:rPr>
                <w:noProof/>
                <w:webHidden/>
              </w:rPr>
              <w:fldChar w:fldCharType="begin"/>
            </w:r>
            <w:r>
              <w:rPr>
                <w:noProof/>
                <w:webHidden/>
              </w:rPr>
              <w:instrText xml:space="preserve"> PAGEREF _Toc240858651 \h </w:instrText>
            </w:r>
            <w:r>
              <w:rPr>
                <w:noProof/>
                <w:webHidden/>
              </w:rPr>
            </w:r>
            <w:r>
              <w:rPr>
                <w:noProof/>
                <w:webHidden/>
              </w:rPr>
              <w:fldChar w:fldCharType="separate"/>
            </w:r>
            <w:r>
              <w:rPr>
                <w:noProof/>
                <w:webHidden/>
              </w:rPr>
              <w:t>3</w:t>
            </w:r>
            <w:r>
              <w:rPr>
                <w:noProof/>
                <w:webHidden/>
              </w:rPr>
              <w:fldChar w:fldCharType="end"/>
            </w:r>
          </w:hyperlink>
        </w:p>
        <w:p w14:paraId="565C329B" w14:textId="2A52378B" w:rsidR="007E140B" w:rsidRDefault="007E140B">
          <w:pPr>
            <w:pStyle w:val="TOC2"/>
            <w:tabs>
              <w:tab w:val="right" w:leader="dot" w:pos="9350"/>
            </w:tabs>
            <w:rPr>
              <w:rFonts w:asciiTheme="minorHAnsi" w:eastAsiaTheme="minorEastAsia" w:hAnsiTheme="minorHAnsi"/>
              <w:noProof/>
              <w:color w:val="auto"/>
              <w:sz w:val="22"/>
            </w:rPr>
          </w:pPr>
          <w:hyperlink w:anchor="_Toc240858652" w:history="1">
            <w:r w:rsidRPr="00F14962">
              <w:rPr>
                <w:rStyle w:val="Hyperlink"/>
                <w:noProof/>
              </w:rPr>
              <w:t>1.4 Research Objectives</w:t>
            </w:r>
            <w:r>
              <w:rPr>
                <w:noProof/>
                <w:webHidden/>
              </w:rPr>
              <w:tab/>
            </w:r>
            <w:r>
              <w:rPr>
                <w:noProof/>
                <w:webHidden/>
              </w:rPr>
              <w:fldChar w:fldCharType="begin"/>
            </w:r>
            <w:r>
              <w:rPr>
                <w:noProof/>
                <w:webHidden/>
              </w:rPr>
              <w:instrText xml:space="preserve"> PAGEREF _Toc240858652 \h </w:instrText>
            </w:r>
            <w:r>
              <w:rPr>
                <w:noProof/>
                <w:webHidden/>
              </w:rPr>
            </w:r>
            <w:r>
              <w:rPr>
                <w:noProof/>
                <w:webHidden/>
              </w:rPr>
              <w:fldChar w:fldCharType="separate"/>
            </w:r>
            <w:r>
              <w:rPr>
                <w:noProof/>
                <w:webHidden/>
              </w:rPr>
              <w:t>3</w:t>
            </w:r>
            <w:r>
              <w:rPr>
                <w:noProof/>
                <w:webHidden/>
              </w:rPr>
              <w:fldChar w:fldCharType="end"/>
            </w:r>
          </w:hyperlink>
        </w:p>
        <w:p w14:paraId="2A0E3F59" w14:textId="6B28DD28" w:rsidR="007E140B" w:rsidRDefault="007E140B">
          <w:pPr>
            <w:pStyle w:val="TOC2"/>
            <w:tabs>
              <w:tab w:val="right" w:leader="dot" w:pos="9350"/>
            </w:tabs>
            <w:rPr>
              <w:rFonts w:asciiTheme="minorHAnsi" w:eastAsiaTheme="minorEastAsia" w:hAnsiTheme="minorHAnsi"/>
              <w:noProof/>
              <w:color w:val="auto"/>
              <w:sz w:val="22"/>
            </w:rPr>
          </w:pPr>
          <w:hyperlink w:anchor="_Toc240858653" w:history="1">
            <w:r w:rsidRPr="00F14962">
              <w:rPr>
                <w:rStyle w:val="Hyperlink"/>
                <w:noProof/>
              </w:rPr>
              <w:t>1.5 Research questions</w:t>
            </w:r>
            <w:r>
              <w:rPr>
                <w:noProof/>
                <w:webHidden/>
              </w:rPr>
              <w:tab/>
            </w:r>
            <w:r>
              <w:rPr>
                <w:noProof/>
                <w:webHidden/>
              </w:rPr>
              <w:fldChar w:fldCharType="begin"/>
            </w:r>
            <w:r>
              <w:rPr>
                <w:noProof/>
                <w:webHidden/>
              </w:rPr>
              <w:instrText xml:space="preserve"> PAGEREF _Toc240858653 \h </w:instrText>
            </w:r>
            <w:r>
              <w:rPr>
                <w:noProof/>
                <w:webHidden/>
              </w:rPr>
            </w:r>
            <w:r>
              <w:rPr>
                <w:noProof/>
                <w:webHidden/>
              </w:rPr>
              <w:fldChar w:fldCharType="separate"/>
            </w:r>
            <w:r>
              <w:rPr>
                <w:noProof/>
                <w:webHidden/>
              </w:rPr>
              <w:t>4</w:t>
            </w:r>
            <w:r>
              <w:rPr>
                <w:noProof/>
                <w:webHidden/>
              </w:rPr>
              <w:fldChar w:fldCharType="end"/>
            </w:r>
          </w:hyperlink>
        </w:p>
        <w:p w14:paraId="7FA10767" w14:textId="2A321BEB" w:rsidR="007E140B" w:rsidRDefault="007E140B">
          <w:pPr>
            <w:pStyle w:val="TOC2"/>
            <w:tabs>
              <w:tab w:val="right" w:leader="dot" w:pos="9350"/>
            </w:tabs>
            <w:rPr>
              <w:rFonts w:asciiTheme="minorHAnsi" w:eastAsiaTheme="minorEastAsia" w:hAnsiTheme="minorHAnsi"/>
              <w:noProof/>
              <w:color w:val="auto"/>
              <w:sz w:val="22"/>
            </w:rPr>
          </w:pPr>
          <w:hyperlink w:anchor="_Toc240858654" w:history="1">
            <w:r w:rsidRPr="00F14962">
              <w:rPr>
                <w:rStyle w:val="Hyperlink"/>
                <w:noProof/>
              </w:rPr>
              <w:t>1.6 Scope of the Study</w:t>
            </w:r>
            <w:r>
              <w:rPr>
                <w:noProof/>
                <w:webHidden/>
              </w:rPr>
              <w:tab/>
            </w:r>
            <w:r>
              <w:rPr>
                <w:noProof/>
                <w:webHidden/>
              </w:rPr>
              <w:fldChar w:fldCharType="begin"/>
            </w:r>
            <w:r>
              <w:rPr>
                <w:noProof/>
                <w:webHidden/>
              </w:rPr>
              <w:instrText xml:space="preserve"> PAGEREF _Toc240858654 \h </w:instrText>
            </w:r>
            <w:r>
              <w:rPr>
                <w:noProof/>
                <w:webHidden/>
              </w:rPr>
            </w:r>
            <w:r>
              <w:rPr>
                <w:noProof/>
                <w:webHidden/>
              </w:rPr>
              <w:fldChar w:fldCharType="separate"/>
            </w:r>
            <w:r>
              <w:rPr>
                <w:noProof/>
                <w:webHidden/>
              </w:rPr>
              <w:t>4</w:t>
            </w:r>
            <w:r>
              <w:rPr>
                <w:noProof/>
                <w:webHidden/>
              </w:rPr>
              <w:fldChar w:fldCharType="end"/>
            </w:r>
          </w:hyperlink>
        </w:p>
        <w:p w14:paraId="5FA604F5" w14:textId="5C08C6C5" w:rsidR="007E140B" w:rsidRDefault="007E140B">
          <w:pPr>
            <w:pStyle w:val="TOC2"/>
            <w:tabs>
              <w:tab w:val="right" w:leader="dot" w:pos="9350"/>
            </w:tabs>
            <w:rPr>
              <w:rFonts w:asciiTheme="minorHAnsi" w:eastAsiaTheme="minorEastAsia" w:hAnsiTheme="minorHAnsi"/>
              <w:noProof/>
              <w:color w:val="auto"/>
              <w:sz w:val="22"/>
            </w:rPr>
          </w:pPr>
          <w:hyperlink w:anchor="_Toc240858655" w:history="1">
            <w:r w:rsidRPr="00F14962">
              <w:rPr>
                <w:rStyle w:val="Hyperlink"/>
                <w:noProof/>
              </w:rPr>
              <w:t>1.7 Significance of the Study</w:t>
            </w:r>
            <w:r>
              <w:rPr>
                <w:noProof/>
                <w:webHidden/>
              </w:rPr>
              <w:tab/>
            </w:r>
            <w:r>
              <w:rPr>
                <w:noProof/>
                <w:webHidden/>
              </w:rPr>
              <w:fldChar w:fldCharType="begin"/>
            </w:r>
            <w:r>
              <w:rPr>
                <w:noProof/>
                <w:webHidden/>
              </w:rPr>
              <w:instrText xml:space="preserve"> PAGEREF _Toc240858655 \h </w:instrText>
            </w:r>
            <w:r>
              <w:rPr>
                <w:noProof/>
                <w:webHidden/>
              </w:rPr>
            </w:r>
            <w:r>
              <w:rPr>
                <w:noProof/>
                <w:webHidden/>
              </w:rPr>
              <w:fldChar w:fldCharType="separate"/>
            </w:r>
            <w:r>
              <w:rPr>
                <w:noProof/>
                <w:webHidden/>
              </w:rPr>
              <w:t>5</w:t>
            </w:r>
            <w:r>
              <w:rPr>
                <w:noProof/>
                <w:webHidden/>
              </w:rPr>
              <w:fldChar w:fldCharType="end"/>
            </w:r>
          </w:hyperlink>
        </w:p>
        <w:p w14:paraId="7F1925A8" w14:textId="3C912C7A" w:rsidR="007E140B" w:rsidRDefault="007E140B">
          <w:pPr>
            <w:pStyle w:val="TOC1"/>
            <w:tabs>
              <w:tab w:val="right" w:leader="dot" w:pos="9350"/>
            </w:tabs>
            <w:rPr>
              <w:rFonts w:asciiTheme="minorHAnsi" w:eastAsiaTheme="minorEastAsia" w:hAnsiTheme="minorHAnsi"/>
              <w:noProof/>
              <w:color w:val="auto"/>
              <w:sz w:val="22"/>
            </w:rPr>
          </w:pPr>
          <w:hyperlink w:anchor="_Toc240858656" w:history="1">
            <w:r w:rsidRPr="00F14962">
              <w:rPr>
                <w:rStyle w:val="Hyperlink"/>
                <w:noProof/>
              </w:rPr>
              <w:t>Chapter 2: Literature Review</w:t>
            </w:r>
            <w:r>
              <w:rPr>
                <w:noProof/>
                <w:webHidden/>
              </w:rPr>
              <w:tab/>
            </w:r>
            <w:r>
              <w:rPr>
                <w:noProof/>
                <w:webHidden/>
              </w:rPr>
              <w:fldChar w:fldCharType="begin"/>
            </w:r>
            <w:r>
              <w:rPr>
                <w:noProof/>
                <w:webHidden/>
              </w:rPr>
              <w:instrText xml:space="preserve"> PAGEREF _Toc240858656 \h </w:instrText>
            </w:r>
            <w:r>
              <w:rPr>
                <w:noProof/>
                <w:webHidden/>
              </w:rPr>
            </w:r>
            <w:r>
              <w:rPr>
                <w:noProof/>
                <w:webHidden/>
              </w:rPr>
              <w:fldChar w:fldCharType="separate"/>
            </w:r>
            <w:r>
              <w:rPr>
                <w:noProof/>
                <w:webHidden/>
              </w:rPr>
              <w:t>6</w:t>
            </w:r>
            <w:r>
              <w:rPr>
                <w:noProof/>
                <w:webHidden/>
              </w:rPr>
              <w:fldChar w:fldCharType="end"/>
            </w:r>
          </w:hyperlink>
        </w:p>
        <w:p w14:paraId="02C6AB80" w14:textId="00D27DF2" w:rsidR="007E140B" w:rsidRDefault="007E140B">
          <w:pPr>
            <w:pStyle w:val="TOC2"/>
            <w:tabs>
              <w:tab w:val="right" w:leader="dot" w:pos="9350"/>
            </w:tabs>
            <w:rPr>
              <w:rFonts w:asciiTheme="minorHAnsi" w:eastAsiaTheme="minorEastAsia" w:hAnsiTheme="minorHAnsi"/>
              <w:noProof/>
              <w:color w:val="auto"/>
              <w:sz w:val="22"/>
            </w:rPr>
          </w:pPr>
          <w:hyperlink w:anchor="_Toc240858657" w:history="1">
            <w:r w:rsidRPr="00F14962">
              <w:rPr>
                <w:rStyle w:val="Hyperlink"/>
                <w:noProof/>
              </w:rPr>
              <w:t>2.1 Introduction</w:t>
            </w:r>
            <w:r>
              <w:rPr>
                <w:noProof/>
                <w:webHidden/>
              </w:rPr>
              <w:tab/>
            </w:r>
            <w:r>
              <w:rPr>
                <w:noProof/>
                <w:webHidden/>
              </w:rPr>
              <w:fldChar w:fldCharType="begin"/>
            </w:r>
            <w:r>
              <w:rPr>
                <w:noProof/>
                <w:webHidden/>
              </w:rPr>
              <w:instrText xml:space="preserve"> PAGEREF _Toc240858657 \h </w:instrText>
            </w:r>
            <w:r>
              <w:rPr>
                <w:noProof/>
                <w:webHidden/>
              </w:rPr>
            </w:r>
            <w:r>
              <w:rPr>
                <w:noProof/>
                <w:webHidden/>
              </w:rPr>
              <w:fldChar w:fldCharType="separate"/>
            </w:r>
            <w:r>
              <w:rPr>
                <w:noProof/>
                <w:webHidden/>
              </w:rPr>
              <w:t>6</w:t>
            </w:r>
            <w:r>
              <w:rPr>
                <w:noProof/>
                <w:webHidden/>
              </w:rPr>
              <w:fldChar w:fldCharType="end"/>
            </w:r>
          </w:hyperlink>
        </w:p>
        <w:p w14:paraId="1AADFE95" w14:textId="20106994" w:rsidR="007E140B" w:rsidRDefault="007E140B">
          <w:pPr>
            <w:pStyle w:val="TOC2"/>
            <w:tabs>
              <w:tab w:val="right" w:leader="dot" w:pos="9350"/>
            </w:tabs>
            <w:rPr>
              <w:rFonts w:asciiTheme="minorHAnsi" w:eastAsiaTheme="minorEastAsia" w:hAnsiTheme="minorHAnsi"/>
              <w:noProof/>
              <w:color w:val="auto"/>
              <w:sz w:val="22"/>
            </w:rPr>
          </w:pPr>
          <w:hyperlink w:anchor="_Toc240858658" w:history="1">
            <w:r w:rsidRPr="00F14962">
              <w:rPr>
                <w:rStyle w:val="Hyperlink"/>
                <w:noProof/>
              </w:rPr>
              <w:t>2.2 Conceptualising ESG strategy, reputation and competitive advantage</w:t>
            </w:r>
            <w:r>
              <w:rPr>
                <w:noProof/>
                <w:webHidden/>
              </w:rPr>
              <w:tab/>
            </w:r>
            <w:r>
              <w:rPr>
                <w:noProof/>
                <w:webHidden/>
              </w:rPr>
              <w:fldChar w:fldCharType="begin"/>
            </w:r>
            <w:r>
              <w:rPr>
                <w:noProof/>
                <w:webHidden/>
              </w:rPr>
              <w:instrText xml:space="preserve"> PAGEREF _Toc240858658 \h </w:instrText>
            </w:r>
            <w:r>
              <w:rPr>
                <w:noProof/>
                <w:webHidden/>
              </w:rPr>
            </w:r>
            <w:r>
              <w:rPr>
                <w:noProof/>
                <w:webHidden/>
              </w:rPr>
              <w:fldChar w:fldCharType="separate"/>
            </w:r>
            <w:r>
              <w:rPr>
                <w:noProof/>
                <w:webHidden/>
              </w:rPr>
              <w:t>6</w:t>
            </w:r>
            <w:r>
              <w:rPr>
                <w:noProof/>
                <w:webHidden/>
              </w:rPr>
              <w:fldChar w:fldCharType="end"/>
            </w:r>
          </w:hyperlink>
        </w:p>
        <w:p w14:paraId="200C4CA3" w14:textId="541B018E" w:rsidR="007E140B" w:rsidRDefault="007E140B">
          <w:pPr>
            <w:pStyle w:val="TOC2"/>
            <w:tabs>
              <w:tab w:val="right" w:leader="dot" w:pos="9350"/>
            </w:tabs>
            <w:rPr>
              <w:rFonts w:asciiTheme="minorHAnsi" w:eastAsiaTheme="minorEastAsia" w:hAnsiTheme="minorHAnsi"/>
              <w:noProof/>
              <w:color w:val="auto"/>
              <w:sz w:val="22"/>
            </w:rPr>
          </w:pPr>
          <w:hyperlink w:anchor="_Toc240858659" w:history="1">
            <w:r w:rsidRPr="00F14962">
              <w:rPr>
                <w:rStyle w:val="Hyperlink"/>
                <w:noProof/>
              </w:rPr>
              <w:t>2.3 Theoretical foundation</w:t>
            </w:r>
            <w:r>
              <w:rPr>
                <w:noProof/>
                <w:webHidden/>
              </w:rPr>
              <w:tab/>
            </w:r>
            <w:r>
              <w:rPr>
                <w:noProof/>
                <w:webHidden/>
              </w:rPr>
              <w:fldChar w:fldCharType="begin"/>
            </w:r>
            <w:r>
              <w:rPr>
                <w:noProof/>
                <w:webHidden/>
              </w:rPr>
              <w:instrText xml:space="preserve"> PAGEREF _Toc240858659 \h </w:instrText>
            </w:r>
            <w:r>
              <w:rPr>
                <w:noProof/>
                <w:webHidden/>
              </w:rPr>
            </w:r>
            <w:r>
              <w:rPr>
                <w:noProof/>
                <w:webHidden/>
              </w:rPr>
              <w:fldChar w:fldCharType="separate"/>
            </w:r>
            <w:r>
              <w:rPr>
                <w:noProof/>
                <w:webHidden/>
              </w:rPr>
              <w:t>7</w:t>
            </w:r>
            <w:r>
              <w:rPr>
                <w:noProof/>
                <w:webHidden/>
              </w:rPr>
              <w:fldChar w:fldCharType="end"/>
            </w:r>
          </w:hyperlink>
        </w:p>
        <w:p w14:paraId="12E4BDAB" w14:textId="33F7E70A" w:rsidR="007E140B" w:rsidRDefault="007E140B">
          <w:pPr>
            <w:pStyle w:val="TOC3"/>
            <w:tabs>
              <w:tab w:val="right" w:leader="dot" w:pos="9350"/>
            </w:tabs>
            <w:rPr>
              <w:rFonts w:asciiTheme="minorHAnsi" w:eastAsiaTheme="minorEastAsia" w:hAnsiTheme="minorHAnsi"/>
              <w:noProof/>
              <w:color w:val="auto"/>
              <w:sz w:val="22"/>
            </w:rPr>
          </w:pPr>
          <w:hyperlink w:anchor="_Toc240858660" w:history="1">
            <w:r w:rsidRPr="00F14962">
              <w:rPr>
                <w:rStyle w:val="Hyperlink"/>
                <w:noProof/>
              </w:rPr>
              <w:t>2.3.1 Stakeholder theory</w:t>
            </w:r>
            <w:r>
              <w:rPr>
                <w:noProof/>
                <w:webHidden/>
              </w:rPr>
              <w:tab/>
            </w:r>
            <w:r>
              <w:rPr>
                <w:noProof/>
                <w:webHidden/>
              </w:rPr>
              <w:fldChar w:fldCharType="begin"/>
            </w:r>
            <w:r>
              <w:rPr>
                <w:noProof/>
                <w:webHidden/>
              </w:rPr>
              <w:instrText xml:space="preserve"> PAGEREF _Toc240858660 \h </w:instrText>
            </w:r>
            <w:r>
              <w:rPr>
                <w:noProof/>
                <w:webHidden/>
              </w:rPr>
            </w:r>
            <w:r>
              <w:rPr>
                <w:noProof/>
                <w:webHidden/>
              </w:rPr>
              <w:fldChar w:fldCharType="separate"/>
            </w:r>
            <w:r>
              <w:rPr>
                <w:noProof/>
                <w:webHidden/>
              </w:rPr>
              <w:t>7</w:t>
            </w:r>
            <w:r>
              <w:rPr>
                <w:noProof/>
                <w:webHidden/>
              </w:rPr>
              <w:fldChar w:fldCharType="end"/>
            </w:r>
          </w:hyperlink>
        </w:p>
        <w:p w14:paraId="6C4D024A" w14:textId="6FC17F46" w:rsidR="007E140B" w:rsidRDefault="007E140B">
          <w:pPr>
            <w:pStyle w:val="TOC3"/>
            <w:tabs>
              <w:tab w:val="right" w:leader="dot" w:pos="9350"/>
            </w:tabs>
            <w:rPr>
              <w:rFonts w:asciiTheme="minorHAnsi" w:eastAsiaTheme="minorEastAsia" w:hAnsiTheme="minorHAnsi"/>
              <w:noProof/>
              <w:color w:val="auto"/>
              <w:sz w:val="22"/>
            </w:rPr>
          </w:pPr>
          <w:hyperlink w:anchor="_Toc240858661" w:history="1">
            <w:r w:rsidRPr="00F14962">
              <w:rPr>
                <w:rStyle w:val="Hyperlink"/>
                <w:noProof/>
              </w:rPr>
              <w:t>2.3.2 Resource-based view and dynamic capability</w:t>
            </w:r>
            <w:r>
              <w:rPr>
                <w:noProof/>
                <w:webHidden/>
              </w:rPr>
              <w:tab/>
            </w:r>
            <w:r>
              <w:rPr>
                <w:noProof/>
                <w:webHidden/>
              </w:rPr>
              <w:fldChar w:fldCharType="begin"/>
            </w:r>
            <w:r>
              <w:rPr>
                <w:noProof/>
                <w:webHidden/>
              </w:rPr>
              <w:instrText xml:space="preserve"> PAGEREF _Toc240858661 \h </w:instrText>
            </w:r>
            <w:r>
              <w:rPr>
                <w:noProof/>
                <w:webHidden/>
              </w:rPr>
            </w:r>
            <w:r>
              <w:rPr>
                <w:noProof/>
                <w:webHidden/>
              </w:rPr>
              <w:fldChar w:fldCharType="separate"/>
            </w:r>
            <w:r>
              <w:rPr>
                <w:noProof/>
                <w:webHidden/>
              </w:rPr>
              <w:t>8</w:t>
            </w:r>
            <w:r>
              <w:rPr>
                <w:noProof/>
                <w:webHidden/>
              </w:rPr>
              <w:fldChar w:fldCharType="end"/>
            </w:r>
          </w:hyperlink>
        </w:p>
        <w:p w14:paraId="615DC16C" w14:textId="1E00CFF8" w:rsidR="007E140B" w:rsidRDefault="007E140B">
          <w:pPr>
            <w:pStyle w:val="TOC3"/>
            <w:tabs>
              <w:tab w:val="right" w:leader="dot" w:pos="9350"/>
            </w:tabs>
            <w:rPr>
              <w:rFonts w:asciiTheme="minorHAnsi" w:eastAsiaTheme="minorEastAsia" w:hAnsiTheme="minorHAnsi"/>
              <w:noProof/>
              <w:color w:val="auto"/>
              <w:sz w:val="22"/>
            </w:rPr>
          </w:pPr>
          <w:hyperlink w:anchor="_Toc240858662" w:history="1">
            <w:r w:rsidRPr="00F14962">
              <w:rPr>
                <w:rStyle w:val="Hyperlink"/>
                <w:noProof/>
              </w:rPr>
              <w:t>2.3.3 Legitimacy and signalling</w:t>
            </w:r>
            <w:r>
              <w:rPr>
                <w:noProof/>
                <w:webHidden/>
              </w:rPr>
              <w:tab/>
            </w:r>
            <w:r>
              <w:rPr>
                <w:noProof/>
                <w:webHidden/>
              </w:rPr>
              <w:fldChar w:fldCharType="begin"/>
            </w:r>
            <w:r>
              <w:rPr>
                <w:noProof/>
                <w:webHidden/>
              </w:rPr>
              <w:instrText xml:space="preserve"> PAGEREF _Toc240858662 \h </w:instrText>
            </w:r>
            <w:r>
              <w:rPr>
                <w:noProof/>
                <w:webHidden/>
              </w:rPr>
            </w:r>
            <w:r>
              <w:rPr>
                <w:noProof/>
                <w:webHidden/>
              </w:rPr>
              <w:fldChar w:fldCharType="separate"/>
            </w:r>
            <w:r>
              <w:rPr>
                <w:noProof/>
                <w:webHidden/>
              </w:rPr>
              <w:t>9</w:t>
            </w:r>
            <w:r>
              <w:rPr>
                <w:noProof/>
                <w:webHidden/>
              </w:rPr>
              <w:fldChar w:fldCharType="end"/>
            </w:r>
          </w:hyperlink>
        </w:p>
        <w:p w14:paraId="64D245D7" w14:textId="4B60C60B" w:rsidR="007E140B" w:rsidRDefault="007E140B">
          <w:pPr>
            <w:pStyle w:val="TOC3"/>
            <w:tabs>
              <w:tab w:val="right" w:leader="dot" w:pos="9350"/>
            </w:tabs>
            <w:rPr>
              <w:rFonts w:asciiTheme="minorHAnsi" w:eastAsiaTheme="minorEastAsia" w:hAnsiTheme="minorHAnsi"/>
              <w:noProof/>
              <w:color w:val="auto"/>
              <w:sz w:val="22"/>
            </w:rPr>
          </w:pPr>
          <w:hyperlink w:anchor="_Toc240858663" w:history="1">
            <w:r w:rsidRPr="00F14962">
              <w:rPr>
                <w:rStyle w:val="Hyperlink"/>
                <w:noProof/>
              </w:rPr>
              <w:t>2.3.4 Integrated theoretical proposition</w:t>
            </w:r>
            <w:r>
              <w:rPr>
                <w:noProof/>
                <w:webHidden/>
              </w:rPr>
              <w:tab/>
            </w:r>
            <w:r>
              <w:rPr>
                <w:noProof/>
                <w:webHidden/>
              </w:rPr>
              <w:fldChar w:fldCharType="begin"/>
            </w:r>
            <w:r>
              <w:rPr>
                <w:noProof/>
                <w:webHidden/>
              </w:rPr>
              <w:instrText xml:space="preserve"> PAGEREF _Toc240858663 \h </w:instrText>
            </w:r>
            <w:r>
              <w:rPr>
                <w:noProof/>
                <w:webHidden/>
              </w:rPr>
            </w:r>
            <w:r>
              <w:rPr>
                <w:noProof/>
                <w:webHidden/>
              </w:rPr>
              <w:fldChar w:fldCharType="separate"/>
            </w:r>
            <w:r>
              <w:rPr>
                <w:noProof/>
                <w:webHidden/>
              </w:rPr>
              <w:t>9</w:t>
            </w:r>
            <w:r>
              <w:rPr>
                <w:noProof/>
                <w:webHidden/>
              </w:rPr>
              <w:fldChar w:fldCharType="end"/>
            </w:r>
          </w:hyperlink>
        </w:p>
        <w:p w14:paraId="71CE41BD" w14:textId="440614B0" w:rsidR="007E140B" w:rsidRDefault="007E140B">
          <w:pPr>
            <w:pStyle w:val="TOC2"/>
            <w:tabs>
              <w:tab w:val="right" w:leader="dot" w:pos="9350"/>
            </w:tabs>
            <w:rPr>
              <w:rFonts w:asciiTheme="minorHAnsi" w:eastAsiaTheme="minorEastAsia" w:hAnsiTheme="minorHAnsi"/>
              <w:noProof/>
              <w:color w:val="auto"/>
              <w:sz w:val="22"/>
            </w:rPr>
          </w:pPr>
          <w:hyperlink w:anchor="_Toc240858664" w:history="1">
            <w:r w:rsidRPr="00F14962">
              <w:rPr>
                <w:rStyle w:val="Hyperlink"/>
                <w:noProof/>
              </w:rPr>
              <w:t>2.4 Theme one: from disclosure to strategically material implementation</w:t>
            </w:r>
            <w:r>
              <w:rPr>
                <w:noProof/>
                <w:webHidden/>
              </w:rPr>
              <w:tab/>
            </w:r>
            <w:r>
              <w:rPr>
                <w:noProof/>
                <w:webHidden/>
              </w:rPr>
              <w:fldChar w:fldCharType="begin"/>
            </w:r>
            <w:r>
              <w:rPr>
                <w:noProof/>
                <w:webHidden/>
              </w:rPr>
              <w:instrText xml:space="preserve"> PAGEREF _Toc240858664 \h </w:instrText>
            </w:r>
            <w:r>
              <w:rPr>
                <w:noProof/>
                <w:webHidden/>
              </w:rPr>
            </w:r>
            <w:r>
              <w:rPr>
                <w:noProof/>
                <w:webHidden/>
              </w:rPr>
              <w:fldChar w:fldCharType="separate"/>
            </w:r>
            <w:r>
              <w:rPr>
                <w:noProof/>
                <w:webHidden/>
              </w:rPr>
              <w:t>11</w:t>
            </w:r>
            <w:r>
              <w:rPr>
                <w:noProof/>
                <w:webHidden/>
              </w:rPr>
              <w:fldChar w:fldCharType="end"/>
            </w:r>
          </w:hyperlink>
        </w:p>
        <w:p w14:paraId="10BCDA70" w14:textId="3F72B0B3" w:rsidR="007E140B" w:rsidRDefault="007E140B">
          <w:pPr>
            <w:pStyle w:val="TOC2"/>
            <w:tabs>
              <w:tab w:val="right" w:leader="dot" w:pos="9350"/>
            </w:tabs>
            <w:rPr>
              <w:rFonts w:asciiTheme="minorHAnsi" w:eastAsiaTheme="minorEastAsia" w:hAnsiTheme="minorHAnsi"/>
              <w:noProof/>
              <w:color w:val="auto"/>
              <w:sz w:val="22"/>
            </w:rPr>
          </w:pPr>
          <w:hyperlink w:anchor="_Toc240858665" w:history="1">
            <w:r w:rsidRPr="00F14962">
              <w:rPr>
                <w:rStyle w:val="Hyperlink"/>
                <w:noProof/>
              </w:rPr>
              <w:t>2.5 Theme two: stakeholder trust and corporate reputation</w:t>
            </w:r>
            <w:r>
              <w:rPr>
                <w:noProof/>
                <w:webHidden/>
              </w:rPr>
              <w:tab/>
            </w:r>
            <w:r>
              <w:rPr>
                <w:noProof/>
                <w:webHidden/>
              </w:rPr>
              <w:fldChar w:fldCharType="begin"/>
            </w:r>
            <w:r>
              <w:rPr>
                <w:noProof/>
                <w:webHidden/>
              </w:rPr>
              <w:instrText xml:space="preserve"> PAGEREF _Toc240858665 \h </w:instrText>
            </w:r>
            <w:r>
              <w:rPr>
                <w:noProof/>
                <w:webHidden/>
              </w:rPr>
            </w:r>
            <w:r>
              <w:rPr>
                <w:noProof/>
                <w:webHidden/>
              </w:rPr>
              <w:fldChar w:fldCharType="separate"/>
            </w:r>
            <w:r>
              <w:rPr>
                <w:noProof/>
                <w:webHidden/>
              </w:rPr>
              <w:t>12</w:t>
            </w:r>
            <w:r>
              <w:rPr>
                <w:noProof/>
                <w:webHidden/>
              </w:rPr>
              <w:fldChar w:fldCharType="end"/>
            </w:r>
          </w:hyperlink>
        </w:p>
        <w:p w14:paraId="3814A805" w14:textId="0A0E6D24" w:rsidR="007E140B" w:rsidRDefault="007E140B">
          <w:pPr>
            <w:pStyle w:val="TOC2"/>
            <w:tabs>
              <w:tab w:val="right" w:leader="dot" w:pos="9350"/>
            </w:tabs>
            <w:rPr>
              <w:rFonts w:asciiTheme="minorHAnsi" w:eastAsiaTheme="minorEastAsia" w:hAnsiTheme="minorHAnsi"/>
              <w:noProof/>
              <w:color w:val="auto"/>
              <w:sz w:val="22"/>
            </w:rPr>
          </w:pPr>
          <w:hyperlink w:anchor="_Toc240858666" w:history="1">
            <w:r w:rsidRPr="00F14962">
              <w:rPr>
                <w:rStyle w:val="Hyperlink"/>
                <w:noProof/>
              </w:rPr>
              <w:t>2.6 Theme three: innovation, efficiency, resilience and advantage</w:t>
            </w:r>
            <w:r>
              <w:rPr>
                <w:noProof/>
                <w:webHidden/>
              </w:rPr>
              <w:tab/>
            </w:r>
            <w:r>
              <w:rPr>
                <w:noProof/>
                <w:webHidden/>
              </w:rPr>
              <w:fldChar w:fldCharType="begin"/>
            </w:r>
            <w:r>
              <w:rPr>
                <w:noProof/>
                <w:webHidden/>
              </w:rPr>
              <w:instrText xml:space="preserve"> PAGEREF _Toc240858666 \h </w:instrText>
            </w:r>
            <w:r>
              <w:rPr>
                <w:noProof/>
                <w:webHidden/>
              </w:rPr>
            </w:r>
            <w:r>
              <w:rPr>
                <w:noProof/>
                <w:webHidden/>
              </w:rPr>
              <w:fldChar w:fldCharType="separate"/>
            </w:r>
            <w:r>
              <w:rPr>
                <w:noProof/>
                <w:webHidden/>
              </w:rPr>
              <w:t>13</w:t>
            </w:r>
            <w:r>
              <w:rPr>
                <w:noProof/>
                <w:webHidden/>
              </w:rPr>
              <w:fldChar w:fldCharType="end"/>
            </w:r>
          </w:hyperlink>
        </w:p>
        <w:p w14:paraId="0B7E9D8A" w14:textId="563B89E8" w:rsidR="007E140B" w:rsidRDefault="007E140B">
          <w:pPr>
            <w:pStyle w:val="TOC2"/>
            <w:tabs>
              <w:tab w:val="right" w:leader="dot" w:pos="9350"/>
            </w:tabs>
            <w:rPr>
              <w:rFonts w:asciiTheme="minorHAnsi" w:eastAsiaTheme="minorEastAsia" w:hAnsiTheme="minorHAnsi"/>
              <w:noProof/>
              <w:color w:val="auto"/>
              <w:sz w:val="22"/>
            </w:rPr>
          </w:pPr>
          <w:hyperlink w:anchor="_Toc240858667" w:history="1">
            <w:r w:rsidRPr="00F14962">
              <w:rPr>
                <w:rStyle w:val="Hyperlink"/>
                <w:noProof/>
              </w:rPr>
              <w:t>2.7 Theme four: consumer response, affordability and category fit</w:t>
            </w:r>
            <w:r>
              <w:rPr>
                <w:noProof/>
                <w:webHidden/>
              </w:rPr>
              <w:tab/>
            </w:r>
            <w:r>
              <w:rPr>
                <w:noProof/>
                <w:webHidden/>
              </w:rPr>
              <w:fldChar w:fldCharType="begin"/>
            </w:r>
            <w:r>
              <w:rPr>
                <w:noProof/>
                <w:webHidden/>
              </w:rPr>
              <w:instrText xml:space="preserve"> PAGEREF _Toc240858667 \h </w:instrText>
            </w:r>
            <w:r>
              <w:rPr>
                <w:noProof/>
                <w:webHidden/>
              </w:rPr>
            </w:r>
            <w:r>
              <w:rPr>
                <w:noProof/>
                <w:webHidden/>
              </w:rPr>
              <w:fldChar w:fldCharType="separate"/>
            </w:r>
            <w:r>
              <w:rPr>
                <w:noProof/>
                <w:webHidden/>
              </w:rPr>
              <w:t>14</w:t>
            </w:r>
            <w:r>
              <w:rPr>
                <w:noProof/>
                <w:webHidden/>
              </w:rPr>
              <w:fldChar w:fldCharType="end"/>
            </w:r>
          </w:hyperlink>
        </w:p>
        <w:p w14:paraId="136E62D2" w14:textId="0316A899" w:rsidR="007E140B" w:rsidRDefault="007E140B">
          <w:pPr>
            <w:pStyle w:val="TOC2"/>
            <w:tabs>
              <w:tab w:val="right" w:leader="dot" w:pos="9350"/>
            </w:tabs>
            <w:rPr>
              <w:rFonts w:asciiTheme="minorHAnsi" w:eastAsiaTheme="minorEastAsia" w:hAnsiTheme="minorHAnsi"/>
              <w:noProof/>
              <w:color w:val="auto"/>
              <w:sz w:val="22"/>
            </w:rPr>
          </w:pPr>
          <w:hyperlink w:anchor="_Toc240858668" w:history="1">
            <w:r w:rsidRPr="00F14962">
              <w:rPr>
                <w:rStyle w:val="Hyperlink"/>
                <w:noProof/>
              </w:rPr>
              <w:t>2.8 Theme five: measurement divergence, assurance and greenwashing risk</w:t>
            </w:r>
            <w:r>
              <w:rPr>
                <w:noProof/>
                <w:webHidden/>
              </w:rPr>
              <w:tab/>
            </w:r>
            <w:r>
              <w:rPr>
                <w:noProof/>
                <w:webHidden/>
              </w:rPr>
              <w:fldChar w:fldCharType="begin"/>
            </w:r>
            <w:r>
              <w:rPr>
                <w:noProof/>
                <w:webHidden/>
              </w:rPr>
              <w:instrText xml:space="preserve"> PAGEREF _Toc240858668 \h </w:instrText>
            </w:r>
            <w:r>
              <w:rPr>
                <w:noProof/>
                <w:webHidden/>
              </w:rPr>
            </w:r>
            <w:r>
              <w:rPr>
                <w:noProof/>
                <w:webHidden/>
              </w:rPr>
              <w:fldChar w:fldCharType="separate"/>
            </w:r>
            <w:r>
              <w:rPr>
                <w:noProof/>
                <w:webHidden/>
              </w:rPr>
              <w:t>14</w:t>
            </w:r>
            <w:r>
              <w:rPr>
                <w:noProof/>
                <w:webHidden/>
              </w:rPr>
              <w:fldChar w:fldCharType="end"/>
            </w:r>
          </w:hyperlink>
        </w:p>
        <w:p w14:paraId="0CD1C1CC" w14:textId="25319DEF" w:rsidR="007E140B" w:rsidRDefault="007E140B">
          <w:pPr>
            <w:pStyle w:val="TOC2"/>
            <w:tabs>
              <w:tab w:val="right" w:leader="dot" w:pos="9350"/>
            </w:tabs>
            <w:rPr>
              <w:rFonts w:asciiTheme="minorHAnsi" w:eastAsiaTheme="minorEastAsia" w:hAnsiTheme="minorHAnsi"/>
              <w:noProof/>
              <w:color w:val="auto"/>
              <w:sz w:val="22"/>
            </w:rPr>
          </w:pPr>
          <w:hyperlink w:anchor="_Toc240858669" w:history="1">
            <w:r w:rsidRPr="00F14962">
              <w:rPr>
                <w:rStyle w:val="Hyperlink"/>
                <w:noProof/>
              </w:rPr>
              <w:t>2.9 Conceptual framework</w:t>
            </w:r>
            <w:r>
              <w:rPr>
                <w:noProof/>
                <w:webHidden/>
              </w:rPr>
              <w:tab/>
            </w:r>
            <w:r>
              <w:rPr>
                <w:noProof/>
                <w:webHidden/>
              </w:rPr>
              <w:fldChar w:fldCharType="begin"/>
            </w:r>
            <w:r>
              <w:rPr>
                <w:noProof/>
                <w:webHidden/>
              </w:rPr>
              <w:instrText xml:space="preserve"> PAGEREF _Toc240858669 \h </w:instrText>
            </w:r>
            <w:r>
              <w:rPr>
                <w:noProof/>
                <w:webHidden/>
              </w:rPr>
            </w:r>
            <w:r>
              <w:rPr>
                <w:noProof/>
                <w:webHidden/>
              </w:rPr>
              <w:fldChar w:fldCharType="separate"/>
            </w:r>
            <w:r>
              <w:rPr>
                <w:noProof/>
                <w:webHidden/>
              </w:rPr>
              <w:t>15</w:t>
            </w:r>
            <w:r>
              <w:rPr>
                <w:noProof/>
                <w:webHidden/>
              </w:rPr>
              <w:fldChar w:fldCharType="end"/>
            </w:r>
          </w:hyperlink>
        </w:p>
        <w:p w14:paraId="660468BA" w14:textId="4518F478" w:rsidR="007E140B" w:rsidRDefault="007E140B">
          <w:pPr>
            <w:pStyle w:val="TOC2"/>
            <w:tabs>
              <w:tab w:val="right" w:leader="dot" w:pos="9350"/>
            </w:tabs>
            <w:rPr>
              <w:rFonts w:asciiTheme="minorHAnsi" w:eastAsiaTheme="minorEastAsia" w:hAnsiTheme="minorHAnsi"/>
              <w:noProof/>
              <w:color w:val="auto"/>
              <w:sz w:val="22"/>
            </w:rPr>
          </w:pPr>
          <w:hyperlink w:anchor="_Toc240858670" w:history="1">
            <w:r w:rsidRPr="00F14962">
              <w:rPr>
                <w:rStyle w:val="Hyperlink"/>
                <w:noProof/>
              </w:rPr>
              <w:t>2.10 Research gap</w:t>
            </w:r>
            <w:r>
              <w:rPr>
                <w:noProof/>
                <w:webHidden/>
              </w:rPr>
              <w:tab/>
            </w:r>
            <w:r>
              <w:rPr>
                <w:noProof/>
                <w:webHidden/>
              </w:rPr>
              <w:fldChar w:fldCharType="begin"/>
            </w:r>
            <w:r>
              <w:rPr>
                <w:noProof/>
                <w:webHidden/>
              </w:rPr>
              <w:instrText xml:space="preserve"> PAGEREF _Toc240858670 \h </w:instrText>
            </w:r>
            <w:r>
              <w:rPr>
                <w:noProof/>
                <w:webHidden/>
              </w:rPr>
            </w:r>
            <w:r>
              <w:rPr>
                <w:noProof/>
                <w:webHidden/>
              </w:rPr>
              <w:fldChar w:fldCharType="separate"/>
            </w:r>
            <w:r>
              <w:rPr>
                <w:noProof/>
                <w:webHidden/>
              </w:rPr>
              <w:t>16</w:t>
            </w:r>
            <w:r>
              <w:rPr>
                <w:noProof/>
                <w:webHidden/>
              </w:rPr>
              <w:fldChar w:fldCharType="end"/>
            </w:r>
          </w:hyperlink>
        </w:p>
        <w:p w14:paraId="52329B8F" w14:textId="22ED50E8" w:rsidR="007E140B" w:rsidRDefault="007E140B">
          <w:pPr>
            <w:pStyle w:val="TOC1"/>
            <w:tabs>
              <w:tab w:val="right" w:leader="dot" w:pos="9350"/>
            </w:tabs>
            <w:rPr>
              <w:rFonts w:asciiTheme="minorHAnsi" w:eastAsiaTheme="minorEastAsia" w:hAnsiTheme="minorHAnsi"/>
              <w:noProof/>
              <w:color w:val="auto"/>
              <w:sz w:val="22"/>
            </w:rPr>
          </w:pPr>
          <w:hyperlink w:anchor="_Toc240858671" w:history="1">
            <w:r w:rsidRPr="00F14962">
              <w:rPr>
                <w:rStyle w:val="Hyperlink"/>
                <w:noProof/>
              </w:rPr>
              <w:t>Chapter 3: Research Methodology</w:t>
            </w:r>
            <w:r>
              <w:rPr>
                <w:noProof/>
                <w:webHidden/>
              </w:rPr>
              <w:tab/>
            </w:r>
            <w:r>
              <w:rPr>
                <w:noProof/>
                <w:webHidden/>
              </w:rPr>
              <w:fldChar w:fldCharType="begin"/>
            </w:r>
            <w:r>
              <w:rPr>
                <w:noProof/>
                <w:webHidden/>
              </w:rPr>
              <w:instrText xml:space="preserve"> PAGEREF _Toc240858671 \h </w:instrText>
            </w:r>
            <w:r>
              <w:rPr>
                <w:noProof/>
                <w:webHidden/>
              </w:rPr>
            </w:r>
            <w:r>
              <w:rPr>
                <w:noProof/>
                <w:webHidden/>
              </w:rPr>
              <w:fldChar w:fldCharType="separate"/>
            </w:r>
            <w:r>
              <w:rPr>
                <w:noProof/>
                <w:webHidden/>
              </w:rPr>
              <w:t>18</w:t>
            </w:r>
            <w:r>
              <w:rPr>
                <w:noProof/>
                <w:webHidden/>
              </w:rPr>
              <w:fldChar w:fldCharType="end"/>
            </w:r>
          </w:hyperlink>
        </w:p>
        <w:p w14:paraId="7A869DAE" w14:textId="44547C1B" w:rsidR="007E140B" w:rsidRDefault="007E140B">
          <w:pPr>
            <w:pStyle w:val="TOC2"/>
            <w:tabs>
              <w:tab w:val="right" w:leader="dot" w:pos="9350"/>
            </w:tabs>
            <w:rPr>
              <w:rFonts w:asciiTheme="minorHAnsi" w:eastAsiaTheme="minorEastAsia" w:hAnsiTheme="minorHAnsi"/>
              <w:noProof/>
              <w:color w:val="auto"/>
              <w:sz w:val="22"/>
            </w:rPr>
          </w:pPr>
          <w:hyperlink w:anchor="_Toc240858672" w:history="1">
            <w:r w:rsidRPr="00F14962">
              <w:rPr>
                <w:rStyle w:val="Hyperlink"/>
                <w:noProof/>
              </w:rPr>
              <w:t>3.1 Introduction</w:t>
            </w:r>
            <w:r>
              <w:rPr>
                <w:noProof/>
                <w:webHidden/>
              </w:rPr>
              <w:tab/>
            </w:r>
            <w:r>
              <w:rPr>
                <w:noProof/>
                <w:webHidden/>
              </w:rPr>
              <w:fldChar w:fldCharType="begin"/>
            </w:r>
            <w:r>
              <w:rPr>
                <w:noProof/>
                <w:webHidden/>
              </w:rPr>
              <w:instrText xml:space="preserve"> PAGEREF _Toc240858672 \h </w:instrText>
            </w:r>
            <w:r>
              <w:rPr>
                <w:noProof/>
                <w:webHidden/>
              </w:rPr>
            </w:r>
            <w:r>
              <w:rPr>
                <w:noProof/>
                <w:webHidden/>
              </w:rPr>
              <w:fldChar w:fldCharType="separate"/>
            </w:r>
            <w:r>
              <w:rPr>
                <w:noProof/>
                <w:webHidden/>
              </w:rPr>
              <w:t>18</w:t>
            </w:r>
            <w:r>
              <w:rPr>
                <w:noProof/>
                <w:webHidden/>
              </w:rPr>
              <w:fldChar w:fldCharType="end"/>
            </w:r>
          </w:hyperlink>
        </w:p>
        <w:p w14:paraId="195C0929" w14:textId="43413906" w:rsidR="007E140B" w:rsidRDefault="007E140B">
          <w:pPr>
            <w:pStyle w:val="TOC2"/>
            <w:tabs>
              <w:tab w:val="right" w:leader="dot" w:pos="9350"/>
            </w:tabs>
            <w:rPr>
              <w:rFonts w:asciiTheme="minorHAnsi" w:eastAsiaTheme="minorEastAsia" w:hAnsiTheme="minorHAnsi"/>
              <w:noProof/>
              <w:color w:val="auto"/>
              <w:sz w:val="22"/>
            </w:rPr>
          </w:pPr>
          <w:hyperlink w:anchor="_Toc240858673" w:history="1">
            <w:r w:rsidRPr="00F14962">
              <w:rPr>
                <w:rStyle w:val="Hyperlink"/>
                <w:noProof/>
              </w:rPr>
              <w:t>3.2 Research philosophy</w:t>
            </w:r>
            <w:r>
              <w:rPr>
                <w:noProof/>
                <w:webHidden/>
              </w:rPr>
              <w:tab/>
            </w:r>
            <w:r>
              <w:rPr>
                <w:noProof/>
                <w:webHidden/>
              </w:rPr>
              <w:fldChar w:fldCharType="begin"/>
            </w:r>
            <w:r>
              <w:rPr>
                <w:noProof/>
                <w:webHidden/>
              </w:rPr>
              <w:instrText xml:space="preserve"> PAGEREF _Toc240858673 \h </w:instrText>
            </w:r>
            <w:r>
              <w:rPr>
                <w:noProof/>
                <w:webHidden/>
              </w:rPr>
            </w:r>
            <w:r>
              <w:rPr>
                <w:noProof/>
                <w:webHidden/>
              </w:rPr>
              <w:fldChar w:fldCharType="separate"/>
            </w:r>
            <w:r>
              <w:rPr>
                <w:noProof/>
                <w:webHidden/>
              </w:rPr>
              <w:t>18</w:t>
            </w:r>
            <w:r>
              <w:rPr>
                <w:noProof/>
                <w:webHidden/>
              </w:rPr>
              <w:fldChar w:fldCharType="end"/>
            </w:r>
          </w:hyperlink>
        </w:p>
        <w:p w14:paraId="7AD82190" w14:textId="47329955" w:rsidR="007E140B" w:rsidRDefault="007E140B">
          <w:pPr>
            <w:pStyle w:val="TOC2"/>
            <w:tabs>
              <w:tab w:val="right" w:leader="dot" w:pos="9350"/>
            </w:tabs>
            <w:rPr>
              <w:rFonts w:asciiTheme="minorHAnsi" w:eastAsiaTheme="minorEastAsia" w:hAnsiTheme="minorHAnsi"/>
              <w:noProof/>
              <w:color w:val="auto"/>
              <w:sz w:val="22"/>
            </w:rPr>
          </w:pPr>
          <w:hyperlink w:anchor="_Toc240858674" w:history="1">
            <w:r w:rsidRPr="00F14962">
              <w:rPr>
                <w:rStyle w:val="Hyperlink"/>
                <w:noProof/>
              </w:rPr>
              <w:t>3.3 Research approach</w:t>
            </w:r>
            <w:r>
              <w:rPr>
                <w:noProof/>
                <w:webHidden/>
              </w:rPr>
              <w:tab/>
            </w:r>
            <w:r>
              <w:rPr>
                <w:noProof/>
                <w:webHidden/>
              </w:rPr>
              <w:fldChar w:fldCharType="begin"/>
            </w:r>
            <w:r>
              <w:rPr>
                <w:noProof/>
                <w:webHidden/>
              </w:rPr>
              <w:instrText xml:space="preserve"> PAGEREF _Toc240858674 \h </w:instrText>
            </w:r>
            <w:r>
              <w:rPr>
                <w:noProof/>
                <w:webHidden/>
              </w:rPr>
            </w:r>
            <w:r>
              <w:rPr>
                <w:noProof/>
                <w:webHidden/>
              </w:rPr>
              <w:fldChar w:fldCharType="separate"/>
            </w:r>
            <w:r>
              <w:rPr>
                <w:noProof/>
                <w:webHidden/>
              </w:rPr>
              <w:t>18</w:t>
            </w:r>
            <w:r>
              <w:rPr>
                <w:noProof/>
                <w:webHidden/>
              </w:rPr>
              <w:fldChar w:fldCharType="end"/>
            </w:r>
          </w:hyperlink>
        </w:p>
        <w:p w14:paraId="508C8FF1" w14:textId="44489B09" w:rsidR="007E140B" w:rsidRDefault="007E140B">
          <w:pPr>
            <w:pStyle w:val="TOC2"/>
            <w:tabs>
              <w:tab w:val="right" w:leader="dot" w:pos="9350"/>
            </w:tabs>
            <w:rPr>
              <w:rFonts w:asciiTheme="minorHAnsi" w:eastAsiaTheme="minorEastAsia" w:hAnsiTheme="minorHAnsi"/>
              <w:noProof/>
              <w:color w:val="auto"/>
              <w:sz w:val="22"/>
            </w:rPr>
          </w:pPr>
          <w:hyperlink w:anchor="_Toc240858675" w:history="1">
            <w:r w:rsidRPr="00F14962">
              <w:rPr>
                <w:rStyle w:val="Hyperlink"/>
                <w:noProof/>
              </w:rPr>
              <w:t>3.4 Research Design and case logic</w:t>
            </w:r>
            <w:r>
              <w:rPr>
                <w:noProof/>
                <w:webHidden/>
              </w:rPr>
              <w:tab/>
            </w:r>
            <w:r>
              <w:rPr>
                <w:noProof/>
                <w:webHidden/>
              </w:rPr>
              <w:fldChar w:fldCharType="begin"/>
            </w:r>
            <w:r>
              <w:rPr>
                <w:noProof/>
                <w:webHidden/>
              </w:rPr>
              <w:instrText xml:space="preserve"> PAGEREF _Toc240858675 \h </w:instrText>
            </w:r>
            <w:r>
              <w:rPr>
                <w:noProof/>
                <w:webHidden/>
              </w:rPr>
            </w:r>
            <w:r>
              <w:rPr>
                <w:noProof/>
                <w:webHidden/>
              </w:rPr>
              <w:fldChar w:fldCharType="separate"/>
            </w:r>
            <w:r>
              <w:rPr>
                <w:noProof/>
                <w:webHidden/>
              </w:rPr>
              <w:t>19</w:t>
            </w:r>
            <w:r>
              <w:rPr>
                <w:noProof/>
                <w:webHidden/>
              </w:rPr>
              <w:fldChar w:fldCharType="end"/>
            </w:r>
          </w:hyperlink>
        </w:p>
        <w:p w14:paraId="3B7AE97E" w14:textId="20302D45" w:rsidR="007E140B" w:rsidRDefault="007E140B">
          <w:pPr>
            <w:pStyle w:val="TOC2"/>
            <w:tabs>
              <w:tab w:val="right" w:leader="dot" w:pos="9350"/>
            </w:tabs>
            <w:rPr>
              <w:rFonts w:asciiTheme="minorHAnsi" w:eastAsiaTheme="minorEastAsia" w:hAnsiTheme="minorHAnsi"/>
              <w:noProof/>
              <w:color w:val="auto"/>
              <w:sz w:val="22"/>
            </w:rPr>
          </w:pPr>
          <w:hyperlink w:anchor="_Toc240858676" w:history="1">
            <w:r w:rsidRPr="00F14962">
              <w:rPr>
                <w:rStyle w:val="Hyperlink"/>
                <w:noProof/>
              </w:rPr>
              <w:t>3.5 Evidence identification and selection</w:t>
            </w:r>
            <w:r>
              <w:rPr>
                <w:noProof/>
                <w:webHidden/>
              </w:rPr>
              <w:tab/>
            </w:r>
            <w:r>
              <w:rPr>
                <w:noProof/>
                <w:webHidden/>
              </w:rPr>
              <w:fldChar w:fldCharType="begin"/>
            </w:r>
            <w:r>
              <w:rPr>
                <w:noProof/>
                <w:webHidden/>
              </w:rPr>
              <w:instrText xml:space="preserve"> PAGEREF _Toc240858676 \h </w:instrText>
            </w:r>
            <w:r>
              <w:rPr>
                <w:noProof/>
                <w:webHidden/>
              </w:rPr>
            </w:r>
            <w:r>
              <w:rPr>
                <w:noProof/>
                <w:webHidden/>
              </w:rPr>
              <w:fldChar w:fldCharType="separate"/>
            </w:r>
            <w:r>
              <w:rPr>
                <w:noProof/>
                <w:webHidden/>
              </w:rPr>
              <w:t>19</w:t>
            </w:r>
            <w:r>
              <w:rPr>
                <w:noProof/>
                <w:webHidden/>
              </w:rPr>
              <w:fldChar w:fldCharType="end"/>
            </w:r>
          </w:hyperlink>
        </w:p>
        <w:p w14:paraId="755C518D" w14:textId="31FF3D0F" w:rsidR="007E140B" w:rsidRDefault="007E140B">
          <w:pPr>
            <w:pStyle w:val="TOC2"/>
            <w:tabs>
              <w:tab w:val="right" w:leader="dot" w:pos="9350"/>
            </w:tabs>
            <w:rPr>
              <w:rFonts w:asciiTheme="minorHAnsi" w:eastAsiaTheme="minorEastAsia" w:hAnsiTheme="minorHAnsi"/>
              <w:noProof/>
              <w:color w:val="auto"/>
              <w:sz w:val="22"/>
            </w:rPr>
          </w:pPr>
          <w:hyperlink w:anchor="_Toc240858677" w:history="1">
            <w:r w:rsidRPr="00F14962">
              <w:rPr>
                <w:rStyle w:val="Hyperlink"/>
                <w:noProof/>
              </w:rPr>
              <w:t>3.6 Data extraction and operationalisation</w:t>
            </w:r>
            <w:r>
              <w:rPr>
                <w:noProof/>
                <w:webHidden/>
              </w:rPr>
              <w:tab/>
            </w:r>
            <w:r>
              <w:rPr>
                <w:noProof/>
                <w:webHidden/>
              </w:rPr>
              <w:fldChar w:fldCharType="begin"/>
            </w:r>
            <w:r>
              <w:rPr>
                <w:noProof/>
                <w:webHidden/>
              </w:rPr>
              <w:instrText xml:space="preserve"> PAGEREF _Toc240858677 \h </w:instrText>
            </w:r>
            <w:r>
              <w:rPr>
                <w:noProof/>
                <w:webHidden/>
              </w:rPr>
            </w:r>
            <w:r>
              <w:rPr>
                <w:noProof/>
                <w:webHidden/>
              </w:rPr>
              <w:fldChar w:fldCharType="separate"/>
            </w:r>
            <w:r>
              <w:rPr>
                <w:noProof/>
                <w:webHidden/>
              </w:rPr>
              <w:t>21</w:t>
            </w:r>
            <w:r>
              <w:rPr>
                <w:noProof/>
                <w:webHidden/>
              </w:rPr>
              <w:fldChar w:fldCharType="end"/>
            </w:r>
          </w:hyperlink>
        </w:p>
        <w:p w14:paraId="71B172B3" w14:textId="554EC92D" w:rsidR="007E140B" w:rsidRDefault="007E140B">
          <w:pPr>
            <w:pStyle w:val="TOC2"/>
            <w:tabs>
              <w:tab w:val="right" w:leader="dot" w:pos="9350"/>
            </w:tabs>
            <w:rPr>
              <w:rFonts w:asciiTheme="minorHAnsi" w:eastAsiaTheme="minorEastAsia" w:hAnsiTheme="minorHAnsi"/>
              <w:noProof/>
              <w:color w:val="auto"/>
              <w:sz w:val="22"/>
            </w:rPr>
          </w:pPr>
          <w:hyperlink w:anchor="_Toc240858678" w:history="1">
            <w:r w:rsidRPr="00F14962">
              <w:rPr>
                <w:rStyle w:val="Hyperlink"/>
                <w:noProof/>
              </w:rPr>
              <w:t>3.7 Analytical procedure</w:t>
            </w:r>
            <w:r>
              <w:rPr>
                <w:noProof/>
                <w:webHidden/>
              </w:rPr>
              <w:tab/>
            </w:r>
            <w:r>
              <w:rPr>
                <w:noProof/>
                <w:webHidden/>
              </w:rPr>
              <w:fldChar w:fldCharType="begin"/>
            </w:r>
            <w:r>
              <w:rPr>
                <w:noProof/>
                <w:webHidden/>
              </w:rPr>
              <w:instrText xml:space="preserve"> PAGEREF _Toc240858678 \h </w:instrText>
            </w:r>
            <w:r>
              <w:rPr>
                <w:noProof/>
                <w:webHidden/>
              </w:rPr>
            </w:r>
            <w:r>
              <w:rPr>
                <w:noProof/>
                <w:webHidden/>
              </w:rPr>
              <w:fldChar w:fldCharType="separate"/>
            </w:r>
            <w:r>
              <w:rPr>
                <w:noProof/>
                <w:webHidden/>
              </w:rPr>
              <w:t>24</w:t>
            </w:r>
            <w:r>
              <w:rPr>
                <w:noProof/>
                <w:webHidden/>
              </w:rPr>
              <w:fldChar w:fldCharType="end"/>
            </w:r>
          </w:hyperlink>
        </w:p>
        <w:p w14:paraId="3F8A2D32" w14:textId="2A1C33FA" w:rsidR="007E140B" w:rsidRDefault="007E140B">
          <w:pPr>
            <w:pStyle w:val="TOC2"/>
            <w:tabs>
              <w:tab w:val="right" w:leader="dot" w:pos="9350"/>
            </w:tabs>
            <w:rPr>
              <w:rFonts w:asciiTheme="minorHAnsi" w:eastAsiaTheme="minorEastAsia" w:hAnsiTheme="minorHAnsi"/>
              <w:noProof/>
              <w:color w:val="auto"/>
              <w:sz w:val="22"/>
            </w:rPr>
          </w:pPr>
          <w:hyperlink w:anchor="_Toc240858679" w:history="1">
            <w:r w:rsidRPr="00F14962">
              <w:rPr>
                <w:rStyle w:val="Hyperlink"/>
                <w:noProof/>
              </w:rPr>
              <w:t>3.8 Research quality and reflexivity</w:t>
            </w:r>
            <w:r>
              <w:rPr>
                <w:noProof/>
                <w:webHidden/>
              </w:rPr>
              <w:tab/>
            </w:r>
            <w:r>
              <w:rPr>
                <w:noProof/>
                <w:webHidden/>
              </w:rPr>
              <w:fldChar w:fldCharType="begin"/>
            </w:r>
            <w:r>
              <w:rPr>
                <w:noProof/>
                <w:webHidden/>
              </w:rPr>
              <w:instrText xml:space="preserve"> PAGEREF _Toc240858679 \h </w:instrText>
            </w:r>
            <w:r>
              <w:rPr>
                <w:noProof/>
                <w:webHidden/>
              </w:rPr>
            </w:r>
            <w:r>
              <w:rPr>
                <w:noProof/>
                <w:webHidden/>
              </w:rPr>
              <w:fldChar w:fldCharType="separate"/>
            </w:r>
            <w:r>
              <w:rPr>
                <w:noProof/>
                <w:webHidden/>
              </w:rPr>
              <w:t>25</w:t>
            </w:r>
            <w:r>
              <w:rPr>
                <w:noProof/>
                <w:webHidden/>
              </w:rPr>
              <w:fldChar w:fldCharType="end"/>
            </w:r>
          </w:hyperlink>
        </w:p>
        <w:p w14:paraId="32F4ADDB" w14:textId="13540830" w:rsidR="007E140B" w:rsidRDefault="007E140B">
          <w:pPr>
            <w:pStyle w:val="TOC2"/>
            <w:tabs>
              <w:tab w:val="right" w:leader="dot" w:pos="9350"/>
            </w:tabs>
            <w:rPr>
              <w:rFonts w:asciiTheme="minorHAnsi" w:eastAsiaTheme="minorEastAsia" w:hAnsiTheme="minorHAnsi"/>
              <w:noProof/>
              <w:color w:val="auto"/>
              <w:sz w:val="22"/>
            </w:rPr>
          </w:pPr>
          <w:hyperlink w:anchor="_Toc240858680" w:history="1">
            <w:r w:rsidRPr="00F14962">
              <w:rPr>
                <w:rStyle w:val="Hyperlink"/>
                <w:noProof/>
              </w:rPr>
              <w:t>3.9 Ethical considerations</w:t>
            </w:r>
            <w:r>
              <w:rPr>
                <w:noProof/>
                <w:webHidden/>
              </w:rPr>
              <w:tab/>
            </w:r>
            <w:r>
              <w:rPr>
                <w:noProof/>
                <w:webHidden/>
              </w:rPr>
              <w:fldChar w:fldCharType="begin"/>
            </w:r>
            <w:r>
              <w:rPr>
                <w:noProof/>
                <w:webHidden/>
              </w:rPr>
              <w:instrText xml:space="preserve"> PAGEREF _Toc240858680 \h </w:instrText>
            </w:r>
            <w:r>
              <w:rPr>
                <w:noProof/>
                <w:webHidden/>
              </w:rPr>
            </w:r>
            <w:r>
              <w:rPr>
                <w:noProof/>
                <w:webHidden/>
              </w:rPr>
              <w:fldChar w:fldCharType="separate"/>
            </w:r>
            <w:r>
              <w:rPr>
                <w:noProof/>
                <w:webHidden/>
              </w:rPr>
              <w:t>25</w:t>
            </w:r>
            <w:r>
              <w:rPr>
                <w:noProof/>
                <w:webHidden/>
              </w:rPr>
              <w:fldChar w:fldCharType="end"/>
            </w:r>
          </w:hyperlink>
        </w:p>
        <w:p w14:paraId="6FBE8A77" w14:textId="1024266E" w:rsidR="007E140B" w:rsidRDefault="007E140B">
          <w:pPr>
            <w:pStyle w:val="TOC2"/>
            <w:tabs>
              <w:tab w:val="right" w:leader="dot" w:pos="9350"/>
            </w:tabs>
            <w:rPr>
              <w:rFonts w:asciiTheme="minorHAnsi" w:eastAsiaTheme="minorEastAsia" w:hAnsiTheme="minorHAnsi"/>
              <w:noProof/>
              <w:color w:val="auto"/>
              <w:sz w:val="22"/>
            </w:rPr>
          </w:pPr>
          <w:hyperlink w:anchor="_Toc240858681" w:history="1">
            <w:r w:rsidRPr="00F14962">
              <w:rPr>
                <w:rStyle w:val="Hyperlink"/>
                <w:noProof/>
              </w:rPr>
              <w:t>3.10 Methodological limitations</w:t>
            </w:r>
            <w:r>
              <w:rPr>
                <w:noProof/>
                <w:webHidden/>
              </w:rPr>
              <w:tab/>
            </w:r>
            <w:r>
              <w:rPr>
                <w:noProof/>
                <w:webHidden/>
              </w:rPr>
              <w:fldChar w:fldCharType="begin"/>
            </w:r>
            <w:r>
              <w:rPr>
                <w:noProof/>
                <w:webHidden/>
              </w:rPr>
              <w:instrText xml:space="preserve"> PAGEREF _Toc240858681 \h </w:instrText>
            </w:r>
            <w:r>
              <w:rPr>
                <w:noProof/>
                <w:webHidden/>
              </w:rPr>
            </w:r>
            <w:r>
              <w:rPr>
                <w:noProof/>
                <w:webHidden/>
              </w:rPr>
              <w:fldChar w:fldCharType="separate"/>
            </w:r>
            <w:r>
              <w:rPr>
                <w:noProof/>
                <w:webHidden/>
              </w:rPr>
              <w:t>26</w:t>
            </w:r>
            <w:r>
              <w:rPr>
                <w:noProof/>
                <w:webHidden/>
              </w:rPr>
              <w:fldChar w:fldCharType="end"/>
            </w:r>
          </w:hyperlink>
        </w:p>
        <w:p w14:paraId="7BD2E43F" w14:textId="23A3A466" w:rsidR="007E140B" w:rsidRDefault="007E140B">
          <w:pPr>
            <w:pStyle w:val="TOC1"/>
            <w:tabs>
              <w:tab w:val="right" w:leader="dot" w:pos="9350"/>
            </w:tabs>
            <w:rPr>
              <w:rFonts w:asciiTheme="minorHAnsi" w:eastAsiaTheme="minorEastAsia" w:hAnsiTheme="minorHAnsi"/>
              <w:noProof/>
              <w:color w:val="auto"/>
              <w:sz w:val="22"/>
            </w:rPr>
          </w:pPr>
          <w:hyperlink w:anchor="_Toc240858682" w:history="1">
            <w:r w:rsidRPr="00F14962">
              <w:rPr>
                <w:rStyle w:val="Hyperlink"/>
                <w:rFonts w:cs="Arial"/>
                <w:noProof/>
              </w:rPr>
              <w:t>Chapter 4: Data Analysis and Findings</w:t>
            </w:r>
            <w:r>
              <w:rPr>
                <w:noProof/>
                <w:webHidden/>
              </w:rPr>
              <w:tab/>
            </w:r>
            <w:r>
              <w:rPr>
                <w:noProof/>
                <w:webHidden/>
              </w:rPr>
              <w:fldChar w:fldCharType="begin"/>
            </w:r>
            <w:r>
              <w:rPr>
                <w:noProof/>
                <w:webHidden/>
              </w:rPr>
              <w:instrText xml:space="preserve"> PAGEREF _Toc240858682 \h </w:instrText>
            </w:r>
            <w:r>
              <w:rPr>
                <w:noProof/>
                <w:webHidden/>
              </w:rPr>
            </w:r>
            <w:r>
              <w:rPr>
                <w:noProof/>
                <w:webHidden/>
              </w:rPr>
              <w:fldChar w:fldCharType="separate"/>
            </w:r>
            <w:r>
              <w:rPr>
                <w:noProof/>
                <w:webHidden/>
              </w:rPr>
              <w:t>27</w:t>
            </w:r>
            <w:r>
              <w:rPr>
                <w:noProof/>
                <w:webHidden/>
              </w:rPr>
              <w:fldChar w:fldCharType="end"/>
            </w:r>
          </w:hyperlink>
        </w:p>
        <w:p w14:paraId="648B502D" w14:textId="0C411E29" w:rsidR="007E140B" w:rsidRDefault="007E140B">
          <w:pPr>
            <w:pStyle w:val="TOC2"/>
            <w:tabs>
              <w:tab w:val="right" w:leader="dot" w:pos="9350"/>
            </w:tabs>
            <w:rPr>
              <w:rFonts w:asciiTheme="minorHAnsi" w:eastAsiaTheme="minorEastAsia" w:hAnsiTheme="minorHAnsi"/>
              <w:noProof/>
              <w:color w:val="auto"/>
              <w:sz w:val="22"/>
            </w:rPr>
          </w:pPr>
          <w:hyperlink w:anchor="_Toc240858683" w:history="1">
            <w:r w:rsidRPr="00F14962">
              <w:rPr>
                <w:rStyle w:val="Hyperlink"/>
                <w:rFonts w:cs="Arial"/>
                <w:noProof/>
              </w:rPr>
              <w:t>4.1 Introduction</w:t>
            </w:r>
            <w:r>
              <w:rPr>
                <w:noProof/>
                <w:webHidden/>
              </w:rPr>
              <w:tab/>
            </w:r>
            <w:r>
              <w:rPr>
                <w:noProof/>
                <w:webHidden/>
              </w:rPr>
              <w:fldChar w:fldCharType="begin"/>
            </w:r>
            <w:r>
              <w:rPr>
                <w:noProof/>
                <w:webHidden/>
              </w:rPr>
              <w:instrText xml:space="preserve"> PAGEREF _Toc240858683 \h </w:instrText>
            </w:r>
            <w:r>
              <w:rPr>
                <w:noProof/>
                <w:webHidden/>
              </w:rPr>
            </w:r>
            <w:r>
              <w:rPr>
                <w:noProof/>
                <w:webHidden/>
              </w:rPr>
              <w:fldChar w:fldCharType="separate"/>
            </w:r>
            <w:r>
              <w:rPr>
                <w:noProof/>
                <w:webHidden/>
              </w:rPr>
              <w:t>27</w:t>
            </w:r>
            <w:r>
              <w:rPr>
                <w:noProof/>
                <w:webHidden/>
              </w:rPr>
              <w:fldChar w:fldCharType="end"/>
            </w:r>
          </w:hyperlink>
        </w:p>
        <w:p w14:paraId="4F8FC1F6" w14:textId="11A93CCA" w:rsidR="007E140B" w:rsidRDefault="007E140B">
          <w:pPr>
            <w:pStyle w:val="TOC2"/>
            <w:tabs>
              <w:tab w:val="right" w:leader="dot" w:pos="9350"/>
            </w:tabs>
            <w:rPr>
              <w:rFonts w:asciiTheme="minorHAnsi" w:eastAsiaTheme="minorEastAsia" w:hAnsiTheme="minorHAnsi"/>
              <w:noProof/>
              <w:color w:val="auto"/>
              <w:sz w:val="22"/>
            </w:rPr>
          </w:pPr>
          <w:hyperlink w:anchor="_Toc240858684" w:history="1">
            <w:r w:rsidRPr="00F14962">
              <w:rPr>
                <w:rStyle w:val="Hyperlink"/>
                <w:rFonts w:cs="Arial"/>
                <w:noProof/>
              </w:rPr>
              <w:t>4.2 Cross-case strategic configuration</w:t>
            </w:r>
            <w:r>
              <w:rPr>
                <w:noProof/>
                <w:webHidden/>
              </w:rPr>
              <w:tab/>
            </w:r>
            <w:r>
              <w:rPr>
                <w:noProof/>
                <w:webHidden/>
              </w:rPr>
              <w:fldChar w:fldCharType="begin"/>
            </w:r>
            <w:r>
              <w:rPr>
                <w:noProof/>
                <w:webHidden/>
              </w:rPr>
              <w:instrText xml:space="preserve"> PAGEREF _Toc240858684 \h </w:instrText>
            </w:r>
            <w:r>
              <w:rPr>
                <w:noProof/>
                <w:webHidden/>
              </w:rPr>
            </w:r>
            <w:r>
              <w:rPr>
                <w:noProof/>
                <w:webHidden/>
              </w:rPr>
              <w:fldChar w:fldCharType="separate"/>
            </w:r>
            <w:r>
              <w:rPr>
                <w:noProof/>
                <w:webHidden/>
              </w:rPr>
              <w:t>27</w:t>
            </w:r>
            <w:r>
              <w:rPr>
                <w:noProof/>
                <w:webHidden/>
              </w:rPr>
              <w:fldChar w:fldCharType="end"/>
            </w:r>
          </w:hyperlink>
        </w:p>
        <w:p w14:paraId="5910DE9F" w14:textId="5551A3FF" w:rsidR="007E140B" w:rsidRDefault="007E140B">
          <w:pPr>
            <w:pStyle w:val="TOC2"/>
            <w:tabs>
              <w:tab w:val="right" w:leader="dot" w:pos="9350"/>
            </w:tabs>
            <w:rPr>
              <w:rFonts w:asciiTheme="minorHAnsi" w:eastAsiaTheme="minorEastAsia" w:hAnsiTheme="minorHAnsi"/>
              <w:noProof/>
              <w:color w:val="auto"/>
              <w:sz w:val="22"/>
            </w:rPr>
          </w:pPr>
          <w:hyperlink w:anchor="_Toc240858685" w:history="1">
            <w:r w:rsidRPr="00F14962">
              <w:rPr>
                <w:rStyle w:val="Hyperlink"/>
                <w:rFonts w:cs="Arial"/>
                <w:noProof/>
              </w:rPr>
              <w:t>4.3 Unilever: mature systems, operational progress and claim scrutiny</w:t>
            </w:r>
            <w:r>
              <w:rPr>
                <w:noProof/>
                <w:webHidden/>
              </w:rPr>
              <w:tab/>
            </w:r>
            <w:r>
              <w:rPr>
                <w:noProof/>
                <w:webHidden/>
              </w:rPr>
              <w:fldChar w:fldCharType="begin"/>
            </w:r>
            <w:r>
              <w:rPr>
                <w:noProof/>
                <w:webHidden/>
              </w:rPr>
              <w:instrText xml:space="preserve"> PAGEREF _Toc240858685 \h </w:instrText>
            </w:r>
            <w:r>
              <w:rPr>
                <w:noProof/>
                <w:webHidden/>
              </w:rPr>
            </w:r>
            <w:r>
              <w:rPr>
                <w:noProof/>
                <w:webHidden/>
              </w:rPr>
              <w:fldChar w:fldCharType="separate"/>
            </w:r>
            <w:r>
              <w:rPr>
                <w:noProof/>
                <w:webHidden/>
              </w:rPr>
              <w:t>29</w:t>
            </w:r>
            <w:r>
              <w:rPr>
                <w:noProof/>
                <w:webHidden/>
              </w:rPr>
              <w:fldChar w:fldCharType="end"/>
            </w:r>
          </w:hyperlink>
        </w:p>
        <w:p w14:paraId="773954F2" w14:textId="295F7C16" w:rsidR="007E140B" w:rsidRDefault="007E140B">
          <w:pPr>
            <w:pStyle w:val="TOC2"/>
            <w:tabs>
              <w:tab w:val="right" w:leader="dot" w:pos="9350"/>
            </w:tabs>
            <w:rPr>
              <w:rFonts w:asciiTheme="minorHAnsi" w:eastAsiaTheme="minorEastAsia" w:hAnsiTheme="minorHAnsi"/>
              <w:noProof/>
              <w:color w:val="auto"/>
              <w:sz w:val="22"/>
            </w:rPr>
          </w:pPr>
          <w:hyperlink w:anchor="_Toc240858686" w:history="1">
            <w:r w:rsidRPr="00F14962">
              <w:rPr>
                <w:rStyle w:val="Hyperlink"/>
                <w:rFonts w:cs="Arial"/>
                <w:noProof/>
              </w:rPr>
              <w:t>4.4 Reckitt: sustainable-product integration, target recalibration and governance exposure</w:t>
            </w:r>
            <w:r>
              <w:rPr>
                <w:noProof/>
                <w:webHidden/>
              </w:rPr>
              <w:tab/>
            </w:r>
            <w:r>
              <w:rPr>
                <w:noProof/>
                <w:webHidden/>
              </w:rPr>
              <w:fldChar w:fldCharType="begin"/>
            </w:r>
            <w:r>
              <w:rPr>
                <w:noProof/>
                <w:webHidden/>
              </w:rPr>
              <w:instrText xml:space="preserve"> PAGEREF _Toc240858686 \h </w:instrText>
            </w:r>
            <w:r>
              <w:rPr>
                <w:noProof/>
                <w:webHidden/>
              </w:rPr>
            </w:r>
            <w:r>
              <w:rPr>
                <w:noProof/>
                <w:webHidden/>
              </w:rPr>
              <w:fldChar w:fldCharType="separate"/>
            </w:r>
            <w:r>
              <w:rPr>
                <w:noProof/>
                <w:webHidden/>
              </w:rPr>
              <w:t>31</w:t>
            </w:r>
            <w:r>
              <w:rPr>
                <w:noProof/>
                <w:webHidden/>
              </w:rPr>
              <w:fldChar w:fldCharType="end"/>
            </w:r>
          </w:hyperlink>
        </w:p>
        <w:p w14:paraId="6D7CCA49" w14:textId="775B3987" w:rsidR="007E140B" w:rsidRDefault="007E140B">
          <w:pPr>
            <w:pStyle w:val="TOC2"/>
            <w:tabs>
              <w:tab w:val="right" w:leader="dot" w:pos="9350"/>
            </w:tabs>
            <w:rPr>
              <w:rFonts w:asciiTheme="minorHAnsi" w:eastAsiaTheme="minorEastAsia" w:hAnsiTheme="minorHAnsi"/>
              <w:noProof/>
              <w:color w:val="auto"/>
              <w:sz w:val="22"/>
            </w:rPr>
          </w:pPr>
          <w:hyperlink w:anchor="_Toc240858687" w:history="1">
            <w:r w:rsidRPr="00F14962">
              <w:rPr>
                <w:rStyle w:val="Hyperlink"/>
                <w:rFonts w:cs="Arial"/>
                <w:noProof/>
              </w:rPr>
              <w:t>4.5 Diageo: category-specific social purpose, credible external signals and commercial counter-evidence</w:t>
            </w:r>
            <w:r>
              <w:rPr>
                <w:noProof/>
                <w:webHidden/>
              </w:rPr>
              <w:tab/>
            </w:r>
            <w:r>
              <w:rPr>
                <w:noProof/>
                <w:webHidden/>
              </w:rPr>
              <w:fldChar w:fldCharType="begin"/>
            </w:r>
            <w:r>
              <w:rPr>
                <w:noProof/>
                <w:webHidden/>
              </w:rPr>
              <w:instrText xml:space="preserve"> PAGEREF _Toc240858687 \h </w:instrText>
            </w:r>
            <w:r>
              <w:rPr>
                <w:noProof/>
                <w:webHidden/>
              </w:rPr>
            </w:r>
            <w:r>
              <w:rPr>
                <w:noProof/>
                <w:webHidden/>
              </w:rPr>
              <w:fldChar w:fldCharType="separate"/>
            </w:r>
            <w:r>
              <w:rPr>
                <w:noProof/>
                <w:webHidden/>
              </w:rPr>
              <w:t>32</w:t>
            </w:r>
            <w:r>
              <w:rPr>
                <w:noProof/>
                <w:webHidden/>
              </w:rPr>
              <w:fldChar w:fldCharType="end"/>
            </w:r>
          </w:hyperlink>
        </w:p>
        <w:p w14:paraId="676954D1" w14:textId="11E65B65" w:rsidR="007E140B" w:rsidRDefault="007E140B">
          <w:pPr>
            <w:pStyle w:val="TOC2"/>
            <w:tabs>
              <w:tab w:val="right" w:leader="dot" w:pos="9350"/>
            </w:tabs>
            <w:rPr>
              <w:rFonts w:asciiTheme="minorHAnsi" w:eastAsiaTheme="minorEastAsia" w:hAnsiTheme="minorHAnsi"/>
              <w:noProof/>
              <w:color w:val="auto"/>
              <w:sz w:val="22"/>
            </w:rPr>
          </w:pPr>
          <w:hyperlink w:anchor="_Toc240858688" w:history="1">
            <w:r w:rsidRPr="00F14962">
              <w:rPr>
                <w:rStyle w:val="Hyperlink"/>
                <w:rFonts w:cs="Arial"/>
                <w:noProof/>
              </w:rPr>
              <w:t>4.6 Associated British Foods: decentralised materiality, affordability and portfolio confounding</w:t>
            </w:r>
            <w:r>
              <w:rPr>
                <w:noProof/>
                <w:webHidden/>
              </w:rPr>
              <w:tab/>
            </w:r>
            <w:r>
              <w:rPr>
                <w:noProof/>
                <w:webHidden/>
              </w:rPr>
              <w:fldChar w:fldCharType="begin"/>
            </w:r>
            <w:r>
              <w:rPr>
                <w:noProof/>
                <w:webHidden/>
              </w:rPr>
              <w:instrText xml:space="preserve"> PAGEREF _Toc240858688 \h </w:instrText>
            </w:r>
            <w:r>
              <w:rPr>
                <w:noProof/>
                <w:webHidden/>
              </w:rPr>
            </w:r>
            <w:r>
              <w:rPr>
                <w:noProof/>
                <w:webHidden/>
              </w:rPr>
              <w:fldChar w:fldCharType="separate"/>
            </w:r>
            <w:r>
              <w:rPr>
                <w:noProof/>
                <w:webHidden/>
              </w:rPr>
              <w:t>34</w:t>
            </w:r>
            <w:r>
              <w:rPr>
                <w:noProof/>
                <w:webHidden/>
              </w:rPr>
              <w:fldChar w:fldCharType="end"/>
            </w:r>
          </w:hyperlink>
        </w:p>
        <w:p w14:paraId="4EE7D155" w14:textId="33AC1681" w:rsidR="007E140B" w:rsidRDefault="007E140B">
          <w:pPr>
            <w:pStyle w:val="TOC2"/>
            <w:tabs>
              <w:tab w:val="right" w:leader="dot" w:pos="9350"/>
            </w:tabs>
            <w:rPr>
              <w:rFonts w:asciiTheme="minorHAnsi" w:eastAsiaTheme="minorEastAsia" w:hAnsiTheme="minorHAnsi"/>
              <w:noProof/>
              <w:color w:val="auto"/>
              <w:sz w:val="22"/>
            </w:rPr>
          </w:pPr>
          <w:hyperlink w:anchor="_Toc240858689" w:history="1">
            <w:r w:rsidRPr="00F14962">
              <w:rPr>
                <w:rStyle w:val="Hyperlink"/>
                <w:rFonts w:cs="Arial"/>
                <w:noProof/>
              </w:rPr>
              <w:t>4.7 Cross-case synthesis</w:t>
            </w:r>
            <w:r>
              <w:rPr>
                <w:noProof/>
                <w:webHidden/>
              </w:rPr>
              <w:tab/>
            </w:r>
            <w:r>
              <w:rPr>
                <w:noProof/>
                <w:webHidden/>
              </w:rPr>
              <w:fldChar w:fldCharType="begin"/>
            </w:r>
            <w:r>
              <w:rPr>
                <w:noProof/>
                <w:webHidden/>
              </w:rPr>
              <w:instrText xml:space="preserve"> PAGEREF _Toc240858689 \h </w:instrText>
            </w:r>
            <w:r>
              <w:rPr>
                <w:noProof/>
                <w:webHidden/>
              </w:rPr>
            </w:r>
            <w:r>
              <w:rPr>
                <w:noProof/>
                <w:webHidden/>
              </w:rPr>
              <w:fldChar w:fldCharType="separate"/>
            </w:r>
            <w:r>
              <w:rPr>
                <w:noProof/>
                <w:webHidden/>
              </w:rPr>
              <w:t>36</w:t>
            </w:r>
            <w:r>
              <w:rPr>
                <w:noProof/>
                <w:webHidden/>
              </w:rPr>
              <w:fldChar w:fldCharType="end"/>
            </w:r>
          </w:hyperlink>
        </w:p>
        <w:p w14:paraId="2E5689F0" w14:textId="54AECB2F" w:rsidR="007E140B" w:rsidRDefault="007E140B">
          <w:pPr>
            <w:pStyle w:val="TOC1"/>
            <w:tabs>
              <w:tab w:val="right" w:leader="dot" w:pos="9350"/>
            </w:tabs>
            <w:rPr>
              <w:rFonts w:asciiTheme="minorHAnsi" w:eastAsiaTheme="minorEastAsia" w:hAnsiTheme="minorHAnsi"/>
              <w:noProof/>
              <w:color w:val="auto"/>
              <w:sz w:val="22"/>
            </w:rPr>
          </w:pPr>
          <w:hyperlink w:anchor="_Toc240858690" w:history="1">
            <w:r w:rsidRPr="00F14962">
              <w:rPr>
                <w:rStyle w:val="Hyperlink"/>
                <w:noProof/>
              </w:rPr>
              <w:t>Chapter 5: Discussion</w:t>
            </w:r>
            <w:r>
              <w:rPr>
                <w:noProof/>
                <w:webHidden/>
              </w:rPr>
              <w:tab/>
            </w:r>
            <w:r>
              <w:rPr>
                <w:noProof/>
                <w:webHidden/>
              </w:rPr>
              <w:fldChar w:fldCharType="begin"/>
            </w:r>
            <w:r>
              <w:rPr>
                <w:noProof/>
                <w:webHidden/>
              </w:rPr>
              <w:instrText xml:space="preserve"> PAGEREF _Toc240858690 \h </w:instrText>
            </w:r>
            <w:r>
              <w:rPr>
                <w:noProof/>
                <w:webHidden/>
              </w:rPr>
            </w:r>
            <w:r>
              <w:rPr>
                <w:noProof/>
                <w:webHidden/>
              </w:rPr>
              <w:fldChar w:fldCharType="separate"/>
            </w:r>
            <w:r>
              <w:rPr>
                <w:noProof/>
                <w:webHidden/>
              </w:rPr>
              <w:t>39</w:t>
            </w:r>
            <w:r>
              <w:rPr>
                <w:noProof/>
                <w:webHidden/>
              </w:rPr>
              <w:fldChar w:fldCharType="end"/>
            </w:r>
          </w:hyperlink>
        </w:p>
        <w:p w14:paraId="48F690C8" w14:textId="1A99A137" w:rsidR="007E140B" w:rsidRDefault="007E140B">
          <w:pPr>
            <w:pStyle w:val="TOC2"/>
            <w:tabs>
              <w:tab w:val="right" w:leader="dot" w:pos="9350"/>
            </w:tabs>
            <w:rPr>
              <w:rFonts w:asciiTheme="minorHAnsi" w:eastAsiaTheme="minorEastAsia" w:hAnsiTheme="minorHAnsi"/>
              <w:noProof/>
              <w:color w:val="auto"/>
              <w:sz w:val="22"/>
            </w:rPr>
          </w:pPr>
          <w:hyperlink w:anchor="_Toc240858691" w:history="1">
            <w:r w:rsidRPr="00F14962">
              <w:rPr>
                <w:rStyle w:val="Hyperlink"/>
                <w:noProof/>
              </w:rPr>
              <w:t>5.1 Introduction</w:t>
            </w:r>
            <w:r>
              <w:rPr>
                <w:noProof/>
                <w:webHidden/>
              </w:rPr>
              <w:tab/>
            </w:r>
            <w:r>
              <w:rPr>
                <w:noProof/>
                <w:webHidden/>
              </w:rPr>
              <w:fldChar w:fldCharType="begin"/>
            </w:r>
            <w:r>
              <w:rPr>
                <w:noProof/>
                <w:webHidden/>
              </w:rPr>
              <w:instrText xml:space="preserve"> PAGEREF _Toc240858691 \h </w:instrText>
            </w:r>
            <w:r>
              <w:rPr>
                <w:noProof/>
                <w:webHidden/>
              </w:rPr>
            </w:r>
            <w:r>
              <w:rPr>
                <w:noProof/>
                <w:webHidden/>
              </w:rPr>
              <w:fldChar w:fldCharType="separate"/>
            </w:r>
            <w:r>
              <w:rPr>
                <w:noProof/>
                <w:webHidden/>
              </w:rPr>
              <w:t>39</w:t>
            </w:r>
            <w:r>
              <w:rPr>
                <w:noProof/>
                <w:webHidden/>
              </w:rPr>
              <w:fldChar w:fldCharType="end"/>
            </w:r>
          </w:hyperlink>
        </w:p>
        <w:p w14:paraId="361D2545" w14:textId="1711835C" w:rsidR="007E140B" w:rsidRDefault="007E140B">
          <w:pPr>
            <w:pStyle w:val="TOC2"/>
            <w:tabs>
              <w:tab w:val="right" w:leader="dot" w:pos="9350"/>
            </w:tabs>
            <w:rPr>
              <w:rFonts w:asciiTheme="minorHAnsi" w:eastAsiaTheme="minorEastAsia" w:hAnsiTheme="minorHAnsi"/>
              <w:noProof/>
              <w:color w:val="auto"/>
              <w:sz w:val="22"/>
            </w:rPr>
          </w:pPr>
          <w:hyperlink w:anchor="_Toc240858692" w:history="1">
            <w:r w:rsidRPr="00F14962">
              <w:rPr>
                <w:rStyle w:val="Hyperlink"/>
                <w:noProof/>
              </w:rPr>
              <w:t>5.2 How ESG strategy is conceptualised and implemented</w:t>
            </w:r>
            <w:r>
              <w:rPr>
                <w:noProof/>
                <w:webHidden/>
              </w:rPr>
              <w:tab/>
            </w:r>
            <w:r>
              <w:rPr>
                <w:noProof/>
                <w:webHidden/>
              </w:rPr>
              <w:fldChar w:fldCharType="begin"/>
            </w:r>
            <w:r>
              <w:rPr>
                <w:noProof/>
                <w:webHidden/>
              </w:rPr>
              <w:instrText xml:space="preserve"> PAGEREF _Toc240858692 \h </w:instrText>
            </w:r>
            <w:r>
              <w:rPr>
                <w:noProof/>
                <w:webHidden/>
              </w:rPr>
            </w:r>
            <w:r>
              <w:rPr>
                <w:noProof/>
                <w:webHidden/>
              </w:rPr>
              <w:fldChar w:fldCharType="separate"/>
            </w:r>
            <w:r>
              <w:rPr>
                <w:noProof/>
                <w:webHidden/>
              </w:rPr>
              <w:t>39</w:t>
            </w:r>
            <w:r>
              <w:rPr>
                <w:noProof/>
                <w:webHidden/>
              </w:rPr>
              <w:fldChar w:fldCharType="end"/>
            </w:r>
          </w:hyperlink>
        </w:p>
        <w:p w14:paraId="172B8F07" w14:textId="7EF50705" w:rsidR="007E140B" w:rsidRDefault="007E140B">
          <w:pPr>
            <w:pStyle w:val="TOC2"/>
            <w:tabs>
              <w:tab w:val="right" w:leader="dot" w:pos="9350"/>
            </w:tabs>
            <w:rPr>
              <w:rFonts w:asciiTheme="minorHAnsi" w:eastAsiaTheme="minorEastAsia" w:hAnsiTheme="minorHAnsi"/>
              <w:noProof/>
              <w:color w:val="auto"/>
              <w:sz w:val="22"/>
            </w:rPr>
          </w:pPr>
          <w:hyperlink w:anchor="_Toc240858693" w:history="1">
            <w:r w:rsidRPr="00F14962">
              <w:rPr>
                <w:rStyle w:val="Hyperlink"/>
                <w:noProof/>
              </w:rPr>
              <w:t>5.3 Reputation as a conditional and asymmetric mechanism</w:t>
            </w:r>
            <w:r>
              <w:rPr>
                <w:noProof/>
                <w:webHidden/>
              </w:rPr>
              <w:tab/>
            </w:r>
            <w:r>
              <w:rPr>
                <w:noProof/>
                <w:webHidden/>
              </w:rPr>
              <w:fldChar w:fldCharType="begin"/>
            </w:r>
            <w:r>
              <w:rPr>
                <w:noProof/>
                <w:webHidden/>
              </w:rPr>
              <w:instrText xml:space="preserve"> PAGEREF _Toc240858693 \h </w:instrText>
            </w:r>
            <w:r>
              <w:rPr>
                <w:noProof/>
                <w:webHidden/>
              </w:rPr>
            </w:r>
            <w:r>
              <w:rPr>
                <w:noProof/>
                <w:webHidden/>
              </w:rPr>
              <w:fldChar w:fldCharType="separate"/>
            </w:r>
            <w:r>
              <w:rPr>
                <w:noProof/>
                <w:webHidden/>
              </w:rPr>
              <w:t>40</w:t>
            </w:r>
            <w:r>
              <w:rPr>
                <w:noProof/>
                <w:webHidden/>
              </w:rPr>
              <w:fldChar w:fldCharType="end"/>
            </w:r>
          </w:hyperlink>
        </w:p>
        <w:p w14:paraId="7D1AB38A" w14:textId="4131AC36" w:rsidR="007E140B" w:rsidRDefault="007E140B">
          <w:pPr>
            <w:pStyle w:val="TOC2"/>
            <w:tabs>
              <w:tab w:val="right" w:leader="dot" w:pos="9350"/>
            </w:tabs>
            <w:rPr>
              <w:rFonts w:asciiTheme="minorHAnsi" w:eastAsiaTheme="minorEastAsia" w:hAnsiTheme="minorHAnsi"/>
              <w:noProof/>
              <w:color w:val="auto"/>
              <w:sz w:val="22"/>
            </w:rPr>
          </w:pPr>
          <w:hyperlink w:anchor="_Toc240858694" w:history="1">
            <w:r w:rsidRPr="00F14962">
              <w:rPr>
                <w:rStyle w:val="Hyperlink"/>
                <w:noProof/>
              </w:rPr>
              <w:t>5.4 Contribution to long-term competitive advantage</w:t>
            </w:r>
            <w:r>
              <w:rPr>
                <w:noProof/>
                <w:webHidden/>
              </w:rPr>
              <w:tab/>
            </w:r>
            <w:r>
              <w:rPr>
                <w:noProof/>
                <w:webHidden/>
              </w:rPr>
              <w:fldChar w:fldCharType="begin"/>
            </w:r>
            <w:r>
              <w:rPr>
                <w:noProof/>
                <w:webHidden/>
              </w:rPr>
              <w:instrText xml:space="preserve"> PAGEREF _Toc240858694 \h </w:instrText>
            </w:r>
            <w:r>
              <w:rPr>
                <w:noProof/>
                <w:webHidden/>
              </w:rPr>
            </w:r>
            <w:r>
              <w:rPr>
                <w:noProof/>
                <w:webHidden/>
              </w:rPr>
              <w:fldChar w:fldCharType="separate"/>
            </w:r>
            <w:r>
              <w:rPr>
                <w:noProof/>
                <w:webHidden/>
              </w:rPr>
              <w:t>41</w:t>
            </w:r>
            <w:r>
              <w:rPr>
                <w:noProof/>
                <w:webHidden/>
              </w:rPr>
              <w:fldChar w:fldCharType="end"/>
            </w:r>
          </w:hyperlink>
        </w:p>
        <w:p w14:paraId="0466B796" w14:textId="77940EFC" w:rsidR="007E140B" w:rsidRDefault="007E140B">
          <w:pPr>
            <w:pStyle w:val="TOC2"/>
            <w:tabs>
              <w:tab w:val="right" w:leader="dot" w:pos="9350"/>
            </w:tabs>
            <w:rPr>
              <w:rFonts w:asciiTheme="minorHAnsi" w:eastAsiaTheme="minorEastAsia" w:hAnsiTheme="minorHAnsi"/>
              <w:noProof/>
              <w:color w:val="auto"/>
              <w:sz w:val="22"/>
            </w:rPr>
          </w:pPr>
          <w:hyperlink w:anchor="_Toc240858695" w:history="1">
            <w:r w:rsidRPr="00F14962">
              <w:rPr>
                <w:rStyle w:val="Hyperlink"/>
                <w:noProof/>
              </w:rPr>
              <w:t>5.5 Conditions that strengthen or weaken the mechanisms</w:t>
            </w:r>
            <w:r>
              <w:rPr>
                <w:noProof/>
                <w:webHidden/>
              </w:rPr>
              <w:tab/>
            </w:r>
            <w:r>
              <w:rPr>
                <w:noProof/>
                <w:webHidden/>
              </w:rPr>
              <w:fldChar w:fldCharType="begin"/>
            </w:r>
            <w:r>
              <w:rPr>
                <w:noProof/>
                <w:webHidden/>
              </w:rPr>
              <w:instrText xml:space="preserve"> PAGEREF _Toc240858695 \h </w:instrText>
            </w:r>
            <w:r>
              <w:rPr>
                <w:noProof/>
                <w:webHidden/>
              </w:rPr>
            </w:r>
            <w:r>
              <w:rPr>
                <w:noProof/>
                <w:webHidden/>
              </w:rPr>
              <w:fldChar w:fldCharType="separate"/>
            </w:r>
            <w:r>
              <w:rPr>
                <w:noProof/>
                <w:webHidden/>
              </w:rPr>
              <w:t>43</w:t>
            </w:r>
            <w:r>
              <w:rPr>
                <w:noProof/>
                <w:webHidden/>
              </w:rPr>
              <w:fldChar w:fldCharType="end"/>
            </w:r>
          </w:hyperlink>
        </w:p>
        <w:p w14:paraId="739DB21B" w14:textId="77D2A25B" w:rsidR="007E140B" w:rsidRDefault="007E140B">
          <w:pPr>
            <w:pStyle w:val="TOC2"/>
            <w:tabs>
              <w:tab w:val="right" w:leader="dot" w:pos="9350"/>
            </w:tabs>
            <w:rPr>
              <w:rFonts w:asciiTheme="minorHAnsi" w:eastAsiaTheme="minorEastAsia" w:hAnsiTheme="minorHAnsi"/>
              <w:noProof/>
              <w:color w:val="auto"/>
              <w:sz w:val="22"/>
            </w:rPr>
          </w:pPr>
          <w:hyperlink w:anchor="_Toc240858696" w:history="1">
            <w:r w:rsidRPr="00F14962">
              <w:rPr>
                <w:rStyle w:val="Hyperlink"/>
                <w:noProof/>
              </w:rPr>
              <w:t>5.6 Revised conceptual framework and theoretical contribution</w:t>
            </w:r>
            <w:r>
              <w:rPr>
                <w:noProof/>
                <w:webHidden/>
              </w:rPr>
              <w:tab/>
            </w:r>
            <w:r>
              <w:rPr>
                <w:noProof/>
                <w:webHidden/>
              </w:rPr>
              <w:fldChar w:fldCharType="begin"/>
            </w:r>
            <w:r>
              <w:rPr>
                <w:noProof/>
                <w:webHidden/>
              </w:rPr>
              <w:instrText xml:space="preserve"> PAGEREF _Toc240858696 \h </w:instrText>
            </w:r>
            <w:r>
              <w:rPr>
                <w:noProof/>
                <w:webHidden/>
              </w:rPr>
            </w:r>
            <w:r>
              <w:rPr>
                <w:noProof/>
                <w:webHidden/>
              </w:rPr>
              <w:fldChar w:fldCharType="separate"/>
            </w:r>
            <w:r>
              <w:rPr>
                <w:noProof/>
                <w:webHidden/>
              </w:rPr>
              <w:t>44</w:t>
            </w:r>
            <w:r>
              <w:rPr>
                <w:noProof/>
                <w:webHidden/>
              </w:rPr>
              <w:fldChar w:fldCharType="end"/>
            </w:r>
          </w:hyperlink>
        </w:p>
        <w:p w14:paraId="03C6B3FE" w14:textId="54AEC26B" w:rsidR="007E140B" w:rsidRDefault="007E140B">
          <w:pPr>
            <w:pStyle w:val="TOC2"/>
            <w:tabs>
              <w:tab w:val="right" w:leader="dot" w:pos="9350"/>
            </w:tabs>
            <w:rPr>
              <w:rFonts w:asciiTheme="minorHAnsi" w:eastAsiaTheme="minorEastAsia" w:hAnsiTheme="minorHAnsi"/>
              <w:noProof/>
              <w:color w:val="auto"/>
              <w:sz w:val="22"/>
            </w:rPr>
          </w:pPr>
          <w:hyperlink w:anchor="_Toc240858697" w:history="1">
            <w:r w:rsidRPr="00F14962">
              <w:rPr>
                <w:rStyle w:val="Hyperlink"/>
                <w:noProof/>
              </w:rPr>
              <w:t>5.7 Implications of the discussion</w:t>
            </w:r>
            <w:r>
              <w:rPr>
                <w:noProof/>
                <w:webHidden/>
              </w:rPr>
              <w:tab/>
            </w:r>
            <w:r>
              <w:rPr>
                <w:noProof/>
                <w:webHidden/>
              </w:rPr>
              <w:fldChar w:fldCharType="begin"/>
            </w:r>
            <w:r>
              <w:rPr>
                <w:noProof/>
                <w:webHidden/>
              </w:rPr>
              <w:instrText xml:space="preserve"> PAGEREF _Toc240858697 \h </w:instrText>
            </w:r>
            <w:r>
              <w:rPr>
                <w:noProof/>
                <w:webHidden/>
              </w:rPr>
            </w:r>
            <w:r>
              <w:rPr>
                <w:noProof/>
                <w:webHidden/>
              </w:rPr>
              <w:fldChar w:fldCharType="separate"/>
            </w:r>
            <w:r>
              <w:rPr>
                <w:noProof/>
                <w:webHidden/>
              </w:rPr>
              <w:t>46</w:t>
            </w:r>
            <w:r>
              <w:rPr>
                <w:noProof/>
                <w:webHidden/>
              </w:rPr>
              <w:fldChar w:fldCharType="end"/>
            </w:r>
          </w:hyperlink>
        </w:p>
        <w:p w14:paraId="78F3C640" w14:textId="28D48A98" w:rsidR="007E140B" w:rsidRDefault="007E140B">
          <w:pPr>
            <w:pStyle w:val="TOC2"/>
            <w:tabs>
              <w:tab w:val="right" w:leader="dot" w:pos="9350"/>
            </w:tabs>
            <w:rPr>
              <w:rFonts w:asciiTheme="minorHAnsi" w:eastAsiaTheme="minorEastAsia" w:hAnsiTheme="minorHAnsi"/>
              <w:noProof/>
              <w:color w:val="auto"/>
              <w:sz w:val="22"/>
            </w:rPr>
          </w:pPr>
          <w:hyperlink w:anchor="_Toc240858698" w:history="1">
            <w:r w:rsidRPr="00F14962">
              <w:rPr>
                <w:rStyle w:val="Hyperlink"/>
                <w:noProof/>
              </w:rPr>
              <w:t>5.8 Critical evaluation of causal claims</w:t>
            </w:r>
            <w:r>
              <w:rPr>
                <w:noProof/>
                <w:webHidden/>
              </w:rPr>
              <w:tab/>
            </w:r>
            <w:r>
              <w:rPr>
                <w:noProof/>
                <w:webHidden/>
              </w:rPr>
              <w:fldChar w:fldCharType="begin"/>
            </w:r>
            <w:r>
              <w:rPr>
                <w:noProof/>
                <w:webHidden/>
              </w:rPr>
              <w:instrText xml:space="preserve"> PAGEREF _Toc240858698 \h </w:instrText>
            </w:r>
            <w:r>
              <w:rPr>
                <w:noProof/>
                <w:webHidden/>
              </w:rPr>
            </w:r>
            <w:r>
              <w:rPr>
                <w:noProof/>
                <w:webHidden/>
              </w:rPr>
              <w:fldChar w:fldCharType="separate"/>
            </w:r>
            <w:r>
              <w:rPr>
                <w:noProof/>
                <w:webHidden/>
              </w:rPr>
              <w:t>46</w:t>
            </w:r>
            <w:r>
              <w:rPr>
                <w:noProof/>
                <w:webHidden/>
              </w:rPr>
              <w:fldChar w:fldCharType="end"/>
            </w:r>
          </w:hyperlink>
        </w:p>
        <w:p w14:paraId="3B09812F" w14:textId="2F9A89BF" w:rsidR="007E140B" w:rsidRDefault="007E140B">
          <w:pPr>
            <w:pStyle w:val="TOC2"/>
            <w:tabs>
              <w:tab w:val="right" w:leader="dot" w:pos="9350"/>
            </w:tabs>
            <w:rPr>
              <w:rFonts w:asciiTheme="minorHAnsi" w:eastAsiaTheme="minorEastAsia" w:hAnsiTheme="minorHAnsi"/>
              <w:noProof/>
              <w:color w:val="auto"/>
              <w:sz w:val="22"/>
            </w:rPr>
          </w:pPr>
          <w:hyperlink w:anchor="_Toc240858699" w:history="1">
            <w:r w:rsidRPr="00F14962">
              <w:rPr>
                <w:rStyle w:val="Hyperlink"/>
                <w:noProof/>
              </w:rPr>
              <w:t>5.9 Overall evaluative judgement</w:t>
            </w:r>
            <w:r>
              <w:rPr>
                <w:noProof/>
                <w:webHidden/>
              </w:rPr>
              <w:tab/>
            </w:r>
            <w:r>
              <w:rPr>
                <w:noProof/>
                <w:webHidden/>
              </w:rPr>
              <w:fldChar w:fldCharType="begin"/>
            </w:r>
            <w:r>
              <w:rPr>
                <w:noProof/>
                <w:webHidden/>
              </w:rPr>
              <w:instrText xml:space="preserve"> PAGEREF _Toc240858699 \h </w:instrText>
            </w:r>
            <w:r>
              <w:rPr>
                <w:noProof/>
                <w:webHidden/>
              </w:rPr>
            </w:r>
            <w:r>
              <w:rPr>
                <w:noProof/>
                <w:webHidden/>
              </w:rPr>
              <w:fldChar w:fldCharType="separate"/>
            </w:r>
            <w:r>
              <w:rPr>
                <w:noProof/>
                <w:webHidden/>
              </w:rPr>
              <w:t>47</w:t>
            </w:r>
            <w:r>
              <w:rPr>
                <w:noProof/>
                <w:webHidden/>
              </w:rPr>
              <w:fldChar w:fldCharType="end"/>
            </w:r>
          </w:hyperlink>
        </w:p>
        <w:p w14:paraId="76ADAC55" w14:textId="75513FB6" w:rsidR="007E140B" w:rsidRDefault="007E140B">
          <w:pPr>
            <w:pStyle w:val="TOC1"/>
            <w:tabs>
              <w:tab w:val="right" w:leader="dot" w:pos="9350"/>
            </w:tabs>
            <w:rPr>
              <w:rFonts w:asciiTheme="minorHAnsi" w:eastAsiaTheme="minorEastAsia" w:hAnsiTheme="minorHAnsi"/>
              <w:noProof/>
              <w:color w:val="auto"/>
              <w:sz w:val="22"/>
            </w:rPr>
          </w:pPr>
          <w:hyperlink w:anchor="_Toc240858700" w:history="1">
            <w:r w:rsidRPr="00F14962">
              <w:rPr>
                <w:rStyle w:val="Hyperlink"/>
                <w:noProof/>
              </w:rPr>
              <w:t>Chapter 6: Recommendations</w:t>
            </w:r>
            <w:r>
              <w:rPr>
                <w:noProof/>
                <w:webHidden/>
              </w:rPr>
              <w:tab/>
            </w:r>
            <w:r>
              <w:rPr>
                <w:noProof/>
                <w:webHidden/>
              </w:rPr>
              <w:fldChar w:fldCharType="begin"/>
            </w:r>
            <w:r>
              <w:rPr>
                <w:noProof/>
                <w:webHidden/>
              </w:rPr>
              <w:instrText xml:space="preserve"> PAGEREF _Toc240858700 \h </w:instrText>
            </w:r>
            <w:r>
              <w:rPr>
                <w:noProof/>
                <w:webHidden/>
              </w:rPr>
            </w:r>
            <w:r>
              <w:rPr>
                <w:noProof/>
                <w:webHidden/>
              </w:rPr>
              <w:fldChar w:fldCharType="separate"/>
            </w:r>
            <w:r>
              <w:rPr>
                <w:noProof/>
                <w:webHidden/>
              </w:rPr>
              <w:t>49</w:t>
            </w:r>
            <w:r>
              <w:rPr>
                <w:noProof/>
                <w:webHidden/>
              </w:rPr>
              <w:fldChar w:fldCharType="end"/>
            </w:r>
          </w:hyperlink>
        </w:p>
        <w:p w14:paraId="7FB924EC" w14:textId="5B9D0FE1" w:rsidR="007E140B" w:rsidRDefault="007E140B">
          <w:pPr>
            <w:pStyle w:val="TOC2"/>
            <w:tabs>
              <w:tab w:val="right" w:leader="dot" w:pos="9350"/>
            </w:tabs>
            <w:rPr>
              <w:rFonts w:asciiTheme="minorHAnsi" w:eastAsiaTheme="minorEastAsia" w:hAnsiTheme="minorHAnsi"/>
              <w:noProof/>
              <w:color w:val="auto"/>
              <w:sz w:val="22"/>
            </w:rPr>
          </w:pPr>
          <w:hyperlink w:anchor="_Toc240858701" w:history="1">
            <w:r w:rsidRPr="00F14962">
              <w:rPr>
                <w:rStyle w:val="Hyperlink"/>
                <w:noProof/>
              </w:rPr>
              <w:t>6.1 Introduction</w:t>
            </w:r>
            <w:r>
              <w:rPr>
                <w:noProof/>
                <w:webHidden/>
              </w:rPr>
              <w:tab/>
            </w:r>
            <w:r>
              <w:rPr>
                <w:noProof/>
                <w:webHidden/>
              </w:rPr>
              <w:fldChar w:fldCharType="begin"/>
            </w:r>
            <w:r>
              <w:rPr>
                <w:noProof/>
                <w:webHidden/>
              </w:rPr>
              <w:instrText xml:space="preserve"> PAGEREF _Toc240858701 \h </w:instrText>
            </w:r>
            <w:r>
              <w:rPr>
                <w:noProof/>
                <w:webHidden/>
              </w:rPr>
            </w:r>
            <w:r>
              <w:rPr>
                <w:noProof/>
                <w:webHidden/>
              </w:rPr>
              <w:fldChar w:fldCharType="separate"/>
            </w:r>
            <w:r>
              <w:rPr>
                <w:noProof/>
                <w:webHidden/>
              </w:rPr>
              <w:t>49</w:t>
            </w:r>
            <w:r>
              <w:rPr>
                <w:noProof/>
                <w:webHidden/>
              </w:rPr>
              <w:fldChar w:fldCharType="end"/>
            </w:r>
          </w:hyperlink>
        </w:p>
        <w:p w14:paraId="7CCA6F3C" w14:textId="38CBC1BE" w:rsidR="007E140B" w:rsidRDefault="007E140B">
          <w:pPr>
            <w:pStyle w:val="TOC2"/>
            <w:tabs>
              <w:tab w:val="right" w:leader="dot" w:pos="9350"/>
            </w:tabs>
            <w:rPr>
              <w:rFonts w:asciiTheme="minorHAnsi" w:eastAsiaTheme="minorEastAsia" w:hAnsiTheme="minorHAnsi"/>
              <w:noProof/>
              <w:color w:val="auto"/>
              <w:sz w:val="22"/>
            </w:rPr>
          </w:pPr>
          <w:hyperlink w:anchor="_Toc240858702" w:history="1">
            <w:r w:rsidRPr="00F14962">
              <w:rPr>
                <w:rStyle w:val="Hyperlink"/>
                <w:noProof/>
              </w:rPr>
              <w:t>6.2 Build a materiality-to-value portfolio</w:t>
            </w:r>
            <w:r>
              <w:rPr>
                <w:noProof/>
                <w:webHidden/>
              </w:rPr>
              <w:tab/>
            </w:r>
            <w:r>
              <w:rPr>
                <w:noProof/>
                <w:webHidden/>
              </w:rPr>
              <w:fldChar w:fldCharType="begin"/>
            </w:r>
            <w:r>
              <w:rPr>
                <w:noProof/>
                <w:webHidden/>
              </w:rPr>
              <w:instrText xml:space="preserve"> PAGEREF _Toc240858702 \h </w:instrText>
            </w:r>
            <w:r>
              <w:rPr>
                <w:noProof/>
                <w:webHidden/>
              </w:rPr>
            </w:r>
            <w:r>
              <w:rPr>
                <w:noProof/>
                <w:webHidden/>
              </w:rPr>
              <w:fldChar w:fldCharType="separate"/>
            </w:r>
            <w:r>
              <w:rPr>
                <w:noProof/>
                <w:webHidden/>
              </w:rPr>
              <w:t>49</w:t>
            </w:r>
            <w:r>
              <w:rPr>
                <w:noProof/>
                <w:webHidden/>
              </w:rPr>
              <w:fldChar w:fldCharType="end"/>
            </w:r>
          </w:hyperlink>
        </w:p>
        <w:p w14:paraId="7D1A5A96" w14:textId="1856E6D0" w:rsidR="007E140B" w:rsidRDefault="007E140B">
          <w:pPr>
            <w:pStyle w:val="TOC2"/>
            <w:tabs>
              <w:tab w:val="right" w:leader="dot" w:pos="9350"/>
            </w:tabs>
            <w:rPr>
              <w:rFonts w:asciiTheme="minorHAnsi" w:eastAsiaTheme="minorEastAsia" w:hAnsiTheme="minorHAnsi"/>
              <w:noProof/>
              <w:color w:val="auto"/>
              <w:sz w:val="22"/>
            </w:rPr>
          </w:pPr>
          <w:hyperlink w:anchor="_Toc240858703" w:history="1">
            <w:r w:rsidRPr="00F14962">
              <w:rPr>
                <w:rStyle w:val="Hyperlink"/>
                <w:noProof/>
              </w:rPr>
              <w:t>6.3 Establish claim-level evidence control</w:t>
            </w:r>
            <w:r>
              <w:rPr>
                <w:noProof/>
                <w:webHidden/>
              </w:rPr>
              <w:tab/>
            </w:r>
            <w:r>
              <w:rPr>
                <w:noProof/>
                <w:webHidden/>
              </w:rPr>
              <w:fldChar w:fldCharType="begin"/>
            </w:r>
            <w:r>
              <w:rPr>
                <w:noProof/>
                <w:webHidden/>
              </w:rPr>
              <w:instrText xml:space="preserve"> PAGEREF _Toc240858703 \h </w:instrText>
            </w:r>
            <w:r>
              <w:rPr>
                <w:noProof/>
                <w:webHidden/>
              </w:rPr>
            </w:r>
            <w:r>
              <w:rPr>
                <w:noProof/>
                <w:webHidden/>
              </w:rPr>
              <w:fldChar w:fldCharType="separate"/>
            </w:r>
            <w:r>
              <w:rPr>
                <w:noProof/>
                <w:webHidden/>
              </w:rPr>
              <w:t>49</w:t>
            </w:r>
            <w:r>
              <w:rPr>
                <w:noProof/>
                <w:webHidden/>
              </w:rPr>
              <w:fldChar w:fldCharType="end"/>
            </w:r>
          </w:hyperlink>
        </w:p>
        <w:p w14:paraId="77122E31" w14:textId="545D1235" w:rsidR="007E140B" w:rsidRDefault="007E140B">
          <w:pPr>
            <w:pStyle w:val="TOC2"/>
            <w:tabs>
              <w:tab w:val="right" w:leader="dot" w:pos="9350"/>
            </w:tabs>
            <w:rPr>
              <w:rFonts w:asciiTheme="minorHAnsi" w:eastAsiaTheme="minorEastAsia" w:hAnsiTheme="minorHAnsi"/>
              <w:noProof/>
              <w:color w:val="auto"/>
              <w:sz w:val="22"/>
            </w:rPr>
          </w:pPr>
          <w:hyperlink w:anchor="_Toc240858704" w:history="1">
            <w:r w:rsidRPr="00F14962">
              <w:rPr>
                <w:rStyle w:val="Hyperlink"/>
                <w:noProof/>
              </w:rPr>
              <w:t>6.4 Move towards proportionate, progressive assurance</w:t>
            </w:r>
            <w:r>
              <w:rPr>
                <w:noProof/>
                <w:webHidden/>
              </w:rPr>
              <w:tab/>
            </w:r>
            <w:r>
              <w:rPr>
                <w:noProof/>
                <w:webHidden/>
              </w:rPr>
              <w:fldChar w:fldCharType="begin"/>
            </w:r>
            <w:r>
              <w:rPr>
                <w:noProof/>
                <w:webHidden/>
              </w:rPr>
              <w:instrText xml:space="preserve"> PAGEREF _Toc240858704 \h </w:instrText>
            </w:r>
            <w:r>
              <w:rPr>
                <w:noProof/>
                <w:webHidden/>
              </w:rPr>
            </w:r>
            <w:r>
              <w:rPr>
                <w:noProof/>
                <w:webHidden/>
              </w:rPr>
              <w:fldChar w:fldCharType="separate"/>
            </w:r>
            <w:r>
              <w:rPr>
                <w:noProof/>
                <w:webHidden/>
              </w:rPr>
              <w:t>50</w:t>
            </w:r>
            <w:r>
              <w:rPr>
                <w:noProof/>
                <w:webHidden/>
              </w:rPr>
              <w:fldChar w:fldCharType="end"/>
            </w:r>
          </w:hyperlink>
        </w:p>
        <w:p w14:paraId="0F82F7D4" w14:textId="1CEFEA34" w:rsidR="007E140B" w:rsidRDefault="007E140B">
          <w:pPr>
            <w:pStyle w:val="TOC2"/>
            <w:tabs>
              <w:tab w:val="right" w:leader="dot" w:pos="9350"/>
            </w:tabs>
            <w:rPr>
              <w:rFonts w:asciiTheme="minorHAnsi" w:eastAsiaTheme="minorEastAsia" w:hAnsiTheme="minorHAnsi"/>
              <w:noProof/>
              <w:color w:val="auto"/>
              <w:sz w:val="22"/>
            </w:rPr>
          </w:pPr>
          <w:hyperlink w:anchor="_Toc240858705" w:history="1">
            <w:r w:rsidRPr="00F14962">
              <w:rPr>
                <w:rStyle w:val="Hyperlink"/>
                <w:noProof/>
              </w:rPr>
              <w:t>6.5 Design sustainability into affordability and product utility</w:t>
            </w:r>
            <w:r>
              <w:rPr>
                <w:noProof/>
                <w:webHidden/>
              </w:rPr>
              <w:tab/>
            </w:r>
            <w:r>
              <w:rPr>
                <w:noProof/>
                <w:webHidden/>
              </w:rPr>
              <w:fldChar w:fldCharType="begin"/>
            </w:r>
            <w:r>
              <w:rPr>
                <w:noProof/>
                <w:webHidden/>
              </w:rPr>
              <w:instrText xml:space="preserve"> PAGEREF _Toc240858705 \h </w:instrText>
            </w:r>
            <w:r>
              <w:rPr>
                <w:noProof/>
                <w:webHidden/>
              </w:rPr>
            </w:r>
            <w:r>
              <w:rPr>
                <w:noProof/>
                <w:webHidden/>
              </w:rPr>
              <w:fldChar w:fldCharType="separate"/>
            </w:r>
            <w:r>
              <w:rPr>
                <w:noProof/>
                <w:webHidden/>
              </w:rPr>
              <w:t>50</w:t>
            </w:r>
            <w:r>
              <w:rPr>
                <w:noProof/>
                <w:webHidden/>
              </w:rPr>
              <w:fldChar w:fldCharType="end"/>
            </w:r>
          </w:hyperlink>
        </w:p>
        <w:p w14:paraId="2E6A3464" w14:textId="2A9D8D7D" w:rsidR="007E140B" w:rsidRDefault="007E140B">
          <w:pPr>
            <w:pStyle w:val="TOC2"/>
            <w:tabs>
              <w:tab w:val="right" w:leader="dot" w:pos="9350"/>
            </w:tabs>
            <w:rPr>
              <w:rFonts w:asciiTheme="minorHAnsi" w:eastAsiaTheme="minorEastAsia" w:hAnsiTheme="minorHAnsi"/>
              <w:noProof/>
              <w:color w:val="auto"/>
              <w:sz w:val="22"/>
            </w:rPr>
          </w:pPr>
          <w:hyperlink w:anchor="_Toc240858706" w:history="1">
            <w:r w:rsidRPr="00F14962">
              <w:rPr>
                <w:rStyle w:val="Hyperlink"/>
                <w:noProof/>
              </w:rPr>
              <w:t>6.6 Govern Scope 3 as a partnership portfolio</w:t>
            </w:r>
            <w:r>
              <w:rPr>
                <w:noProof/>
                <w:webHidden/>
              </w:rPr>
              <w:tab/>
            </w:r>
            <w:r>
              <w:rPr>
                <w:noProof/>
                <w:webHidden/>
              </w:rPr>
              <w:fldChar w:fldCharType="begin"/>
            </w:r>
            <w:r>
              <w:rPr>
                <w:noProof/>
                <w:webHidden/>
              </w:rPr>
              <w:instrText xml:space="preserve"> PAGEREF _Toc240858706 \h </w:instrText>
            </w:r>
            <w:r>
              <w:rPr>
                <w:noProof/>
                <w:webHidden/>
              </w:rPr>
            </w:r>
            <w:r>
              <w:rPr>
                <w:noProof/>
                <w:webHidden/>
              </w:rPr>
              <w:fldChar w:fldCharType="separate"/>
            </w:r>
            <w:r>
              <w:rPr>
                <w:noProof/>
                <w:webHidden/>
              </w:rPr>
              <w:t>50</w:t>
            </w:r>
            <w:r>
              <w:rPr>
                <w:noProof/>
                <w:webHidden/>
              </w:rPr>
              <w:fldChar w:fldCharType="end"/>
            </w:r>
          </w:hyperlink>
        </w:p>
        <w:p w14:paraId="3B68B8E5" w14:textId="2ADB3709" w:rsidR="007E140B" w:rsidRDefault="007E140B">
          <w:pPr>
            <w:pStyle w:val="TOC2"/>
            <w:tabs>
              <w:tab w:val="right" w:leader="dot" w:pos="9350"/>
            </w:tabs>
            <w:rPr>
              <w:rFonts w:asciiTheme="minorHAnsi" w:eastAsiaTheme="minorEastAsia" w:hAnsiTheme="minorHAnsi"/>
              <w:noProof/>
              <w:color w:val="auto"/>
              <w:sz w:val="22"/>
            </w:rPr>
          </w:pPr>
          <w:hyperlink w:anchor="_Toc240858707" w:history="1">
            <w:r w:rsidRPr="00F14962">
              <w:rPr>
                <w:rStyle w:val="Hyperlink"/>
                <w:noProof/>
              </w:rPr>
              <w:t>6.7 Measure stakeholder-specific reputation outcomes</w:t>
            </w:r>
            <w:r>
              <w:rPr>
                <w:noProof/>
                <w:webHidden/>
              </w:rPr>
              <w:tab/>
            </w:r>
            <w:r>
              <w:rPr>
                <w:noProof/>
                <w:webHidden/>
              </w:rPr>
              <w:fldChar w:fldCharType="begin"/>
            </w:r>
            <w:r>
              <w:rPr>
                <w:noProof/>
                <w:webHidden/>
              </w:rPr>
              <w:instrText xml:space="preserve"> PAGEREF _Toc240858707 \h </w:instrText>
            </w:r>
            <w:r>
              <w:rPr>
                <w:noProof/>
                <w:webHidden/>
              </w:rPr>
            </w:r>
            <w:r>
              <w:rPr>
                <w:noProof/>
                <w:webHidden/>
              </w:rPr>
              <w:fldChar w:fldCharType="separate"/>
            </w:r>
            <w:r>
              <w:rPr>
                <w:noProof/>
                <w:webHidden/>
              </w:rPr>
              <w:t>50</w:t>
            </w:r>
            <w:r>
              <w:rPr>
                <w:noProof/>
                <w:webHidden/>
              </w:rPr>
              <w:fldChar w:fldCharType="end"/>
            </w:r>
          </w:hyperlink>
        </w:p>
        <w:p w14:paraId="3B89F77E" w14:textId="52CAAD4A" w:rsidR="007E140B" w:rsidRDefault="007E140B">
          <w:pPr>
            <w:pStyle w:val="TOC2"/>
            <w:tabs>
              <w:tab w:val="right" w:leader="dot" w:pos="9350"/>
            </w:tabs>
            <w:rPr>
              <w:rFonts w:asciiTheme="minorHAnsi" w:eastAsiaTheme="minorEastAsia" w:hAnsiTheme="minorHAnsi"/>
              <w:noProof/>
              <w:color w:val="auto"/>
              <w:sz w:val="22"/>
            </w:rPr>
          </w:pPr>
          <w:hyperlink w:anchor="_Toc240858708" w:history="1">
            <w:r w:rsidRPr="00F14962">
              <w:rPr>
                <w:rStyle w:val="Hyperlink"/>
                <w:noProof/>
              </w:rPr>
              <w:t>6.8 Report setbacks as decision-useful evidence</w:t>
            </w:r>
            <w:r>
              <w:rPr>
                <w:noProof/>
                <w:webHidden/>
              </w:rPr>
              <w:tab/>
            </w:r>
            <w:r>
              <w:rPr>
                <w:noProof/>
                <w:webHidden/>
              </w:rPr>
              <w:fldChar w:fldCharType="begin"/>
            </w:r>
            <w:r>
              <w:rPr>
                <w:noProof/>
                <w:webHidden/>
              </w:rPr>
              <w:instrText xml:space="preserve"> PAGEREF _Toc240858708 \h </w:instrText>
            </w:r>
            <w:r>
              <w:rPr>
                <w:noProof/>
                <w:webHidden/>
              </w:rPr>
            </w:r>
            <w:r>
              <w:rPr>
                <w:noProof/>
                <w:webHidden/>
              </w:rPr>
              <w:fldChar w:fldCharType="separate"/>
            </w:r>
            <w:r>
              <w:rPr>
                <w:noProof/>
                <w:webHidden/>
              </w:rPr>
              <w:t>51</w:t>
            </w:r>
            <w:r>
              <w:rPr>
                <w:noProof/>
                <w:webHidden/>
              </w:rPr>
              <w:fldChar w:fldCharType="end"/>
            </w:r>
          </w:hyperlink>
        </w:p>
        <w:p w14:paraId="36E86F7F" w14:textId="19C430EA" w:rsidR="007E140B" w:rsidRDefault="007E140B">
          <w:pPr>
            <w:pStyle w:val="TOC2"/>
            <w:tabs>
              <w:tab w:val="right" w:leader="dot" w:pos="9350"/>
            </w:tabs>
            <w:rPr>
              <w:rFonts w:asciiTheme="minorHAnsi" w:eastAsiaTheme="minorEastAsia" w:hAnsiTheme="minorHAnsi"/>
              <w:noProof/>
              <w:color w:val="auto"/>
              <w:sz w:val="22"/>
            </w:rPr>
          </w:pPr>
          <w:hyperlink w:anchor="_Toc240858709" w:history="1">
            <w:r w:rsidRPr="00F14962">
              <w:rPr>
                <w:rStyle w:val="Hyperlink"/>
                <w:noProof/>
              </w:rPr>
              <w:t>6.9 Implementation priorities</w:t>
            </w:r>
            <w:r>
              <w:rPr>
                <w:noProof/>
                <w:webHidden/>
              </w:rPr>
              <w:tab/>
            </w:r>
            <w:r>
              <w:rPr>
                <w:noProof/>
                <w:webHidden/>
              </w:rPr>
              <w:fldChar w:fldCharType="begin"/>
            </w:r>
            <w:r>
              <w:rPr>
                <w:noProof/>
                <w:webHidden/>
              </w:rPr>
              <w:instrText xml:space="preserve"> PAGEREF _Toc240858709 \h </w:instrText>
            </w:r>
            <w:r>
              <w:rPr>
                <w:noProof/>
                <w:webHidden/>
              </w:rPr>
            </w:r>
            <w:r>
              <w:rPr>
                <w:noProof/>
                <w:webHidden/>
              </w:rPr>
              <w:fldChar w:fldCharType="separate"/>
            </w:r>
            <w:r>
              <w:rPr>
                <w:noProof/>
                <w:webHidden/>
              </w:rPr>
              <w:t>51</w:t>
            </w:r>
            <w:r>
              <w:rPr>
                <w:noProof/>
                <w:webHidden/>
              </w:rPr>
              <w:fldChar w:fldCharType="end"/>
            </w:r>
          </w:hyperlink>
        </w:p>
        <w:p w14:paraId="0E0A22FF" w14:textId="621FE791" w:rsidR="007E140B" w:rsidRDefault="007E140B">
          <w:pPr>
            <w:pStyle w:val="TOC2"/>
            <w:tabs>
              <w:tab w:val="right" w:leader="dot" w:pos="9350"/>
            </w:tabs>
            <w:rPr>
              <w:rFonts w:asciiTheme="minorHAnsi" w:eastAsiaTheme="minorEastAsia" w:hAnsiTheme="minorHAnsi"/>
              <w:noProof/>
              <w:color w:val="auto"/>
              <w:sz w:val="22"/>
            </w:rPr>
          </w:pPr>
          <w:hyperlink w:anchor="_Toc240858710" w:history="1">
            <w:r w:rsidRPr="00F14962">
              <w:rPr>
                <w:rStyle w:val="Hyperlink"/>
                <w:noProof/>
              </w:rPr>
              <w:t>6.10 Decision rules and accountability</w:t>
            </w:r>
            <w:r>
              <w:rPr>
                <w:noProof/>
                <w:webHidden/>
              </w:rPr>
              <w:tab/>
            </w:r>
            <w:r>
              <w:rPr>
                <w:noProof/>
                <w:webHidden/>
              </w:rPr>
              <w:fldChar w:fldCharType="begin"/>
            </w:r>
            <w:r>
              <w:rPr>
                <w:noProof/>
                <w:webHidden/>
              </w:rPr>
              <w:instrText xml:space="preserve"> PAGEREF _Toc240858710 \h </w:instrText>
            </w:r>
            <w:r>
              <w:rPr>
                <w:noProof/>
                <w:webHidden/>
              </w:rPr>
            </w:r>
            <w:r>
              <w:rPr>
                <w:noProof/>
                <w:webHidden/>
              </w:rPr>
              <w:fldChar w:fldCharType="separate"/>
            </w:r>
            <w:r>
              <w:rPr>
                <w:noProof/>
                <w:webHidden/>
              </w:rPr>
              <w:t>51</w:t>
            </w:r>
            <w:r>
              <w:rPr>
                <w:noProof/>
                <w:webHidden/>
              </w:rPr>
              <w:fldChar w:fldCharType="end"/>
            </w:r>
          </w:hyperlink>
        </w:p>
        <w:p w14:paraId="35ED4B88" w14:textId="34510464" w:rsidR="007E140B" w:rsidRDefault="007E140B">
          <w:pPr>
            <w:pStyle w:val="TOC1"/>
            <w:tabs>
              <w:tab w:val="right" w:leader="dot" w:pos="9350"/>
            </w:tabs>
            <w:rPr>
              <w:rFonts w:asciiTheme="minorHAnsi" w:eastAsiaTheme="minorEastAsia" w:hAnsiTheme="minorHAnsi"/>
              <w:noProof/>
              <w:color w:val="auto"/>
              <w:sz w:val="22"/>
            </w:rPr>
          </w:pPr>
          <w:hyperlink w:anchor="_Toc240858711" w:history="1">
            <w:r w:rsidRPr="00F14962">
              <w:rPr>
                <w:rStyle w:val="Hyperlink"/>
                <w:noProof/>
              </w:rPr>
              <w:t>Conclusion</w:t>
            </w:r>
            <w:r>
              <w:rPr>
                <w:noProof/>
                <w:webHidden/>
              </w:rPr>
              <w:tab/>
            </w:r>
            <w:r>
              <w:rPr>
                <w:noProof/>
                <w:webHidden/>
              </w:rPr>
              <w:fldChar w:fldCharType="begin"/>
            </w:r>
            <w:r>
              <w:rPr>
                <w:noProof/>
                <w:webHidden/>
              </w:rPr>
              <w:instrText xml:space="preserve"> PAGEREF _Toc240858711 \h </w:instrText>
            </w:r>
            <w:r>
              <w:rPr>
                <w:noProof/>
                <w:webHidden/>
              </w:rPr>
            </w:r>
            <w:r>
              <w:rPr>
                <w:noProof/>
                <w:webHidden/>
              </w:rPr>
              <w:fldChar w:fldCharType="separate"/>
            </w:r>
            <w:r>
              <w:rPr>
                <w:noProof/>
                <w:webHidden/>
              </w:rPr>
              <w:t>53</w:t>
            </w:r>
            <w:r>
              <w:rPr>
                <w:noProof/>
                <w:webHidden/>
              </w:rPr>
              <w:fldChar w:fldCharType="end"/>
            </w:r>
          </w:hyperlink>
        </w:p>
        <w:p w14:paraId="6B777167" w14:textId="3940EFB9" w:rsidR="007E140B" w:rsidRDefault="007E140B">
          <w:pPr>
            <w:pStyle w:val="TOC1"/>
            <w:tabs>
              <w:tab w:val="right" w:leader="dot" w:pos="9350"/>
            </w:tabs>
            <w:rPr>
              <w:rFonts w:asciiTheme="minorHAnsi" w:eastAsiaTheme="minorEastAsia" w:hAnsiTheme="minorHAnsi"/>
              <w:noProof/>
              <w:color w:val="auto"/>
              <w:sz w:val="22"/>
            </w:rPr>
          </w:pPr>
          <w:hyperlink w:anchor="_Toc240858712" w:history="1">
            <w:r w:rsidRPr="00F14962">
              <w:rPr>
                <w:rStyle w:val="Hyperlink"/>
                <w:noProof/>
              </w:rPr>
              <w:t>References</w:t>
            </w:r>
            <w:r>
              <w:rPr>
                <w:noProof/>
                <w:webHidden/>
              </w:rPr>
              <w:tab/>
            </w:r>
            <w:r>
              <w:rPr>
                <w:noProof/>
                <w:webHidden/>
              </w:rPr>
              <w:fldChar w:fldCharType="begin"/>
            </w:r>
            <w:r>
              <w:rPr>
                <w:noProof/>
                <w:webHidden/>
              </w:rPr>
              <w:instrText xml:space="preserve"> PAGEREF _Toc240858712 \h </w:instrText>
            </w:r>
            <w:r>
              <w:rPr>
                <w:noProof/>
                <w:webHidden/>
              </w:rPr>
            </w:r>
            <w:r>
              <w:rPr>
                <w:noProof/>
                <w:webHidden/>
              </w:rPr>
              <w:fldChar w:fldCharType="separate"/>
            </w:r>
            <w:r>
              <w:rPr>
                <w:noProof/>
                <w:webHidden/>
              </w:rPr>
              <w:t>55</w:t>
            </w:r>
            <w:r>
              <w:rPr>
                <w:noProof/>
                <w:webHidden/>
              </w:rPr>
              <w:fldChar w:fldCharType="end"/>
            </w:r>
          </w:hyperlink>
        </w:p>
        <w:p w14:paraId="604663D1" w14:textId="37ECF087" w:rsidR="007E140B" w:rsidRDefault="007E140B">
          <w:pPr>
            <w:pStyle w:val="TOC1"/>
            <w:tabs>
              <w:tab w:val="right" w:leader="dot" w:pos="9350"/>
            </w:tabs>
            <w:rPr>
              <w:rFonts w:asciiTheme="minorHAnsi" w:eastAsiaTheme="minorEastAsia" w:hAnsiTheme="minorHAnsi"/>
              <w:noProof/>
              <w:color w:val="auto"/>
              <w:sz w:val="22"/>
            </w:rPr>
          </w:pPr>
          <w:hyperlink w:anchor="_Toc240858713" w:history="1">
            <w:r w:rsidRPr="00F14962">
              <w:rPr>
                <w:rStyle w:val="Hyperlink"/>
                <w:noProof/>
              </w:rPr>
              <w:t>Appendix A: Evidence Traceability and Coding Examples</w:t>
            </w:r>
            <w:r>
              <w:rPr>
                <w:noProof/>
                <w:webHidden/>
              </w:rPr>
              <w:tab/>
            </w:r>
            <w:r>
              <w:rPr>
                <w:noProof/>
                <w:webHidden/>
              </w:rPr>
              <w:fldChar w:fldCharType="begin"/>
            </w:r>
            <w:r>
              <w:rPr>
                <w:noProof/>
                <w:webHidden/>
              </w:rPr>
              <w:instrText xml:space="preserve"> PAGEREF _Toc240858713 \h </w:instrText>
            </w:r>
            <w:r>
              <w:rPr>
                <w:noProof/>
                <w:webHidden/>
              </w:rPr>
            </w:r>
            <w:r>
              <w:rPr>
                <w:noProof/>
                <w:webHidden/>
              </w:rPr>
              <w:fldChar w:fldCharType="separate"/>
            </w:r>
            <w:r>
              <w:rPr>
                <w:noProof/>
                <w:webHidden/>
              </w:rPr>
              <w:t>61</w:t>
            </w:r>
            <w:r>
              <w:rPr>
                <w:noProof/>
                <w:webHidden/>
              </w:rPr>
              <w:fldChar w:fldCharType="end"/>
            </w:r>
          </w:hyperlink>
        </w:p>
        <w:p w14:paraId="07703C3F" w14:textId="51293BE4" w:rsidR="007E140B" w:rsidRDefault="007E140B">
          <w:pPr>
            <w:pStyle w:val="TOC2"/>
            <w:tabs>
              <w:tab w:val="right" w:leader="dot" w:pos="9350"/>
            </w:tabs>
            <w:rPr>
              <w:rFonts w:asciiTheme="minorHAnsi" w:eastAsiaTheme="minorEastAsia" w:hAnsiTheme="minorHAnsi"/>
              <w:noProof/>
              <w:color w:val="auto"/>
              <w:sz w:val="22"/>
            </w:rPr>
          </w:pPr>
          <w:hyperlink w:anchor="_Toc240858714" w:history="1">
            <w:r w:rsidRPr="00F14962">
              <w:rPr>
                <w:rStyle w:val="Hyperlink"/>
                <w:noProof/>
              </w:rPr>
              <w:t>A1. Representative evidence register</w:t>
            </w:r>
            <w:r>
              <w:rPr>
                <w:noProof/>
                <w:webHidden/>
              </w:rPr>
              <w:tab/>
            </w:r>
            <w:r>
              <w:rPr>
                <w:noProof/>
                <w:webHidden/>
              </w:rPr>
              <w:fldChar w:fldCharType="begin"/>
            </w:r>
            <w:r>
              <w:rPr>
                <w:noProof/>
                <w:webHidden/>
              </w:rPr>
              <w:instrText xml:space="preserve"> PAGEREF _Toc240858714 \h </w:instrText>
            </w:r>
            <w:r>
              <w:rPr>
                <w:noProof/>
                <w:webHidden/>
              </w:rPr>
            </w:r>
            <w:r>
              <w:rPr>
                <w:noProof/>
                <w:webHidden/>
              </w:rPr>
              <w:fldChar w:fldCharType="separate"/>
            </w:r>
            <w:r>
              <w:rPr>
                <w:noProof/>
                <w:webHidden/>
              </w:rPr>
              <w:t>61</w:t>
            </w:r>
            <w:r>
              <w:rPr>
                <w:noProof/>
                <w:webHidden/>
              </w:rPr>
              <w:fldChar w:fldCharType="end"/>
            </w:r>
          </w:hyperlink>
        </w:p>
        <w:p w14:paraId="77C3DEE7" w14:textId="3A279645" w:rsidR="007E140B" w:rsidRDefault="007E140B">
          <w:pPr>
            <w:pStyle w:val="TOC2"/>
            <w:tabs>
              <w:tab w:val="right" w:leader="dot" w:pos="9350"/>
            </w:tabs>
            <w:rPr>
              <w:rFonts w:asciiTheme="minorHAnsi" w:eastAsiaTheme="minorEastAsia" w:hAnsiTheme="minorHAnsi"/>
              <w:noProof/>
              <w:color w:val="auto"/>
              <w:sz w:val="22"/>
            </w:rPr>
          </w:pPr>
          <w:hyperlink w:anchor="_Toc240858715" w:history="1">
            <w:r w:rsidRPr="00F14962">
              <w:rPr>
                <w:rStyle w:val="Hyperlink"/>
                <w:noProof/>
              </w:rPr>
              <w:t>A2. Representative coding examples</w:t>
            </w:r>
            <w:r>
              <w:rPr>
                <w:noProof/>
                <w:webHidden/>
              </w:rPr>
              <w:tab/>
            </w:r>
            <w:r>
              <w:rPr>
                <w:noProof/>
                <w:webHidden/>
              </w:rPr>
              <w:fldChar w:fldCharType="begin"/>
            </w:r>
            <w:r>
              <w:rPr>
                <w:noProof/>
                <w:webHidden/>
              </w:rPr>
              <w:instrText xml:space="preserve"> PAGEREF _Toc240858715 \h </w:instrText>
            </w:r>
            <w:r>
              <w:rPr>
                <w:noProof/>
                <w:webHidden/>
              </w:rPr>
            </w:r>
            <w:r>
              <w:rPr>
                <w:noProof/>
                <w:webHidden/>
              </w:rPr>
              <w:fldChar w:fldCharType="separate"/>
            </w:r>
            <w:r>
              <w:rPr>
                <w:noProof/>
                <w:webHidden/>
              </w:rPr>
              <w:t>63</w:t>
            </w:r>
            <w:r>
              <w:rPr>
                <w:noProof/>
                <w:webHidden/>
              </w:rPr>
              <w:fldChar w:fldCharType="end"/>
            </w:r>
          </w:hyperlink>
        </w:p>
        <w:p w14:paraId="304B2F97" w14:textId="2BAD7ED0" w:rsidR="007E140B" w:rsidRDefault="007E140B">
          <w:pPr>
            <w:pStyle w:val="TOC1"/>
            <w:tabs>
              <w:tab w:val="right" w:leader="dot" w:pos="9350"/>
            </w:tabs>
            <w:rPr>
              <w:rFonts w:asciiTheme="minorHAnsi" w:eastAsiaTheme="minorEastAsia" w:hAnsiTheme="minorHAnsi"/>
              <w:noProof/>
              <w:color w:val="auto"/>
              <w:sz w:val="22"/>
            </w:rPr>
          </w:pPr>
          <w:hyperlink w:anchor="_Toc240858716" w:history="1">
            <w:r w:rsidRPr="00F14962">
              <w:rPr>
                <w:rStyle w:val="Hyperlink"/>
                <w:noProof/>
              </w:rPr>
              <w:t>Appendix B: Literature Review Matrix and Reference Coverage</w:t>
            </w:r>
            <w:r>
              <w:rPr>
                <w:noProof/>
                <w:webHidden/>
              </w:rPr>
              <w:tab/>
            </w:r>
            <w:r>
              <w:rPr>
                <w:noProof/>
                <w:webHidden/>
              </w:rPr>
              <w:fldChar w:fldCharType="begin"/>
            </w:r>
            <w:r>
              <w:rPr>
                <w:noProof/>
                <w:webHidden/>
              </w:rPr>
              <w:instrText xml:space="preserve"> PAGEREF _Toc240858716 \h </w:instrText>
            </w:r>
            <w:r>
              <w:rPr>
                <w:noProof/>
                <w:webHidden/>
              </w:rPr>
            </w:r>
            <w:r>
              <w:rPr>
                <w:noProof/>
                <w:webHidden/>
              </w:rPr>
              <w:fldChar w:fldCharType="separate"/>
            </w:r>
            <w:r>
              <w:rPr>
                <w:noProof/>
                <w:webHidden/>
              </w:rPr>
              <w:t>64</w:t>
            </w:r>
            <w:r>
              <w:rPr>
                <w:noProof/>
                <w:webHidden/>
              </w:rPr>
              <w:fldChar w:fldCharType="end"/>
            </w:r>
          </w:hyperlink>
        </w:p>
        <w:p w14:paraId="4F6D8E71" w14:textId="1866EAB7" w:rsidR="007E140B" w:rsidRDefault="007E140B">
          <w:pPr>
            <w:pStyle w:val="TOC2"/>
            <w:tabs>
              <w:tab w:val="right" w:leader="dot" w:pos="9350"/>
            </w:tabs>
            <w:rPr>
              <w:rFonts w:asciiTheme="minorHAnsi" w:eastAsiaTheme="minorEastAsia" w:hAnsiTheme="minorHAnsi"/>
              <w:noProof/>
              <w:color w:val="auto"/>
              <w:sz w:val="22"/>
            </w:rPr>
          </w:pPr>
          <w:hyperlink w:anchor="_Toc240858717" w:history="1">
            <w:r w:rsidRPr="00F14962">
              <w:rPr>
                <w:rStyle w:val="Hyperlink"/>
                <w:noProof/>
              </w:rPr>
              <w:t>B1. Literature Review Matrix</w:t>
            </w:r>
            <w:r>
              <w:rPr>
                <w:noProof/>
                <w:webHidden/>
              </w:rPr>
              <w:tab/>
            </w:r>
            <w:r>
              <w:rPr>
                <w:noProof/>
                <w:webHidden/>
              </w:rPr>
              <w:fldChar w:fldCharType="begin"/>
            </w:r>
            <w:r>
              <w:rPr>
                <w:noProof/>
                <w:webHidden/>
              </w:rPr>
              <w:instrText xml:space="preserve"> PAGEREF _Toc240858717 \h </w:instrText>
            </w:r>
            <w:r>
              <w:rPr>
                <w:noProof/>
                <w:webHidden/>
              </w:rPr>
            </w:r>
            <w:r>
              <w:rPr>
                <w:noProof/>
                <w:webHidden/>
              </w:rPr>
              <w:fldChar w:fldCharType="separate"/>
            </w:r>
            <w:r>
              <w:rPr>
                <w:noProof/>
                <w:webHidden/>
              </w:rPr>
              <w:t>64</w:t>
            </w:r>
            <w:r>
              <w:rPr>
                <w:noProof/>
                <w:webHidden/>
              </w:rPr>
              <w:fldChar w:fldCharType="end"/>
            </w:r>
          </w:hyperlink>
        </w:p>
        <w:p w14:paraId="4BAACC99" w14:textId="38FE760B" w:rsidR="004B4463" w:rsidRDefault="00F763E6">
          <w:pPr>
            <w:pStyle w:val="TOC2"/>
            <w:tabs>
              <w:tab w:val="right" w:leader="dot" w:pos="9359"/>
            </w:tabs>
          </w:pPr>
          <w:r>
            <w:rPr>
              <w:rStyle w:val="IndexLink"/>
            </w:rPr>
            <w:fldChar w:fldCharType="end"/>
          </w:r>
        </w:p>
      </w:sdtContent>
    </w:sdt>
    <w:p w14:paraId="7277EFB5" w14:textId="77777777" w:rsidR="004B4463" w:rsidRDefault="00F763E6">
      <w:pPr>
        <w:pStyle w:val="Heading1"/>
        <w:spacing w:before="0"/>
      </w:pPr>
      <w:r>
        <w:br w:type="page"/>
      </w:r>
      <w:bookmarkStart w:id="6" w:name="_Toc240858646"/>
      <w:r>
        <w:lastRenderedPageBreak/>
        <w:t>List of Tables</w:t>
      </w:r>
      <w:bookmarkEnd w:id="6"/>
    </w:p>
    <w:sdt>
      <w:sdtPr>
        <w:id w:val="1587037674"/>
        <w:docPartObj>
          <w:docPartGallery w:val="Table of Contents"/>
          <w:docPartUnique/>
        </w:docPartObj>
      </w:sdtPr>
      <w:sdtEndPr/>
      <w:sdtContent>
        <w:p w14:paraId="7E33E2B1" w14:textId="77777777" w:rsidR="00B4429C" w:rsidRDefault="00F763E6">
          <w:pPr>
            <w:pStyle w:val="TOC1"/>
            <w:tabs>
              <w:tab w:val="right" w:leader="dot" w:pos="9350"/>
            </w:tabs>
            <w:rPr>
              <w:rFonts w:asciiTheme="minorHAnsi" w:eastAsiaTheme="minorEastAsia" w:hAnsiTheme="minorHAnsi"/>
              <w:noProof/>
              <w:color w:val="auto"/>
              <w:sz w:val="22"/>
            </w:rPr>
          </w:pPr>
          <w:r>
            <w:fldChar w:fldCharType="begin"/>
          </w:r>
          <w:r>
            <w:rPr>
              <w:rStyle w:val="IndexLink"/>
              <w:webHidden/>
            </w:rPr>
            <w:instrText xml:space="preserve"> TOC \z \t "Table Caption,1" \h</w:instrText>
          </w:r>
          <w:r>
            <w:rPr>
              <w:rStyle w:val="IndexLink"/>
            </w:rPr>
            <w:fldChar w:fldCharType="separate"/>
          </w:r>
          <w:hyperlink w:anchor="_Toc240857234" w:history="1">
            <w:r w:rsidR="00B4429C" w:rsidRPr="00120A75">
              <w:rPr>
                <w:rStyle w:val="Hyperlink"/>
                <w:noProof/>
              </w:rPr>
              <w:t>Table 1. Theoretical and empirical synthesis</w:t>
            </w:r>
            <w:r w:rsidR="00B4429C">
              <w:rPr>
                <w:noProof/>
                <w:webHidden/>
              </w:rPr>
              <w:tab/>
            </w:r>
            <w:r w:rsidR="00B4429C">
              <w:rPr>
                <w:noProof/>
                <w:webHidden/>
              </w:rPr>
              <w:fldChar w:fldCharType="begin"/>
            </w:r>
            <w:r w:rsidR="00B4429C">
              <w:rPr>
                <w:noProof/>
                <w:webHidden/>
              </w:rPr>
              <w:instrText xml:space="preserve"> PAGEREF _Toc240857234 \h </w:instrText>
            </w:r>
            <w:r w:rsidR="00B4429C">
              <w:rPr>
                <w:noProof/>
                <w:webHidden/>
              </w:rPr>
            </w:r>
            <w:r w:rsidR="00B4429C">
              <w:rPr>
                <w:noProof/>
                <w:webHidden/>
              </w:rPr>
              <w:fldChar w:fldCharType="separate"/>
            </w:r>
            <w:r w:rsidR="00B4429C">
              <w:rPr>
                <w:noProof/>
                <w:webHidden/>
              </w:rPr>
              <w:t>10</w:t>
            </w:r>
            <w:r w:rsidR="00B4429C">
              <w:rPr>
                <w:noProof/>
                <w:webHidden/>
              </w:rPr>
              <w:fldChar w:fldCharType="end"/>
            </w:r>
          </w:hyperlink>
        </w:p>
        <w:p w14:paraId="278CAEE4" w14:textId="77777777" w:rsidR="00B4429C" w:rsidRDefault="00B4429C">
          <w:pPr>
            <w:pStyle w:val="TOC1"/>
            <w:tabs>
              <w:tab w:val="right" w:leader="dot" w:pos="9350"/>
            </w:tabs>
            <w:rPr>
              <w:rFonts w:asciiTheme="minorHAnsi" w:eastAsiaTheme="minorEastAsia" w:hAnsiTheme="minorHAnsi"/>
              <w:noProof/>
              <w:color w:val="auto"/>
              <w:sz w:val="22"/>
            </w:rPr>
          </w:pPr>
          <w:hyperlink w:anchor="_Toc240857235" w:history="1">
            <w:r w:rsidRPr="00120A75">
              <w:rPr>
                <w:rStyle w:val="Hyperlink"/>
                <w:noProof/>
              </w:rPr>
              <w:t>Table 2. Comparative evidence and quality framework</w:t>
            </w:r>
            <w:r>
              <w:rPr>
                <w:noProof/>
                <w:webHidden/>
              </w:rPr>
              <w:tab/>
            </w:r>
            <w:r>
              <w:rPr>
                <w:noProof/>
                <w:webHidden/>
              </w:rPr>
              <w:fldChar w:fldCharType="begin"/>
            </w:r>
            <w:r>
              <w:rPr>
                <w:noProof/>
                <w:webHidden/>
              </w:rPr>
              <w:instrText xml:space="preserve"> PAGEREF _Toc240857235 \h </w:instrText>
            </w:r>
            <w:r>
              <w:rPr>
                <w:noProof/>
                <w:webHidden/>
              </w:rPr>
            </w:r>
            <w:r>
              <w:rPr>
                <w:noProof/>
                <w:webHidden/>
              </w:rPr>
              <w:fldChar w:fldCharType="separate"/>
            </w:r>
            <w:r>
              <w:rPr>
                <w:noProof/>
                <w:webHidden/>
              </w:rPr>
              <w:t>23</w:t>
            </w:r>
            <w:r>
              <w:rPr>
                <w:noProof/>
                <w:webHidden/>
              </w:rPr>
              <w:fldChar w:fldCharType="end"/>
            </w:r>
          </w:hyperlink>
        </w:p>
        <w:p w14:paraId="5B1E2DC7" w14:textId="77777777" w:rsidR="00B4429C" w:rsidRDefault="00B4429C">
          <w:pPr>
            <w:pStyle w:val="TOC1"/>
            <w:tabs>
              <w:tab w:val="right" w:leader="dot" w:pos="9350"/>
            </w:tabs>
            <w:rPr>
              <w:rFonts w:asciiTheme="minorHAnsi" w:eastAsiaTheme="minorEastAsia" w:hAnsiTheme="minorHAnsi"/>
              <w:noProof/>
              <w:color w:val="auto"/>
              <w:sz w:val="22"/>
            </w:rPr>
          </w:pPr>
          <w:hyperlink w:anchor="_Toc240857236" w:history="1">
            <w:r w:rsidRPr="00120A75">
              <w:rPr>
                <w:rStyle w:val="Hyperlink"/>
                <w:noProof/>
              </w:rPr>
              <w:t>Table 3. Cross-company ESG strategy and implementation evidence</w:t>
            </w:r>
            <w:r>
              <w:rPr>
                <w:noProof/>
                <w:webHidden/>
              </w:rPr>
              <w:tab/>
            </w:r>
            <w:r>
              <w:rPr>
                <w:noProof/>
                <w:webHidden/>
              </w:rPr>
              <w:fldChar w:fldCharType="begin"/>
            </w:r>
            <w:r>
              <w:rPr>
                <w:noProof/>
                <w:webHidden/>
              </w:rPr>
              <w:instrText xml:space="preserve"> PAGEREF _Toc240857236 \h </w:instrText>
            </w:r>
            <w:r>
              <w:rPr>
                <w:noProof/>
                <w:webHidden/>
              </w:rPr>
            </w:r>
            <w:r>
              <w:rPr>
                <w:noProof/>
                <w:webHidden/>
              </w:rPr>
              <w:fldChar w:fldCharType="separate"/>
            </w:r>
            <w:r>
              <w:rPr>
                <w:noProof/>
                <w:webHidden/>
              </w:rPr>
              <w:t>28</w:t>
            </w:r>
            <w:r>
              <w:rPr>
                <w:noProof/>
                <w:webHidden/>
              </w:rPr>
              <w:fldChar w:fldCharType="end"/>
            </w:r>
          </w:hyperlink>
        </w:p>
        <w:p w14:paraId="2FCF1A0A" w14:textId="5F8860D6" w:rsidR="00B4429C" w:rsidRDefault="00B4429C">
          <w:pPr>
            <w:pStyle w:val="TOC1"/>
            <w:tabs>
              <w:tab w:val="right" w:leader="dot" w:pos="9350"/>
            </w:tabs>
            <w:rPr>
              <w:rFonts w:asciiTheme="minorHAnsi" w:eastAsiaTheme="minorEastAsia" w:hAnsiTheme="minorHAnsi"/>
              <w:noProof/>
              <w:color w:val="auto"/>
              <w:sz w:val="22"/>
            </w:rPr>
          </w:pPr>
          <w:hyperlink w:anchor="_Toc240857237" w:history="1">
            <w:r w:rsidRPr="00120A75">
              <w:rPr>
                <w:rStyle w:val="Hyperlink"/>
                <w:noProof/>
              </w:rPr>
              <w:t>Table 4. Triangulated mechanism findings and rival explanations</w:t>
            </w:r>
            <w:r>
              <w:rPr>
                <w:noProof/>
                <w:webHidden/>
              </w:rPr>
              <w:tab/>
            </w:r>
            <w:r>
              <w:rPr>
                <w:noProof/>
                <w:webHidden/>
              </w:rPr>
              <w:fldChar w:fldCharType="begin"/>
            </w:r>
            <w:r>
              <w:rPr>
                <w:noProof/>
                <w:webHidden/>
              </w:rPr>
              <w:instrText xml:space="preserve"> PAGEREF _Toc240857237 \h </w:instrText>
            </w:r>
            <w:r>
              <w:rPr>
                <w:noProof/>
                <w:webHidden/>
              </w:rPr>
            </w:r>
            <w:r>
              <w:rPr>
                <w:noProof/>
                <w:webHidden/>
              </w:rPr>
              <w:fldChar w:fldCharType="separate"/>
            </w:r>
            <w:r>
              <w:rPr>
                <w:noProof/>
                <w:webHidden/>
              </w:rPr>
              <w:t>3</w:t>
            </w:r>
            <w:r w:rsidR="007E140B">
              <w:rPr>
                <w:noProof/>
                <w:webHidden/>
              </w:rPr>
              <w:t>7</w:t>
            </w:r>
            <w:r>
              <w:rPr>
                <w:noProof/>
                <w:webHidden/>
              </w:rPr>
              <w:fldChar w:fldCharType="end"/>
            </w:r>
          </w:hyperlink>
        </w:p>
        <w:p w14:paraId="3726B6F1" w14:textId="77777777" w:rsidR="004B4463" w:rsidRDefault="00F763E6">
          <w:pPr>
            <w:pStyle w:val="TOC1"/>
            <w:tabs>
              <w:tab w:val="right" w:leader="dot" w:pos="9359"/>
            </w:tabs>
          </w:pPr>
          <w:r>
            <w:rPr>
              <w:rStyle w:val="IndexLink"/>
            </w:rPr>
            <w:fldChar w:fldCharType="end"/>
          </w:r>
        </w:p>
      </w:sdtContent>
    </w:sdt>
    <w:p w14:paraId="63451610" w14:textId="77777777" w:rsidR="004B4463" w:rsidRDefault="00F763E6">
      <w:pPr>
        <w:pStyle w:val="Heading1"/>
      </w:pPr>
      <w:bookmarkStart w:id="7" w:name="_Toc240858647"/>
      <w:r>
        <w:t>List of Figures</w:t>
      </w:r>
      <w:bookmarkEnd w:id="7"/>
    </w:p>
    <w:sdt>
      <w:sdtPr>
        <w:id w:val="565690602"/>
        <w:docPartObj>
          <w:docPartGallery w:val="Table of Contents"/>
          <w:docPartUnique/>
        </w:docPartObj>
      </w:sdtPr>
      <w:sdtEndPr/>
      <w:sdtContent>
        <w:p w14:paraId="6C6C4DD5" w14:textId="77777777" w:rsidR="00B4429C" w:rsidRDefault="00F763E6">
          <w:pPr>
            <w:pStyle w:val="TOC1"/>
            <w:tabs>
              <w:tab w:val="right" w:leader="dot" w:pos="9350"/>
            </w:tabs>
            <w:rPr>
              <w:rFonts w:asciiTheme="minorHAnsi" w:eastAsiaTheme="minorEastAsia" w:hAnsiTheme="minorHAnsi"/>
              <w:noProof/>
              <w:color w:val="auto"/>
              <w:sz w:val="22"/>
            </w:rPr>
          </w:pPr>
          <w:r>
            <w:fldChar w:fldCharType="begin"/>
          </w:r>
          <w:r>
            <w:rPr>
              <w:rStyle w:val="IndexLink"/>
              <w:webHidden/>
            </w:rPr>
            <w:instrText xml:space="preserve"> TOC \z \t "Figure Caption,1" \h</w:instrText>
          </w:r>
          <w:r>
            <w:rPr>
              <w:rStyle w:val="IndexLink"/>
            </w:rPr>
            <w:fldChar w:fldCharType="separate"/>
          </w:r>
          <w:hyperlink w:anchor="_Toc240857238" w:history="1">
            <w:r w:rsidR="00B4429C" w:rsidRPr="00195C52">
              <w:rPr>
                <w:rStyle w:val="Hyperlink"/>
                <w:noProof/>
              </w:rPr>
              <w:t>Figure 1. Conceptual framework: ESG strategy, reputation and competitive advantage</w:t>
            </w:r>
            <w:r w:rsidR="00B4429C">
              <w:rPr>
                <w:noProof/>
                <w:webHidden/>
              </w:rPr>
              <w:tab/>
            </w:r>
            <w:r w:rsidR="00B4429C">
              <w:rPr>
                <w:noProof/>
                <w:webHidden/>
              </w:rPr>
              <w:fldChar w:fldCharType="begin"/>
            </w:r>
            <w:r w:rsidR="00B4429C">
              <w:rPr>
                <w:noProof/>
                <w:webHidden/>
              </w:rPr>
              <w:instrText xml:space="preserve"> PAGEREF _Toc240857238 \h </w:instrText>
            </w:r>
            <w:r w:rsidR="00B4429C">
              <w:rPr>
                <w:noProof/>
                <w:webHidden/>
              </w:rPr>
            </w:r>
            <w:r w:rsidR="00B4429C">
              <w:rPr>
                <w:noProof/>
                <w:webHidden/>
              </w:rPr>
              <w:fldChar w:fldCharType="separate"/>
            </w:r>
            <w:r w:rsidR="00B4429C">
              <w:rPr>
                <w:noProof/>
                <w:webHidden/>
              </w:rPr>
              <w:t>16</w:t>
            </w:r>
            <w:r w:rsidR="00B4429C">
              <w:rPr>
                <w:noProof/>
                <w:webHidden/>
              </w:rPr>
              <w:fldChar w:fldCharType="end"/>
            </w:r>
          </w:hyperlink>
        </w:p>
        <w:p w14:paraId="11F2E569" w14:textId="77777777" w:rsidR="00B4429C" w:rsidRDefault="00B4429C">
          <w:pPr>
            <w:pStyle w:val="TOC1"/>
            <w:tabs>
              <w:tab w:val="right" w:leader="dot" w:pos="9350"/>
            </w:tabs>
            <w:rPr>
              <w:rFonts w:asciiTheme="minorHAnsi" w:eastAsiaTheme="minorEastAsia" w:hAnsiTheme="minorHAnsi"/>
              <w:noProof/>
              <w:color w:val="auto"/>
              <w:sz w:val="22"/>
            </w:rPr>
          </w:pPr>
          <w:hyperlink w:anchor="_Toc240857239" w:history="1">
            <w:r w:rsidRPr="00195C52">
              <w:rPr>
                <w:rStyle w:val="Hyperlink"/>
                <w:noProof/>
              </w:rPr>
              <w:t>Figure 2. Evidence identification, screening and analytical flow</w:t>
            </w:r>
            <w:r>
              <w:rPr>
                <w:noProof/>
                <w:webHidden/>
              </w:rPr>
              <w:tab/>
            </w:r>
            <w:r>
              <w:rPr>
                <w:noProof/>
                <w:webHidden/>
              </w:rPr>
              <w:fldChar w:fldCharType="begin"/>
            </w:r>
            <w:r>
              <w:rPr>
                <w:noProof/>
                <w:webHidden/>
              </w:rPr>
              <w:instrText xml:space="preserve"> PAGEREF _Toc240857239 \h </w:instrText>
            </w:r>
            <w:r>
              <w:rPr>
                <w:noProof/>
                <w:webHidden/>
              </w:rPr>
            </w:r>
            <w:r>
              <w:rPr>
                <w:noProof/>
                <w:webHidden/>
              </w:rPr>
              <w:fldChar w:fldCharType="separate"/>
            </w:r>
            <w:r>
              <w:rPr>
                <w:noProof/>
                <w:webHidden/>
              </w:rPr>
              <w:t>21</w:t>
            </w:r>
            <w:r>
              <w:rPr>
                <w:noProof/>
                <w:webHidden/>
              </w:rPr>
              <w:fldChar w:fldCharType="end"/>
            </w:r>
          </w:hyperlink>
        </w:p>
        <w:p w14:paraId="2E579888" w14:textId="7D662CD0" w:rsidR="00B4429C" w:rsidRDefault="00B4429C">
          <w:pPr>
            <w:pStyle w:val="TOC1"/>
            <w:tabs>
              <w:tab w:val="right" w:leader="dot" w:pos="9350"/>
            </w:tabs>
            <w:rPr>
              <w:rFonts w:asciiTheme="minorHAnsi" w:eastAsiaTheme="minorEastAsia" w:hAnsiTheme="minorHAnsi"/>
              <w:noProof/>
              <w:color w:val="auto"/>
              <w:sz w:val="22"/>
            </w:rPr>
          </w:pPr>
          <w:hyperlink w:anchor="_Toc240857240" w:history="1">
            <w:r w:rsidRPr="00195C52">
              <w:rPr>
                <w:rStyle w:val="Hyperlink"/>
                <w:noProof/>
              </w:rPr>
              <w:t>Figure 3. Diageo environmental progress and counter-evidence</w:t>
            </w:r>
            <w:r>
              <w:rPr>
                <w:noProof/>
                <w:webHidden/>
              </w:rPr>
              <w:tab/>
            </w:r>
            <w:r>
              <w:rPr>
                <w:noProof/>
                <w:webHidden/>
              </w:rPr>
              <w:fldChar w:fldCharType="begin"/>
            </w:r>
            <w:r>
              <w:rPr>
                <w:noProof/>
                <w:webHidden/>
              </w:rPr>
              <w:instrText xml:space="preserve"> PAGEREF _Toc240857240 \h </w:instrText>
            </w:r>
            <w:r>
              <w:rPr>
                <w:noProof/>
                <w:webHidden/>
              </w:rPr>
            </w:r>
            <w:r>
              <w:rPr>
                <w:noProof/>
                <w:webHidden/>
              </w:rPr>
              <w:fldChar w:fldCharType="separate"/>
            </w:r>
            <w:r>
              <w:rPr>
                <w:noProof/>
                <w:webHidden/>
              </w:rPr>
              <w:t>3</w:t>
            </w:r>
            <w:r w:rsidR="007E140B">
              <w:rPr>
                <w:noProof/>
                <w:webHidden/>
              </w:rPr>
              <w:t>3</w:t>
            </w:r>
            <w:r>
              <w:rPr>
                <w:noProof/>
                <w:webHidden/>
              </w:rPr>
              <w:fldChar w:fldCharType="end"/>
            </w:r>
          </w:hyperlink>
        </w:p>
        <w:p w14:paraId="71835366" w14:textId="413DD116" w:rsidR="00B4429C" w:rsidRDefault="00B4429C">
          <w:pPr>
            <w:pStyle w:val="TOC1"/>
            <w:tabs>
              <w:tab w:val="right" w:leader="dot" w:pos="9350"/>
            </w:tabs>
            <w:rPr>
              <w:rFonts w:asciiTheme="minorHAnsi" w:eastAsiaTheme="minorEastAsia" w:hAnsiTheme="minorHAnsi"/>
              <w:noProof/>
              <w:color w:val="auto"/>
              <w:sz w:val="22"/>
            </w:rPr>
          </w:pPr>
          <w:hyperlink w:anchor="_Toc240857241" w:history="1">
            <w:r w:rsidRPr="00195C52">
              <w:rPr>
                <w:rStyle w:val="Hyperlink"/>
                <w:noProof/>
              </w:rPr>
              <w:t>Figure 4. ABF market-based Scope 1 and 2 emissions, 2024–2025</w:t>
            </w:r>
            <w:r>
              <w:rPr>
                <w:noProof/>
                <w:webHidden/>
              </w:rPr>
              <w:tab/>
            </w:r>
            <w:r>
              <w:rPr>
                <w:noProof/>
                <w:webHidden/>
              </w:rPr>
              <w:fldChar w:fldCharType="begin"/>
            </w:r>
            <w:r>
              <w:rPr>
                <w:noProof/>
                <w:webHidden/>
              </w:rPr>
              <w:instrText xml:space="preserve"> PAGEREF _Toc240857241 \h </w:instrText>
            </w:r>
            <w:r>
              <w:rPr>
                <w:noProof/>
                <w:webHidden/>
              </w:rPr>
            </w:r>
            <w:r>
              <w:rPr>
                <w:noProof/>
                <w:webHidden/>
              </w:rPr>
              <w:fldChar w:fldCharType="separate"/>
            </w:r>
            <w:r>
              <w:rPr>
                <w:noProof/>
                <w:webHidden/>
              </w:rPr>
              <w:t>3</w:t>
            </w:r>
            <w:r w:rsidR="007E140B">
              <w:rPr>
                <w:noProof/>
                <w:webHidden/>
              </w:rPr>
              <w:t>5</w:t>
            </w:r>
            <w:r>
              <w:rPr>
                <w:noProof/>
                <w:webHidden/>
              </w:rPr>
              <w:fldChar w:fldCharType="end"/>
            </w:r>
          </w:hyperlink>
        </w:p>
        <w:p w14:paraId="56236085" w14:textId="2235DD5A" w:rsidR="00B4429C" w:rsidRDefault="00B4429C">
          <w:pPr>
            <w:pStyle w:val="TOC1"/>
            <w:tabs>
              <w:tab w:val="right" w:leader="dot" w:pos="9350"/>
            </w:tabs>
            <w:rPr>
              <w:rFonts w:asciiTheme="minorHAnsi" w:eastAsiaTheme="minorEastAsia" w:hAnsiTheme="minorHAnsi"/>
              <w:noProof/>
              <w:color w:val="auto"/>
              <w:sz w:val="22"/>
            </w:rPr>
          </w:pPr>
          <w:hyperlink w:anchor="_Toc240857242" w:history="1">
            <w:r w:rsidRPr="00195C52">
              <w:rPr>
                <w:rStyle w:val="Hyperlink"/>
                <w:noProof/>
              </w:rPr>
              <w:t>Figure 5. Revised evidence-based mechanism model</w:t>
            </w:r>
            <w:r>
              <w:rPr>
                <w:noProof/>
                <w:webHidden/>
              </w:rPr>
              <w:tab/>
            </w:r>
            <w:r>
              <w:rPr>
                <w:noProof/>
                <w:webHidden/>
              </w:rPr>
              <w:fldChar w:fldCharType="begin"/>
            </w:r>
            <w:r>
              <w:rPr>
                <w:noProof/>
                <w:webHidden/>
              </w:rPr>
              <w:instrText xml:space="preserve"> PAGEREF _Toc240857242 \h </w:instrText>
            </w:r>
            <w:r>
              <w:rPr>
                <w:noProof/>
                <w:webHidden/>
              </w:rPr>
            </w:r>
            <w:r>
              <w:rPr>
                <w:noProof/>
                <w:webHidden/>
              </w:rPr>
              <w:fldChar w:fldCharType="separate"/>
            </w:r>
            <w:r>
              <w:rPr>
                <w:noProof/>
                <w:webHidden/>
              </w:rPr>
              <w:t>4</w:t>
            </w:r>
            <w:r w:rsidR="007E140B">
              <w:rPr>
                <w:noProof/>
                <w:webHidden/>
              </w:rPr>
              <w:t>5</w:t>
            </w:r>
            <w:r>
              <w:rPr>
                <w:noProof/>
                <w:webHidden/>
              </w:rPr>
              <w:fldChar w:fldCharType="end"/>
            </w:r>
          </w:hyperlink>
        </w:p>
        <w:p w14:paraId="263AC0E2" w14:textId="77777777" w:rsidR="004B4463" w:rsidRDefault="00F763E6">
          <w:pPr>
            <w:pStyle w:val="TOC1"/>
            <w:tabs>
              <w:tab w:val="right" w:leader="dot" w:pos="9359"/>
            </w:tabs>
          </w:pPr>
          <w:r>
            <w:rPr>
              <w:rStyle w:val="IndexLink"/>
            </w:rPr>
            <w:fldChar w:fldCharType="end"/>
          </w:r>
        </w:p>
        <w:p w14:paraId="37066D87" w14:textId="77777777" w:rsidR="004B4463" w:rsidRDefault="00CC58FE">
          <w:pPr>
            <w:sectPr w:rsidR="004B4463">
              <w:footerReference w:type="even" r:id="rId14"/>
              <w:footerReference w:type="default" r:id="rId15"/>
              <w:footerReference w:type="first" r:id="rId16"/>
              <w:pgSz w:w="12240" w:h="15840"/>
              <w:pgMar w:top="1440" w:right="1440" w:bottom="1440" w:left="1440" w:header="0" w:footer="720" w:gutter="0"/>
              <w:pgNumType w:fmt="lowerRoman" w:start="5"/>
              <w:cols w:space="720"/>
              <w:formProt w:val="0"/>
              <w:docGrid w:linePitch="360"/>
            </w:sectPr>
          </w:pPr>
        </w:p>
      </w:sdtContent>
    </w:sdt>
    <w:p w14:paraId="0CA49C34" w14:textId="77777777" w:rsidR="004B4463" w:rsidRDefault="00F763E6">
      <w:pPr>
        <w:pStyle w:val="Heading1"/>
      </w:pPr>
      <w:bookmarkStart w:id="8" w:name="_Toc240378594"/>
      <w:bookmarkStart w:id="9" w:name="_Toc240858648"/>
      <w:r>
        <w:lastRenderedPageBreak/>
        <w:t>Chapter 1: Introduction</w:t>
      </w:r>
      <w:bookmarkEnd w:id="8"/>
      <w:bookmarkEnd w:id="9"/>
    </w:p>
    <w:p w14:paraId="2209274C" w14:textId="77777777" w:rsidR="004B4463" w:rsidRDefault="00F763E6">
      <w:pPr>
        <w:pStyle w:val="Heading2"/>
      </w:pPr>
      <w:bookmarkStart w:id="10" w:name="_Toc240858649"/>
      <w:r>
        <w:t>1.1 Background of the Study</w:t>
      </w:r>
      <w:bookmarkEnd w:id="10"/>
    </w:p>
    <w:p w14:paraId="54354F1F" w14:textId="77777777" w:rsidR="004B4463" w:rsidRDefault="00F763E6">
      <w:r>
        <w:t xml:space="preserve">Environmental, social and governance (ESG) concerns are now integrated into product design and sourcing, capital allocation, risk management and executive accountability rather than treated as a peripheral extension of corporate social responsibility. This shift is strategically significant, but ESG remains conceptually heterogeneous. The term can refer to non-financial risks considered by investors, a framework for assessing corporate impacts on society and the environment, and/or a </w:t>
      </w:r>
      <w:proofErr w:type="spellStart"/>
      <w:r>
        <w:t>programme</w:t>
      </w:r>
      <w:proofErr w:type="spellEnd"/>
      <w:r>
        <w:t xml:space="preserve"> of operational change. Gillan, Koch and Starks (2021) demonstrate that definitions and measures vary across the literature, while Edmans (2023) argues that stakeholder issues create value only when they are material to long-term strategy rather than simply carrying a fashionable label. This dissertation therefore defines ESG strategy as an integrated set of priorities, targets, governance arrangements, resources, implementation practices and measurable outcomes across environmental, social and governance dimensions. Reporting is treated as evidence of this configuration, not as evidence of performance in itself.</w:t>
      </w:r>
    </w:p>
    <w:p w14:paraId="1C29412A" w14:textId="77777777" w:rsidR="004B4463" w:rsidRDefault="00F763E6">
      <w:r>
        <w:t xml:space="preserve">Consumer goods provide a useful setting because their environmental and social impacts are both extensive and visible. Everyday products depend on complex supply chains involving agricultural and chemical inputs, energy, water, packaging, transport, </w:t>
      </w:r>
      <w:proofErr w:type="spellStart"/>
      <w:r>
        <w:t>labour</w:t>
      </w:r>
      <w:proofErr w:type="spellEnd"/>
      <w:r>
        <w:t xml:space="preserve"> standards, product safety, marketing and post-consumer waste. Consumers are regularly exposed to brands but typically cannot verify production conditions directly. Corporate claims can therefore reduce information asymmetry, while also creating reputational and regulatory exposure when claims and outcomes diverge. Reputation may be strengthened by credible product benefits and responsible conduct, yet damaged rapidly by allegations of misleading environmental claims, unsafe products or weak supply-chain governance. Stakeholders therefore look not only for broad commitments but for material ESG action that is credible, affordable and operationally useful.</w:t>
      </w:r>
    </w:p>
    <w:p w14:paraId="75B5A71F" w14:textId="77777777" w:rsidR="004B4463" w:rsidRDefault="00F763E6">
      <w:r>
        <w:t xml:space="preserve">The UK context has become more demanding. The Competition and Markets Authority (CMA) Green Claims Code requires environmental claims to be truthful, clear, substantiated, based on fair comparisons and attentive to the full life cycle where relevant </w:t>
      </w:r>
      <w:r>
        <w:lastRenderedPageBreak/>
        <w:t>(Competition and Markets Authority, 2021). The direct consumer-enforcement regime under the Digital Markets, Competition and Consumers Act 2024 came into force on 6 April 2025, with the CMA's direct enforcement powers commencing on 7 April 2025; relevant infringements can attract penalties of up to 10 per cent of global turnover (Competition and Markets Authority, 2025). Governance expectations have also changed. The Financial Reporting Council (FRC) UK Corporate Governance Code 2024 applies to financial years beginning on or after 1 January 2025, while Provision 29 on material controls applies to financial years beginning on or after 1 January 2026 (Financial Reporting Council, 2024). In February 2026, the UK government issued UK Sustainability Reporting Standards S1 and S2, based on the ISSB standards; publication of those standards does not mean that every company in this study was already subject to a universal mandatory UK SRS reporting requirement (Department for Business and Trade, 2026). These developments make substantiation, internal control and evidence quality relevant to reputation management as well as to compliance and communication.</w:t>
      </w:r>
    </w:p>
    <w:p w14:paraId="54D9394F" w14:textId="77777777" w:rsidR="004B4463" w:rsidRDefault="00F763E6">
      <w:r>
        <w:t xml:space="preserve">There is an additional layer of pressure from consumer demand. Deloitte's UK research shows that cost remains an important obstacle to more sustainable living and also identifies uncertainty about the sustainability credentials of products (Deloitte, 2024). PwC's Voice of the Consumer Survey 2024 reports stated willingness among consumers to pay more for sustainably produced or sourced goods, but stated willingness does not necessarily translate into observed purchasing </w:t>
      </w:r>
      <w:proofErr w:type="spellStart"/>
      <w:r>
        <w:t>behaviour</w:t>
      </w:r>
      <w:proofErr w:type="spellEnd"/>
      <w:r>
        <w:t xml:space="preserve"> (PwC, 2024). A US observational study by McKinsey &amp; Company and </w:t>
      </w:r>
      <w:proofErr w:type="spellStart"/>
      <w:r>
        <w:t>NielsenIQ</w:t>
      </w:r>
      <w:proofErr w:type="spellEnd"/>
      <w:r>
        <w:t xml:space="preserve"> (2023) found that products carrying environmental and/or social claims were associated with faster sales growth than comparable products without such claims. The authors explicitly caution that the analysis does not establish that the claims caused the sales difference and did not independently validate the claims. ESG differentiation must therefore coexist with value, convenience and quality in consumer goods markets.</w:t>
      </w:r>
    </w:p>
    <w:p w14:paraId="2C787F04" w14:textId="77777777" w:rsidR="004B4463" w:rsidRDefault="00F763E6">
      <w:pPr>
        <w:pStyle w:val="Heading2"/>
      </w:pPr>
      <w:bookmarkStart w:id="11" w:name="_Toc240378596"/>
      <w:bookmarkStart w:id="12" w:name="_Toc240858650"/>
      <w:r>
        <w:t>1.2 Problem Statement</w:t>
      </w:r>
      <w:bookmarkEnd w:id="11"/>
      <w:bookmarkEnd w:id="12"/>
    </w:p>
    <w:p w14:paraId="25AD84D6" w14:textId="77777777" w:rsidR="004B4463" w:rsidRDefault="00F763E6">
      <w:r>
        <w:t xml:space="preserve">There is growing demand from managers, investors and regulators for evidence that ESG strategy is both responsible and economically relevant. However, the available evidence does not provide a simple rule. Many quantitative studies report positive average </w:t>
      </w:r>
      <w:r>
        <w:lastRenderedPageBreak/>
        <w:t xml:space="preserve">associations between ESG indicators and accounting or market outcomes, but reverse causality and omitted firm characteristics remain plausible. ESG-rating providers also differ in the scope, measurement and weighting of indicators, producing substantial rating divergence (Berg, Kölbel and </w:t>
      </w:r>
      <w:proofErr w:type="spellStart"/>
      <w:r>
        <w:t>Rigobon</w:t>
      </w:r>
      <w:proofErr w:type="spellEnd"/>
      <w:r>
        <w:t xml:space="preserve">, 2022). Christensen, Serafeim and </w:t>
      </w:r>
      <w:proofErr w:type="spellStart"/>
      <w:r>
        <w:t>Sikochi</w:t>
      </w:r>
      <w:proofErr w:type="spellEnd"/>
      <w:r>
        <w:t xml:space="preserve"> (2022) further show that greater ESG disclosure can be associated with greater rating disagreement because disclosure exposes more dimensions on which evaluators may differ. Consequently, a positive association between an ESG score and firm value cannot, by itself, identify whether the relationship reflects reputation, efficiency, innovation, risk reduction, management quality or reverse causality.</w:t>
      </w:r>
    </w:p>
    <w:p w14:paraId="0CCDCB0E" w14:textId="77777777" w:rsidR="004B4463" w:rsidRDefault="00F763E6">
      <w:r>
        <w:t xml:space="preserve">This uncertainty creates a practical problem for highly visible consumer-facing businesses. Management may overinvest in peripheral </w:t>
      </w:r>
      <w:proofErr w:type="spellStart"/>
      <w:r>
        <w:t>programmes</w:t>
      </w:r>
      <w:proofErr w:type="spellEnd"/>
      <w:r>
        <w:t>, underinvest in difficult supply-chain transitions, or announce targets before the underlying evidence systems are sufficiently developed. Each choice carries opportunity costs and claim-related risks. Conversely, a narrow compliance perspective may overlook innovation, employee engagement and stakeholder trust. The practical problem examined here is therefore when substantive ESG strategy contributes to stronger corporate reputation and to capabilities associated with sustained competitive advantage, and when competing business forces, weak evidence or greenwashing risk weaken those mechanisms.</w:t>
      </w:r>
    </w:p>
    <w:p w14:paraId="4DF38C3C" w14:textId="77777777" w:rsidR="004B4463" w:rsidRDefault="00F763E6">
      <w:pPr>
        <w:pStyle w:val="Heading2"/>
      </w:pPr>
      <w:bookmarkStart w:id="13" w:name="_Toc240378597"/>
      <w:bookmarkStart w:id="14" w:name="_Toc240858651"/>
      <w:r>
        <w:t>1.3 Research Aim</w:t>
      </w:r>
      <w:bookmarkEnd w:id="13"/>
      <w:bookmarkEnd w:id="14"/>
    </w:p>
    <w:p w14:paraId="1357C3D3" w14:textId="77777777" w:rsidR="004B4463" w:rsidRDefault="00F763E6">
      <w:r>
        <w:t xml:space="preserve">The aim of the research is to critically </w:t>
      </w:r>
      <w:proofErr w:type="spellStart"/>
      <w:r>
        <w:t>analyse</w:t>
      </w:r>
      <w:proofErr w:type="spellEnd"/>
      <w:r>
        <w:t xml:space="preserve"> the impact of ESG strategy on corporate reputation and its role in achieving long-term competitive advantage in the UK consumer goods sector by comparing Unilever, Reckitt, Diageo and ABF via secondary analysis.</w:t>
      </w:r>
    </w:p>
    <w:p w14:paraId="290029F4" w14:textId="77777777" w:rsidR="004B4463" w:rsidRDefault="00F763E6">
      <w:pPr>
        <w:pStyle w:val="Heading2"/>
      </w:pPr>
      <w:bookmarkStart w:id="15" w:name="_Toc240378598"/>
      <w:bookmarkStart w:id="16" w:name="_Toc240858652"/>
      <w:r>
        <w:t>1.4 Research Objectives</w:t>
      </w:r>
      <w:bookmarkEnd w:id="15"/>
      <w:bookmarkEnd w:id="16"/>
    </w:p>
    <w:p w14:paraId="0656473E" w14:textId="77777777" w:rsidR="004B4463" w:rsidRDefault="00F763E6">
      <w:pPr>
        <w:pStyle w:val="ListParagraph"/>
        <w:numPr>
          <w:ilvl w:val="0"/>
          <w:numId w:val="1"/>
        </w:numPr>
      </w:pPr>
      <w:r>
        <w:t xml:space="preserve">To critically </w:t>
      </w:r>
      <w:proofErr w:type="spellStart"/>
      <w:r>
        <w:t>synthesise</w:t>
      </w:r>
      <w:proofErr w:type="spellEnd"/>
      <w:r>
        <w:t xml:space="preserve"> recent theoretical and empirical research on the linkages between ESG strategy, corporate reputation and competitive advantage.</w:t>
      </w:r>
    </w:p>
    <w:p w14:paraId="36F7C195" w14:textId="77777777" w:rsidR="004B4463" w:rsidRDefault="00F763E6">
      <w:pPr>
        <w:pStyle w:val="ListParagraph"/>
        <w:numPr>
          <w:ilvl w:val="0"/>
          <w:numId w:val="1"/>
        </w:numPr>
      </w:pPr>
      <w:r>
        <w:t>To benchmark the substance, credibility and strategic integration of ESG approaches across the four case companies.</w:t>
      </w:r>
    </w:p>
    <w:p w14:paraId="59CA4379" w14:textId="77777777" w:rsidR="004B4463" w:rsidRDefault="00F763E6">
      <w:pPr>
        <w:pStyle w:val="ListParagraph"/>
        <w:numPr>
          <w:ilvl w:val="0"/>
          <w:numId w:val="1"/>
        </w:numPr>
      </w:pPr>
      <w:r>
        <w:t>To assess how ESG can strengthen or erode reputation and contribute to long-term competitive advantage through mechanisms such as trust, innovation, efficiency and resilience.</w:t>
      </w:r>
    </w:p>
    <w:p w14:paraId="3F8B6AB3" w14:textId="77777777" w:rsidR="004B4463" w:rsidRDefault="00F763E6">
      <w:pPr>
        <w:pStyle w:val="ListParagraph"/>
        <w:numPr>
          <w:ilvl w:val="0"/>
          <w:numId w:val="1"/>
        </w:numPr>
      </w:pPr>
      <w:r>
        <w:lastRenderedPageBreak/>
        <w:t>To provide consumer-goods managers with evidence-based, forward-looking recommendations for ESG strategies that are material, credible and competitively relevant.</w:t>
      </w:r>
    </w:p>
    <w:p w14:paraId="62892486" w14:textId="77777777" w:rsidR="004B4463" w:rsidRDefault="00F763E6">
      <w:pPr>
        <w:pStyle w:val="Heading2"/>
      </w:pPr>
      <w:bookmarkStart w:id="17" w:name="_Toc240378599"/>
      <w:bookmarkStart w:id="18" w:name="_Toc240858653"/>
      <w:r>
        <w:t>1.5 Research questions</w:t>
      </w:r>
      <w:bookmarkEnd w:id="17"/>
      <w:bookmarkEnd w:id="18"/>
    </w:p>
    <w:p w14:paraId="424B1E2B" w14:textId="77777777" w:rsidR="004B4463" w:rsidRDefault="00F763E6">
      <w:pPr>
        <w:pStyle w:val="ListParagraph"/>
        <w:numPr>
          <w:ilvl w:val="0"/>
          <w:numId w:val="2"/>
        </w:numPr>
      </w:pPr>
      <w:r>
        <w:t xml:space="preserve">How do the selected UK consumer goods companies </w:t>
      </w:r>
      <w:proofErr w:type="spellStart"/>
      <w:r>
        <w:t>conceptualise</w:t>
      </w:r>
      <w:proofErr w:type="spellEnd"/>
      <w:r>
        <w:t>, govern and implement their ESG strategy?</w:t>
      </w:r>
    </w:p>
    <w:p w14:paraId="56D12A44" w14:textId="77777777" w:rsidR="004B4463" w:rsidRDefault="00F763E6">
      <w:pPr>
        <w:pStyle w:val="ListParagraph"/>
        <w:numPr>
          <w:ilvl w:val="0"/>
          <w:numId w:val="2"/>
        </w:numPr>
      </w:pPr>
      <w:r>
        <w:t>How can ESG strategy affect corporate reputation among key stakeholders?</w:t>
      </w:r>
    </w:p>
    <w:p w14:paraId="314F59F5" w14:textId="77777777" w:rsidR="004B4463" w:rsidRDefault="00F763E6">
      <w:pPr>
        <w:pStyle w:val="ListParagraph"/>
        <w:numPr>
          <w:ilvl w:val="0"/>
          <w:numId w:val="2"/>
        </w:numPr>
      </w:pPr>
      <w:r>
        <w:t>How do the available reputation-related indicators align with evidence of long-term competitive advantage, and what limits the strength of that relationship?</w:t>
      </w:r>
    </w:p>
    <w:p w14:paraId="4C3ACB05" w14:textId="77777777" w:rsidR="004B4463" w:rsidRDefault="00F763E6">
      <w:pPr>
        <w:pStyle w:val="ListParagraph"/>
        <w:numPr>
          <w:ilvl w:val="0"/>
          <w:numId w:val="2"/>
        </w:numPr>
      </w:pPr>
      <w:r>
        <w:t>What conditions, such as materiality, assurance, greenwashing risk, regulation, portfolio composition and affordability, enhance or weaken these relationships?</w:t>
      </w:r>
    </w:p>
    <w:p w14:paraId="068B4F71" w14:textId="77777777" w:rsidR="004B4463" w:rsidRDefault="00F763E6">
      <w:pPr>
        <w:pStyle w:val="Heading2"/>
      </w:pPr>
      <w:bookmarkStart w:id="19" w:name="_Toc240378600"/>
      <w:bookmarkStart w:id="20" w:name="_Toc240858654"/>
      <w:r>
        <w:t>1.6 Scope of the Study</w:t>
      </w:r>
      <w:bookmarkEnd w:id="19"/>
      <w:bookmarkEnd w:id="20"/>
    </w:p>
    <w:p w14:paraId="2973669D" w14:textId="77777777" w:rsidR="004B4463" w:rsidRDefault="00F763E6">
      <w:r>
        <w:t>The empirical study focuses on evidence from 2020–2025, with regulatory and academic material included up to the 2026 evidence cut-off. The four cases are Unilever, Reckitt, Diageo and Associated British Foods plc (ABF). All have UK headquarters and/or listings, prominent consumer brands and multi-year ESG disclosures, while differing in category economics and material sustainability exposures. Unilever spans beauty and wellbeing, personal care, home care and foods; Reckitt focuses on health and hygiene; Diageo operates in beverage alcohol; and ABF combines food and ingredients businesses with the value-fashion retailer Primark. The period is used as a contextual frame, but comparable evidence is uneven and is strongest for 2024–2025 outcomes and selected earlier baselines. The study therefore does not claim a complete six-year panel for every metric.</w:t>
      </w:r>
    </w:p>
    <w:p w14:paraId="4B34503A" w14:textId="77777777" w:rsidR="004B4463" w:rsidRDefault="00F763E6">
      <w:r>
        <w:t xml:space="preserve">The principal unit of evidence is a company-period observation, while the unit of inference is the proposed mechanism. The four cases are not treated as statistically representative of all UK consumer goods firms, and corporate reports are not treated as neutral observations. They provide evidence of governed practices and strategic narratives produced by </w:t>
      </w:r>
      <w:proofErr w:type="spellStart"/>
      <w:r>
        <w:t>organisations</w:t>
      </w:r>
      <w:proofErr w:type="spellEnd"/>
      <w:r>
        <w:t xml:space="preserve"> with interests in how those practices are interpreted. Management claims are therefore checked against selected quantitative indicators, assurance statements, regulatory records and third-party assessments where available. </w:t>
      </w:r>
      <w:r>
        <w:lastRenderedPageBreak/>
        <w:t>Financial results are used only as contextual competitive proxies because they also reflect pricing, acquisitions, disposals, foreign exchange, category demand and execution. The term impact is therefore used in a contribution-analysis sense, meaning a plausible and evidenced role within a wider causal configuration rather than an experimentally identified treatment effect.</w:t>
      </w:r>
    </w:p>
    <w:p w14:paraId="30F6ADF1" w14:textId="77777777" w:rsidR="004B4463" w:rsidRDefault="00F763E6">
      <w:pPr>
        <w:pStyle w:val="Heading2"/>
      </w:pPr>
      <w:bookmarkStart w:id="21" w:name="_Toc240378601"/>
      <w:bookmarkStart w:id="22" w:name="_Toc240858655"/>
      <w:r>
        <w:t>1.7 Significance of the Study</w:t>
      </w:r>
      <w:bookmarkEnd w:id="21"/>
      <w:bookmarkEnd w:id="22"/>
    </w:p>
    <w:p w14:paraId="027BCD79" w14:textId="77777777" w:rsidR="004B4463" w:rsidRDefault="00F763E6">
      <w:r>
        <w:t>This dissertation makes three contributions. Theoretically, it integrates stakeholder theory, the resource-based view and legitimacy theory, distinguishing a relational pathway through trust and reputation from an operational pathway through innovation, efficiency and resilience. Empirically, it evaluates commitments, controls, outcomes, assurance and counter-evidence rather than relying on a single composite ESG rating. Managerially, it interprets recent developments in the UK claims and reporting environment and considers their implications for materiality, evidence quality, product economics and governance decisions.</w:t>
      </w:r>
    </w:p>
    <w:p w14:paraId="6286430B" w14:textId="77777777" w:rsidR="004B4463" w:rsidRDefault="00F763E6">
      <w:r>
        <w:t>The forward-looking contribution is a shift from ESG promises toward controlled, decision-useful evidence. Greater emphasis is placed on systems that link claims to accountable owners, boundaries, baselines and supporting records, consistent with the direction of UK SRS, enhanced consumer enforcement and the 2024 Corporate Governance Code. Companies that make this transition may reduce reputational and regulatory risk while improving understanding of resource use and stakeholder needs. By contrast, fragmented metrics or communication-led governance may increase disclosure without producing corresponding trust, thereby making claims more contestable.</w:t>
      </w:r>
    </w:p>
    <w:p w14:paraId="53C6DDA8" w14:textId="77777777" w:rsidR="004B4463" w:rsidRDefault="00F763E6">
      <w:pPr>
        <w:pStyle w:val="Heading1"/>
        <w:pageBreakBefore/>
      </w:pPr>
      <w:bookmarkStart w:id="23" w:name="_Toc240378602"/>
      <w:bookmarkStart w:id="24" w:name="_Toc240858656"/>
      <w:r>
        <w:lastRenderedPageBreak/>
        <w:t>Chapter 2: Literature Review</w:t>
      </w:r>
      <w:bookmarkEnd w:id="23"/>
      <w:bookmarkEnd w:id="24"/>
    </w:p>
    <w:p w14:paraId="0F324CA7" w14:textId="77777777" w:rsidR="004B4463" w:rsidRDefault="00F763E6">
      <w:pPr>
        <w:pStyle w:val="Heading2"/>
      </w:pPr>
      <w:bookmarkStart w:id="25" w:name="_Toc240378603"/>
      <w:bookmarkStart w:id="26" w:name="_Toc240858657"/>
      <w:r>
        <w:t>2.1 Introduction</w:t>
      </w:r>
      <w:bookmarkEnd w:id="25"/>
      <w:bookmarkEnd w:id="26"/>
      <w:r>
        <w:t xml:space="preserve"> </w:t>
      </w:r>
    </w:p>
    <w:p w14:paraId="17B3553F" w14:textId="77777777" w:rsidR="004B4463" w:rsidRDefault="00F763E6">
      <w:r>
        <w:t xml:space="preserve">This chapter examines how ESG strategy may influence reputation and sustainable competitive advantage, and why those relationships can weaken or fail. It first defines the principal constructs and then integrates stakeholder theory, the resource-based view (RBV) and legitimacy theory. Subsequent sections examine strategic materiality and implementation, reputation as a possible mechanism, operational capability, consumer </w:t>
      </w:r>
      <w:proofErr w:type="spellStart"/>
      <w:r>
        <w:t>behaviour</w:t>
      </w:r>
      <w:proofErr w:type="spellEnd"/>
      <w:r>
        <w:t xml:space="preserve">, resilience, measurement divergence, assurance and greenwashing. The review </w:t>
      </w:r>
      <w:proofErr w:type="spellStart"/>
      <w:r>
        <w:t>prioritises</w:t>
      </w:r>
      <w:proofErr w:type="spellEnd"/>
      <w:r>
        <w:t xml:space="preserve"> literature published from 2020 to the evidence cut-off, while retaining earlier sources where they provide foundational theory. It concludes by identifying the research gap and specifying the preliminary conceptual framework used to guide the case analysis.</w:t>
      </w:r>
    </w:p>
    <w:p w14:paraId="55DA1CAA" w14:textId="77777777" w:rsidR="004B4463" w:rsidRDefault="00F763E6">
      <w:pPr>
        <w:pStyle w:val="Heading2"/>
      </w:pPr>
      <w:bookmarkStart w:id="27" w:name="_Toc240378604"/>
      <w:bookmarkStart w:id="28" w:name="_Toc240858658"/>
      <w:r>
        <w:t xml:space="preserve">2.2 </w:t>
      </w:r>
      <w:proofErr w:type="spellStart"/>
      <w:r>
        <w:t>Conceptualising</w:t>
      </w:r>
      <w:proofErr w:type="spellEnd"/>
      <w:r>
        <w:t xml:space="preserve"> ESG strategy, reputation and competitive advantage</w:t>
      </w:r>
      <w:bookmarkEnd w:id="27"/>
      <w:bookmarkEnd w:id="28"/>
    </w:p>
    <w:p w14:paraId="2B8A8A3D" w14:textId="77777777" w:rsidR="004B4463" w:rsidRDefault="00F763E6">
      <w:r>
        <w:t>ESG is often treated as a single construct, although it combines heterogeneous phenomena. An emissions reduction is a physical outcome; workforce representation is a social outcome; a board committee is a governance mechanism; and an ESG rating is a synthetic assessment. Aggregating these dimensions can obscure important differences, consistent with the diversity of corporate-finance research described by Gillan, Koch and Starks (2021). Edmans (2023) extends this argument by suggesting that the label itself adds little analytical value unless stakeholder factors are connected to the ordinary process of creating long-term value. A credible analysis should therefore distinguish inputs, processes, outputs and outcomes. Targets and expenditure are inputs; responsible-sourcing routines and claim controls are processes; recycled-content packaging is an output; and lower emissions or stronger stakeholder trust are outcomes.</w:t>
      </w:r>
    </w:p>
    <w:p w14:paraId="7CE60FE3" w14:textId="77777777" w:rsidR="004B4463" w:rsidRDefault="00F763E6">
      <w:r>
        <w:t xml:space="preserve">Materiality gives this sequence strategic focus. Financial materiality asks whether sustainability-related risks and opportunities could affect enterprise value, whereas impact materiality asks whether a company has significant effects on people or the environment. The perspectives overlap but are not identical. A large external impact may </w:t>
      </w:r>
      <w:r>
        <w:lastRenderedPageBreak/>
        <w:t>not yet be reflected in enterprise value, although subsequent controversy can create reputational and commercial consequences. Double materiality is therefore relevant to consumer goods, where life-cycle effects and stakeholder interpretations often intersect. Materiality assessments are nevertheless judgement-based because management sets thresholds, selects stakeholder inputs and chooses time horizons. They should therefore be interpreted as governance processes that require periodic review.</w:t>
      </w:r>
    </w:p>
    <w:p w14:paraId="20FC6D7B" w14:textId="77777777" w:rsidR="004B4463" w:rsidRDefault="00F763E6">
      <w:r>
        <w:t>Corporate reputation, as used here, is a stakeholder-specific assessment of a firm's actions, reliability and future prospects (</w:t>
      </w:r>
      <w:proofErr w:type="spellStart"/>
      <w:r>
        <w:t>Fombrun</w:t>
      </w:r>
      <w:proofErr w:type="spellEnd"/>
      <w:r>
        <w:t>, 1996). It differs from brand image, which may relate to a specific product, and from legitimacy, which concerns broader social acceptability. Reputation develops over time and depends on accumulated signals, yet it can deteriorate rapidly when salient negative information or inconsistency creates suspicion of opportunism. Firms may also hold different reputations with different audiences: being an attractive employer, reliable supplier, responsible producer and high-return investment are not synonymous. This plurality cautions against treating any single ranking as a complete measure of corporate reputation.</w:t>
      </w:r>
    </w:p>
    <w:p w14:paraId="0F00BE76" w14:textId="77777777" w:rsidR="004B4463" w:rsidRDefault="00F763E6">
      <w:r>
        <w:t xml:space="preserve">Long-term competitive advantage refers to the ability to create and sustain superior value despite competition and changing conditions. Relevant indicators include product differentiation, customer loyalty, employee attraction, resource productivity, innovation, lower disruption risk and adaptive capacity. Current profitability is neither a prerequisite nor a guarantee: investment may depress short-term profitability, while </w:t>
      </w:r>
      <w:proofErr w:type="spellStart"/>
      <w:r>
        <w:t>favourable</w:t>
      </w:r>
      <w:proofErr w:type="spellEnd"/>
      <w:r>
        <w:t xml:space="preserve"> pricing or category demand may temporarily lift profits without creating durable capability. Commercial measures are therefore treated as contextual proxies, while the analysis focuses on mechanisms that could plausibly persist.</w:t>
      </w:r>
    </w:p>
    <w:p w14:paraId="2A975FE1" w14:textId="77777777" w:rsidR="004B4463" w:rsidRDefault="00F763E6">
      <w:pPr>
        <w:pStyle w:val="Heading2"/>
      </w:pPr>
      <w:bookmarkStart w:id="29" w:name="_Toc240378605"/>
      <w:bookmarkStart w:id="30" w:name="_Toc240858659"/>
      <w:r>
        <w:t>2.3 Theoretical foundation</w:t>
      </w:r>
      <w:bookmarkEnd w:id="29"/>
      <w:bookmarkEnd w:id="30"/>
    </w:p>
    <w:p w14:paraId="0C45F842" w14:textId="77777777" w:rsidR="004B4463" w:rsidRDefault="00F763E6">
      <w:pPr>
        <w:pStyle w:val="Heading3"/>
      </w:pPr>
      <w:bookmarkStart w:id="31" w:name="_Toc240378606"/>
      <w:bookmarkStart w:id="32" w:name="_Toc240858660"/>
      <w:r>
        <w:t>2.3.1 Stakeholder theory</w:t>
      </w:r>
      <w:bookmarkEnd w:id="31"/>
      <w:bookmarkEnd w:id="32"/>
    </w:p>
    <w:p w14:paraId="7351B452" w14:textId="77777777" w:rsidR="004B4463" w:rsidRDefault="00F763E6">
      <w:r>
        <w:t xml:space="preserve">Stakeholder theory, introduced by Freeman (1984), proposes that companies create long-term value through the management of relationships with customers, employees, suppliers, communities, regulators, investors and other affected groups. ESG strategy can identify material stakeholder claims, allocate responsibility and mitigate relationship-specific risks. In consumer goods, responsible sourcing can support farmer or supplier </w:t>
      </w:r>
      <w:r>
        <w:lastRenderedPageBreak/>
        <w:t xml:space="preserve">capacity, product stewardship can protect users, and workforce practices can sustain </w:t>
      </w:r>
      <w:proofErr w:type="spellStart"/>
      <w:r>
        <w:t>organisational</w:t>
      </w:r>
      <w:proofErr w:type="spellEnd"/>
      <w:r>
        <w:t xml:space="preserve"> capability and innovation. Reputation can be understood as a cumulative stakeholder judgement about whether the firm manages these relationships reliably, providing a plausible link between stakeholder experience and future cooperation.</w:t>
      </w:r>
    </w:p>
    <w:p w14:paraId="207F9E69" w14:textId="77777777" w:rsidR="004B4463" w:rsidRDefault="00F763E6">
      <w:r>
        <w:t xml:space="preserve">One strength of stakeholder theory is also a limitation: stakeholder interests are diverse and can conflict. Lower prices may conflict with higher-cost certified inputs; shorter supplier lead times may conflict with </w:t>
      </w:r>
      <w:proofErr w:type="spellStart"/>
      <w:r>
        <w:t>labour</w:t>
      </w:r>
      <w:proofErr w:type="spellEnd"/>
      <w:r>
        <w:t xml:space="preserve"> standards; and lighter packaging may conflict with product protection. The theory does not provide an automatic rule for </w:t>
      </w:r>
      <w:proofErr w:type="spellStart"/>
      <w:r>
        <w:t>prioritising</w:t>
      </w:r>
      <w:proofErr w:type="spellEnd"/>
      <w:r>
        <w:t xml:space="preserve"> claims or allocating costs. There is also a risk of circular reasoning if any successful decision is retrospectively labelled 'stakeholder value'. In this dissertation, stakeholder theory is therefore used to identify affected groups and reciprocal dependencies rather than to assume that every ESG-labelled initiative benefits all stakeholders or the firm.</w:t>
      </w:r>
    </w:p>
    <w:p w14:paraId="5AECD5EB" w14:textId="77777777" w:rsidR="004B4463" w:rsidRDefault="00F763E6">
      <w:pPr>
        <w:pStyle w:val="Heading3"/>
      </w:pPr>
      <w:bookmarkStart w:id="33" w:name="_Toc240858661"/>
      <w:r>
        <w:t>2.3.2 Resource-based view and dynamic capability</w:t>
      </w:r>
      <w:bookmarkEnd w:id="33"/>
    </w:p>
    <w:p w14:paraId="4AD785EA" w14:textId="77777777" w:rsidR="004B4463" w:rsidRDefault="00F763E6">
      <w:r>
        <w:t xml:space="preserve">The RBV provides a basis for examining when ESG-related activity can contribute to sustained competitive advantage. Barney (1991) argues that sustained advantage depends on resources that are valuable, rare, imperfectly imitable and not strategically substitutable. A public net-zero target is neither rare nor difficult to copy. By contrast, accumulated knowledge embedded in traceable supplier relationships, formulation expertise, trusted partnerships, product-redesign routines and cross-functional data controls may be socially complex and path dependent. Such resources can lower costs, support differentiated products or reduce exposure in ways that competitors cannot rapidly reproduce. In this study, </w:t>
      </w:r>
      <w:proofErr w:type="spellStart"/>
      <w:r>
        <w:t>organisational</w:t>
      </w:r>
      <w:proofErr w:type="spellEnd"/>
      <w:r>
        <w:t xml:space="preserve"> processes are therefore examined as mechanisms through which underlying resources may be </w:t>
      </w:r>
      <w:proofErr w:type="spellStart"/>
      <w:r>
        <w:t>mobilised</w:t>
      </w:r>
      <w:proofErr w:type="spellEnd"/>
      <w:r>
        <w:t>, without conflating Barney's original VRIN criteria with the later VRIO formulation.</w:t>
      </w:r>
    </w:p>
    <w:p w14:paraId="49395147" w14:textId="77777777" w:rsidR="004B4463" w:rsidRDefault="00F763E6">
      <w:r>
        <w:t xml:space="preserve">The relevant question is therefore the capability embedded in ESG-oriented routines rather than the possession of a score. Cabaleiro-Cerviño and Mendi (2024), using matched Spanish panel data, report robust evidence that ESG-driven innovation strategies are associated with stronger future innovation performance. Their evidence for non-innovation outcomes is more qualified: ESG-driven firms generally do not underperform on </w:t>
      </w:r>
      <w:proofErr w:type="spellStart"/>
      <w:r>
        <w:t>labour</w:t>
      </w:r>
      <w:proofErr w:type="spellEnd"/>
      <w:r>
        <w:t xml:space="preserve"> productivity, exporting and survival, but the strength and </w:t>
      </w:r>
      <w:r>
        <w:lastRenderedPageBreak/>
        <w:t xml:space="preserve">robustness of those results vary with the classification criterion and estimation method. Dos Reis Cardillo and Basso (2025) similarly </w:t>
      </w:r>
      <w:proofErr w:type="spellStart"/>
      <w:r>
        <w:t>emphasise</w:t>
      </w:r>
      <w:proofErr w:type="spellEnd"/>
      <w:r>
        <w:t xml:space="preserve"> that institutional, sectoral and measurement conditions moderate ESG-financial performance relationships. This heterogeneity is consistent with an RBV interpretation: similar commitments can generate different outcomes because firms possess different complementary assets and routines. However, routines can also become rigid if systems designed for an earlier problem fail to adapt to regulatory, technological or consumer change.</w:t>
      </w:r>
    </w:p>
    <w:p w14:paraId="36EFE084" w14:textId="77777777" w:rsidR="004B4463" w:rsidRDefault="00F763E6">
      <w:pPr>
        <w:pStyle w:val="Heading3"/>
      </w:pPr>
      <w:bookmarkStart w:id="34" w:name="_Toc240378608"/>
      <w:bookmarkStart w:id="35" w:name="_Toc240858662"/>
      <w:r>
        <w:t xml:space="preserve">2.3.3 Legitimacy and </w:t>
      </w:r>
      <w:proofErr w:type="spellStart"/>
      <w:r>
        <w:t>signalling</w:t>
      </w:r>
      <w:bookmarkEnd w:id="34"/>
      <w:bookmarkEnd w:id="35"/>
      <w:proofErr w:type="spellEnd"/>
    </w:p>
    <w:p w14:paraId="2B850BFC" w14:textId="77777777" w:rsidR="004B4463" w:rsidRDefault="00F763E6">
      <w:r>
        <w:t xml:space="preserve">According to legitimacy theory, </w:t>
      </w:r>
      <w:proofErr w:type="spellStart"/>
      <w:r>
        <w:t>organisations</w:t>
      </w:r>
      <w:proofErr w:type="spellEnd"/>
      <w:r>
        <w:t xml:space="preserve"> seek to align </w:t>
      </w:r>
      <w:proofErr w:type="spellStart"/>
      <w:r>
        <w:t>behaviour</w:t>
      </w:r>
      <w:proofErr w:type="spellEnd"/>
      <w:r>
        <w:t xml:space="preserve"> and communication with accepted social norms (Suchman, 1995). Reporting on emissions, human-rights due diligence or diversity can signal compliance and ongoing responsiveness to stakeholders. </w:t>
      </w:r>
      <w:proofErr w:type="spellStart"/>
      <w:r>
        <w:t>Signalling</w:t>
      </w:r>
      <w:proofErr w:type="spellEnd"/>
      <w:r>
        <w:t xml:space="preserve"> logic further suggests that costly or verifiable actions may be more credible because lower-quality firms have less incentive to undertake them. Independent assurance, transparent target revisions and investments linked to measurable outcomes may therefore strengthen the signal.</w:t>
      </w:r>
    </w:p>
    <w:p w14:paraId="2A2988D5" w14:textId="77777777" w:rsidR="004B4463" w:rsidRDefault="00F763E6">
      <w:r>
        <w:t xml:space="preserve">Legitimacy can also be pursued symbolically. Yu, Luu and Chen (2020) describe greenwashing as a disconnect between ESG disclosure and underlying performance. de Freitas Netto et al. (2020) identify forms including selective disclosure, vague language and misleading product claims. Recent reviews also </w:t>
      </w:r>
      <w:proofErr w:type="spellStart"/>
      <w:r>
        <w:t>emphasise</w:t>
      </w:r>
      <w:proofErr w:type="spellEnd"/>
      <w:r>
        <w:t xml:space="preserve"> information asymmetry and weak verification (Santos, Coelho and Marques, 2024; </w:t>
      </w:r>
      <w:proofErr w:type="spellStart"/>
      <w:r>
        <w:t>Persakis</w:t>
      </w:r>
      <w:proofErr w:type="spellEnd"/>
      <w:r>
        <w:t xml:space="preserve"> et al., 2025). The theoretical implication is asymmetric: substantive action may strengthen issue-specific reputation gradually, whereas a revealed contradiction can damage confidence in both the claim and the governance supporting it. Greater communication therefore does not necessarily create a stronger signal when the evidential basis is unchanged.</w:t>
      </w:r>
    </w:p>
    <w:p w14:paraId="16731565" w14:textId="77777777" w:rsidR="004B4463" w:rsidRDefault="00F763E6">
      <w:pPr>
        <w:pStyle w:val="Heading3"/>
      </w:pPr>
      <w:bookmarkStart w:id="36" w:name="_Toc240378609"/>
      <w:bookmarkStart w:id="37" w:name="_Toc240858663"/>
      <w:r>
        <w:t>2.3.4 Integrated theoretical proposition</w:t>
      </w:r>
      <w:bookmarkEnd w:id="36"/>
      <w:bookmarkEnd w:id="37"/>
    </w:p>
    <w:p w14:paraId="58087824" w14:textId="77777777" w:rsidR="004B4463" w:rsidRDefault="00F763E6">
      <w:r>
        <w:t xml:space="preserve">No single theory is sufficient. Stakeholder theory identifies the relationships and material claims through which value may be created; the RBV explains when related routines become difficult-to-imitate capabilities; and legitimacy theory explains how stakeholders interpret corporate action and the risk of symbolic conformity. Together, they imply two pathways. The relational pathway runs from material ESG strategy to perceived </w:t>
      </w:r>
      <w:r>
        <w:lastRenderedPageBreak/>
        <w:t xml:space="preserve">credibility, trust and reputation, and then potentially to loyalty, cooperation and strategic discretion. The operational pathway concerns the translation of ESG strategy into innovation, efficiency and resilience, with potential effects on competitive outcomes. Reputation may act as a partial mediator: packaging redesign can lower material costs even when consumers do not notice, whereas a highly visible commitment can influence stakeholder support before operational benefits are fully </w:t>
      </w:r>
      <w:proofErr w:type="spellStart"/>
      <w:r>
        <w:t>realised</w:t>
      </w:r>
      <w:proofErr w:type="spellEnd"/>
      <w:r>
        <w:t>.</w:t>
      </w:r>
    </w:p>
    <w:p w14:paraId="57F5DC9C" w14:textId="77777777" w:rsidR="004B4463" w:rsidRPr="00D471EF" w:rsidRDefault="00F763E6" w:rsidP="00D471EF">
      <w:pPr>
        <w:pStyle w:val="Heading4"/>
      </w:pPr>
      <w:bookmarkStart w:id="38" w:name="table_1"/>
      <w:bookmarkStart w:id="39" w:name="_Toc240857234"/>
      <w:r>
        <w:t>Table 1. Theoretical and empirical synthesis</w:t>
      </w:r>
      <w:bookmarkEnd w:id="38"/>
      <w:bookmarkEnd w:id="39"/>
    </w:p>
    <w:tbl>
      <w:tblPr>
        <w:tblW w:w="10166" w:type="dxa"/>
        <w:jc w:val="center"/>
        <w:tblLayout w:type="fixed"/>
        <w:tblCellMar>
          <w:top w:w="105" w:type="dxa"/>
          <w:left w:w="90" w:type="dxa"/>
          <w:bottom w:w="105" w:type="dxa"/>
          <w:right w:w="90" w:type="dxa"/>
        </w:tblCellMar>
        <w:tblLook w:val="04A0" w:firstRow="1" w:lastRow="0" w:firstColumn="1" w:lastColumn="0" w:noHBand="0" w:noVBand="1"/>
      </w:tblPr>
      <w:tblGrid>
        <w:gridCol w:w="1448"/>
        <w:gridCol w:w="3126"/>
        <w:gridCol w:w="2434"/>
        <w:gridCol w:w="3158"/>
      </w:tblGrid>
      <w:tr w:rsidR="00D471EF" w:rsidRPr="00D471EF" w14:paraId="12DE5D75" w14:textId="77777777" w:rsidTr="001118BD">
        <w:trPr>
          <w:cantSplit/>
          <w:trHeight w:val="744"/>
          <w:tblHeader/>
          <w:jc w:val="center"/>
        </w:trPr>
        <w:tc>
          <w:tcPr>
            <w:tcW w:w="1448" w:type="dxa"/>
            <w:tcBorders>
              <w:top w:val="single" w:sz="4" w:space="0" w:color="BCC7D1"/>
              <w:left w:val="single" w:sz="4" w:space="0" w:color="BCC7D1"/>
              <w:bottom w:val="single" w:sz="4" w:space="0" w:color="BCC7D1"/>
              <w:right w:val="single" w:sz="4" w:space="0" w:color="BCC7D1"/>
            </w:tcBorders>
            <w:shd w:val="clear" w:color="auto" w:fill="17365D"/>
          </w:tcPr>
          <w:p w14:paraId="0E1D3D38" w14:textId="77777777" w:rsidR="004B4463" w:rsidRPr="00D471EF" w:rsidRDefault="00F763E6">
            <w:pPr>
              <w:spacing w:after="0"/>
              <w:rPr>
                <w:rFonts w:cs="Arial"/>
                <w:color w:val="auto"/>
                <w:sz w:val="20"/>
                <w:szCs w:val="20"/>
              </w:rPr>
            </w:pPr>
            <w:r w:rsidRPr="00D471EF">
              <w:rPr>
                <w:rFonts w:cs="Arial"/>
                <w:b/>
                <w:color w:val="auto"/>
                <w:sz w:val="20"/>
                <w:szCs w:val="20"/>
              </w:rPr>
              <w:t>Lens or evidence</w:t>
            </w:r>
          </w:p>
        </w:tc>
        <w:tc>
          <w:tcPr>
            <w:tcW w:w="3126" w:type="dxa"/>
            <w:tcBorders>
              <w:top w:val="single" w:sz="4" w:space="0" w:color="BCC7D1"/>
              <w:left w:val="single" w:sz="4" w:space="0" w:color="BCC7D1"/>
              <w:bottom w:val="single" w:sz="4" w:space="0" w:color="BCC7D1"/>
              <w:right w:val="single" w:sz="4" w:space="0" w:color="BCC7D1"/>
            </w:tcBorders>
            <w:shd w:val="clear" w:color="auto" w:fill="17365D"/>
          </w:tcPr>
          <w:p w14:paraId="12C23A14" w14:textId="77777777" w:rsidR="004B4463" w:rsidRPr="00D471EF" w:rsidRDefault="00F763E6">
            <w:pPr>
              <w:spacing w:after="0"/>
              <w:rPr>
                <w:rFonts w:cs="Arial"/>
                <w:color w:val="auto"/>
                <w:sz w:val="20"/>
                <w:szCs w:val="20"/>
              </w:rPr>
            </w:pPr>
            <w:r w:rsidRPr="00D471EF">
              <w:rPr>
                <w:rFonts w:cs="Arial"/>
                <w:b/>
                <w:color w:val="auto"/>
                <w:sz w:val="20"/>
                <w:szCs w:val="20"/>
              </w:rPr>
              <w:t>Proposed mechanism</w:t>
            </w:r>
          </w:p>
        </w:tc>
        <w:tc>
          <w:tcPr>
            <w:tcW w:w="2434" w:type="dxa"/>
            <w:tcBorders>
              <w:top w:val="single" w:sz="4" w:space="0" w:color="BCC7D1"/>
              <w:left w:val="single" w:sz="4" w:space="0" w:color="BCC7D1"/>
              <w:bottom w:val="single" w:sz="4" w:space="0" w:color="BCC7D1"/>
              <w:right w:val="single" w:sz="4" w:space="0" w:color="BCC7D1"/>
            </w:tcBorders>
            <w:shd w:val="clear" w:color="auto" w:fill="17365D"/>
          </w:tcPr>
          <w:p w14:paraId="403AD59A" w14:textId="77777777" w:rsidR="004B4463" w:rsidRPr="00D471EF" w:rsidRDefault="00F763E6">
            <w:pPr>
              <w:spacing w:after="0"/>
              <w:rPr>
                <w:rFonts w:cs="Arial"/>
                <w:color w:val="auto"/>
                <w:sz w:val="20"/>
                <w:szCs w:val="20"/>
              </w:rPr>
            </w:pPr>
            <w:r w:rsidRPr="00D471EF">
              <w:rPr>
                <w:rFonts w:cs="Arial"/>
                <w:b/>
                <w:color w:val="auto"/>
                <w:sz w:val="20"/>
                <w:szCs w:val="20"/>
              </w:rPr>
              <w:t>Explanatory value</w:t>
            </w:r>
          </w:p>
        </w:tc>
        <w:tc>
          <w:tcPr>
            <w:tcW w:w="3158" w:type="dxa"/>
            <w:tcBorders>
              <w:top w:val="single" w:sz="4" w:space="0" w:color="BCC7D1"/>
              <w:left w:val="single" w:sz="4" w:space="0" w:color="BCC7D1"/>
              <w:bottom w:val="single" w:sz="4" w:space="0" w:color="BCC7D1"/>
              <w:right w:val="single" w:sz="4" w:space="0" w:color="BCC7D1"/>
            </w:tcBorders>
            <w:shd w:val="clear" w:color="auto" w:fill="17365D"/>
          </w:tcPr>
          <w:p w14:paraId="2C214199" w14:textId="77777777" w:rsidR="004B4463" w:rsidRPr="00D471EF" w:rsidRDefault="00F763E6">
            <w:pPr>
              <w:spacing w:after="0"/>
              <w:rPr>
                <w:rFonts w:cs="Arial"/>
                <w:color w:val="auto"/>
                <w:sz w:val="20"/>
                <w:szCs w:val="20"/>
              </w:rPr>
            </w:pPr>
            <w:r w:rsidRPr="00D471EF">
              <w:rPr>
                <w:rFonts w:cs="Arial"/>
                <w:b/>
                <w:color w:val="auto"/>
                <w:sz w:val="20"/>
                <w:szCs w:val="20"/>
              </w:rPr>
              <w:t>Critical limitation and implication</w:t>
            </w:r>
          </w:p>
        </w:tc>
      </w:tr>
      <w:tr w:rsidR="00D471EF" w:rsidRPr="00D471EF" w14:paraId="073FEEB2" w14:textId="77777777" w:rsidTr="001118BD">
        <w:trPr>
          <w:cantSplit/>
          <w:trHeight w:val="1713"/>
          <w:jc w:val="center"/>
        </w:trPr>
        <w:tc>
          <w:tcPr>
            <w:tcW w:w="144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7B400EE" w14:textId="77777777" w:rsidR="004B4463" w:rsidRPr="00D471EF" w:rsidRDefault="00F763E6">
            <w:pPr>
              <w:spacing w:after="0"/>
              <w:rPr>
                <w:rFonts w:cs="Arial"/>
                <w:color w:val="auto"/>
                <w:sz w:val="20"/>
                <w:szCs w:val="20"/>
              </w:rPr>
            </w:pPr>
            <w:r w:rsidRPr="00D471EF">
              <w:rPr>
                <w:rFonts w:cs="Arial"/>
                <w:color w:val="auto"/>
                <w:sz w:val="20"/>
                <w:szCs w:val="20"/>
              </w:rPr>
              <w:t>Stakeholder theory</w:t>
            </w:r>
          </w:p>
        </w:tc>
        <w:tc>
          <w:tcPr>
            <w:tcW w:w="3126" w:type="dxa"/>
            <w:tcBorders>
              <w:top w:val="single" w:sz="4" w:space="0" w:color="BCC7D1"/>
              <w:left w:val="single" w:sz="4" w:space="0" w:color="BCC7D1"/>
              <w:bottom w:val="single" w:sz="4" w:space="0" w:color="BCC7D1"/>
              <w:right w:val="single" w:sz="4" w:space="0" w:color="BCC7D1"/>
            </w:tcBorders>
            <w:tcMar>
              <w:top w:w="80" w:type="dxa"/>
              <w:bottom w:w="80" w:type="dxa"/>
            </w:tcMar>
          </w:tcPr>
          <w:p w14:paraId="4F94A9D7" w14:textId="77777777" w:rsidR="004B4463" w:rsidRPr="00D471EF" w:rsidRDefault="00F763E6">
            <w:pPr>
              <w:spacing w:after="0"/>
              <w:rPr>
                <w:rFonts w:cs="Arial"/>
                <w:color w:val="auto"/>
                <w:sz w:val="20"/>
                <w:szCs w:val="20"/>
              </w:rPr>
            </w:pPr>
            <w:r w:rsidRPr="00D471EF">
              <w:rPr>
                <w:rFonts w:cs="Arial"/>
                <w:color w:val="auto"/>
                <w:sz w:val="20"/>
                <w:szCs w:val="20"/>
              </w:rPr>
              <w:t>Material responses improve cooperation with consumers, employees, suppliers, communities, regulators and investors.</w:t>
            </w:r>
          </w:p>
        </w:tc>
        <w:tc>
          <w:tcPr>
            <w:tcW w:w="243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15446EDB" w14:textId="77777777" w:rsidR="004B4463" w:rsidRPr="00D471EF" w:rsidRDefault="00F763E6">
            <w:pPr>
              <w:spacing w:after="0"/>
              <w:rPr>
                <w:rFonts w:cs="Arial"/>
                <w:color w:val="auto"/>
                <w:sz w:val="20"/>
                <w:szCs w:val="20"/>
              </w:rPr>
            </w:pPr>
            <w:r w:rsidRPr="00D471EF">
              <w:rPr>
                <w:rFonts w:cs="Arial"/>
                <w:color w:val="auto"/>
                <w:sz w:val="20"/>
                <w:szCs w:val="20"/>
              </w:rPr>
              <w:t>Explains why relationship quality and reciprocal dependency can affect durable value.</w:t>
            </w:r>
          </w:p>
        </w:tc>
        <w:tc>
          <w:tcPr>
            <w:tcW w:w="315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D5D818D" w14:textId="77777777" w:rsidR="004B4463" w:rsidRPr="00D471EF" w:rsidRDefault="00F763E6">
            <w:pPr>
              <w:spacing w:after="0"/>
              <w:rPr>
                <w:rFonts w:cs="Arial"/>
                <w:color w:val="auto"/>
                <w:sz w:val="20"/>
                <w:szCs w:val="20"/>
              </w:rPr>
            </w:pPr>
            <w:r w:rsidRPr="00D471EF">
              <w:rPr>
                <w:rFonts w:cs="Arial"/>
                <w:color w:val="auto"/>
                <w:sz w:val="20"/>
                <w:szCs w:val="20"/>
              </w:rPr>
              <w:t>Stakeholder claims conflict; the theory does not automatically rank them. Materiality and distributional trade-offs require governance.</w:t>
            </w:r>
          </w:p>
        </w:tc>
      </w:tr>
      <w:tr w:rsidR="00D471EF" w:rsidRPr="00D471EF" w14:paraId="504680EF" w14:textId="77777777" w:rsidTr="001118BD">
        <w:trPr>
          <w:cantSplit/>
          <w:trHeight w:val="1386"/>
          <w:jc w:val="center"/>
        </w:trPr>
        <w:tc>
          <w:tcPr>
            <w:tcW w:w="1448"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3AB4C881" w14:textId="77777777" w:rsidR="004B4463" w:rsidRPr="00D471EF" w:rsidRDefault="00F763E6">
            <w:pPr>
              <w:spacing w:after="0"/>
              <w:rPr>
                <w:rFonts w:cs="Arial"/>
                <w:color w:val="auto"/>
                <w:sz w:val="20"/>
                <w:szCs w:val="20"/>
              </w:rPr>
            </w:pPr>
            <w:r w:rsidRPr="00D471EF">
              <w:rPr>
                <w:rFonts w:cs="Arial"/>
                <w:color w:val="auto"/>
                <w:sz w:val="20"/>
                <w:szCs w:val="20"/>
              </w:rPr>
              <w:t>Resource-based view</w:t>
            </w:r>
          </w:p>
        </w:tc>
        <w:tc>
          <w:tcPr>
            <w:tcW w:w="3126"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447CCC4A" w14:textId="77777777" w:rsidR="004B4463" w:rsidRPr="00D471EF" w:rsidRDefault="00F763E6">
            <w:pPr>
              <w:spacing w:after="0"/>
              <w:rPr>
                <w:rFonts w:cs="Arial"/>
                <w:color w:val="auto"/>
                <w:sz w:val="20"/>
                <w:szCs w:val="20"/>
              </w:rPr>
            </w:pPr>
            <w:r w:rsidRPr="00D471EF">
              <w:rPr>
                <w:rFonts w:cs="Arial"/>
                <w:color w:val="auto"/>
                <w:sz w:val="20"/>
                <w:szCs w:val="20"/>
              </w:rPr>
              <w:t>Embedded ESG routines develop innovation, efficiency, sourcing and risk capabilities that are difficult to imitate.</w:t>
            </w:r>
          </w:p>
        </w:tc>
        <w:tc>
          <w:tcPr>
            <w:tcW w:w="2434"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02B5FB0B" w14:textId="77777777" w:rsidR="004B4463" w:rsidRPr="00D471EF" w:rsidRDefault="00F763E6">
            <w:pPr>
              <w:spacing w:after="0"/>
              <w:rPr>
                <w:rFonts w:cs="Arial"/>
                <w:color w:val="auto"/>
                <w:sz w:val="20"/>
                <w:szCs w:val="20"/>
              </w:rPr>
            </w:pPr>
            <w:r w:rsidRPr="00D471EF">
              <w:rPr>
                <w:rFonts w:cs="Arial"/>
                <w:color w:val="auto"/>
                <w:sz w:val="20"/>
                <w:szCs w:val="20"/>
              </w:rPr>
              <w:t>Distinguishes durable capability from copyable targets or labels.</w:t>
            </w:r>
          </w:p>
        </w:tc>
        <w:tc>
          <w:tcPr>
            <w:tcW w:w="3158"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1A6C8567" w14:textId="77777777" w:rsidR="004B4463" w:rsidRPr="00D471EF" w:rsidRDefault="00F763E6">
            <w:pPr>
              <w:spacing w:after="0"/>
              <w:rPr>
                <w:rFonts w:cs="Arial"/>
                <w:color w:val="auto"/>
                <w:sz w:val="20"/>
                <w:szCs w:val="20"/>
              </w:rPr>
            </w:pPr>
            <w:r w:rsidRPr="00D471EF">
              <w:rPr>
                <w:rFonts w:cs="Arial"/>
                <w:color w:val="auto"/>
                <w:sz w:val="20"/>
                <w:szCs w:val="20"/>
              </w:rPr>
              <w:t>Complementary assets and category fit create heterogeneous returns; routines can also become rigid.</w:t>
            </w:r>
          </w:p>
        </w:tc>
      </w:tr>
      <w:tr w:rsidR="00D471EF" w:rsidRPr="00D471EF" w14:paraId="7EBB2C02" w14:textId="77777777" w:rsidTr="001118BD">
        <w:trPr>
          <w:cantSplit/>
          <w:trHeight w:val="1713"/>
          <w:jc w:val="center"/>
        </w:trPr>
        <w:tc>
          <w:tcPr>
            <w:tcW w:w="144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3BCD2A5D" w14:textId="77777777" w:rsidR="004B4463" w:rsidRPr="00D471EF" w:rsidRDefault="00F763E6">
            <w:pPr>
              <w:spacing w:after="0"/>
              <w:rPr>
                <w:rFonts w:cs="Arial"/>
                <w:color w:val="auto"/>
                <w:sz w:val="20"/>
                <w:szCs w:val="20"/>
              </w:rPr>
            </w:pPr>
            <w:r w:rsidRPr="00D471EF">
              <w:rPr>
                <w:rFonts w:cs="Arial"/>
                <w:color w:val="auto"/>
                <w:sz w:val="20"/>
                <w:szCs w:val="20"/>
              </w:rPr>
              <w:t xml:space="preserve">Legitimacy and </w:t>
            </w:r>
            <w:proofErr w:type="spellStart"/>
            <w:r w:rsidRPr="00D471EF">
              <w:rPr>
                <w:rFonts w:cs="Arial"/>
                <w:color w:val="auto"/>
                <w:sz w:val="20"/>
                <w:szCs w:val="20"/>
              </w:rPr>
              <w:t>signalling</w:t>
            </w:r>
            <w:proofErr w:type="spellEnd"/>
          </w:p>
        </w:tc>
        <w:tc>
          <w:tcPr>
            <w:tcW w:w="3126" w:type="dxa"/>
            <w:tcBorders>
              <w:top w:val="single" w:sz="4" w:space="0" w:color="BCC7D1"/>
              <w:left w:val="single" w:sz="4" w:space="0" w:color="BCC7D1"/>
              <w:bottom w:val="single" w:sz="4" w:space="0" w:color="BCC7D1"/>
              <w:right w:val="single" w:sz="4" w:space="0" w:color="BCC7D1"/>
            </w:tcBorders>
            <w:tcMar>
              <w:top w:w="80" w:type="dxa"/>
              <w:bottom w:w="80" w:type="dxa"/>
            </w:tcMar>
          </w:tcPr>
          <w:p w14:paraId="48DF0DF2" w14:textId="77777777" w:rsidR="004B4463" w:rsidRPr="00D471EF" w:rsidRDefault="00F763E6">
            <w:pPr>
              <w:spacing w:after="0"/>
              <w:rPr>
                <w:rFonts w:cs="Arial"/>
                <w:color w:val="auto"/>
                <w:sz w:val="20"/>
                <w:szCs w:val="20"/>
              </w:rPr>
            </w:pPr>
            <w:r w:rsidRPr="00D471EF">
              <w:rPr>
                <w:rFonts w:cs="Arial"/>
                <w:color w:val="auto"/>
                <w:sz w:val="20"/>
                <w:szCs w:val="20"/>
              </w:rPr>
              <w:t>Specific, costly and verified action reduces information asymmetry and supports social acceptance.</w:t>
            </w:r>
          </w:p>
        </w:tc>
        <w:tc>
          <w:tcPr>
            <w:tcW w:w="243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3026E6CA" w14:textId="77777777" w:rsidR="004B4463" w:rsidRPr="00D471EF" w:rsidRDefault="00F763E6">
            <w:pPr>
              <w:spacing w:after="0"/>
              <w:rPr>
                <w:rFonts w:cs="Arial"/>
                <w:color w:val="auto"/>
                <w:sz w:val="20"/>
                <w:szCs w:val="20"/>
              </w:rPr>
            </w:pPr>
            <w:r w:rsidRPr="00D471EF">
              <w:rPr>
                <w:rFonts w:cs="Arial"/>
                <w:color w:val="auto"/>
                <w:sz w:val="20"/>
                <w:szCs w:val="20"/>
              </w:rPr>
              <w:t>Explains trust, scrutiny and the reputational effect of consistency between claims and delivery.</w:t>
            </w:r>
          </w:p>
        </w:tc>
        <w:tc>
          <w:tcPr>
            <w:tcW w:w="315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5F70A01C" w14:textId="77777777" w:rsidR="004B4463" w:rsidRPr="00D471EF" w:rsidRDefault="00F763E6">
            <w:pPr>
              <w:spacing w:after="0"/>
              <w:rPr>
                <w:rFonts w:cs="Arial"/>
                <w:color w:val="auto"/>
                <w:sz w:val="20"/>
                <w:szCs w:val="20"/>
              </w:rPr>
            </w:pPr>
            <w:r w:rsidRPr="00D471EF">
              <w:rPr>
                <w:rFonts w:cs="Arial"/>
                <w:color w:val="auto"/>
                <w:sz w:val="20"/>
                <w:szCs w:val="20"/>
              </w:rPr>
              <w:t>Symbolic conformity and selective disclosure can mimic substance; an exposed contradiction can reverse the signal.</w:t>
            </w:r>
          </w:p>
        </w:tc>
      </w:tr>
      <w:tr w:rsidR="00D471EF" w:rsidRPr="00D471EF" w14:paraId="46E1D206" w14:textId="77777777" w:rsidTr="001118BD">
        <w:trPr>
          <w:cantSplit/>
          <w:trHeight w:val="1703"/>
          <w:jc w:val="center"/>
        </w:trPr>
        <w:tc>
          <w:tcPr>
            <w:tcW w:w="1448"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D9440C2" w14:textId="77777777" w:rsidR="004B4463" w:rsidRPr="00D471EF" w:rsidRDefault="00F763E6">
            <w:pPr>
              <w:spacing w:after="0"/>
              <w:rPr>
                <w:rFonts w:cs="Arial"/>
                <w:color w:val="auto"/>
                <w:sz w:val="20"/>
                <w:szCs w:val="20"/>
              </w:rPr>
            </w:pPr>
            <w:r w:rsidRPr="00D471EF">
              <w:rPr>
                <w:rFonts w:cs="Arial"/>
                <w:color w:val="auto"/>
                <w:sz w:val="20"/>
                <w:szCs w:val="20"/>
              </w:rPr>
              <w:t>Recent empirical evidence</w:t>
            </w:r>
          </w:p>
        </w:tc>
        <w:tc>
          <w:tcPr>
            <w:tcW w:w="3126"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B855260" w14:textId="77777777" w:rsidR="004B4463" w:rsidRPr="00D471EF" w:rsidRDefault="00F763E6">
            <w:pPr>
              <w:spacing w:after="0"/>
              <w:rPr>
                <w:rFonts w:cs="Arial"/>
                <w:color w:val="auto"/>
                <w:sz w:val="20"/>
                <w:szCs w:val="20"/>
              </w:rPr>
            </w:pPr>
            <w:r w:rsidRPr="00D471EF">
              <w:rPr>
                <w:rFonts w:cs="Arial"/>
                <w:color w:val="auto"/>
                <w:sz w:val="20"/>
                <w:szCs w:val="20"/>
              </w:rPr>
              <w:t>ESG performance is associated with profitability, value, reputation, innovation and crisis resilience in several settings.</w:t>
            </w:r>
          </w:p>
        </w:tc>
        <w:tc>
          <w:tcPr>
            <w:tcW w:w="2434"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74B62F79" w14:textId="77777777" w:rsidR="004B4463" w:rsidRPr="00D471EF" w:rsidRDefault="00F763E6">
            <w:pPr>
              <w:spacing w:after="0"/>
              <w:rPr>
                <w:rFonts w:cs="Arial"/>
                <w:color w:val="auto"/>
                <w:sz w:val="20"/>
                <w:szCs w:val="20"/>
              </w:rPr>
            </w:pPr>
            <w:r w:rsidRPr="00D471EF">
              <w:rPr>
                <w:rFonts w:cs="Arial"/>
                <w:color w:val="auto"/>
                <w:sz w:val="20"/>
                <w:szCs w:val="20"/>
              </w:rPr>
              <w:t>Supports plausible relational and operational routes and longer-term effects.</w:t>
            </w:r>
          </w:p>
        </w:tc>
        <w:tc>
          <w:tcPr>
            <w:tcW w:w="3158"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0C4825E1" w14:textId="77777777" w:rsidR="004B4463" w:rsidRPr="00D471EF" w:rsidRDefault="00F763E6">
            <w:pPr>
              <w:spacing w:after="0"/>
              <w:rPr>
                <w:rFonts w:cs="Arial"/>
                <w:color w:val="auto"/>
                <w:sz w:val="20"/>
                <w:szCs w:val="20"/>
              </w:rPr>
            </w:pPr>
            <w:r w:rsidRPr="00D471EF">
              <w:rPr>
                <w:rFonts w:cs="Arial"/>
                <w:color w:val="auto"/>
                <w:sz w:val="20"/>
                <w:szCs w:val="20"/>
              </w:rPr>
              <w:t>Observational designs leave reverse causality, omitted management quality, sector and time-lag concerns.</w:t>
            </w:r>
          </w:p>
        </w:tc>
      </w:tr>
      <w:tr w:rsidR="00D471EF" w:rsidRPr="00D471EF" w14:paraId="083BACA7" w14:textId="77777777" w:rsidTr="001118BD">
        <w:trPr>
          <w:cantSplit/>
          <w:trHeight w:val="1713"/>
          <w:jc w:val="center"/>
        </w:trPr>
        <w:tc>
          <w:tcPr>
            <w:tcW w:w="144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60430D3D" w14:textId="77777777" w:rsidR="004B4463" w:rsidRPr="00D471EF" w:rsidRDefault="00F763E6">
            <w:pPr>
              <w:spacing w:after="0"/>
              <w:rPr>
                <w:rFonts w:cs="Arial"/>
                <w:color w:val="auto"/>
                <w:sz w:val="20"/>
                <w:szCs w:val="20"/>
              </w:rPr>
            </w:pPr>
            <w:r w:rsidRPr="00D471EF">
              <w:rPr>
                <w:rFonts w:cs="Arial"/>
                <w:color w:val="auto"/>
                <w:sz w:val="20"/>
                <w:szCs w:val="20"/>
              </w:rPr>
              <w:lastRenderedPageBreak/>
              <w:t>Measurement evidence</w:t>
            </w:r>
          </w:p>
        </w:tc>
        <w:tc>
          <w:tcPr>
            <w:tcW w:w="3126"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75FCDEE" w14:textId="77777777" w:rsidR="004B4463" w:rsidRPr="00D471EF" w:rsidRDefault="00F763E6">
            <w:pPr>
              <w:spacing w:after="0"/>
              <w:rPr>
                <w:rFonts w:cs="Arial"/>
                <w:color w:val="auto"/>
                <w:sz w:val="20"/>
                <w:szCs w:val="20"/>
              </w:rPr>
            </w:pPr>
            <w:r w:rsidRPr="00D471EF">
              <w:rPr>
                <w:rFonts w:cs="Arial"/>
                <w:color w:val="auto"/>
                <w:sz w:val="20"/>
                <w:szCs w:val="20"/>
              </w:rPr>
              <w:t>Underlying metrics, boundaries and assurance determine what a score or disclosure can credibly signal.</w:t>
            </w:r>
          </w:p>
        </w:tc>
        <w:tc>
          <w:tcPr>
            <w:tcW w:w="243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16BE51A" w14:textId="77777777" w:rsidR="004B4463" w:rsidRPr="00D471EF" w:rsidRDefault="00F763E6">
            <w:pPr>
              <w:spacing w:after="0"/>
              <w:rPr>
                <w:rFonts w:cs="Arial"/>
                <w:color w:val="auto"/>
                <w:sz w:val="20"/>
                <w:szCs w:val="20"/>
              </w:rPr>
            </w:pPr>
            <w:r w:rsidRPr="00D471EF">
              <w:rPr>
                <w:rFonts w:cs="Arial"/>
                <w:color w:val="auto"/>
                <w:sz w:val="20"/>
                <w:szCs w:val="20"/>
              </w:rPr>
              <w:t>Clarifies why ratings diverge and why outcome evidence is more useful than disclosure volume.</w:t>
            </w:r>
          </w:p>
        </w:tc>
        <w:tc>
          <w:tcPr>
            <w:tcW w:w="315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2340CE6B" w14:textId="77777777" w:rsidR="004B4463" w:rsidRPr="00D471EF" w:rsidRDefault="00F763E6">
            <w:pPr>
              <w:spacing w:after="0"/>
              <w:rPr>
                <w:rFonts w:cs="Arial"/>
                <w:color w:val="auto"/>
                <w:sz w:val="20"/>
                <w:szCs w:val="20"/>
              </w:rPr>
            </w:pPr>
            <w:r w:rsidRPr="00D471EF">
              <w:rPr>
                <w:rFonts w:cs="Arial"/>
                <w:color w:val="auto"/>
                <w:sz w:val="20"/>
                <w:szCs w:val="20"/>
              </w:rPr>
              <w:t>Different scope, weighting and assurance levels prevent a single synthetic measure from representing strategic quality.</w:t>
            </w:r>
          </w:p>
        </w:tc>
      </w:tr>
    </w:tbl>
    <w:p w14:paraId="745B301C" w14:textId="30D5AB14" w:rsidR="00981CC7" w:rsidRPr="00D471EF" w:rsidRDefault="00CC58FE" w:rsidP="00D471EF">
      <w:pPr>
        <w:jc w:val="center"/>
        <w:rPr>
          <w:i/>
          <w:iCs/>
        </w:rPr>
      </w:pPr>
      <w:r w:rsidRPr="00D471EF">
        <w:rPr>
          <w:i/>
          <w:iCs/>
        </w:rPr>
        <w:t>Source:</w:t>
      </w:r>
      <w:r w:rsidR="00D471EF" w:rsidRPr="00D471EF">
        <w:rPr>
          <w:i/>
          <w:iCs/>
        </w:rPr>
        <w:t xml:space="preserve"> Created by the</w:t>
      </w:r>
      <w:r w:rsidRPr="00D471EF">
        <w:rPr>
          <w:i/>
          <w:iCs/>
        </w:rPr>
        <w:t xml:space="preserve"> Author</w:t>
      </w:r>
    </w:p>
    <w:p w14:paraId="69519586" w14:textId="77777777" w:rsidR="004B4463" w:rsidRDefault="004B4463"/>
    <w:p w14:paraId="79E214C3" w14:textId="77777777" w:rsidR="004B4463" w:rsidRDefault="00F763E6">
      <w:pPr>
        <w:pStyle w:val="Heading2"/>
      </w:pPr>
      <w:bookmarkStart w:id="40" w:name="_Toc240378610"/>
      <w:bookmarkStart w:id="41" w:name="_Toc240858664"/>
      <w:r>
        <w:t>2.4 Theme one: from disclosure to strategically material implementation</w:t>
      </w:r>
      <w:bookmarkEnd w:id="40"/>
      <w:bookmarkEnd w:id="41"/>
    </w:p>
    <w:p w14:paraId="714369EF" w14:textId="77777777" w:rsidR="004B4463" w:rsidRDefault="00F763E6">
      <w:r>
        <w:t>Although the empirical literature is generally positive, it does not establish a universal business case. Whelan et al. (2021) aggregate more than 1,000 studies and report greater consistency for ESG performance than for disclosure, particularly over longer horizons. Aydoğmuş, Gülay and Ergun (2022) find positive relationships between ESG performance, firm value and profitability in an international sample. During the initial COVID-19 shock, firms with stronger environmental and social profiles showed greater stock-market resilience in Albuquerque et al. (2020), while Broadstock et al. (2021) report related evidence from China. These findings are consistent with stakeholder-trust and risk-management mechanisms, but observational designs cannot fully separate ESG effects from management quality, pre-existing resources or sector exposure.</w:t>
      </w:r>
    </w:p>
    <w:p w14:paraId="4243E1A5" w14:textId="77777777" w:rsidR="004B4463" w:rsidRDefault="00F763E6">
      <w:r>
        <w:t xml:space="preserve">A more discriminating explanation is provided by materiality. When an issue is closely connected to revenue, cost, assets or stakeholder dependencies, action is more likely to generate learning or reduce risk. Conversely, low-relevance policies can appear </w:t>
      </w:r>
      <w:proofErr w:type="spellStart"/>
      <w:r>
        <w:t>favourable</w:t>
      </w:r>
      <w:proofErr w:type="spellEnd"/>
      <w:r>
        <w:t xml:space="preserve"> in aggregate scores without affecting strategically important outcomes. Khan, Serafeim and Yoon (2016), although outside the main review window, distinguish corporate sustainability performance on financially material issues from performance on immaterial issues and examine how those differences relate to subsequent financial outcomes. The study is influential because it directs attention to the materiality of sustainability performance rather than treating an ESG aggregate as a homogeneous </w:t>
      </w:r>
      <w:r>
        <w:lastRenderedPageBreak/>
        <w:t>construct. The implication here is not that only immediate financial issues matter, but that management should explain how an impact, dependency or stakeholder expectation could influence durable value.</w:t>
      </w:r>
    </w:p>
    <w:p w14:paraId="41345F77" w14:textId="77777777" w:rsidR="004B4463" w:rsidRDefault="00F763E6">
      <w:r>
        <w:t xml:space="preserve">Governance ownership, capital allocation, operational processes and incentives can indicate the degree of strategic integration. Board oversight may be largely symbolic when reliable operational data are absent, while a narrowly defined metric can encourage action but also create opportunities for gaming. Christensen, Hail and </w:t>
      </w:r>
      <w:proofErr w:type="spellStart"/>
      <w:r>
        <w:t>Leuz</w:t>
      </w:r>
      <w:proofErr w:type="spellEnd"/>
      <w:r>
        <w:t xml:space="preserve"> (2021) suggest that mandatory sustainability reporting can improve information and </w:t>
      </w:r>
      <w:proofErr w:type="spellStart"/>
      <w:r>
        <w:t>behaviour</w:t>
      </w:r>
      <w:proofErr w:type="spellEnd"/>
      <w:r>
        <w:t xml:space="preserve"> but also creates implementation, enforcement and real-effects trade-offs. The control environment is therefore central. A target becomes strategically meaningful when it has a defined baseline, accountable owner, resources, milestones, boundary rules and consequences for decisions.</w:t>
      </w:r>
    </w:p>
    <w:p w14:paraId="113F40FC" w14:textId="77777777" w:rsidR="004B4463" w:rsidRDefault="00F763E6">
      <w:pPr>
        <w:pStyle w:val="Heading2"/>
      </w:pPr>
      <w:bookmarkStart w:id="42" w:name="_Toc240378611"/>
      <w:bookmarkStart w:id="43" w:name="_Toc240858665"/>
      <w:r>
        <w:t>2.5 Theme two: stakeholder trust and corporate reputation</w:t>
      </w:r>
      <w:bookmarkEnd w:id="42"/>
      <w:bookmarkEnd w:id="43"/>
    </w:p>
    <w:p w14:paraId="42ACB47A" w14:textId="77777777" w:rsidR="004B4463" w:rsidRDefault="00F763E6">
      <w:r>
        <w:t xml:space="preserve">Reputation is an attractive potential mechanism because external stakeholders cannot directly observe many complex internal operations. Gangi, Daniele and Varrone (2020) identify a relationship between corporate environmental responsibility and risk-adjusted financial performance through corporate reputation. Meng et al. (2023) report a positive, non-linear relationship between ESG performance and company reputation among Chinese listed firms, with investor attention influencing that relationship. </w:t>
      </w:r>
      <w:proofErr w:type="spellStart"/>
      <w:r>
        <w:t>Fafaliou</w:t>
      </w:r>
      <w:proofErr w:type="spellEnd"/>
      <w:r>
        <w:t xml:space="preserve"> et al. (2022) associate ESG reputational risk with lower market longevity among US firms. Together, these studies support a plausible reputational mechanism, but they do not establish a uniform effect in UK consumer markets. Many are investor-oriented, use aggregate reputation measures, or cannot capture the fact that a company may be viewed positively by employees while being viewed negatively by environmental activists.</w:t>
      </w:r>
    </w:p>
    <w:p w14:paraId="7694773F" w14:textId="77777777" w:rsidR="004B4463" w:rsidRDefault="00F763E6">
      <w:r>
        <w:t xml:space="preserve">Trust is treated as a stakeholder judgement rather than an assumed outcome of disclosure. Mayer, Davis and </w:t>
      </w:r>
      <w:proofErr w:type="spellStart"/>
      <w:r>
        <w:t>Schoorman</w:t>
      </w:r>
      <w:proofErr w:type="spellEnd"/>
      <w:r>
        <w:t xml:space="preserve"> (1995) identify perceived ability, benevolence and integrity as important antecedents of trust. Applied here, the demonstrated capacity to address a material problem can inform perceived ability; consistency between claims and outcomes can inform integrity; and the distribution of costs and benefits can influence perceptions of benevolence. These dimensions need not move together. A technically </w:t>
      </w:r>
      <w:r>
        <w:lastRenderedPageBreak/>
        <w:t xml:space="preserve">successful </w:t>
      </w:r>
      <w:proofErr w:type="spellStart"/>
      <w:r>
        <w:t>decarbonisation</w:t>
      </w:r>
      <w:proofErr w:type="spellEnd"/>
      <w:r>
        <w:t xml:space="preserve"> </w:t>
      </w:r>
      <w:proofErr w:type="spellStart"/>
      <w:r>
        <w:t>programme</w:t>
      </w:r>
      <w:proofErr w:type="spellEnd"/>
      <w:r>
        <w:t xml:space="preserve"> may still attract criticism if transition costs are imposed on employees or communities in ways perceived as unfair, while empathetic communication cannot compensate indefinitely for weak delivery. Reputation is therefore interpreted as stakeholder-specific and evidence-dependent.</w:t>
      </w:r>
    </w:p>
    <w:p w14:paraId="38AF9E4E" w14:textId="77777777" w:rsidR="004B4463" w:rsidRDefault="00F763E6">
      <w:r>
        <w:t>Negative information can also receive disproportionate attention when it contradicts a salient promise. The relevant analytical question is therefore not whether stakeholders respond positively as soon as an ESG initiative is announced, but whether repeated, verifiable delivery changes their judgement over time and whether contradictory evidence reverses that judgement.</w:t>
      </w:r>
    </w:p>
    <w:p w14:paraId="4458D7E6" w14:textId="77777777" w:rsidR="004B4463" w:rsidRDefault="00F763E6">
      <w:pPr>
        <w:pStyle w:val="Heading2"/>
      </w:pPr>
      <w:bookmarkStart w:id="44" w:name="_Toc240378612"/>
      <w:bookmarkStart w:id="45" w:name="_Toc240858666"/>
      <w:r>
        <w:t>2.6 Theme three: innovation, efficiency, resilience and advantage</w:t>
      </w:r>
      <w:bookmarkEnd w:id="44"/>
      <w:bookmarkEnd w:id="45"/>
    </w:p>
    <w:p w14:paraId="1F5F69EC" w14:textId="77777777" w:rsidR="004B4463" w:rsidRDefault="00F763E6">
      <w:r>
        <w:t xml:space="preserve">Yang, Zhu and </w:t>
      </w:r>
      <w:proofErr w:type="spellStart"/>
      <w:r>
        <w:t>Albitar</w:t>
      </w:r>
      <w:proofErr w:type="spellEnd"/>
      <w:r>
        <w:t xml:space="preserve"> (2024) identify a non-linear relationship between ESG ratings and green innovation, reinforcing the need to avoid assuming a simple monotonic effect. The finding is used here as evidence that the relationship between measured ESG standing and innovation can vary across levels and contexts rather than as proof of causation in the present cases.</w:t>
      </w:r>
    </w:p>
    <w:p w14:paraId="2A6F54A2" w14:textId="77777777" w:rsidR="004B4463" w:rsidRDefault="00F763E6">
      <w:r>
        <w:t>Second, resource efficiency can reduce exposure to volatile energy, water and material costs. However, an apparent emissions reduction may result from renewable electricity or process efficiency, or from divesting an emitting business; these mechanisms have different strategic meanings. Absolute, intensity, location-based and market-based indicators should therefore not be conflated. Third, supply-chain diligence can support continuity and quality through traceability and support for farmers and suppliers, although it may also impose short-term costs and reveal previously hidden risks. Fourth, governance controls can reduce the likelihood and consequences of misconduct, misleading claims and regulatory penalties.</w:t>
      </w:r>
    </w:p>
    <w:p w14:paraId="0C0E92C9" w14:textId="77777777" w:rsidR="004B4463" w:rsidRDefault="00F763E6">
      <w:r>
        <w:t xml:space="preserve">Asset-pricing evidence should not be treated as direct evidence of operating advantage. </w:t>
      </w:r>
      <w:proofErr w:type="spellStart"/>
      <w:r>
        <w:t>Pástor</w:t>
      </w:r>
      <w:proofErr w:type="spellEnd"/>
      <w:r>
        <w:t xml:space="preserve">, Stambaugh and Taylor (2021) develop an equilibrium model in which investor preferences for green assets can affect expected and </w:t>
      </w:r>
      <w:proofErr w:type="spellStart"/>
      <w:r>
        <w:t>realised</w:t>
      </w:r>
      <w:proofErr w:type="spellEnd"/>
      <w:r>
        <w:t xml:space="preserve"> returns. Their argument concerns financial-market pricing and should therefore be distinguished from operating outcomes such as productivity, innovation, margin or customer retention. In this dissertation, capital-market evidence is used only as contextual support for the </w:t>
      </w:r>
      <w:r>
        <w:lastRenderedPageBreak/>
        <w:t>proposition that stakeholder preferences can affect firm value, not as direct proof that ESG creates an operating capability.</w:t>
      </w:r>
    </w:p>
    <w:p w14:paraId="2621EAE2" w14:textId="77777777" w:rsidR="004B4463" w:rsidRDefault="00F763E6">
      <w:pPr>
        <w:pStyle w:val="Heading2"/>
      </w:pPr>
      <w:bookmarkStart w:id="46" w:name="_Toc240378613"/>
      <w:bookmarkStart w:id="47" w:name="_Toc240858667"/>
      <w:r>
        <w:t>2.7 Theme four: consumer response, affordability and category fit</w:t>
      </w:r>
      <w:bookmarkEnd w:id="46"/>
      <w:bookmarkEnd w:id="47"/>
    </w:p>
    <w:p w14:paraId="7E3CACF9" w14:textId="77777777" w:rsidR="004B4463" w:rsidRDefault="00F763E6">
      <w:r>
        <w:t xml:space="preserve">Consumer evidence also requires careful interpretation. PwC (2024) reports survey-based willingness to pay for sustainability attributes, while Deloitte (2024) identifies affordability and confidence as constraints on sustainable consumption. These measures describe stated attitudes and intentions, not necessarily </w:t>
      </w:r>
      <w:proofErr w:type="spellStart"/>
      <w:r>
        <w:t>realised</w:t>
      </w:r>
      <w:proofErr w:type="spellEnd"/>
      <w:r>
        <w:t xml:space="preserve"> purchases. McKinsey &amp; Company and </w:t>
      </w:r>
      <w:proofErr w:type="spellStart"/>
      <w:r>
        <w:t>NielsenIQ</w:t>
      </w:r>
      <w:proofErr w:type="spellEnd"/>
      <w:r>
        <w:t xml:space="preserve"> (2023) report a correlation between ESG-related product claims and sales growth in US consumer packaged goods, but explicitly state that the design does not establish causality and does not independently validate the claims. The evidence therefore supports a conditional consumer-response mechanism rather than a general willingness-to-pay effect.</w:t>
      </w:r>
    </w:p>
    <w:p w14:paraId="78C4DA98" w14:textId="77777777" w:rsidR="004B4463" w:rsidRDefault="00F763E6">
      <w:r>
        <w:t xml:space="preserve">Category characteristics also matter. Health and hygiene products are judged primarily on safety and efficacy; beverage alcohol raises issues of moderation and marketing; and food and fashion involve different sourcing, nutrition, </w:t>
      </w:r>
      <w:proofErr w:type="spellStart"/>
      <w:r>
        <w:t>labour</w:t>
      </w:r>
      <w:proofErr w:type="spellEnd"/>
      <w:r>
        <w:t xml:space="preserve"> and waste concerns. A generic ESG message may therefore be less relevant than a specific benefit such as energy efficiency, appropriate dosing, longer-lasting clothing or an alcohol-free alternative. The value proposition also varies by price position. Premium brands may be able to absorb or communicate transition costs, whereas value retailers must integrate sustainability without undermining affordability. ESG is most viable when stakeholder value is embedded in the product proposition rather than presented as a detached virtue.</w:t>
      </w:r>
    </w:p>
    <w:p w14:paraId="3302E916" w14:textId="77777777" w:rsidR="004B4463" w:rsidRDefault="00F763E6">
      <w:pPr>
        <w:pStyle w:val="Heading2"/>
      </w:pPr>
      <w:bookmarkStart w:id="48" w:name="_Toc240378614"/>
      <w:bookmarkStart w:id="49" w:name="_Toc240858668"/>
      <w:r>
        <w:t>2.8 Theme five: measurement divergence, assurance and greenwashing risk</w:t>
      </w:r>
      <w:bookmarkEnd w:id="48"/>
      <w:bookmarkEnd w:id="49"/>
    </w:p>
    <w:p w14:paraId="11B4D22D" w14:textId="77777777" w:rsidR="004B4463" w:rsidRDefault="00F763E6">
      <w:r>
        <w:t xml:space="preserve">Measurement divergence is a central limitation of ESG research. Christensen, Serafeim and </w:t>
      </w:r>
      <w:proofErr w:type="spellStart"/>
      <w:r>
        <w:t>Sikochi</w:t>
      </w:r>
      <w:proofErr w:type="spellEnd"/>
      <w:r>
        <w:t xml:space="preserve"> (2022) show that disagreement among ESG raters can increase with greater disclosure because evaluators apply different scopes, measurement rules and weights. Berg, Kölbel and </w:t>
      </w:r>
      <w:proofErr w:type="spellStart"/>
      <w:r>
        <w:t>Rigobon</w:t>
      </w:r>
      <w:proofErr w:type="spellEnd"/>
      <w:r>
        <w:t xml:space="preserve"> (2022) similarly decompose rating divergence into scope, measurement and weighting differences. These findings make it inappropriate to treat a single rating as a complete representation of strategic ESG quality.</w:t>
      </w:r>
    </w:p>
    <w:p w14:paraId="60EFD260" w14:textId="77777777" w:rsidR="004B4463" w:rsidRDefault="00F763E6">
      <w:r>
        <w:lastRenderedPageBreak/>
        <w:t>Assurance can strengthen evidence quality, but its scope must be represented precisely. Limited assurance generally applies to specified metrics, criteria and reporting boundaries identified in the practitioner's statement; it does not certify the truth of an entire sustainability narrative or guarantee that every disclosed measure has been audited. Accordingly, this dissertation records whether a cited metric falls within a named assurance scope and does not infer broader verification from the existence of an assurance report.</w:t>
      </w:r>
    </w:p>
    <w:p w14:paraId="6B669865" w14:textId="77777777" w:rsidR="004B4463" w:rsidRDefault="00F763E6">
      <w:r>
        <w:t>The regulatory context increases the importance of claim-level evidence. The CMA's Green Claims Code sets expectations for truthful, clear and substantiated environmental claims (Competition and Markets Authority, 2021), while the CMA's direct consumer-enforcement powers came into force in April 2025 (Competition and Markets Authority, 2025). The CMA's earlier scrutiny of Unilever's environmental claims illustrates regulatory attention to substantiation, but the later closure of that investigation must not be read as either a breach finding or an exoneration (Competition and Markets Authority, 2023; Competition and Markets Authority, 2024). The UK SRS published in 2026 also strengthen the policy direction toward more structured sustainability-related disclosure, although their publication should not be conflated with universal mandatory application to all four cases (Department for Business and Trade, 2026).</w:t>
      </w:r>
    </w:p>
    <w:p w14:paraId="59F14DA1" w14:textId="77777777" w:rsidR="004B4463" w:rsidRDefault="00F763E6">
      <w:pPr>
        <w:pStyle w:val="Heading2"/>
      </w:pPr>
      <w:bookmarkStart w:id="50" w:name="_Toc240378615"/>
      <w:bookmarkStart w:id="51" w:name="_Toc240858669"/>
      <w:r>
        <w:t>2.9 Conceptual framework</w:t>
      </w:r>
      <w:bookmarkEnd w:id="50"/>
      <w:bookmarkEnd w:id="51"/>
    </w:p>
    <w:p w14:paraId="193C0BE8" w14:textId="77777777" w:rsidR="004B4463" w:rsidRDefault="00F763E6">
      <w:r>
        <w:t>The conceptual implication is therefore conditional: evidence quality, materiality, stakeholder salience and operational execution shape whether ESG-related actions plausibly contribute to reputation or capability-based advantage.</w:t>
      </w:r>
    </w:p>
    <w:p w14:paraId="2FA184C5" w14:textId="77777777" w:rsidR="004B4463" w:rsidRDefault="00F763E6" w:rsidP="00D471EF">
      <w:pPr>
        <w:pStyle w:val="Heading4"/>
      </w:pPr>
      <w:bookmarkStart w:id="52" w:name="_Toc240857238"/>
      <w:r>
        <w:lastRenderedPageBreak/>
        <w:t>Figure 1. Conceptual framework: ESG strategy, reputation and competitive advantage</w:t>
      </w:r>
      <w:bookmarkEnd w:id="52"/>
    </w:p>
    <w:p w14:paraId="626F49F6" w14:textId="77777777" w:rsidR="004B4463" w:rsidRDefault="00F763E6">
      <w:pPr>
        <w:jc w:val="left"/>
      </w:pPr>
      <w:r>
        <w:rPr>
          <w:noProof/>
        </w:rPr>
        <w:drawing>
          <wp:inline distT="0" distB="0" distL="0" distR="0" wp14:anchorId="5245463E" wp14:editId="46A4907D">
            <wp:extent cx="5504815" cy="3181985"/>
            <wp:effectExtent l="0" t="0" r="0" b="0"/>
            <wp:docPr id="3" name="Picture 1" descr="Two connected pathways lead from ESG strategy to long-term competitive advantage: a relational route through stakeholder judgement and corporate reputation, and an operational route through innovation, efficiency and resilience. Materiality and evidence amplify the routes; greenwashing, ratings, affordability and regulation condition them." title="Figure 1. Initial conceptual framework: ESG strategy, reputation and competitiv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wo connected pathways lead from ESG strategy to long-term competitive advantage: a relational route through stakeholder judgement and corporate reputation, and an operational route through innovation, efficiency and resilience. Materiality and evidence amplify the routes; greenwashing, ratings, affordability and regulation condition them." title="Figure 1. Initial conceptual framework: ESG strategy, reputation and competitive advantage"/>
                    <pic:cNvPicPr>
                      <a:picLocks noChangeAspect="1" noChangeArrowheads="1"/>
                    </pic:cNvPicPr>
                  </pic:nvPicPr>
                  <pic:blipFill>
                    <a:blip r:embed="rId17"/>
                    <a:stretch>
                      <a:fillRect/>
                    </a:stretch>
                  </pic:blipFill>
                  <pic:spPr bwMode="auto">
                    <a:xfrm>
                      <a:off x="0" y="0"/>
                      <a:ext cx="5504815" cy="3181985"/>
                    </a:xfrm>
                    <a:prstGeom prst="rect">
                      <a:avLst/>
                    </a:prstGeom>
                    <a:noFill/>
                  </pic:spPr>
                </pic:pic>
              </a:graphicData>
            </a:graphic>
          </wp:inline>
        </w:drawing>
      </w:r>
    </w:p>
    <w:p w14:paraId="62755EBF" w14:textId="5A3C0778" w:rsidR="004B4463" w:rsidRPr="00D471EF" w:rsidRDefault="00F763E6">
      <w:pPr>
        <w:jc w:val="center"/>
        <w:rPr>
          <w:i/>
          <w:iCs/>
        </w:rPr>
      </w:pPr>
      <w:r w:rsidRPr="00D471EF">
        <w:rPr>
          <w:i/>
          <w:iCs/>
        </w:rPr>
        <w:t xml:space="preserve">Source: Created by the </w:t>
      </w:r>
      <w:r w:rsidR="00D471EF">
        <w:rPr>
          <w:i/>
          <w:iCs/>
        </w:rPr>
        <w:t>A</w:t>
      </w:r>
      <w:r w:rsidRPr="00D471EF">
        <w:rPr>
          <w:i/>
          <w:iCs/>
        </w:rPr>
        <w:t>uthor</w:t>
      </w:r>
    </w:p>
    <w:p w14:paraId="4BC0B34E" w14:textId="77777777" w:rsidR="004B4463" w:rsidRDefault="00F763E6">
      <w:r>
        <w:t xml:space="preserve">Four sets of conditions shape the model. Materiality and category fit influence whether an issue warrants strategic attention and whether action is relevant to both enterprise value and wider social or environmental impact. Evidence quality—including clear boundaries, transparent acknowledgement of setbacks and appropriate assurance—affects credibility. Market conditions such as affordability, input costs and consumer salience influence value capture. </w:t>
      </w:r>
      <w:proofErr w:type="spellStart"/>
      <w:r>
        <w:t>Organisational</w:t>
      </w:r>
      <w:proofErr w:type="spellEnd"/>
      <w:r>
        <w:t xml:space="preserve"> factors such as governance ownership, incentives and supplier dependency influence implementation. Greenwashing risk and rating divergence are therefore not peripheral issues; they can weaken the pathway from ESG action to reputation and competitive advantage.</w:t>
      </w:r>
    </w:p>
    <w:p w14:paraId="3AABA315" w14:textId="77777777" w:rsidR="004B4463" w:rsidRDefault="00F763E6">
      <w:pPr>
        <w:pStyle w:val="Heading2"/>
      </w:pPr>
      <w:bookmarkStart w:id="53" w:name="_Toc240378616"/>
      <w:bookmarkStart w:id="54" w:name="_Toc240858670"/>
      <w:r>
        <w:t>2.10 Research gap</w:t>
      </w:r>
      <w:bookmarkEnd w:id="53"/>
      <w:bookmarkEnd w:id="54"/>
    </w:p>
    <w:p w14:paraId="659C3E1C" w14:textId="77777777" w:rsidR="004B4463" w:rsidRDefault="00F763E6">
      <w:r>
        <w:t xml:space="preserve">The research gap has two related dimensions. First, much ESG research relies on aggregate ratings or financial associations that do not identify the mechanism linking a material sustainability issue to stakeholder or operational outcomes. Second, company-level evidence often combines heterogeneous metrics, reporting boundaries and time horizons. The present study therefore examines mechanisms and counter-evidence </w:t>
      </w:r>
      <w:r>
        <w:lastRenderedPageBreak/>
        <w:t>across four contrasting consumer-goods cases rather than assuming that one ESG score captures strategic quality.</w:t>
      </w:r>
    </w:p>
    <w:p w14:paraId="36079E13" w14:textId="77777777" w:rsidR="004B4463" w:rsidRDefault="00F763E6">
      <w:r>
        <w:t>The dissertation responds to these gaps through a comparative, longitudinal and source-critical design. It examines strategic priorities and accountability, reported outcomes, assurance coverage, independent evidence that supports or challenges company narratives, and the consistency of these elements with commercial indicators and the proposed mechanisms. The purpose is not to estimate a single overall ESG premium, but to identify the conditions under which ESG may or may not contribute to reputation and sustainable value.</w:t>
      </w:r>
    </w:p>
    <w:p w14:paraId="5D4819F0" w14:textId="77777777" w:rsidR="004B4463" w:rsidRDefault="00F763E6">
      <w:pPr>
        <w:pStyle w:val="Heading1"/>
        <w:pageBreakBefore/>
        <w:spacing w:line="360" w:lineRule="auto"/>
      </w:pPr>
      <w:bookmarkStart w:id="55" w:name="_Toc240378617"/>
      <w:bookmarkStart w:id="56" w:name="_Toc240858671"/>
      <w:r>
        <w:lastRenderedPageBreak/>
        <w:t>Chapter 3: Research Methodology</w:t>
      </w:r>
      <w:bookmarkEnd w:id="55"/>
      <w:bookmarkEnd w:id="56"/>
    </w:p>
    <w:p w14:paraId="321800A1" w14:textId="77777777" w:rsidR="004B4463" w:rsidRDefault="00F763E6">
      <w:pPr>
        <w:pStyle w:val="Heading2"/>
      </w:pPr>
      <w:bookmarkStart w:id="57" w:name="_Toc240378618"/>
      <w:bookmarkStart w:id="58" w:name="_Toc240858672"/>
      <w:r>
        <w:t>3.1 Introduction</w:t>
      </w:r>
      <w:bookmarkEnd w:id="57"/>
      <w:bookmarkEnd w:id="58"/>
    </w:p>
    <w:p w14:paraId="5DDCDE4D" w14:textId="77777777" w:rsidR="004B4463" w:rsidRDefault="00F763E6">
      <w:r>
        <w:t xml:space="preserve">This chapter explains the methodology used to address the research questions with secondary evidence. It covers the research philosophy and approach, case design and selection, evidence identification, data extraction, analytical procedures, research quality, ethics and methodological limitations. The design retains an explanatory ambition while </w:t>
      </w:r>
      <w:proofErr w:type="spellStart"/>
      <w:r>
        <w:t>recognising</w:t>
      </w:r>
      <w:proofErr w:type="spellEnd"/>
      <w:r>
        <w:t xml:space="preserve"> that publicly available documentary evidence cannot establish controlled causal effects.</w:t>
      </w:r>
    </w:p>
    <w:p w14:paraId="7D492A8D" w14:textId="77777777" w:rsidR="004B4463" w:rsidRDefault="00F763E6">
      <w:pPr>
        <w:pStyle w:val="Heading2"/>
      </w:pPr>
      <w:bookmarkStart w:id="59" w:name="_Toc240378619"/>
      <w:bookmarkStart w:id="60" w:name="_Toc240858673"/>
      <w:r>
        <w:t>3.2 Research philosophy</w:t>
      </w:r>
      <w:bookmarkEnd w:id="59"/>
      <w:bookmarkEnd w:id="60"/>
    </w:p>
    <w:p w14:paraId="7AF269B7" w14:textId="77777777" w:rsidR="004B4463" w:rsidRDefault="00F763E6">
      <w:r>
        <w:t xml:space="preserve">The study adopts a critical-realist position because it distinguishes between underlying </w:t>
      </w:r>
      <w:proofErr w:type="spellStart"/>
      <w:r>
        <w:t>organisational</w:t>
      </w:r>
      <w:proofErr w:type="spellEnd"/>
      <w:r>
        <w:t xml:space="preserve"> mechanisms and the fallible observations through which they are studied. Critical realism assumes that corporate practices, emissions, product outcomes and commercial results can have real effects, while </w:t>
      </w:r>
      <w:proofErr w:type="spellStart"/>
      <w:r>
        <w:t>recognising</w:t>
      </w:r>
      <w:proofErr w:type="spellEnd"/>
      <w:r>
        <w:t xml:space="preserve"> that researchers access them through measurement systems, </w:t>
      </w:r>
      <w:proofErr w:type="spellStart"/>
      <w:r>
        <w:t>organisational</w:t>
      </w:r>
      <w:proofErr w:type="spellEnd"/>
      <w:r>
        <w:t xml:space="preserve"> reporting and stakeholder interpretation. This position is appropriate to documentary case research because company reports, ratings and regulatory records are treated as partial representations rather than as self-validating facts. The design therefore seeks plausible explanations for observed patterns while maintaining explicit limits on causal attribution.</w:t>
      </w:r>
    </w:p>
    <w:p w14:paraId="40CE937B" w14:textId="77777777" w:rsidR="004B4463" w:rsidRDefault="00F763E6">
      <w:r>
        <w:t>Critical realism focuses on how observable outcomes can arise from underlying structures and mechanisms. An emissions reduction, for example, may result from efficiency improvements, renewable electricity, lower production volumes, a disposal or a methodological recalculation. Similar interventions can also produce different outcomes under different market conditions. This ontology suits the research questions because the study seeks to explain how and under what conditions proposed mechanisms operate. It also disciplines causal language: contribution and plausibility are assessed rather than experimental attribution.</w:t>
      </w:r>
    </w:p>
    <w:p w14:paraId="4FFCB537" w14:textId="77777777" w:rsidR="004B4463" w:rsidRDefault="00F763E6">
      <w:pPr>
        <w:pStyle w:val="Heading2"/>
      </w:pPr>
      <w:bookmarkStart w:id="61" w:name="_Toc240378620"/>
      <w:bookmarkStart w:id="62" w:name="_Toc240858674"/>
      <w:r>
        <w:t>3.3 Research approach</w:t>
      </w:r>
      <w:bookmarkEnd w:id="61"/>
      <w:bookmarkEnd w:id="62"/>
    </w:p>
    <w:p w14:paraId="2CC0EF86" w14:textId="5A3ECBC6" w:rsidR="004B4463" w:rsidRDefault="00F763E6">
      <w:r>
        <w:t xml:space="preserve">Under an abductive approach, theory and evidence inform one another iteratively (Saunders, Lewis and Thornhill, 2023). Initial deductive codes were derived from the </w:t>
      </w:r>
      <w:r>
        <w:lastRenderedPageBreak/>
        <w:t>framework</w:t>
      </w:r>
      <w:r w:rsidR="00D471EF">
        <w:t xml:space="preserve">; </w:t>
      </w:r>
      <w:r>
        <w:t>materiality, governance, implementation, assurance, stakeholder trust, reputation, innovation, efficiency, resilience and competitive proxy. Inductive coding then identified themes including target recalibration, portfolio effects, affordability, metric restatement and asymmetric scrutiny. These patterns were compared with theoretical expectations and used to refine the framework.</w:t>
      </w:r>
    </w:p>
    <w:p w14:paraId="00B1BAC8" w14:textId="77777777" w:rsidR="004B4463" w:rsidRDefault="00F763E6">
      <w:r>
        <w:t>Abduction is used because the research questions require movement between theoretical expectations and heterogeneous documentary evidence. A purely deductive design would risk forcing diverse ESG evidence into predetermined categories, while a purely inductive design would underuse the established literature on stakeholder relationships, capabilities, legitimacy and materiality. The analysis therefore begins with theory-informed codes, compares them with case evidence, records disconfirming observations and revises the explanatory framework where recurring patterns or rival explanations require it. This iterative logic makes the basis of interpretation explicit and allows counter-evidence to modify rather than merely illustrate the initial framework.</w:t>
      </w:r>
    </w:p>
    <w:p w14:paraId="3D5728A1" w14:textId="77777777" w:rsidR="004B4463" w:rsidRDefault="00F763E6">
      <w:pPr>
        <w:pStyle w:val="Heading2"/>
      </w:pPr>
      <w:bookmarkStart w:id="63" w:name="_Toc240378621"/>
      <w:bookmarkStart w:id="64" w:name="_Toc240858675"/>
      <w:r>
        <w:t>3.4 Research Design and case logic</w:t>
      </w:r>
      <w:bookmarkEnd w:id="63"/>
      <w:bookmarkEnd w:id="64"/>
    </w:p>
    <w:p w14:paraId="53BE7524" w14:textId="77777777" w:rsidR="004B4463" w:rsidRDefault="00F763E6">
      <w:r>
        <w:t>The study uses a qualitatively dominant, longitudinal, multiple-case documentary design, supplemented by descriptive quantitative comparison. Unilever, Reckitt, Diageo and ABF were selected purposively because they are major UK-listed consumer-goods companies with prominent brands, material ESG exposures and multi-year reporting. The cases are not intended as a statistically representative sample; instead, they provide variation in category economics, portfolio structure and value proposition.</w:t>
      </w:r>
    </w:p>
    <w:p w14:paraId="4CA0C46A" w14:textId="77777777" w:rsidR="004B4463" w:rsidRDefault="00F763E6">
      <w:r>
        <w:t>The main analytical period is 2020–2025, spanning pandemic disruption, input-cost inflation, cost-of-living pressure and increased scrutiny of environmental claims. Reports relating to the 2025 financial year are included, and the evidence cut-off is 5 August 2026 to prevent unrecorded incorporation of later developments. The company-year is the primary extraction unit for indicators, while strategic mechanisms and cross-case configurations are the units of explanation.</w:t>
      </w:r>
    </w:p>
    <w:p w14:paraId="4E9BE448" w14:textId="77777777" w:rsidR="004B4463" w:rsidRDefault="00F763E6">
      <w:pPr>
        <w:pStyle w:val="Heading2"/>
      </w:pPr>
      <w:bookmarkStart w:id="65" w:name="_Toc240378622"/>
      <w:bookmarkStart w:id="66" w:name="_Toc240858676"/>
      <w:r>
        <w:t>3.5 Evidence identification and selection</w:t>
      </w:r>
      <w:bookmarkEnd w:id="65"/>
      <w:bookmarkEnd w:id="66"/>
    </w:p>
    <w:p w14:paraId="4D918CD3" w14:textId="77777777" w:rsidR="004B4463" w:rsidRDefault="00F763E6">
      <w:r>
        <w:t xml:space="preserve">Source quality is assessed in relation to the claim being made rather than through a single blanket hierarchy. Annual reports and audited financial statements are preferred for </w:t>
      </w:r>
      <w:r>
        <w:lastRenderedPageBreak/>
        <w:t>financial results, but their ESG narratives are not assumed to be audited unless a specific assurance statement covers the cited metric. Regulatory and legislative publications are preferred for legal status and enforcement developments. Independent benchmarks are used only within their stated methodology and construct, and peer-reviewed research is used for theory and empirical relationships. Professional surveys are used selectively for consumer context, with their sampling and self-report limitations acknowledged. Unattributed web commentary is not used as evidence for substantive findings.</w:t>
      </w:r>
    </w:p>
    <w:p w14:paraId="63D45F5B" w14:textId="77777777" w:rsidR="004B4463" w:rsidRDefault="00F763E6">
      <w:r>
        <w:t>Evidence identification was structured but was not designed as a statistically exhaustive systematic literature review. Academic searches combined terms including environmental, social and governance (ESG), sustainability, corporate reputation, trust, competitive advantage, value, innovation, resilience, greenwashing, assurance, consumer goods and United Kingdom. Eligible academic sources were English-language, peer-reviewed publications from 2020 to the evidence cut-off, supplemented by earlier foundational theory. Case evidence comprised company annual or sustainability reports, assurance statements, regulator publications, official legislation or policy material and method-disclosed independent benchmarks relevant to the four companies and the 2020-2025 contextual period. To improve submission traceability, Appendix A provides a reconstructed evidence register based only on the sources and citations retained in the final dissertation; it is not presented as a contemporaneous search log where no such record is available.</w:t>
      </w:r>
    </w:p>
    <w:p w14:paraId="655B04B1" w14:textId="77777777" w:rsidR="004B4463" w:rsidRDefault="00F763E6" w:rsidP="00D471EF">
      <w:pPr>
        <w:pStyle w:val="Heading4"/>
      </w:pPr>
      <w:bookmarkStart w:id="67" w:name="_Toc240857239"/>
      <w:r>
        <w:lastRenderedPageBreak/>
        <w:t>Figure 2. Evidence identification, screening and analytical flow</w:t>
      </w:r>
      <w:bookmarkEnd w:id="67"/>
    </w:p>
    <w:p w14:paraId="6FCFE3F2" w14:textId="77777777" w:rsidR="004B4463" w:rsidRDefault="00F763E6">
      <w:pPr>
        <w:pStyle w:val="Figure"/>
      </w:pPr>
      <w:r>
        <w:rPr>
          <w:noProof/>
        </w:rPr>
        <w:drawing>
          <wp:inline distT="0" distB="0" distL="0" distR="0" wp14:anchorId="3247EEB1" wp14:editId="0C9CC9A1">
            <wp:extent cx="5504815" cy="3686810"/>
            <wp:effectExtent l="0" t="0" r="0" b="0"/>
            <wp:docPr id="4" name="Picture 2" descr="Four documentary source streams pass through eligibility and quality screening into a case-by-year extraction matrix, followed by within-case timelines, cross-case pattern matching, and negative-case and rival-explanation analysis." title="Figure 2. Evidence identification, screening and analytical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Four documentary source streams pass through eligibility and quality screening into a case-by-year extraction matrix, followed by within-case timelines, cross-case pattern matching, and negative-case and rival-explanation analysis." title="Figure 2. Evidence identification, screening and analytical flow"/>
                    <pic:cNvPicPr>
                      <a:picLocks noChangeAspect="1" noChangeArrowheads="1"/>
                    </pic:cNvPicPr>
                  </pic:nvPicPr>
                  <pic:blipFill>
                    <a:blip r:embed="rId18"/>
                    <a:stretch>
                      <a:fillRect/>
                    </a:stretch>
                  </pic:blipFill>
                  <pic:spPr bwMode="auto">
                    <a:xfrm>
                      <a:off x="0" y="0"/>
                      <a:ext cx="5504815" cy="3686810"/>
                    </a:xfrm>
                    <a:prstGeom prst="rect">
                      <a:avLst/>
                    </a:prstGeom>
                    <a:noFill/>
                  </pic:spPr>
                </pic:pic>
              </a:graphicData>
            </a:graphic>
          </wp:inline>
        </w:drawing>
      </w:r>
    </w:p>
    <w:p w14:paraId="67BFE2D8" w14:textId="77777777" w:rsidR="00D471EF" w:rsidRPr="00D471EF" w:rsidRDefault="00D471EF" w:rsidP="00D471EF">
      <w:pPr>
        <w:jc w:val="center"/>
        <w:rPr>
          <w:i/>
          <w:iCs/>
        </w:rPr>
      </w:pPr>
      <w:r w:rsidRPr="00D471EF">
        <w:rPr>
          <w:i/>
          <w:iCs/>
        </w:rPr>
        <w:t xml:space="preserve">Source: Created by the </w:t>
      </w:r>
      <w:r>
        <w:rPr>
          <w:i/>
          <w:iCs/>
        </w:rPr>
        <w:t>A</w:t>
      </w:r>
      <w:r w:rsidRPr="00D471EF">
        <w:rPr>
          <w:i/>
          <w:iCs/>
        </w:rPr>
        <w:t>uthor</w:t>
      </w:r>
    </w:p>
    <w:p w14:paraId="6E85F824" w14:textId="77777777" w:rsidR="004B4463" w:rsidRDefault="00F763E6">
      <w:r>
        <w:t>The approach is structured but is not presented as a statistically exhaustive systematic review. Academic literature is used to establish theory and empirical relationships, while company, assurance, regulatory and benchmark documents provide case evidence. Keeping these source types analytically distinct avoids treating heterogeneous documentary materials as equivalent observations.</w:t>
      </w:r>
    </w:p>
    <w:p w14:paraId="248D7AF6" w14:textId="77777777" w:rsidR="004B4463" w:rsidRDefault="00F763E6">
      <w:pPr>
        <w:pStyle w:val="Heading2"/>
      </w:pPr>
      <w:bookmarkStart w:id="68" w:name="_Toc240378623"/>
      <w:bookmarkStart w:id="69" w:name="_Toc240858677"/>
      <w:r>
        <w:t xml:space="preserve">3.6 Data extraction and </w:t>
      </w:r>
      <w:proofErr w:type="spellStart"/>
      <w:r>
        <w:t>operationalisation</w:t>
      </w:r>
      <w:bookmarkEnd w:id="68"/>
      <w:bookmarkEnd w:id="69"/>
      <w:proofErr w:type="spellEnd"/>
    </w:p>
    <w:p w14:paraId="62B2E8D6" w14:textId="77777777" w:rsidR="004B4463" w:rsidRDefault="00F763E6">
      <w:r>
        <w:t xml:space="preserve">Evidence was extracted and compared using a structured set of fields: company, reporting period, source, page or section, metric definition, baseline, boundary, assurance status, relevant mechanism and interpretive caveat. The final submission includes in Appendix A </w:t>
      </w:r>
      <w:proofErr w:type="spellStart"/>
      <w:r>
        <w:t>a</w:t>
      </w:r>
      <w:proofErr w:type="spellEnd"/>
      <w:r>
        <w:t xml:space="preserve"> reconstructed traceability matrix derived from the sources actually cited in the dissertation. This reconstruction is intended to make the evidence-to-claim chain auditable; it does not claim to reproduce an earlier working matrix that cannot be independently evidenced. Where a company reports a restatement, the restated figure is used and the change is noted. Missing data are not imputed.</w:t>
      </w:r>
    </w:p>
    <w:p w14:paraId="049B3FCC" w14:textId="77777777" w:rsidR="004B4463" w:rsidRDefault="00F763E6">
      <w:r>
        <w:lastRenderedPageBreak/>
        <w:t xml:space="preserve">ESG strategic substance is </w:t>
      </w:r>
      <w:proofErr w:type="spellStart"/>
      <w:r>
        <w:t>operationalised</w:t>
      </w:r>
      <w:proofErr w:type="spellEnd"/>
      <w:r>
        <w:t xml:space="preserve"> through materiality, board and management oversight of ESG risks, allocation of responsibility, results-based incentives, integration with capital or operations, quantifiable targets and evidence of implementation. Reputation evidence includes third-party rankings, regulatory scrutiny, stakeholder indicators and transparent acknowledgement of limitations. Because comparable direct reputation measures are unavailable across all four companies, no single indicator is treated as a complete measure of corporate reputation. Competitive-advantage proxies include innovation, revenue growth, margins, market position and resilience, interpreted alongside rival commercial explanations.</w:t>
      </w:r>
    </w:p>
    <w:p w14:paraId="52EB37B8" w14:textId="77777777" w:rsidR="004B4463" w:rsidRDefault="00F763E6">
      <w:r>
        <w:t>Evidence strength is distinguished in the coding scheme. A reported commitment without a defined baseline or observable delivery evidence is coded as directional. A measured indicator is treated as actionable evidence only when its metric, boundary, reporting period and baseline or comparator are sufficiently clear. A metric is described as assured only when it falls within the scope of a named independent practitioner's assurance statement. External evidence, such as a regulator record or an independent benchmark, is interpreted according to its own methodology and legal status. These categories prevent the analytical language from exceeding the source strength: for example, an assured emissions value can support a statement about reported change, but cannot by itself establish that the change caused commercial growth.</w:t>
      </w:r>
    </w:p>
    <w:p w14:paraId="24C57A0B" w14:textId="77777777" w:rsidR="004B4463" w:rsidRDefault="00F763E6">
      <w:r>
        <w:t xml:space="preserve">Before numerical comparisons are made, indicators are checked for conceptual and measurement comparability. Currencies are not combined; absolute and intensity measures are kept separate; market-based and location-based emissions are not substituted for one another; and baselines are recorded together with any disclosed changes. Disposals, restatements and revised reporting boundaries are flagged. Where a company reports only a single-year value without a stable time series, the evidence is treated as a snapshot rather than a trend. These checks </w:t>
      </w:r>
      <w:proofErr w:type="spellStart"/>
      <w:r>
        <w:t>recognise</w:t>
      </w:r>
      <w:proofErr w:type="spellEnd"/>
      <w:r>
        <w:t xml:space="preserve"> that numerical precision does not guarantee conceptual equivalence.</w:t>
      </w:r>
    </w:p>
    <w:p w14:paraId="46E7B690" w14:textId="77777777" w:rsidR="004B4463" w:rsidRDefault="00F763E6" w:rsidP="00D471EF">
      <w:pPr>
        <w:pStyle w:val="Heading4"/>
      </w:pPr>
      <w:bookmarkStart w:id="70" w:name="table_2"/>
      <w:bookmarkStart w:id="71" w:name="_Toc240857235"/>
      <w:r>
        <w:lastRenderedPageBreak/>
        <w:t>Table 2. Comparative evidence and quality framework</w:t>
      </w:r>
      <w:bookmarkEnd w:id="70"/>
      <w:bookmarkEnd w:id="71"/>
    </w:p>
    <w:tbl>
      <w:tblPr>
        <w:tblW w:w="10107" w:type="dxa"/>
        <w:jc w:val="center"/>
        <w:tblLayout w:type="fixed"/>
        <w:tblCellMar>
          <w:top w:w="105" w:type="dxa"/>
          <w:left w:w="90" w:type="dxa"/>
          <w:bottom w:w="105" w:type="dxa"/>
          <w:right w:w="90" w:type="dxa"/>
        </w:tblCellMar>
        <w:tblLook w:val="04A0" w:firstRow="1" w:lastRow="0" w:firstColumn="1" w:lastColumn="0" w:noHBand="0" w:noVBand="1"/>
      </w:tblPr>
      <w:tblGrid>
        <w:gridCol w:w="1727"/>
        <w:gridCol w:w="2971"/>
        <w:gridCol w:w="2750"/>
        <w:gridCol w:w="2659"/>
      </w:tblGrid>
      <w:tr w:rsidR="00D471EF" w:rsidRPr="00D471EF" w14:paraId="441F3E2D" w14:textId="77777777" w:rsidTr="001118BD">
        <w:trPr>
          <w:cantSplit/>
          <w:trHeight w:val="465"/>
          <w:tblHeader/>
          <w:jc w:val="center"/>
        </w:trPr>
        <w:tc>
          <w:tcPr>
            <w:tcW w:w="1727" w:type="dxa"/>
            <w:tcBorders>
              <w:top w:val="single" w:sz="4" w:space="0" w:color="BCC7D1"/>
              <w:left w:val="single" w:sz="4" w:space="0" w:color="BCC7D1"/>
              <w:bottom w:val="single" w:sz="4" w:space="0" w:color="BCC7D1"/>
              <w:right w:val="single" w:sz="4" w:space="0" w:color="BCC7D1"/>
            </w:tcBorders>
            <w:shd w:val="clear" w:color="auto" w:fill="17365D"/>
          </w:tcPr>
          <w:p w14:paraId="42537F7D" w14:textId="77777777" w:rsidR="004B4463" w:rsidRPr="00D471EF" w:rsidRDefault="00F763E6">
            <w:pPr>
              <w:spacing w:after="0"/>
              <w:rPr>
                <w:b/>
                <w:bCs/>
                <w:color w:val="auto"/>
                <w:sz w:val="20"/>
                <w:szCs w:val="20"/>
              </w:rPr>
            </w:pPr>
            <w:r w:rsidRPr="00D471EF">
              <w:rPr>
                <w:b/>
                <w:bCs/>
                <w:color w:val="auto"/>
                <w:sz w:val="20"/>
                <w:szCs w:val="20"/>
              </w:rPr>
              <w:t>Construct</w:t>
            </w:r>
          </w:p>
        </w:tc>
        <w:tc>
          <w:tcPr>
            <w:tcW w:w="2971" w:type="dxa"/>
            <w:tcBorders>
              <w:top w:val="single" w:sz="4" w:space="0" w:color="BCC7D1"/>
              <w:left w:val="single" w:sz="4" w:space="0" w:color="BCC7D1"/>
              <w:bottom w:val="single" w:sz="4" w:space="0" w:color="BCC7D1"/>
              <w:right w:val="single" w:sz="4" w:space="0" w:color="BCC7D1"/>
            </w:tcBorders>
            <w:shd w:val="clear" w:color="auto" w:fill="17365D"/>
          </w:tcPr>
          <w:p w14:paraId="184EBBB3" w14:textId="77777777" w:rsidR="004B4463" w:rsidRPr="00D471EF" w:rsidRDefault="00F763E6">
            <w:pPr>
              <w:spacing w:after="0"/>
              <w:rPr>
                <w:b/>
                <w:bCs/>
                <w:color w:val="auto"/>
                <w:sz w:val="20"/>
                <w:szCs w:val="20"/>
              </w:rPr>
            </w:pPr>
            <w:r w:rsidRPr="00D471EF">
              <w:rPr>
                <w:b/>
                <w:bCs/>
                <w:color w:val="auto"/>
                <w:sz w:val="20"/>
                <w:szCs w:val="20"/>
              </w:rPr>
              <w:t>Operational evidence</w:t>
            </w:r>
          </w:p>
        </w:tc>
        <w:tc>
          <w:tcPr>
            <w:tcW w:w="2750" w:type="dxa"/>
            <w:tcBorders>
              <w:top w:val="single" w:sz="4" w:space="0" w:color="BCC7D1"/>
              <w:left w:val="single" w:sz="4" w:space="0" w:color="BCC7D1"/>
              <w:bottom w:val="single" w:sz="4" w:space="0" w:color="BCC7D1"/>
              <w:right w:val="single" w:sz="4" w:space="0" w:color="BCC7D1"/>
            </w:tcBorders>
            <w:shd w:val="clear" w:color="auto" w:fill="17365D"/>
          </w:tcPr>
          <w:p w14:paraId="1F837AFA" w14:textId="77777777" w:rsidR="004B4463" w:rsidRPr="00D471EF" w:rsidRDefault="00F763E6">
            <w:pPr>
              <w:spacing w:after="0"/>
              <w:rPr>
                <w:b/>
                <w:bCs/>
                <w:color w:val="auto"/>
                <w:sz w:val="20"/>
                <w:szCs w:val="20"/>
              </w:rPr>
            </w:pPr>
            <w:r w:rsidRPr="00D471EF">
              <w:rPr>
                <w:b/>
                <w:bCs/>
                <w:color w:val="auto"/>
                <w:sz w:val="20"/>
                <w:szCs w:val="20"/>
              </w:rPr>
              <w:t>Preferred sources</w:t>
            </w:r>
          </w:p>
        </w:tc>
        <w:tc>
          <w:tcPr>
            <w:tcW w:w="2659" w:type="dxa"/>
            <w:tcBorders>
              <w:top w:val="single" w:sz="4" w:space="0" w:color="BCC7D1"/>
              <w:left w:val="single" w:sz="4" w:space="0" w:color="BCC7D1"/>
              <w:bottom w:val="single" w:sz="4" w:space="0" w:color="BCC7D1"/>
              <w:right w:val="single" w:sz="4" w:space="0" w:color="BCC7D1"/>
            </w:tcBorders>
            <w:shd w:val="clear" w:color="auto" w:fill="17365D"/>
          </w:tcPr>
          <w:p w14:paraId="12117E19" w14:textId="77777777" w:rsidR="004B4463" w:rsidRPr="00D471EF" w:rsidRDefault="00F763E6">
            <w:pPr>
              <w:spacing w:after="0"/>
              <w:rPr>
                <w:b/>
                <w:bCs/>
                <w:color w:val="auto"/>
                <w:sz w:val="20"/>
                <w:szCs w:val="20"/>
              </w:rPr>
            </w:pPr>
            <w:r w:rsidRPr="00D471EF">
              <w:rPr>
                <w:b/>
                <w:bCs/>
                <w:color w:val="auto"/>
                <w:sz w:val="20"/>
                <w:szCs w:val="20"/>
              </w:rPr>
              <w:t>Quality test</w:t>
            </w:r>
          </w:p>
        </w:tc>
      </w:tr>
      <w:tr w:rsidR="00D471EF" w:rsidRPr="00D471EF" w14:paraId="51F3EF60" w14:textId="77777777" w:rsidTr="001118BD">
        <w:trPr>
          <w:cantSplit/>
          <w:trHeight w:val="1517"/>
          <w:jc w:val="center"/>
        </w:trPr>
        <w:tc>
          <w:tcPr>
            <w:tcW w:w="1727"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DA12DEB" w14:textId="77777777" w:rsidR="004B4463" w:rsidRPr="00D471EF" w:rsidRDefault="00F763E6">
            <w:pPr>
              <w:spacing w:after="0"/>
              <w:rPr>
                <w:color w:val="auto"/>
                <w:sz w:val="20"/>
                <w:szCs w:val="20"/>
              </w:rPr>
            </w:pPr>
            <w:r w:rsidRPr="00D471EF">
              <w:rPr>
                <w:color w:val="auto"/>
                <w:sz w:val="20"/>
                <w:szCs w:val="20"/>
              </w:rPr>
              <w:t>Strategic substance</w:t>
            </w:r>
          </w:p>
        </w:tc>
        <w:tc>
          <w:tcPr>
            <w:tcW w:w="2971" w:type="dxa"/>
            <w:tcBorders>
              <w:top w:val="single" w:sz="4" w:space="0" w:color="BCC7D1"/>
              <w:left w:val="single" w:sz="4" w:space="0" w:color="BCC7D1"/>
              <w:bottom w:val="single" w:sz="4" w:space="0" w:color="BCC7D1"/>
              <w:right w:val="single" w:sz="4" w:space="0" w:color="BCC7D1"/>
            </w:tcBorders>
            <w:tcMar>
              <w:top w:w="80" w:type="dxa"/>
              <w:bottom w:w="80" w:type="dxa"/>
            </w:tcMar>
          </w:tcPr>
          <w:p w14:paraId="2B6B8DF4" w14:textId="77777777" w:rsidR="004B4463" w:rsidRPr="00D471EF" w:rsidRDefault="00F763E6">
            <w:pPr>
              <w:spacing w:after="0"/>
              <w:rPr>
                <w:color w:val="auto"/>
                <w:sz w:val="20"/>
                <w:szCs w:val="20"/>
              </w:rPr>
            </w:pPr>
            <w:r w:rsidRPr="00D471EF">
              <w:rPr>
                <w:color w:val="auto"/>
                <w:sz w:val="20"/>
                <w:szCs w:val="20"/>
              </w:rPr>
              <w:t>Material priorities, accountability, incentives, resources and implementation routines.</w:t>
            </w:r>
          </w:p>
        </w:tc>
        <w:tc>
          <w:tcPr>
            <w:tcW w:w="2750" w:type="dxa"/>
            <w:tcBorders>
              <w:top w:val="single" w:sz="4" w:space="0" w:color="BCC7D1"/>
              <w:left w:val="single" w:sz="4" w:space="0" w:color="BCC7D1"/>
              <w:bottom w:val="single" w:sz="4" w:space="0" w:color="BCC7D1"/>
              <w:right w:val="single" w:sz="4" w:space="0" w:color="BCC7D1"/>
            </w:tcBorders>
            <w:tcMar>
              <w:top w:w="80" w:type="dxa"/>
              <w:bottom w:w="80" w:type="dxa"/>
            </w:tcMar>
          </w:tcPr>
          <w:p w14:paraId="58318D99" w14:textId="77777777" w:rsidR="004B4463" w:rsidRPr="00D471EF" w:rsidRDefault="00F763E6">
            <w:pPr>
              <w:spacing w:after="0"/>
              <w:rPr>
                <w:color w:val="auto"/>
                <w:sz w:val="20"/>
                <w:szCs w:val="20"/>
              </w:rPr>
            </w:pPr>
            <w:r w:rsidRPr="00D471EF">
              <w:rPr>
                <w:color w:val="auto"/>
                <w:sz w:val="20"/>
                <w:szCs w:val="20"/>
              </w:rPr>
              <w:t>Annual reports, governance and remuneration sections, strategy documents.</w:t>
            </w:r>
          </w:p>
        </w:tc>
        <w:tc>
          <w:tcPr>
            <w:tcW w:w="2659"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0121D1F" w14:textId="77777777" w:rsidR="004B4463" w:rsidRPr="00D471EF" w:rsidRDefault="00F763E6">
            <w:pPr>
              <w:spacing w:after="0"/>
              <w:rPr>
                <w:color w:val="auto"/>
                <w:sz w:val="20"/>
                <w:szCs w:val="20"/>
              </w:rPr>
            </w:pPr>
            <w:r w:rsidRPr="00D471EF">
              <w:rPr>
                <w:color w:val="auto"/>
                <w:sz w:val="20"/>
                <w:szCs w:val="20"/>
              </w:rPr>
              <w:t>Named owner; stable boundary; decision consequence; evidence of action.</w:t>
            </w:r>
          </w:p>
        </w:tc>
      </w:tr>
      <w:tr w:rsidR="00D471EF" w:rsidRPr="00D471EF" w14:paraId="125552DB" w14:textId="77777777" w:rsidTr="001118BD">
        <w:trPr>
          <w:cantSplit/>
          <w:trHeight w:val="1517"/>
          <w:jc w:val="center"/>
        </w:trPr>
        <w:tc>
          <w:tcPr>
            <w:tcW w:w="1727"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163309CD" w14:textId="77777777" w:rsidR="004B4463" w:rsidRPr="00D471EF" w:rsidRDefault="00F763E6">
            <w:pPr>
              <w:spacing w:after="0"/>
              <w:rPr>
                <w:color w:val="auto"/>
                <w:sz w:val="20"/>
                <w:szCs w:val="20"/>
              </w:rPr>
            </w:pPr>
            <w:r w:rsidRPr="00D471EF">
              <w:rPr>
                <w:color w:val="auto"/>
                <w:sz w:val="20"/>
                <w:szCs w:val="20"/>
              </w:rPr>
              <w:t>Environmental outcome</w:t>
            </w:r>
          </w:p>
        </w:tc>
        <w:tc>
          <w:tcPr>
            <w:tcW w:w="2971"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3F0BA902" w14:textId="77777777" w:rsidR="004B4463" w:rsidRPr="00D471EF" w:rsidRDefault="00F763E6">
            <w:pPr>
              <w:spacing w:after="0"/>
              <w:rPr>
                <w:color w:val="auto"/>
                <w:sz w:val="20"/>
                <w:szCs w:val="20"/>
              </w:rPr>
            </w:pPr>
            <w:r w:rsidRPr="00D471EF">
              <w:rPr>
                <w:color w:val="auto"/>
                <w:sz w:val="20"/>
                <w:szCs w:val="20"/>
              </w:rPr>
              <w:t>Absolute or intensity emissions, water, energy, materials, waste and sourcing indicators.</w:t>
            </w:r>
          </w:p>
        </w:tc>
        <w:tc>
          <w:tcPr>
            <w:tcW w:w="2750"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3D5F79A9" w14:textId="77777777" w:rsidR="004B4463" w:rsidRPr="00D471EF" w:rsidRDefault="00F763E6">
            <w:pPr>
              <w:spacing w:after="0"/>
              <w:rPr>
                <w:color w:val="auto"/>
                <w:sz w:val="20"/>
                <w:szCs w:val="20"/>
              </w:rPr>
            </w:pPr>
            <w:r w:rsidRPr="00D471EF">
              <w:rPr>
                <w:color w:val="auto"/>
                <w:sz w:val="20"/>
                <w:szCs w:val="20"/>
              </w:rPr>
              <w:t>Metric tables, methodologies and assurance reports.</w:t>
            </w:r>
          </w:p>
        </w:tc>
        <w:tc>
          <w:tcPr>
            <w:tcW w:w="2659"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12CB0A42" w14:textId="77777777" w:rsidR="004B4463" w:rsidRPr="00D471EF" w:rsidRDefault="00F763E6">
            <w:pPr>
              <w:spacing w:after="0"/>
              <w:rPr>
                <w:color w:val="auto"/>
                <w:sz w:val="20"/>
                <w:szCs w:val="20"/>
              </w:rPr>
            </w:pPr>
            <w:r w:rsidRPr="00D471EF">
              <w:rPr>
                <w:color w:val="auto"/>
                <w:sz w:val="20"/>
                <w:szCs w:val="20"/>
              </w:rPr>
              <w:t>Baseline, boundary, unit, restatement and assurance are explicit.</w:t>
            </w:r>
          </w:p>
        </w:tc>
      </w:tr>
      <w:tr w:rsidR="00D471EF" w:rsidRPr="00D471EF" w14:paraId="4CB5EED4" w14:textId="77777777" w:rsidTr="001118BD">
        <w:trPr>
          <w:cantSplit/>
          <w:trHeight w:val="1872"/>
          <w:jc w:val="center"/>
        </w:trPr>
        <w:tc>
          <w:tcPr>
            <w:tcW w:w="1727" w:type="dxa"/>
            <w:tcBorders>
              <w:top w:val="single" w:sz="4" w:space="0" w:color="BCC7D1"/>
              <w:left w:val="single" w:sz="4" w:space="0" w:color="BCC7D1"/>
              <w:bottom w:val="single" w:sz="4" w:space="0" w:color="BCC7D1"/>
              <w:right w:val="single" w:sz="4" w:space="0" w:color="BCC7D1"/>
            </w:tcBorders>
            <w:tcMar>
              <w:top w:w="80" w:type="dxa"/>
              <w:bottom w:w="80" w:type="dxa"/>
            </w:tcMar>
          </w:tcPr>
          <w:p w14:paraId="6E585CF8" w14:textId="77777777" w:rsidR="004B4463" w:rsidRPr="00D471EF" w:rsidRDefault="00F763E6">
            <w:pPr>
              <w:spacing w:after="0"/>
              <w:rPr>
                <w:color w:val="auto"/>
                <w:sz w:val="20"/>
                <w:szCs w:val="20"/>
              </w:rPr>
            </w:pPr>
            <w:r w:rsidRPr="00D471EF">
              <w:rPr>
                <w:color w:val="auto"/>
                <w:sz w:val="20"/>
                <w:szCs w:val="20"/>
              </w:rPr>
              <w:t>Social and governance outcome</w:t>
            </w:r>
          </w:p>
        </w:tc>
        <w:tc>
          <w:tcPr>
            <w:tcW w:w="2971" w:type="dxa"/>
            <w:tcBorders>
              <w:top w:val="single" w:sz="4" w:space="0" w:color="BCC7D1"/>
              <w:left w:val="single" w:sz="4" w:space="0" w:color="BCC7D1"/>
              <w:bottom w:val="single" w:sz="4" w:space="0" w:color="BCC7D1"/>
              <w:right w:val="single" w:sz="4" w:space="0" w:color="BCC7D1"/>
            </w:tcBorders>
            <w:tcMar>
              <w:top w:w="80" w:type="dxa"/>
              <w:bottom w:w="80" w:type="dxa"/>
            </w:tcMar>
          </w:tcPr>
          <w:p w14:paraId="4EF385E3" w14:textId="77777777" w:rsidR="004B4463" w:rsidRPr="00D471EF" w:rsidRDefault="00F763E6">
            <w:pPr>
              <w:spacing w:after="0"/>
              <w:rPr>
                <w:color w:val="auto"/>
                <w:sz w:val="20"/>
                <w:szCs w:val="20"/>
              </w:rPr>
            </w:pPr>
            <w:r w:rsidRPr="00D471EF">
              <w:rPr>
                <w:color w:val="auto"/>
                <w:sz w:val="20"/>
                <w:szCs w:val="20"/>
              </w:rPr>
              <w:t>Workforce, product responsibility, community reach, due diligence and control evidence.</w:t>
            </w:r>
          </w:p>
        </w:tc>
        <w:tc>
          <w:tcPr>
            <w:tcW w:w="2750" w:type="dxa"/>
            <w:tcBorders>
              <w:top w:val="single" w:sz="4" w:space="0" w:color="BCC7D1"/>
              <w:left w:val="single" w:sz="4" w:space="0" w:color="BCC7D1"/>
              <w:bottom w:val="single" w:sz="4" w:space="0" w:color="BCC7D1"/>
              <w:right w:val="single" w:sz="4" w:space="0" w:color="BCC7D1"/>
            </w:tcBorders>
            <w:tcMar>
              <w:top w:w="80" w:type="dxa"/>
              <w:bottom w:w="80" w:type="dxa"/>
            </w:tcMar>
          </w:tcPr>
          <w:p w14:paraId="6F642F9A" w14:textId="77777777" w:rsidR="004B4463" w:rsidRPr="00D471EF" w:rsidRDefault="00F763E6">
            <w:pPr>
              <w:spacing w:after="0"/>
              <w:rPr>
                <w:color w:val="auto"/>
                <w:sz w:val="20"/>
                <w:szCs w:val="20"/>
              </w:rPr>
            </w:pPr>
            <w:r w:rsidRPr="00D471EF">
              <w:rPr>
                <w:color w:val="auto"/>
                <w:sz w:val="20"/>
                <w:szCs w:val="20"/>
              </w:rPr>
              <w:t>Company data, regulator records and independent benchmarks.</w:t>
            </w:r>
          </w:p>
        </w:tc>
        <w:tc>
          <w:tcPr>
            <w:tcW w:w="2659"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183147D" w14:textId="77777777" w:rsidR="004B4463" w:rsidRPr="00D471EF" w:rsidRDefault="00F763E6">
            <w:pPr>
              <w:spacing w:after="0"/>
              <w:rPr>
                <w:color w:val="auto"/>
                <w:sz w:val="20"/>
                <w:szCs w:val="20"/>
              </w:rPr>
            </w:pPr>
            <w:r w:rsidRPr="00D471EF">
              <w:rPr>
                <w:color w:val="auto"/>
                <w:sz w:val="20"/>
                <w:szCs w:val="20"/>
              </w:rPr>
              <w:t>Outcome is distinguished from activity or reach; legal status is represented accurately.</w:t>
            </w:r>
          </w:p>
        </w:tc>
      </w:tr>
      <w:tr w:rsidR="00D471EF" w:rsidRPr="00D471EF" w14:paraId="2CFA0576" w14:textId="77777777" w:rsidTr="001118BD">
        <w:trPr>
          <w:cantSplit/>
          <w:trHeight w:val="1517"/>
          <w:jc w:val="center"/>
        </w:trPr>
        <w:tc>
          <w:tcPr>
            <w:tcW w:w="1727"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7A9818BF" w14:textId="77777777" w:rsidR="004B4463" w:rsidRPr="00D471EF" w:rsidRDefault="00F763E6">
            <w:pPr>
              <w:spacing w:after="0"/>
              <w:rPr>
                <w:color w:val="auto"/>
                <w:sz w:val="20"/>
                <w:szCs w:val="20"/>
              </w:rPr>
            </w:pPr>
            <w:r w:rsidRPr="00D471EF">
              <w:rPr>
                <w:color w:val="auto"/>
                <w:sz w:val="20"/>
                <w:szCs w:val="20"/>
              </w:rPr>
              <w:t>Reputation</w:t>
            </w:r>
          </w:p>
        </w:tc>
        <w:tc>
          <w:tcPr>
            <w:tcW w:w="2971"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37FA6082" w14:textId="77777777" w:rsidR="004B4463" w:rsidRPr="00D471EF" w:rsidRDefault="00F763E6">
            <w:pPr>
              <w:spacing w:after="0"/>
              <w:rPr>
                <w:color w:val="auto"/>
                <w:sz w:val="20"/>
                <w:szCs w:val="20"/>
              </w:rPr>
            </w:pPr>
            <w:r w:rsidRPr="00D471EF">
              <w:rPr>
                <w:color w:val="auto"/>
                <w:sz w:val="20"/>
                <w:szCs w:val="20"/>
              </w:rPr>
              <w:t>Independent ranking, scrutiny, stakeholder trust signal or issue-specific response.</w:t>
            </w:r>
          </w:p>
        </w:tc>
        <w:tc>
          <w:tcPr>
            <w:tcW w:w="2750"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1B551E4A" w14:textId="77777777" w:rsidR="004B4463" w:rsidRPr="00D471EF" w:rsidRDefault="00F763E6">
            <w:pPr>
              <w:spacing w:after="0"/>
              <w:rPr>
                <w:color w:val="auto"/>
                <w:sz w:val="20"/>
                <w:szCs w:val="20"/>
              </w:rPr>
            </w:pPr>
            <w:r w:rsidRPr="00D471EF">
              <w:rPr>
                <w:color w:val="auto"/>
                <w:sz w:val="20"/>
                <w:szCs w:val="20"/>
              </w:rPr>
              <w:t>Regulators, method-disclosed benchmarks and longitudinal surveys.</w:t>
            </w:r>
          </w:p>
        </w:tc>
        <w:tc>
          <w:tcPr>
            <w:tcW w:w="2659"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2B77C62A" w14:textId="77777777" w:rsidR="004B4463" w:rsidRPr="00D471EF" w:rsidRDefault="00F763E6">
            <w:pPr>
              <w:spacing w:after="0"/>
              <w:rPr>
                <w:color w:val="auto"/>
                <w:sz w:val="20"/>
                <w:szCs w:val="20"/>
              </w:rPr>
            </w:pPr>
            <w:r w:rsidRPr="00D471EF">
              <w:rPr>
                <w:color w:val="auto"/>
                <w:sz w:val="20"/>
                <w:szCs w:val="20"/>
              </w:rPr>
              <w:t>Source is independent; stakeholder and construct are identifiable.</w:t>
            </w:r>
          </w:p>
        </w:tc>
      </w:tr>
      <w:tr w:rsidR="00D471EF" w:rsidRPr="00D471EF" w14:paraId="02306E2E" w14:textId="77777777" w:rsidTr="001118BD">
        <w:trPr>
          <w:cantSplit/>
          <w:trHeight w:val="1517"/>
          <w:jc w:val="center"/>
        </w:trPr>
        <w:tc>
          <w:tcPr>
            <w:tcW w:w="1727"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EB04F4B" w14:textId="77777777" w:rsidR="004B4463" w:rsidRPr="00D471EF" w:rsidRDefault="00F763E6">
            <w:pPr>
              <w:spacing w:after="0"/>
              <w:rPr>
                <w:color w:val="auto"/>
                <w:sz w:val="20"/>
                <w:szCs w:val="20"/>
              </w:rPr>
            </w:pPr>
            <w:r w:rsidRPr="00D471EF">
              <w:rPr>
                <w:color w:val="auto"/>
                <w:sz w:val="20"/>
                <w:szCs w:val="20"/>
              </w:rPr>
              <w:t>Competitive proxy</w:t>
            </w:r>
          </w:p>
        </w:tc>
        <w:tc>
          <w:tcPr>
            <w:tcW w:w="2971" w:type="dxa"/>
            <w:tcBorders>
              <w:top w:val="single" w:sz="4" w:space="0" w:color="BCC7D1"/>
              <w:left w:val="single" w:sz="4" w:space="0" w:color="BCC7D1"/>
              <w:bottom w:val="single" w:sz="4" w:space="0" w:color="BCC7D1"/>
              <w:right w:val="single" w:sz="4" w:space="0" w:color="BCC7D1"/>
            </w:tcBorders>
            <w:tcMar>
              <w:top w:w="80" w:type="dxa"/>
              <w:bottom w:w="80" w:type="dxa"/>
            </w:tcMar>
          </w:tcPr>
          <w:p w14:paraId="1CDEB868" w14:textId="77777777" w:rsidR="004B4463" w:rsidRPr="00D471EF" w:rsidRDefault="00F763E6">
            <w:pPr>
              <w:spacing w:after="0"/>
              <w:rPr>
                <w:color w:val="auto"/>
                <w:sz w:val="20"/>
                <w:szCs w:val="20"/>
              </w:rPr>
            </w:pPr>
            <w:r w:rsidRPr="00D471EF">
              <w:rPr>
                <w:color w:val="auto"/>
                <w:sz w:val="20"/>
                <w:szCs w:val="20"/>
              </w:rPr>
              <w:t>Innovation, resource productivity, growth, margin, market position and resilience.</w:t>
            </w:r>
          </w:p>
        </w:tc>
        <w:tc>
          <w:tcPr>
            <w:tcW w:w="2750" w:type="dxa"/>
            <w:tcBorders>
              <w:top w:val="single" w:sz="4" w:space="0" w:color="BCC7D1"/>
              <w:left w:val="single" w:sz="4" w:space="0" w:color="BCC7D1"/>
              <w:bottom w:val="single" w:sz="4" w:space="0" w:color="BCC7D1"/>
              <w:right w:val="single" w:sz="4" w:space="0" w:color="BCC7D1"/>
            </w:tcBorders>
            <w:tcMar>
              <w:top w:w="80" w:type="dxa"/>
              <w:bottom w:w="80" w:type="dxa"/>
            </w:tcMar>
          </w:tcPr>
          <w:p w14:paraId="27551E30" w14:textId="77777777" w:rsidR="004B4463" w:rsidRPr="00D471EF" w:rsidRDefault="00F763E6">
            <w:pPr>
              <w:spacing w:after="0"/>
              <w:rPr>
                <w:color w:val="auto"/>
                <w:sz w:val="20"/>
                <w:szCs w:val="20"/>
              </w:rPr>
            </w:pPr>
            <w:r w:rsidRPr="00D471EF">
              <w:rPr>
                <w:color w:val="auto"/>
                <w:sz w:val="20"/>
                <w:szCs w:val="20"/>
              </w:rPr>
              <w:t>Audited financial reporting and traceable market evidence.</w:t>
            </w:r>
          </w:p>
        </w:tc>
        <w:tc>
          <w:tcPr>
            <w:tcW w:w="2659"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773D7F4" w14:textId="77777777" w:rsidR="004B4463" w:rsidRPr="00D471EF" w:rsidRDefault="00F763E6">
            <w:pPr>
              <w:spacing w:after="0"/>
              <w:rPr>
                <w:color w:val="auto"/>
                <w:sz w:val="20"/>
                <w:szCs w:val="20"/>
              </w:rPr>
            </w:pPr>
            <w:r w:rsidRPr="00D471EF">
              <w:rPr>
                <w:color w:val="auto"/>
                <w:sz w:val="20"/>
                <w:szCs w:val="20"/>
              </w:rPr>
              <w:t>Portfolio, price, currency, demand and time-lag rival explanations are tested.</w:t>
            </w:r>
          </w:p>
        </w:tc>
      </w:tr>
      <w:tr w:rsidR="00D471EF" w:rsidRPr="00D471EF" w14:paraId="451D9068" w14:textId="77777777" w:rsidTr="001118BD">
        <w:trPr>
          <w:cantSplit/>
          <w:trHeight w:val="1517"/>
          <w:jc w:val="center"/>
        </w:trPr>
        <w:tc>
          <w:tcPr>
            <w:tcW w:w="1727"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16FF9994" w14:textId="77777777" w:rsidR="004B4463" w:rsidRPr="00D471EF" w:rsidRDefault="00F763E6">
            <w:pPr>
              <w:spacing w:after="0"/>
              <w:rPr>
                <w:color w:val="auto"/>
                <w:sz w:val="20"/>
                <w:szCs w:val="20"/>
              </w:rPr>
            </w:pPr>
            <w:r w:rsidRPr="00D471EF">
              <w:rPr>
                <w:color w:val="auto"/>
                <w:sz w:val="20"/>
                <w:szCs w:val="20"/>
              </w:rPr>
              <w:t>Cross-case judgement</w:t>
            </w:r>
          </w:p>
        </w:tc>
        <w:tc>
          <w:tcPr>
            <w:tcW w:w="2971"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6B38574" w14:textId="77777777" w:rsidR="004B4463" w:rsidRPr="00D471EF" w:rsidRDefault="00F763E6">
            <w:pPr>
              <w:spacing w:after="0"/>
              <w:rPr>
                <w:color w:val="auto"/>
                <w:sz w:val="20"/>
                <w:szCs w:val="20"/>
              </w:rPr>
            </w:pPr>
            <w:r w:rsidRPr="00D471EF">
              <w:rPr>
                <w:color w:val="auto"/>
                <w:sz w:val="20"/>
                <w:szCs w:val="20"/>
              </w:rPr>
              <w:t>Supported, conditional or not demonstrated mechanism.</w:t>
            </w:r>
          </w:p>
        </w:tc>
        <w:tc>
          <w:tcPr>
            <w:tcW w:w="2750"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101396F3" w14:textId="77777777" w:rsidR="004B4463" w:rsidRPr="00D471EF" w:rsidRDefault="00F763E6">
            <w:pPr>
              <w:spacing w:after="0"/>
              <w:rPr>
                <w:color w:val="auto"/>
                <w:sz w:val="20"/>
                <w:szCs w:val="20"/>
              </w:rPr>
            </w:pPr>
            <w:r w:rsidRPr="00D471EF">
              <w:rPr>
                <w:color w:val="auto"/>
                <w:sz w:val="20"/>
                <w:szCs w:val="20"/>
              </w:rPr>
              <w:t>Triangulated case matrix and negative evidence.</w:t>
            </w:r>
          </w:p>
        </w:tc>
        <w:tc>
          <w:tcPr>
            <w:tcW w:w="2659"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5A9299A7" w14:textId="77777777" w:rsidR="004B4463" w:rsidRPr="00D471EF" w:rsidRDefault="00F763E6">
            <w:pPr>
              <w:spacing w:after="0"/>
              <w:rPr>
                <w:color w:val="auto"/>
                <w:sz w:val="20"/>
                <w:szCs w:val="20"/>
              </w:rPr>
            </w:pPr>
            <w:r w:rsidRPr="00D471EF">
              <w:rPr>
                <w:color w:val="auto"/>
                <w:sz w:val="20"/>
                <w:szCs w:val="20"/>
              </w:rPr>
              <w:t>Inference does not exceed source strength; alternative explanations remain visible.</w:t>
            </w:r>
          </w:p>
        </w:tc>
      </w:tr>
    </w:tbl>
    <w:p w14:paraId="430440C2" w14:textId="77777777" w:rsidR="00D471EF" w:rsidRPr="00D471EF" w:rsidRDefault="00D471EF" w:rsidP="00D471EF">
      <w:pPr>
        <w:jc w:val="center"/>
        <w:rPr>
          <w:i/>
          <w:iCs/>
        </w:rPr>
      </w:pPr>
      <w:r w:rsidRPr="00D471EF">
        <w:rPr>
          <w:i/>
          <w:iCs/>
        </w:rPr>
        <w:t xml:space="preserve">Source: Created by the </w:t>
      </w:r>
      <w:r>
        <w:rPr>
          <w:i/>
          <w:iCs/>
        </w:rPr>
        <w:t>A</w:t>
      </w:r>
      <w:r w:rsidRPr="00D471EF">
        <w:rPr>
          <w:i/>
          <w:iCs/>
        </w:rPr>
        <w:t>uthor</w:t>
      </w:r>
    </w:p>
    <w:p w14:paraId="347348B1" w14:textId="77777777" w:rsidR="004B4463" w:rsidRDefault="00F763E6">
      <w:r>
        <w:t> </w:t>
      </w:r>
    </w:p>
    <w:p w14:paraId="45B88FEF" w14:textId="77777777" w:rsidR="004B4463" w:rsidRDefault="00F763E6">
      <w:pPr>
        <w:pStyle w:val="Heading2"/>
      </w:pPr>
      <w:bookmarkStart w:id="72" w:name="_Toc240378624"/>
      <w:bookmarkStart w:id="73" w:name="_Toc240858678"/>
      <w:r>
        <w:lastRenderedPageBreak/>
        <w:t>3.7 Analytical procedure</w:t>
      </w:r>
      <w:bookmarkEnd w:id="72"/>
      <w:bookmarkEnd w:id="73"/>
    </w:p>
    <w:p w14:paraId="5476914D" w14:textId="77777777" w:rsidR="004B4463" w:rsidRDefault="00F763E6">
      <w:r>
        <w:t xml:space="preserve">The analysis follows five stages. First, the documentary corpus is </w:t>
      </w:r>
      <w:proofErr w:type="spellStart"/>
      <w:r>
        <w:t>familiarised</w:t>
      </w:r>
      <w:proofErr w:type="spellEnd"/>
      <w:r>
        <w:t xml:space="preserve"> and coded against the initial framework. Second, reflexive thematic analysis is used to develop patterns within and across-cases; consistent with Braun and Clarke (2021), themes are treated as analytical constructions rather than facts waiting to be discovered. Third, within-case chronology links strategy, implementation and observed outcomes where comparable time points are available. Fourth, cross-case pattern matching examines whether stronger governance and evidence are accompanied by more credible operational or stakeholder mechanisms. Fifth, explanation building tests rival accounts including category demand, pricing, acquisitions, disposals, exchange rates and macroeconomic shocks. Appendix A provides representative coded excerpts and rival-explanation notes from the final source set so that the analytical pathway is visible without claiming intercoder reliability.</w:t>
      </w:r>
    </w:p>
    <w:p w14:paraId="63B109C4" w14:textId="51F96946" w:rsidR="004B4463" w:rsidRDefault="00F763E6">
      <w:r>
        <w:t xml:space="preserve">Direction and scale are reported descriptively rather than used to approximate a causal coefficient. Because </w:t>
      </w:r>
      <w:proofErr w:type="spellStart"/>
      <w:r>
        <w:t>organisational</w:t>
      </w:r>
      <w:proofErr w:type="spellEnd"/>
      <w:r>
        <w:t xml:space="preserve"> boundaries, currencies, baselines and metric definitions differ, no synthetic cross-company ESG score is calculated and the companies are not ranked. Instead, the analysis identifies where evidence is supported, conditional or contradicted. Negative cases</w:t>
      </w:r>
      <w:r w:rsidR="00D471EF">
        <w:t xml:space="preserve">, </w:t>
      </w:r>
      <w:r>
        <w:t>such as positive ESG indicators alongside weak commercial outcomes</w:t>
      </w:r>
      <w:r w:rsidR="00D471EF">
        <w:t xml:space="preserve"> </w:t>
      </w:r>
      <w:r>
        <w:t>are analytically useful because they challenge assumptions of direct effects.</w:t>
      </w:r>
    </w:p>
    <w:p w14:paraId="19D09965" w14:textId="77777777" w:rsidR="004B4463" w:rsidRDefault="00F763E6">
      <w:r>
        <w:t>Cross-case propositions are calibrated using three levels. 'Supported' is reserved for a mechanism observed in more than one case with evidence consistent with theory and no stronger rival explanation for the specific observed relationship. 'Conditional' is used where evidence of a mechanism is present but depends materially on category, boundary, time, external actors or unresolved rival explanations. 'Not demonstrated' means that the available documents do not establish the proposed link; it does not mean the link cannot exist. Where a mechanism is plausible but credible alternatives remain, Table 4 uses conditional or configurational language rather than claiming a demonstrated effect. The evidence set is a documentary corpus, not a consultation panel.</w:t>
      </w:r>
    </w:p>
    <w:p w14:paraId="72996E76" w14:textId="77777777" w:rsidR="004B4463" w:rsidRDefault="00F763E6">
      <w:r>
        <w:lastRenderedPageBreak/>
        <w:t>Intercoder reliability is not calculated because the study was conducted by a single researcher and uses reflexive thematic analysis rather than fixed content counting. Consistent with Braun and Clarke (2021), quality is instead supported by explicit code definitions, source traceability and repeated challenge of emerging themes. A second researcher should therefore be able to follow the evidence trail and understand how interpretations were developed, while potentially reaching a different but defensible thematic emphasis.</w:t>
      </w:r>
    </w:p>
    <w:p w14:paraId="032F9C9B" w14:textId="77777777" w:rsidR="004B4463" w:rsidRDefault="00F763E6">
      <w:pPr>
        <w:pStyle w:val="Heading2"/>
      </w:pPr>
      <w:bookmarkStart w:id="74" w:name="_Toc240378625"/>
      <w:bookmarkStart w:id="75" w:name="_Toc240858679"/>
      <w:r>
        <w:t>3.8 Research quality and reflexivity</w:t>
      </w:r>
      <w:bookmarkEnd w:id="74"/>
      <w:bookmarkEnd w:id="75"/>
    </w:p>
    <w:p w14:paraId="5497A3F9" w14:textId="77777777" w:rsidR="004B4463" w:rsidRDefault="00F763E6">
      <w:r>
        <w:t xml:space="preserve">Credibility is strengthened through source triangulation, claim-specific assessment of evidence quality and explicit attention to disconfirming material. Dependability is supported by the structured extraction fields and by the reconstructed claim-to-source matrix provided in Appendix A. Confirmability is addressed by separating reported facts, external assessments and researcher inference, while representative coding examples make interpretive decisions visible. These measures improve the auditability of the final submission, although they do not recreate undocumented working records. Transferability is pursued through detailed description of categories, markets and case boundaries rather than statistical </w:t>
      </w:r>
      <w:proofErr w:type="spellStart"/>
      <w:r>
        <w:t>generalisation</w:t>
      </w:r>
      <w:proofErr w:type="spellEnd"/>
      <w:r>
        <w:t>.</w:t>
      </w:r>
    </w:p>
    <w:p w14:paraId="587A741B" w14:textId="77777777" w:rsidR="004B4463" w:rsidRDefault="00F763E6">
      <w:r>
        <w:t xml:space="preserve">Reflexivity remains important because coding and causal interpretation are produced by the researcher. ESG is normatively contested, and both positive-business-case and greenwashing narratives can bias interpretation. The analysis therefore applies the same questions to </w:t>
      </w:r>
      <w:proofErr w:type="spellStart"/>
      <w:r>
        <w:t>favourable</w:t>
      </w:r>
      <w:proofErr w:type="spellEnd"/>
      <w:r>
        <w:t xml:space="preserve"> and </w:t>
      </w:r>
      <w:proofErr w:type="spellStart"/>
      <w:r>
        <w:t>unfavourable</w:t>
      </w:r>
      <w:proofErr w:type="spellEnd"/>
      <w:r>
        <w:t xml:space="preserve"> evidence: what is observed, relative to what baseline or comparator, at what scale, with what degree of reliability, and what alternative explanation remains? Company self-reporting is neither dismissed nor accepted uncritically; its evidential value depends on specificity, consistency and corroboration.</w:t>
      </w:r>
    </w:p>
    <w:p w14:paraId="6CC508D2" w14:textId="77777777" w:rsidR="004B4463" w:rsidRDefault="00F763E6">
      <w:pPr>
        <w:pStyle w:val="Heading2"/>
      </w:pPr>
      <w:bookmarkStart w:id="76" w:name="_Toc240378626"/>
      <w:bookmarkStart w:id="77" w:name="_Toc240858680"/>
      <w:r>
        <w:t>3.9 Ethical considerations</w:t>
      </w:r>
      <w:bookmarkEnd w:id="76"/>
      <w:bookmarkEnd w:id="77"/>
    </w:p>
    <w:p w14:paraId="5DF05866" w14:textId="77777777" w:rsidR="004B4463" w:rsidRDefault="00F763E6">
      <w:r>
        <w:t xml:space="preserve">The study uses publicly available </w:t>
      </w:r>
      <w:proofErr w:type="spellStart"/>
      <w:r>
        <w:t>organisational</w:t>
      </w:r>
      <w:proofErr w:type="spellEnd"/>
      <w:r>
        <w:t xml:space="preserve">, regulatory and academic sources and does not involve human participants or the collection of personal data. Its principal ethical responsibilities are accurate representation, copyright-compliant paraphrase, transparent citation, faithful treatment of uncertainty and avoidance of fabricated or altered evidence. Regulatory investigations are not treated as breach determinations, litigation disclosed by </w:t>
      </w:r>
      <w:r>
        <w:lastRenderedPageBreak/>
        <w:t xml:space="preserve">a company is treated as legal exposure rather than proof of liability, and assurance claims are limited to the scope stated by the relevant practitioner. Any institutional ethics approval or exemption reference is reported only </w:t>
      </w:r>
      <w:proofErr w:type="gramStart"/>
      <w:r>
        <w:t>where</w:t>
      </w:r>
      <w:proofErr w:type="gramEnd"/>
      <w:r>
        <w:t xml:space="preserve"> supported by the corresponding university record; no such reference is fabricated here.</w:t>
      </w:r>
    </w:p>
    <w:p w14:paraId="687C217C" w14:textId="77777777" w:rsidR="004B4463" w:rsidRDefault="00F763E6">
      <w:r>
        <w:t>Research records should be stored securely, and any amendments to extracted data or coding decisions should be documented. The final submission must also comply with current UWTSD academic-integrity requirements.</w:t>
      </w:r>
    </w:p>
    <w:p w14:paraId="7D1D897B" w14:textId="77777777" w:rsidR="004B4463" w:rsidRDefault="00F763E6">
      <w:pPr>
        <w:pStyle w:val="Heading2"/>
      </w:pPr>
      <w:bookmarkStart w:id="78" w:name="_Toc240378627"/>
      <w:bookmarkStart w:id="79" w:name="_Toc240858681"/>
      <w:r>
        <w:t>3.10 Methodological limitations</w:t>
      </w:r>
      <w:bookmarkEnd w:id="78"/>
      <w:bookmarkEnd w:id="79"/>
    </w:p>
    <w:p w14:paraId="7130220D" w14:textId="77777777" w:rsidR="004B4463" w:rsidRDefault="00F763E6">
      <w:r>
        <w:t xml:space="preserve">Public reports may be selective and can contain impression-management incentives. Limited assurance usually covers specified metrics rather than an entire narrative. Comparable reputation measures are not consistently available across the four companies, and commercial results have multiple confounders. The cases are large listed </w:t>
      </w:r>
      <w:proofErr w:type="spellStart"/>
      <w:r>
        <w:t>organisations</w:t>
      </w:r>
      <w:proofErr w:type="spellEnd"/>
      <w:r>
        <w:t>, which limits transferability to smaller firms, privately held companies, different ownership structures and other industries. The 2020–2025 period is also short relative to some climate and supply-chain investments, while comparable time-series evidence is uneven across metrics. Finally, documentary analysis cannot directly observe how stakeholders interpret corporate actions, so reputational mechanisms are less directly evidenced than operational outcomes.</w:t>
      </w:r>
    </w:p>
    <w:p w14:paraId="5E973BFD" w14:textId="77777777" w:rsidR="004B4463" w:rsidRDefault="00F763E6">
      <w:pPr>
        <w:rPr>
          <w:rFonts w:ascii="Times New Roman" w:hAnsi="Times New Roman"/>
        </w:rPr>
      </w:pPr>
      <w:r>
        <w:t>These limitations are managed, rather than eliminated, through triangulation, boundary checking and cautious causal language. The value of the design lies in mechanism-based explanation and strategic comparison rather than population estimation.</w:t>
      </w:r>
    </w:p>
    <w:p w14:paraId="6AE54F12" w14:textId="77777777" w:rsidR="004D7A10" w:rsidRPr="00C176D7" w:rsidRDefault="004D7A10" w:rsidP="004D7A10">
      <w:pPr>
        <w:pStyle w:val="Heading1"/>
        <w:pageBreakBefore/>
        <w:spacing w:before="0"/>
        <w:rPr>
          <w:rFonts w:cs="Arial"/>
        </w:rPr>
      </w:pPr>
      <w:bookmarkStart w:id="80" w:name="_Toc240378628"/>
      <w:bookmarkStart w:id="81" w:name="_Toc240858682"/>
      <w:r w:rsidRPr="00C176D7">
        <w:rPr>
          <w:rFonts w:cs="Arial"/>
        </w:rPr>
        <w:lastRenderedPageBreak/>
        <w:t>Chapter 4: Data Analysis and Findings</w:t>
      </w:r>
      <w:bookmarkEnd w:id="80"/>
      <w:bookmarkEnd w:id="81"/>
    </w:p>
    <w:p w14:paraId="7A175089" w14:textId="77777777" w:rsidR="004D7A10" w:rsidRPr="00C176D7" w:rsidRDefault="004D7A10" w:rsidP="004D7A10">
      <w:pPr>
        <w:pStyle w:val="Heading2"/>
        <w:rPr>
          <w:rFonts w:cs="Arial"/>
        </w:rPr>
      </w:pPr>
      <w:bookmarkStart w:id="82" w:name="_Toc240378629"/>
      <w:bookmarkStart w:id="83" w:name="_Toc240858683"/>
      <w:r w:rsidRPr="00C176D7">
        <w:rPr>
          <w:rFonts w:cs="Arial"/>
        </w:rPr>
        <w:t>4.1 Introduction</w:t>
      </w:r>
      <w:bookmarkEnd w:id="82"/>
      <w:bookmarkEnd w:id="83"/>
    </w:p>
    <w:p w14:paraId="6B79804B" w14:textId="77777777" w:rsidR="004D7A10" w:rsidRPr="00C176D7" w:rsidRDefault="004D7A10" w:rsidP="004D7A10">
      <w:pPr>
        <w:rPr>
          <w:rFonts w:cs="Arial"/>
        </w:rPr>
      </w:pPr>
      <w:r>
        <w:t xml:space="preserve">This chapter presents the documentary findings. It begins with the cross-case strategic configuration, then examines each company using a common sequence: strategy and governance, implementation, reported outcomes, reputation-relevant evidence and competitive proxies. The final section </w:t>
      </w:r>
      <w:proofErr w:type="spellStart"/>
      <w:r>
        <w:t>synthesises</w:t>
      </w:r>
      <w:proofErr w:type="spellEnd"/>
      <w:r>
        <w:t xml:space="preserve"> cross-case patterns and counter-patterns. Measures are identified as company-reported unless they originate from an independent source.</w:t>
      </w:r>
    </w:p>
    <w:p w14:paraId="2F3BA612" w14:textId="77777777" w:rsidR="004D7A10" w:rsidRPr="00C176D7" w:rsidRDefault="004D7A10" w:rsidP="004D7A10">
      <w:pPr>
        <w:pStyle w:val="Heading2"/>
        <w:rPr>
          <w:rFonts w:cs="Arial"/>
        </w:rPr>
      </w:pPr>
      <w:bookmarkStart w:id="84" w:name="_Toc240378630"/>
      <w:bookmarkStart w:id="85" w:name="_Toc240858684"/>
      <w:r w:rsidRPr="00C176D7">
        <w:rPr>
          <w:rFonts w:cs="Arial"/>
        </w:rPr>
        <w:t>4.2 Cross-case strategic configuration</w:t>
      </w:r>
      <w:bookmarkEnd w:id="84"/>
      <w:bookmarkEnd w:id="85"/>
    </w:p>
    <w:p w14:paraId="1E5EDEE0" w14:textId="77777777" w:rsidR="004D7A10" w:rsidRPr="00C176D7" w:rsidRDefault="004D7A10" w:rsidP="004D7A10">
      <w:pPr>
        <w:rPr>
          <w:rFonts w:cs="Arial"/>
        </w:rPr>
      </w:pPr>
      <w:r>
        <w:t xml:space="preserve">All four companies present sustainability as commercially significant, but they </w:t>
      </w:r>
      <w:proofErr w:type="spellStart"/>
      <w:r>
        <w:t>organise</w:t>
      </w:r>
      <w:proofErr w:type="spellEnd"/>
      <w:r>
        <w:t xml:space="preserve"> it differently. Unilever concentrates on four priorities: climate, nature, plastics and livelihoods. Reckitt links its purpose of 'cleaner, healthier lives' to more sustainable products, a healthier planet and a fairer society. Diageo's Spirit of Progress connects responsible drinking, inclusion and grain-to-glass sustainability to its beverage-alcohol business. ABF uses a devolved model in which individual businesses set plans within a group governance framework. These differences are not merely terminological; they create distinct strengths and control challenges.</w:t>
      </w:r>
    </w:p>
    <w:p w14:paraId="38990527" w14:textId="77777777" w:rsidR="004D7A10" w:rsidRPr="00C176D7" w:rsidRDefault="004D7A10" w:rsidP="004D7A10">
      <w:pPr>
        <w:rPr>
          <w:rFonts w:cs="Arial"/>
        </w:rPr>
      </w:pPr>
      <w:r>
        <w:t xml:space="preserve">Unilever and Reckitt have relatively </w:t>
      </w:r>
      <w:proofErr w:type="spellStart"/>
      <w:r>
        <w:t>centralised</w:t>
      </w:r>
      <w:proofErr w:type="spellEnd"/>
      <w:r>
        <w:t xml:space="preserve"> target architectures with explicit links to executive remuneration. Diageo aligns group targets with operational </w:t>
      </w:r>
      <w:proofErr w:type="spellStart"/>
      <w:r>
        <w:t>programmes</w:t>
      </w:r>
      <w:proofErr w:type="spellEnd"/>
      <w:r>
        <w:t xml:space="preserve"> in areas such as water, carbon and positive drinking. ABF's </w:t>
      </w:r>
      <w:proofErr w:type="spellStart"/>
      <w:r>
        <w:t>decentralised</w:t>
      </w:r>
      <w:proofErr w:type="spellEnd"/>
      <w:r>
        <w:t xml:space="preserve"> model makes group-level comparison and control more difficult, but it can improve category relevance because businesses such as ABF Sugar and </w:t>
      </w:r>
      <w:proofErr w:type="spellStart"/>
      <w:r>
        <w:t>Twinings</w:t>
      </w:r>
      <w:proofErr w:type="spellEnd"/>
      <w:r>
        <w:t xml:space="preserve"> Ovaltine face different material issues. All four cases use external limited assurance, although the scope varies. This commonality indicates that evidence credibility is a shared governance concern; it does not imply that the disclosures are equivalent.</w:t>
      </w:r>
    </w:p>
    <w:p w14:paraId="61677179" w14:textId="77777777" w:rsidR="004D7A10" w:rsidRPr="00C176D7" w:rsidRDefault="004D7A10" w:rsidP="00D471EF">
      <w:pPr>
        <w:pStyle w:val="Heading4"/>
      </w:pPr>
      <w:bookmarkStart w:id="86" w:name="table_3"/>
      <w:bookmarkStart w:id="87" w:name="_Toc240857236"/>
      <w:r w:rsidRPr="00C176D7">
        <w:lastRenderedPageBreak/>
        <w:t>Table 3. Cross-company ESG strategy and implementation evidence</w:t>
      </w:r>
      <w:bookmarkEnd w:id="86"/>
      <w:bookmarkEnd w:id="87"/>
    </w:p>
    <w:tbl>
      <w:tblPr>
        <w:tblW w:w="10415" w:type="dxa"/>
        <w:jc w:val="center"/>
        <w:tblLayout w:type="fixed"/>
        <w:tblCellMar>
          <w:top w:w="105" w:type="dxa"/>
          <w:left w:w="90" w:type="dxa"/>
          <w:bottom w:w="105" w:type="dxa"/>
          <w:right w:w="90" w:type="dxa"/>
        </w:tblCellMar>
        <w:tblLook w:val="04A0" w:firstRow="1" w:lastRow="0" w:firstColumn="1" w:lastColumn="0" w:noHBand="0" w:noVBand="1"/>
      </w:tblPr>
      <w:tblGrid>
        <w:gridCol w:w="1363"/>
        <w:gridCol w:w="3204"/>
        <w:gridCol w:w="3322"/>
        <w:gridCol w:w="2526"/>
      </w:tblGrid>
      <w:tr w:rsidR="00D471EF" w:rsidRPr="00D471EF" w14:paraId="6E488DBF" w14:textId="77777777" w:rsidTr="00D471EF">
        <w:trPr>
          <w:cantSplit/>
          <w:trHeight w:val="816"/>
          <w:tblHeader/>
          <w:jc w:val="center"/>
        </w:trPr>
        <w:tc>
          <w:tcPr>
            <w:tcW w:w="1363" w:type="dxa"/>
            <w:tcBorders>
              <w:top w:val="single" w:sz="4" w:space="0" w:color="BCC7D1"/>
              <w:left w:val="single" w:sz="4" w:space="0" w:color="BCC7D1"/>
              <w:bottom w:val="single" w:sz="4" w:space="0" w:color="BCC7D1"/>
              <w:right w:val="single" w:sz="4" w:space="0" w:color="BCC7D1"/>
            </w:tcBorders>
            <w:shd w:val="clear" w:color="auto" w:fill="17365D"/>
          </w:tcPr>
          <w:p w14:paraId="587913A9" w14:textId="77777777" w:rsidR="004D7A10" w:rsidRPr="00D471EF" w:rsidRDefault="004D7A10" w:rsidP="0026770E">
            <w:pPr>
              <w:spacing w:after="0"/>
              <w:rPr>
                <w:rFonts w:cs="Arial"/>
                <w:color w:val="auto"/>
                <w:sz w:val="20"/>
                <w:szCs w:val="20"/>
              </w:rPr>
            </w:pPr>
            <w:r w:rsidRPr="00D471EF">
              <w:rPr>
                <w:rFonts w:cs="Arial"/>
                <w:b/>
                <w:color w:val="auto"/>
                <w:sz w:val="20"/>
                <w:szCs w:val="20"/>
              </w:rPr>
              <w:t>Company</w:t>
            </w:r>
          </w:p>
        </w:tc>
        <w:tc>
          <w:tcPr>
            <w:tcW w:w="3204" w:type="dxa"/>
            <w:tcBorders>
              <w:top w:val="single" w:sz="4" w:space="0" w:color="BCC7D1"/>
              <w:left w:val="single" w:sz="4" w:space="0" w:color="BCC7D1"/>
              <w:bottom w:val="single" w:sz="4" w:space="0" w:color="BCC7D1"/>
              <w:right w:val="single" w:sz="4" w:space="0" w:color="BCC7D1"/>
            </w:tcBorders>
            <w:shd w:val="clear" w:color="auto" w:fill="17365D"/>
          </w:tcPr>
          <w:p w14:paraId="37F41908" w14:textId="77777777" w:rsidR="004D7A10" w:rsidRPr="00D471EF" w:rsidRDefault="004D7A10" w:rsidP="0026770E">
            <w:pPr>
              <w:spacing w:after="0"/>
              <w:rPr>
                <w:rFonts w:cs="Arial"/>
                <w:color w:val="auto"/>
                <w:sz w:val="20"/>
                <w:szCs w:val="20"/>
              </w:rPr>
            </w:pPr>
            <w:r w:rsidRPr="00D471EF">
              <w:rPr>
                <w:rFonts w:cs="Arial"/>
                <w:b/>
                <w:color w:val="auto"/>
                <w:sz w:val="20"/>
                <w:szCs w:val="20"/>
              </w:rPr>
              <w:t>Strategic focus and governance</w:t>
            </w:r>
          </w:p>
        </w:tc>
        <w:tc>
          <w:tcPr>
            <w:tcW w:w="3322" w:type="dxa"/>
            <w:tcBorders>
              <w:top w:val="single" w:sz="4" w:space="0" w:color="BCC7D1"/>
              <w:left w:val="single" w:sz="4" w:space="0" w:color="BCC7D1"/>
              <w:bottom w:val="single" w:sz="4" w:space="0" w:color="BCC7D1"/>
              <w:right w:val="single" w:sz="4" w:space="0" w:color="BCC7D1"/>
            </w:tcBorders>
            <w:shd w:val="clear" w:color="auto" w:fill="17365D"/>
          </w:tcPr>
          <w:p w14:paraId="2A710B32" w14:textId="77777777" w:rsidR="004D7A10" w:rsidRPr="00D471EF" w:rsidRDefault="004D7A10" w:rsidP="0026770E">
            <w:pPr>
              <w:spacing w:after="0"/>
              <w:rPr>
                <w:rFonts w:cs="Arial"/>
                <w:color w:val="auto"/>
                <w:sz w:val="20"/>
                <w:szCs w:val="20"/>
              </w:rPr>
            </w:pPr>
            <w:r w:rsidRPr="00D471EF">
              <w:rPr>
                <w:rFonts w:cs="Arial"/>
                <w:b/>
                <w:color w:val="auto"/>
                <w:sz w:val="20"/>
                <w:szCs w:val="20"/>
              </w:rPr>
              <w:t>Selected 2025 implementation evidence</w:t>
            </w:r>
          </w:p>
        </w:tc>
        <w:tc>
          <w:tcPr>
            <w:tcW w:w="2526" w:type="dxa"/>
            <w:tcBorders>
              <w:top w:val="single" w:sz="4" w:space="0" w:color="BCC7D1"/>
              <w:left w:val="single" w:sz="4" w:space="0" w:color="BCC7D1"/>
              <w:bottom w:val="single" w:sz="4" w:space="0" w:color="BCC7D1"/>
              <w:right w:val="single" w:sz="4" w:space="0" w:color="BCC7D1"/>
            </w:tcBorders>
            <w:shd w:val="clear" w:color="auto" w:fill="17365D"/>
          </w:tcPr>
          <w:p w14:paraId="4DC734FC" w14:textId="77777777" w:rsidR="004D7A10" w:rsidRPr="00D471EF" w:rsidRDefault="004D7A10" w:rsidP="0026770E">
            <w:pPr>
              <w:spacing w:after="0"/>
              <w:rPr>
                <w:rFonts w:cs="Arial"/>
                <w:color w:val="auto"/>
                <w:sz w:val="20"/>
                <w:szCs w:val="20"/>
              </w:rPr>
            </w:pPr>
            <w:r w:rsidRPr="00D471EF">
              <w:rPr>
                <w:rFonts w:cs="Arial"/>
                <w:b/>
                <w:color w:val="auto"/>
                <w:sz w:val="20"/>
                <w:szCs w:val="20"/>
              </w:rPr>
              <w:t>Material caveat</w:t>
            </w:r>
          </w:p>
        </w:tc>
      </w:tr>
      <w:tr w:rsidR="00D471EF" w:rsidRPr="00D471EF" w14:paraId="65492B2F" w14:textId="77777777" w:rsidTr="00D471EF">
        <w:trPr>
          <w:cantSplit/>
          <w:trHeight w:val="2942"/>
          <w:jc w:val="center"/>
        </w:trPr>
        <w:tc>
          <w:tcPr>
            <w:tcW w:w="1363"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072CF4C" w14:textId="77777777" w:rsidR="004D7A10" w:rsidRPr="00D471EF" w:rsidRDefault="004D7A10" w:rsidP="0026770E">
            <w:pPr>
              <w:spacing w:after="0"/>
              <w:rPr>
                <w:rFonts w:cs="Arial"/>
                <w:color w:val="auto"/>
                <w:sz w:val="20"/>
                <w:szCs w:val="20"/>
              </w:rPr>
            </w:pPr>
            <w:r w:rsidRPr="00D471EF">
              <w:rPr>
                <w:rFonts w:cs="Arial"/>
                <w:color w:val="auto"/>
                <w:sz w:val="20"/>
                <w:szCs w:val="20"/>
              </w:rPr>
              <w:t>Unilever</w:t>
            </w:r>
          </w:p>
        </w:tc>
        <w:tc>
          <w:tcPr>
            <w:tcW w:w="320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F877AA3" w14:textId="77777777" w:rsidR="004D7A10" w:rsidRPr="00D471EF" w:rsidRDefault="004D7A10" w:rsidP="0026770E">
            <w:pPr>
              <w:spacing w:after="0"/>
              <w:rPr>
                <w:rFonts w:cs="Arial"/>
                <w:color w:val="auto"/>
                <w:sz w:val="20"/>
                <w:szCs w:val="20"/>
              </w:rPr>
            </w:pPr>
            <w:r w:rsidRPr="00D471EF">
              <w:rPr>
                <w:rFonts w:cs="Arial"/>
                <w:color w:val="auto"/>
                <w:sz w:val="20"/>
                <w:szCs w:val="20"/>
              </w:rPr>
              <w:t>Climate, nature, plastics and livelihoods; Board committee, double materiality and 15% sustainability weighting in the 2026–2028 performance-share plan.</w:t>
            </w:r>
          </w:p>
        </w:tc>
        <w:tc>
          <w:tcPr>
            <w:tcW w:w="3322"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B78ABF0" w14:textId="77777777" w:rsidR="004D7A10" w:rsidRPr="00D471EF" w:rsidRDefault="004D7A10" w:rsidP="0026770E">
            <w:pPr>
              <w:spacing w:after="0"/>
              <w:rPr>
                <w:rFonts w:cs="Arial"/>
                <w:color w:val="auto"/>
                <w:sz w:val="20"/>
                <w:szCs w:val="20"/>
              </w:rPr>
            </w:pPr>
            <w:r w:rsidRPr="00D471EF">
              <w:rPr>
                <w:rFonts w:cs="Arial"/>
                <w:color w:val="auto"/>
                <w:sz w:val="20"/>
                <w:szCs w:val="20"/>
              </w:rPr>
              <w:t xml:space="preserve">77% Scope 1 and 2 </w:t>
            </w:r>
            <w:proofErr w:type="gramStart"/>
            <w:r w:rsidRPr="00D471EF">
              <w:rPr>
                <w:rFonts w:cs="Arial"/>
                <w:color w:val="auto"/>
                <w:sz w:val="20"/>
                <w:szCs w:val="20"/>
              </w:rPr>
              <w:t>reduction</w:t>
            </w:r>
            <w:proofErr w:type="gramEnd"/>
            <w:r w:rsidRPr="00D471EF">
              <w:rPr>
                <w:rFonts w:cs="Arial"/>
                <w:color w:val="auto"/>
                <w:sz w:val="20"/>
                <w:szCs w:val="20"/>
              </w:rPr>
              <w:t xml:space="preserve"> from 2015 toward a 100% 2030 target; 29% virgin-plastic reduction from 2019; 97% no-deforestation volumes.</w:t>
            </w:r>
          </w:p>
        </w:tc>
        <w:tc>
          <w:tcPr>
            <w:tcW w:w="2526" w:type="dxa"/>
            <w:tcBorders>
              <w:top w:val="single" w:sz="4" w:space="0" w:color="BCC7D1"/>
              <w:left w:val="single" w:sz="4" w:space="0" w:color="BCC7D1"/>
              <w:bottom w:val="single" w:sz="4" w:space="0" w:color="BCC7D1"/>
              <w:right w:val="single" w:sz="4" w:space="0" w:color="BCC7D1"/>
            </w:tcBorders>
            <w:tcMar>
              <w:top w:w="80" w:type="dxa"/>
              <w:bottom w:w="80" w:type="dxa"/>
            </w:tcMar>
          </w:tcPr>
          <w:p w14:paraId="2F68DF3E" w14:textId="77777777" w:rsidR="004D7A10" w:rsidRPr="00D471EF" w:rsidRDefault="004D7A10" w:rsidP="0026770E">
            <w:pPr>
              <w:spacing w:after="0"/>
              <w:rPr>
                <w:rFonts w:cs="Arial"/>
                <w:color w:val="auto"/>
                <w:sz w:val="20"/>
                <w:szCs w:val="20"/>
              </w:rPr>
            </w:pPr>
            <w:r w:rsidRPr="00D471EF">
              <w:rPr>
                <w:rFonts w:cs="Arial"/>
                <w:color w:val="auto"/>
                <w:sz w:val="20"/>
                <w:szCs w:val="20"/>
              </w:rPr>
              <w:t>Flexible packaging progress remained materially weaker than rigid packaging; product-level environmental claims attracted CMA scrutiny, but the closure did not determine either infringement or general compliance.</w:t>
            </w:r>
          </w:p>
        </w:tc>
      </w:tr>
      <w:tr w:rsidR="00D471EF" w:rsidRPr="00D471EF" w14:paraId="2593067C" w14:textId="77777777" w:rsidTr="00D471EF">
        <w:trPr>
          <w:cantSplit/>
          <w:trHeight w:val="3299"/>
          <w:jc w:val="center"/>
        </w:trPr>
        <w:tc>
          <w:tcPr>
            <w:tcW w:w="1363"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430A85DD" w14:textId="77777777" w:rsidR="004D7A10" w:rsidRPr="00D471EF" w:rsidRDefault="004D7A10" w:rsidP="0026770E">
            <w:pPr>
              <w:spacing w:after="0"/>
              <w:rPr>
                <w:rFonts w:cs="Arial"/>
                <w:color w:val="auto"/>
                <w:sz w:val="20"/>
                <w:szCs w:val="20"/>
              </w:rPr>
            </w:pPr>
            <w:r w:rsidRPr="00D471EF">
              <w:rPr>
                <w:rFonts w:cs="Arial"/>
                <w:color w:val="auto"/>
                <w:sz w:val="20"/>
                <w:szCs w:val="20"/>
              </w:rPr>
              <w:t>Reckitt</w:t>
            </w:r>
          </w:p>
        </w:tc>
        <w:tc>
          <w:tcPr>
            <w:tcW w:w="3204"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05BE3652" w14:textId="77777777" w:rsidR="004D7A10" w:rsidRPr="00D471EF" w:rsidRDefault="004D7A10" w:rsidP="0026770E">
            <w:pPr>
              <w:spacing w:after="0"/>
              <w:rPr>
                <w:rFonts w:cs="Arial"/>
                <w:color w:val="auto"/>
                <w:sz w:val="20"/>
                <w:szCs w:val="20"/>
              </w:rPr>
            </w:pPr>
            <w:r w:rsidRPr="00D471EF">
              <w:rPr>
                <w:rFonts w:cs="Arial"/>
                <w:color w:val="auto"/>
                <w:sz w:val="20"/>
                <w:szCs w:val="20"/>
              </w:rPr>
              <w:t>More sustainable brands, healthier planet and fairer society; product calculator and a 10% more-sustainable-products metric in the 2026 LTIP.</w:t>
            </w:r>
          </w:p>
        </w:tc>
        <w:tc>
          <w:tcPr>
            <w:tcW w:w="3322"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D36A2C1" w14:textId="77777777" w:rsidR="00981CC7" w:rsidRPr="00D471EF" w:rsidRDefault="00CC58FE">
            <w:pPr>
              <w:spacing w:after="0"/>
              <w:rPr>
                <w:color w:val="auto"/>
                <w:sz w:val="20"/>
                <w:szCs w:val="20"/>
              </w:rPr>
            </w:pPr>
            <w:r w:rsidRPr="00D471EF">
              <w:rPr>
                <w:color w:val="auto"/>
                <w:sz w:val="20"/>
                <w:szCs w:val="20"/>
              </w:rPr>
              <w:t>37.9% of net revenue classified as more sustainable products; 73% Scop</w:t>
            </w:r>
            <w:r w:rsidRPr="00D471EF">
              <w:rPr>
                <w:color w:val="auto"/>
                <w:sz w:val="20"/>
                <w:szCs w:val="20"/>
              </w:rPr>
              <w:t xml:space="preserve">e 1 and 2 emissions </w:t>
            </w:r>
            <w:proofErr w:type="gramStart"/>
            <w:r w:rsidRPr="00D471EF">
              <w:rPr>
                <w:color w:val="auto"/>
                <w:sz w:val="20"/>
                <w:szCs w:val="20"/>
              </w:rPr>
              <w:t>reduction</w:t>
            </w:r>
            <w:proofErr w:type="gramEnd"/>
            <w:r w:rsidRPr="00D471EF">
              <w:rPr>
                <w:color w:val="auto"/>
                <w:sz w:val="20"/>
                <w:szCs w:val="20"/>
              </w:rPr>
              <w:t xml:space="preserve"> from 2015; 38 million people positively impacted by social-impact </w:t>
            </w:r>
            <w:proofErr w:type="spellStart"/>
            <w:r w:rsidRPr="00D471EF">
              <w:rPr>
                <w:color w:val="auto"/>
                <w:sz w:val="20"/>
                <w:szCs w:val="20"/>
              </w:rPr>
              <w:t>programmes</w:t>
            </w:r>
            <w:proofErr w:type="spellEnd"/>
            <w:r w:rsidRPr="00D471EF">
              <w:rPr>
                <w:color w:val="auto"/>
                <w:sz w:val="20"/>
                <w:szCs w:val="20"/>
              </w:rPr>
              <w:t xml:space="preserve"> since 2020.</w:t>
            </w:r>
          </w:p>
        </w:tc>
        <w:tc>
          <w:tcPr>
            <w:tcW w:w="2526"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40EC471" w14:textId="77777777" w:rsidR="004D7A10" w:rsidRPr="00D471EF" w:rsidRDefault="004D7A10" w:rsidP="0026770E">
            <w:pPr>
              <w:spacing w:after="0"/>
              <w:rPr>
                <w:rFonts w:cs="Arial"/>
                <w:color w:val="auto"/>
                <w:sz w:val="20"/>
                <w:szCs w:val="20"/>
              </w:rPr>
            </w:pPr>
            <w:r w:rsidRPr="00D471EF">
              <w:rPr>
                <w:rFonts w:cs="Arial"/>
                <w:color w:val="auto"/>
                <w:sz w:val="20"/>
                <w:szCs w:val="20"/>
              </w:rPr>
              <w:t>Packaging performance was uneven and the 2030 revenue target was refocused on Core Reckitt; product litigation is a separate governance exposure.</w:t>
            </w:r>
          </w:p>
        </w:tc>
      </w:tr>
      <w:tr w:rsidR="00D471EF" w:rsidRPr="00D471EF" w14:paraId="1240F81C" w14:textId="77777777" w:rsidTr="00D471EF">
        <w:trPr>
          <w:cantSplit/>
          <w:trHeight w:val="2595"/>
          <w:jc w:val="center"/>
        </w:trPr>
        <w:tc>
          <w:tcPr>
            <w:tcW w:w="1363" w:type="dxa"/>
            <w:tcBorders>
              <w:top w:val="single" w:sz="4" w:space="0" w:color="BCC7D1"/>
              <w:left w:val="single" w:sz="4" w:space="0" w:color="BCC7D1"/>
              <w:bottom w:val="single" w:sz="4" w:space="0" w:color="BCC7D1"/>
              <w:right w:val="single" w:sz="4" w:space="0" w:color="BCC7D1"/>
            </w:tcBorders>
            <w:tcMar>
              <w:top w:w="80" w:type="dxa"/>
              <w:bottom w:w="80" w:type="dxa"/>
            </w:tcMar>
          </w:tcPr>
          <w:p w14:paraId="146C77F3" w14:textId="77777777" w:rsidR="004D7A10" w:rsidRPr="00D471EF" w:rsidRDefault="004D7A10" w:rsidP="0026770E">
            <w:pPr>
              <w:spacing w:after="0"/>
              <w:rPr>
                <w:rFonts w:cs="Arial"/>
                <w:color w:val="auto"/>
                <w:sz w:val="20"/>
                <w:szCs w:val="20"/>
              </w:rPr>
            </w:pPr>
            <w:r w:rsidRPr="00D471EF">
              <w:rPr>
                <w:rFonts w:cs="Arial"/>
                <w:color w:val="auto"/>
                <w:sz w:val="20"/>
                <w:szCs w:val="20"/>
              </w:rPr>
              <w:t>Diageo</w:t>
            </w:r>
          </w:p>
        </w:tc>
        <w:tc>
          <w:tcPr>
            <w:tcW w:w="320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204261E6" w14:textId="77777777" w:rsidR="004D7A10" w:rsidRPr="00D471EF" w:rsidRDefault="004D7A10" w:rsidP="0026770E">
            <w:pPr>
              <w:spacing w:after="0"/>
              <w:rPr>
                <w:rFonts w:cs="Arial"/>
                <w:color w:val="auto"/>
                <w:sz w:val="20"/>
                <w:szCs w:val="20"/>
              </w:rPr>
            </w:pPr>
            <w:r w:rsidRPr="00D471EF">
              <w:rPr>
                <w:rFonts w:cs="Arial"/>
                <w:color w:val="auto"/>
                <w:sz w:val="20"/>
                <w:szCs w:val="20"/>
              </w:rPr>
              <w:t>Positive drinking, inclusion and grain-to-glass sustainability; Board and Executive Committee oversight.</w:t>
            </w:r>
          </w:p>
        </w:tc>
        <w:tc>
          <w:tcPr>
            <w:tcW w:w="3322" w:type="dxa"/>
            <w:tcBorders>
              <w:top w:val="single" w:sz="4" w:space="0" w:color="BCC7D1"/>
              <w:left w:val="single" w:sz="4" w:space="0" w:color="BCC7D1"/>
              <w:bottom w:val="single" w:sz="4" w:space="0" w:color="BCC7D1"/>
              <w:right w:val="single" w:sz="4" w:space="0" w:color="BCC7D1"/>
            </w:tcBorders>
            <w:tcMar>
              <w:top w:w="80" w:type="dxa"/>
              <w:bottom w:w="80" w:type="dxa"/>
            </w:tcMar>
          </w:tcPr>
          <w:p w14:paraId="2DB26602" w14:textId="77777777" w:rsidR="00981CC7" w:rsidRPr="00D471EF" w:rsidRDefault="00CC58FE">
            <w:pPr>
              <w:spacing w:after="0"/>
              <w:rPr>
                <w:color w:val="auto"/>
                <w:sz w:val="20"/>
                <w:szCs w:val="20"/>
              </w:rPr>
            </w:pPr>
            <w:r w:rsidRPr="00D471EF">
              <w:rPr>
                <w:color w:val="auto"/>
                <w:sz w:val="20"/>
                <w:szCs w:val="20"/>
              </w:rPr>
              <w:t xml:space="preserve">2.0 million people educated on underage-drinking risks in fiscal 2025 (8.2 million cumulative progress); 18.8% Scope 1 and 2 </w:t>
            </w:r>
            <w:proofErr w:type="gramStart"/>
            <w:r w:rsidRPr="00D471EF">
              <w:rPr>
                <w:color w:val="auto"/>
                <w:sz w:val="20"/>
                <w:szCs w:val="20"/>
              </w:rPr>
              <w:t>reduction</w:t>
            </w:r>
            <w:proofErr w:type="gramEnd"/>
            <w:r w:rsidRPr="00D471EF">
              <w:rPr>
                <w:color w:val="auto"/>
                <w:sz w:val="20"/>
                <w:szCs w:val="20"/>
              </w:rPr>
              <w:t xml:space="preserve"> from fiscal 2022; over 3 million m³ of additional water-replenishment capacity delivered.</w:t>
            </w:r>
          </w:p>
        </w:tc>
        <w:tc>
          <w:tcPr>
            <w:tcW w:w="2526" w:type="dxa"/>
            <w:tcBorders>
              <w:top w:val="single" w:sz="4" w:space="0" w:color="BCC7D1"/>
              <w:left w:val="single" w:sz="4" w:space="0" w:color="BCC7D1"/>
              <w:bottom w:val="single" w:sz="4" w:space="0" w:color="BCC7D1"/>
              <w:right w:val="single" w:sz="4" w:space="0" w:color="BCC7D1"/>
            </w:tcBorders>
            <w:tcMar>
              <w:top w:w="80" w:type="dxa"/>
              <w:bottom w:w="80" w:type="dxa"/>
            </w:tcMar>
          </w:tcPr>
          <w:p w14:paraId="30003012" w14:textId="77777777" w:rsidR="004D7A10" w:rsidRPr="00D471EF" w:rsidRDefault="004D7A10" w:rsidP="0026770E">
            <w:pPr>
              <w:spacing w:after="0"/>
              <w:rPr>
                <w:rFonts w:cs="Arial"/>
                <w:color w:val="auto"/>
                <w:sz w:val="20"/>
                <w:szCs w:val="20"/>
              </w:rPr>
            </w:pPr>
            <w:r w:rsidRPr="00D471EF">
              <w:rPr>
                <w:rFonts w:cs="Arial"/>
                <w:color w:val="auto"/>
                <w:sz w:val="20"/>
                <w:szCs w:val="20"/>
              </w:rPr>
              <w:t>Scope 3 rose 1.5% year on year; packaging ambitions were revised; group commercial performance was mixed.</w:t>
            </w:r>
          </w:p>
        </w:tc>
      </w:tr>
      <w:tr w:rsidR="00D471EF" w:rsidRPr="00D471EF" w14:paraId="0905F124" w14:textId="77777777" w:rsidTr="00D471EF">
        <w:trPr>
          <w:cantSplit/>
          <w:trHeight w:val="2595"/>
          <w:jc w:val="center"/>
        </w:trPr>
        <w:tc>
          <w:tcPr>
            <w:tcW w:w="1363"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17B0E48" w14:textId="77777777" w:rsidR="004D7A10" w:rsidRPr="00D471EF" w:rsidRDefault="004D7A10" w:rsidP="0026770E">
            <w:pPr>
              <w:spacing w:after="0"/>
              <w:rPr>
                <w:rFonts w:cs="Arial"/>
                <w:color w:val="auto"/>
                <w:sz w:val="20"/>
                <w:szCs w:val="20"/>
              </w:rPr>
            </w:pPr>
            <w:r w:rsidRPr="00D471EF">
              <w:rPr>
                <w:rFonts w:cs="Arial"/>
                <w:color w:val="auto"/>
                <w:sz w:val="20"/>
                <w:szCs w:val="20"/>
              </w:rPr>
              <w:lastRenderedPageBreak/>
              <w:t>ABF</w:t>
            </w:r>
          </w:p>
        </w:tc>
        <w:tc>
          <w:tcPr>
            <w:tcW w:w="3204"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48DFBE44" w14:textId="77777777" w:rsidR="004D7A10" w:rsidRPr="00D471EF" w:rsidRDefault="004D7A10" w:rsidP="0026770E">
            <w:pPr>
              <w:spacing w:after="0"/>
              <w:rPr>
                <w:rFonts w:cs="Arial"/>
                <w:color w:val="auto"/>
                <w:sz w:val="20"/>
                <w:szCs w:val="20"/>
              </w:rPr>
            </w:pPr>
            <w:r w:rsidRPr="00D471EF">
              <w:rPr>
                <w:rFonts w:cs="Arial"/>
                <w:color w:val="auto"/>
                <w:sz w:val="20"/>
                <w:szCs w:val="20"/>
              </w:rPr>
              <w:t>Devolved business plans within Board oversight; quarterly ESG Update Meetings and limited assurance over 26 KPIs.</w:t>
            </w:r>
          </w:p>
        </w:tc>
        <w:tc>
          <w:tcPr>
            <w:tcW w:w="3322"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4A9315F0" w14:textId="77777777" w:rsidR="00981CC7" w:rsidRPr="00D471EF" w:rsidRDefault="00CC58FE">
            <w:pPr>
              <w:spacing w:after="0"/>
              <w:rPr>
                <w:color w:val="auto"/>
                <w:sz w:val="20"/>
                <w:szCs w:val="20"/>
              </w:rPr>
            </w:pPr>
            <w:r w:rsidRPr="00D471EF">
              <w:rPr>
                <w:color w:val="auto"/>
                <w:sz w:val="20"/>
                <w:szCs w:val="20"/>
              </w:rPr>
              <w:t xml:space="preserve">Group Scope 1 and 2 emissions fell to 2,410 kt </w:t>
            </w:r>
            <w:proofErr w:type="spellStart"/>
            <w:r w:rsidRPr="00D471EF">
              <w:rPr>
                <w:color w:val="auto"/>
                <w:sz w:val="20"/>
                <w:szCs w:val="20"/>
              </w:rPr>
              <w:t>CO₂e</w:t>
            </w:r>
            <w:proofErr w:type="spellEnd"/>
            <w:r w:rsidRPr="00D471EF">
              <w:rPr>
                <w:color w:val="auto"/>
                <w:sz w:val="20"/>
                <w:szCs w:val="20"/>
              </w:rPr>
              <w:t xml:space="preserve">; Primark retail emissions were reported at 6,040 kt </w:t>
            </w:r>
            <w:proofErr w:type="spellStart"/>
            <w:r w:rsidRPr="00D471EF">
              <w:rPr>
                <w:color w:val="auto"/>
                <w:sz w:val="20"/>
                <w:szCs w:val="20"/>
              </w:rPr>
              <w:t>CO₂e</w:t>
            </w:r>
            <w:proofErr w:type="spellEnd"/>
            <w:r w:rsidRPr="00D471EF">
              <w:rPr>
                <w:color w:val="auto"/>
                <w:sz w:val="20"/>
                <w:szCs w:val="20"/>
              </w:rPr>
              <w:t xml:space="preserve"> across Scope 1, 2 and 3; 74% of Primark clothing units used recycled o</w:t>
            </w:r>
            <w:r w:rsidRPr="00D471EF">
              <w:rPr>
                <w:color w:val="auto"/>
                <w:sz w:val="20"/>
                <w:szCs w:val="20"/>
              </w:rPr>
              <w:t>r more sustainably sourced materials.</w:t>
            </w:r>
          </w:p>
        </w:tc>
        <w:tc>
          <w:tcPr>
            <w:tcW w:w="2526"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07BD6CDC" w14:textId="77777777" w:rsidR="004D7A10" w:rsidRPr="00D471EF" w:rsidRDefault="004D7A10" w:rsidP="0026770E">
            <w:pPr>
              <w:spacing w:after="0"/>
              <w:rPr>
                <w:rFonts w:cs="Arial"/>
                <w:color w:val="auto"/>
                <w:sz w:val="20"/>
                <w:szCs w:val="20"/>
              </w:rPr>
            </w:pPr>
            <w:r w:rsidRPr="00D471EF">
              <w:rPr>
                <w:rFonts w:cs="Arial"/>
                <w:color w:val="auto"/>
                <w:sz w:val="20"/>
                <w:szCs w:val="20"/>
              </w:rPr>
              <w:t>Some emissions changes reflect volumes and portfolio effects; Group adjusted operating profit remained positive at £1.734bn but declined year on year, and direct comparable reputation evidence is limited.</w:t>
            </w:r>
          </w:p>
        </w:tc>
      </w:tr>
    </w:tbl>
    <w:p w14:paraId="4400B4EA" w14:textId="77777777" w:rsidR="00981CC7" w:rsidRDefault="00CC58FE">
      <w:r>
        <w:t xml:space="preserve">Source: Author's synthesis based on Unilever PLC (2026), Reckitt Benckiser Group plc (2026), Diageo plc (2025), Associated British Foods plc (2025), Competition and Markets Authority (2023, 2024), </w:t>
      </w:r>
      <w:proofErr w:type="spellStart"/>
      <w:r>
        <w:t>Equileap</w:t>
      </w:r>
      <w:proofErr w:type="spellEnd"/>
      <w:r>
        <w:t xml:space="preserve"> (2024) and </w:t>
      </w:r>
      <w:proofErr w:type="spellStart"/>
      <w:r>
        <w:t>KnowTheChain</w:t>
      </w:r>
      <w:proofErr w:type="spellEnd"/>
      <w:r>
        <w:t xml:space="preserve"> (2024).</w:t>
      </w:r>
    </w:p>
    <w:p w14:paraId="6A294FBE" w14:textId="77777777" w:rsidR="004D7A10" w:rsidRPr="00C176D7" w:rsidRDefault="004D7A10" w:rsidP="004D7A10">
      <w:pPr>
        <w:rPr>
          <w:rFonts w:cs="Arial"/>
        </w:rPr>
      </w:pPr>
    </w:p>
    <w:p w14:paraId="4DE52AF4" w14:textId="77777777" w:rsidR="004D7A10" w:rsidRPr="00C176D7" w:rsidRDefault="004D7A10" w:rsidP="004D7A10">
      <w:pPr>
        <w:rPr>
          <w:rFonts w:cs="Arial"/>
        </w:rPr>
      </w:pPr>
      <w:r>
        <w:t>Three preliminary conclusions emerge. First, strategic substance is clearest where a company identifies a material issue, an operational lever and a governed metric. Second, own-operation indicators generally progress faster than value-chain indicators because firms exert more direct control over energy and facilities than over suppliers or consumer use and recycling. Third, commercial outcomes do not move consistently with ESG indicators, which is inconsistent with a simple direct-effect model.</w:t>
      </w:r>
    </w:p>
    <w:p w14:paraId="6BADA0F0" w14:textId="77777777" w:rsidR="004D7A10" w:rsidRPr="00C176D7" w:rsidRDefault="004D7A10" w:rsidP="004D7A10">
      <w:pPr>
        <w:pStyle w:val="Heading2"/>
        <w:rPr>
          <w:rFonts w:cs="Arial"/>
        </w:rPr>
      </w:pPr>
      <w:bookmarkStart w:id="88" w:name="_Toc240378631"/>
      <w:bookmarkStart w:id="89" w:name="_Toc240858685"/>
      <w:r w:rsidRPr="00C176D7">
        <w:rPr>
          <w:rFonts w:cs="Arial"/>
        </w:rPr>
        <w:t>4.3 Unilever: mature systems, operational progress and claim scrutiny</w:t>
      </w:r>
      <w:bookmarkEnd w:id="88"/>
      <w:bookmarkEnd w:id="89"/>
    </w:p>
    <w:p w14:paraId="7F041045" w14:textId="77777777" w:rsidR="004D7A10" w:rsidRPr="00C176D7" w:rsidRDefault="004D7A10" w:rsidP="004D7A10">
      <w:pPr>
        <w:rPr>
          <w:rFonts w:cs="Arial"/>
        </w:rPr>
      </w:pPr>
      <w:r>
        <w:t xml:space="preserve">Unilever's governance architecture links sustainability priorities to formal oversight, but the evidence should be read at claim level rather than as a single governance score. The annual report describes Board and management oversight, a double-materiality process and sustainability-related elements within long-term remuneration. These components are analytically related because they can connect material issues to accountability, but the dissertation does not infer that the materiality assessment itself caused a particular incentive weighting. Each governance, remuneration and assurance claim </w:t>
      </w:r>
      <w:proofErr w:type="gramStart"/>
      <w:r>
        <w:t>is</w:t>
      </w:r>
      <w:proofErr w:type="gramEnd"/>
      <w:r>
        <w:t xml:space="preserve"> therefore interpreted according to its own stated scope and cited location (Unilever PLC, 2026).</w:t>
      </w:r>
    </w:p>
    <w:p w14:paraId="59F11549" w14:textId="77777777" w:rsidR="004D7A10" w:rsidRPr="00C176D7" w:rsidRDefault="004D7A10" w:rsidP="004D7A10">
      <w:pPr>
        <w:rPr>
          <w:rFonts w:cs="Arial"/>
        </w:rPr>
      </w:pPr>
      <w:r>
        <w:lastRenderedPageBreak/>
        <w:t>In 2025, Unilever reported a 77% reduction in absolute operational Scope 1 and 2 greenhouse-gas emissions from a 2015 baseline. This is reported progress toward, not the level of, its 2030 target of a 100% reduction (Unilever PLC, 2026, p. 30). The distinction between target and achieved reduction is maintained throughout the analysis and in Table 3.</w:t>
      </w:r>
    </w:p>
    <w:p w14:paraId="10CA72DB" w14:textId="77777777" w:rsidR="004D7A10" w:rsidRPr="00C176D7" w:rsidRDefault="004D7A10" w:rsidP="004D7A10">
      <w:pPr>
        <w:rPr>
          <w:rFonts w:cs="Arial"/>
        </w:rPr>
      </w:pPr>
      <w:r>
        <w:t xml:space="preserve">On plastics, Unilever reports separate milestones and target dates for different packaging types rather than one undifferentiated 100% packaging target. Its 2025 non-financial reporting shows progress on virgin-plastic reduction and post-consumer recycled content, while recyclability, reusability or </w:t>
      </w:r>
      <w:proofErr w:type="spellStart"/>
      <w:r>
        <w:t>compostability</w:t>
      </w:r>
      <w:proofErr w:type="spellEnd"/>
      <w:r>
        <w:t xml:space="preserve"> expectations differ between rigid and flexible plastic packaging and their respective timelines (Unilever PLC, 2026, p. 30). These measures are therefore interpreted separately rather than aggregated into a single achievement claim.</w:t>
      </w:r>
    </w:p>
    <w:p w14:paraId="41A4ED29" w14:textId="77777777" w:rsidR="004D7A10" w:rsidRPr="00C176D7" w:rsidRDefault="004D7A10" w:rsidP="004D7A10">
      <w:pPr>
        <w:rPr>
          <w:rFonts w:cs="Arial"/>
        </w:rPr>
      </w:pPr>
      <w:r>
        <w:t xml:space="preserve">Metric boundaries also require attention following the Ice Cream demerger. Unilever states that 2025 financial figures are presented on a continuing-operations basis and provides non-financial measures with explicit boundary information where relevant. The 77% operational-emissions reduction is therefore cited with its reporting basis and page locator (Unilever PLC, 2026, p. 30), and supplier, farmer, plastics and Scope 3 indicators are not assumed to share an identical </w:t>
      </w:r>
      <w:proofErr w:type="spellStart"/>
      <w:r>
        <w:t>organisational</w:t>
      </w:r>
      <w:proofErr w:type="spellEnd"/>
      <w:r>
        <w:t xml:space="preserve"> boundary. Cross-year comparisons are used only where the disclosed boundary is sufficiently clear.</w:t>
      </w:r>
    </w:p>
    <w:p w14:paraId="6F2B212C" w14:textId="77777777" w:rsidR="004D7A10" w:rsidRPr="00C176D7" w:rsidRDefault="004D7A10" w:rsidP="004D7A10">
      <w:pPr>
        <w:rPr>
          <w:rFonts w:cs="Arial"/>
        </w:rPr>
      </w:pPr>
      <w:r>
        <w:t xml:space="preserve">The CMA opened an investigation into environmental claims made by Unilever and later closed it in November 2024 after considering a range of factors, including changes to some product claims and the wider impact of the CMA's green-claims </w:t>
      </w:r>
      <w:proofErr w:type="spellStart"/>
      <w:r>
        <w:t>programme</w:t>
      </w:r>
      <w:proofErr w:type="spellEnd"/>
      <w:r>
        <w:t xml:space="preserve"> (Competition and Markets Authority, 2023; Competition and Markets Authority, 2024). The closure record does not determine that Unilever breached consumer law, nor does it amount to a general finding of compliance. It is therefore used here as evidence of regulatory scrutiny and claim-substantiation risk, not as proof of either infringement or exoneration.</w:t>
      </w:r>
    </w:p>
    <w:p w14:paraId="64A488AC" w14:textId="77777777" w:rsidR="004D7A10" w:rsidRPr="00C176D7" w:rsidRDefault="004D7A10" w:rsidP="004D7A10">
      <w:pPr>
        <w:rPr>
          <w:rFonts w:cs="Arial"/>
        </w:rPr>
      </w:pPr>
      <w:r>
        <w:t xml:space="preserve">Unilever's 2025 Annual Report states that Power Brands accounted for 78% of turnover and delivered 4.3% underlying sales growth. The 78% figure is a share of turnover, not </w:t>
      </w:r>
      <w:r>
        <w:lastRenderedPageBreak/>
        <w:t>the share of turnover growth (Unilever PLC, 2026). The analysis therefore separates portfolio share, growth rate and any inferred contribution to group growth.</w:t>
      </w:r>
    </w:p>
    <w:p w14:paraId="171C19B6" w14:textId="77777777" w:rsidR="004D7A10" w:rsidRPr="00C176D7" w:rsidRDefault="004D7A10" w:rsidP="004D7A10">
      <w:pPr>
        <w:pStyle w:val="Heading2"/>
        <w:rPr>
          <w:rFonts w:cs="Arial"/>
        </w:rPr>
      </w:pPr>
      <w:bookmarkStart w:id="90" w:name="_Toc240378632"/>
      <w:bookmarkStart w:id="91" w:name="_Toc240858686"/>
      <w:r w:rsidRPr="00C176D7">
        <w:rPr>
          <w:rFonts w:cs="Arial"/>
        </w:rPr>
        <w:t>4.4 Reckitt: sustainable-product integration, target recalibration and governance exposure</w:t>
      </w:r>
      <w:bookmarkEnd w:id="90"/>
      <w:bookmarkEnd w:id="91"/>
    </w:p>
    <w:p w14:paraId="2C130BD2" w14:textId="77777777" w:rsidR="004D7A10" w:rsidRPr="00C176D7" w:rsidRDefault="004D7A10" w:rsidP="004D7A10">
      <w:pPr>
        <w:rPr>
          <w:rFonts w:cs="Arial"/>
        </w:rPr>
      </w:pPr>
      <w:r>
        <w:t>Reckitt reported a 73 per cent reduction in absolute Scope 1 and 2 greenhouse-gas emissions from operations in 2025 relative to its 2015 baseline (Reckitt Benckiser Group plc, 2026). This is a 2015–2025 performance comparison rather than a 2015–2026 period; the reporting year is therefore distinguished from the publication year of the annual report.</w:t>
      </w:r>
    </w:p>
    <w:p w14:paraId="71B953AC" w14:textId="77777777" w:rsidR="004D7A10" w:rsidRPr="00C176D7" w:rsidRDefault="004D7A10" w:rsidP="004D7A10">
      <w:pPr>
        <w:rPr>
          <w:rFonts w:cs="Arial"/>
        </w:rPr>
      </w:pPr>
      <w:r>
        <w:t>The 'more sustainable products' classification is based on company-defined thresholds and comparators. A product can improve relative to its predecessor while the absolute life-cycle impact of the wider portfolio remains material. Reckitt states that ERM CVS provides limited assurance over specified sustainability metrics and that some disclosures fall outside the assurance scope (Reckitt Benckiser Group plc, 2026, p. 42). The reported 37.9 per cent of net revenue from more sustainable products should therefore be interpreted as a portfolio classification measure, not as evidence of consumer demand for sustainability.</w:t>
      </w:r>
    </w:p>
    <w:p w14:paraId="6DCBEC43" w14:textId="77777777" w:rsidR="004D7A10" w:rsidRPr="00C176D7" w:rsidRDefault="004D7A10" w:rsidP="004D7A10">
      <w:pPr>
        <w:rPr>
          <w:rFonts w:cs="Arial"/>
        </w:rPr>
      </w:pPr>
      <w:r>
        <w:t>Reckitt's packaging evidence is interpreted by separating achieved values from forward-looking targets and by specifying the reporting period. The reported recycled-content percentage is treated as current performance rather than as a baseline, while the relevant target remains a separate benchmark. For example, a current value such as 12 per cent is not described as either the starting point or the target without support from the report (Reckitt Benckiser Group plc, 2026, pp. 42–43).</w:t>
      </w:r>
    </w:p>
    <w:p w14:paraId="4333AD11" w14:textId="77777777" w:rsidR="004D7A10" w:rsidRPr="00C176D7" w:rsidRDefault="004D7A10" w:rsidP="004D7A10">
      <w:pPr>
        <w:rPr>
          <w:rFonts w:cs="Arial"/>
        </w:rPr>
      </w:pPr>
      <w:r>
        <w:t>The 2026 long-term incentive plan described in Reckitt's 2025 Annual Report assigns a 10 per cent weighting to the 'more sustainable products' measure (Reckitt Benckiser Group plc, 2026, p. 104). This distinction matters because remuneration design changed across award cycles, so the current weighting is used rather than earlier plan values.</w:t>
      </w:r>
    </w:p>
    <w:p w14:paraId="30834037" w14:textId="77777777" w:rsidR="004D7A10" w:rsidRPr="00C176D7" w:rsidRDefault="004D7A10" w:rsidP="004D7A10">
      <w:pPr>
        <w:rPr>
          <w:rFonts w:cs="Arial"/>
        </w:rPr>
      </w:pPr>
      <w:r w:rsidRPr="00C176D7">
        <w:rPr>
          <w:rFonts w:cs="Arial"/>
        </w:rPr>
        <w:t xml:space="preserve">Reckitt's disclosures also identify legal exposure relating to necrotizing enterocolitis (NEC) litigation concerning certain preterm infant-formula products. The litigation is </w:t>
      </w:r>
      <w:r w:rsidRPr="00C176D7">
        <w:rPr>
          <w:rFonts w:cs="Arial"/>
        </w:rPr>
        <w:lastRenderedPageBreak/>
        <w:t xml:space="preserve">treated as a separate governance and legal-risk exposure. The existence of claims or litigation is not interpreted as a determination of liability, and it is not used as direct evidence that Reckitt's environmental or social </w:t>
      </w:r>
      <w:proofErr w:type="spellStart"/>
      <w:r w:rsidRPr="00C176D7">
        <w:rPr>
          <w:rFonts w:cs="Arial"/>
        </w:rPr>
        <w:t>programmes</w:t>
      </w:r>
      <w:proofErr w:type="spellEnd"/>
      <w:r w:rsidRPr="00C176D7">
        <w:rPr>
          <w:rFonts w:cs="Arial"/>
        </w:rPr>
        <w:t xml:space="preserve"> caused reputational damage.</w:t>
      </w:r>
    </w:p>
    <w:p w14:paraId="36434C0F" w14:textId="77777777" w:rsidR="004D7A10" w:rsidRPr="00C176D7" w:rsidRDefault="004D7A10" w:rsidP="004D7A10">
      <w:pPr>
        <w:rPr>
          <w:rFonts w:cs="Arial"/>
        </w:rPr>
      </w:pPr>
      <w:r>
        <w:t>Reckitt reported a 24.9 per cent adjusted operating margin in 2025 (Reckitt Benckiser Group plc, 2026). This commercial result is treated as contextual evidence and not as proof that ESG initiatives caused the margin outcome.</w:t>
      </w:r>
    </w:p>
    <w:p w14:paraId="4EC99944" w14:textId="77777777" w:rsidR="004D7A10" w:rsidRPr="00C176D7" w:rsidRDefault="004D7A10" w:rsidP="004D7A10">
      <w:pPr>
        <w:pStyle w:val="Heading2"/>
        <w:rPr>
          <w:rFonts w:cs="Arial"/>
        </w:rPr>
      </w:pPr>
      <w:bookmarkStart w:id="92" w:name="_Toc240378633"/>
      <w:bookmarkStart w:id="93" w:name="_Toc240858687"/>
      <w:r w:rsidRPr="00C176D7">
        <w:rPr>
          <w:rFonts w:cs="Arial"/>
        </w:rPr>
        <w:t>4.5 Diageo: category-specific social purpose, credible external signals and commercial counter-evidence</w:t>
      </w:r>
      <w:bookmarkEnd w:id="92"/>
      <w:bookmarkEnd w:id="93"/>
    </w:p>
    <w:p w14:paraId="270999ED" w14:textId="77777777" w:rsidR="004D7A10" w:rsidRPr="00C176D7" w:rsidRDefault="004D7A10" w:rsidP="004D7A10">
      <w:pPr>
        <w:rPr>
          <w:rFonts w:cs="Arial"/>
        </w:rPr>
      </w:pPr>
      <w:r>
        <w:t xml:space="preserve">Diageo's materiality is strongly shaped by the characteristics of beverage alcohol. Spirit of Progress brings together positive drinking, inclusion and diversity, water, carbon, packaging and agricultural sourcing. The plan is overseen by the Board and Executive Committee, and selected metrics are subject to limited assurance by PwC (Diageo plc, 2025, pp. 34–35, 223–225). Responsible drinking is therefore not treated as a detached social </w:t>
      </w:r>
      <w:proofErr w:type="spellStart"/>
      <w:r>
        <w:t>programme</w:t>
      </w:r>
      <w:proofErr w:type="spellEnd"/>
      <w:r>
        <w:t xml:space="preserve">; it relates directly to </w:t>
      </w:r>
      <w:proofErr w:type="spellStart"/>
      <w:r>
        <w:t>licence</w:t>
      </w:r>
      <w:proofErr w:type="spellEnd"/>
      <w:r>
        <w:t xml:space="preserve"> to operate and the long-term acceptability of the category.</w:t>
      </w:r>
    </w:p>
    <w:p w14:paraId="3662D2DE" w14:textId="77777777" w:rsidR="004D7A10" w:rsidRPr="00C176D7" w:rsidRDefault="004D7A10" w:rsidP="004D7A10">
      <w:pPr>
        <w:rPr>
          <w:rFonts w:cs="Arial"/>
        </w:rPr>
      </w:pPr>
      <w:r>
        <w:t xml:space="preserve">Diageo reported two related underage-drinking education measures in fiscal 2025: 2.0 million people were educated during the year, while cumulative progress under the SMASHED </w:t>
      </w:r>
      <w:proofErr w:type="spellStart"/>
      <w:r>
        <w:t>programme</w:t>
      </w:r>
      <w:proofErr w:type="spellEnd"/>
      <w:r>
        <w:t xml:space="preserve"> reached 8.2 million toward the 2030 target (Diageo plc, 2025). Table 3 therefore uses 2.0 million as the annual measure and labels 8.2 million explicitly as cumulative progress. The annual report also records an 18.8 per cent reduction in Scope 1 and 2 emissions against the fiscal 2022 baseline. </w:t>
      </w:r>
      <w:proofErr w:type="spellStart"/>
      <w:r>
        <w:t>Equileap's</w:t>
      </w:r>
      <w:proofErr w:type="spellEnd"/>
      <w:r>
        <w:t xml:space="preserve"> 2024 gender-equality benchmark provides an independent, issue-specific signal; it is not treated as a general measure of Diageo's corporate reputation (</w:t>
      </w:r>
      <w:proofErr w:type="spellStart"/>
      <w:r>
        <w:t>Equileap</w:t>
      </w:r>
      <w:proofErr w:type="spellEnd"/>
      <w:r>
        <w:t>, 2024).</w:t>
      </w:r>
    </w:p>
    <w:p w14:paraId="08406A37" w14:textId="77777777" w:rsidR="004D7A10" w:rsidRPr="00C176D7" w:rsidRDefault="004D7A10" w:rsidP="004D7A10">
      <w:pPr>
        <w:rPr>
          <w:rFonts w:cs="Arial"/>
        </w:rPr>
      </w:pPr>
      <w:r>
        <w:t xml:space="preserve">A second pattern in the environmental evidence concerns operational control and value-chain dependency. Diageo reported a 15.8 per cent improvement in overall water-use efficiency against its adjusted fiscal 2022 baseline and an 18.8 per cent reduction in Scope 1 and 2 emissions against the same baseline period (Diageo plc, 2025, pp. 18–19, 52–55). Water-replenishment projects delivered an estimated 3.084 million cubic </w:t>
      </w:r>
      <w:proofErr w:type="spellStart"/>
      <w:r>
        <w:t>metres</w:t>
      </w:r>
      <w:proofErr w:type="spellEnd"/>
      <w:r>
        <w:t xml:space="preserve"> of additional annual capacity in fiscal 2025, bringing cumulative progress to 84 per cent of the fiscal 2026 target volume (Diageo plc, 2025, p. 52). Because water stress </w:t>
      </w:r>
      <w:r>
        <w:lastRenderedPageBreak/>
        <w:t>can affect production continuity, these measures provide a plausible resilience mechanism.</w:t>
      </w:r>
    </w:p>
    <w:p w14:paraId="2A37721C" w14:textId="77777777" w:rsidR="004D7A10" w:rsidRPr="00C176D7" w:rsidRDefault="004D7A10" w:rsidP="004D7A10">
      <w:pPr>
        <w:rPr>
          <w:rFonts w:cs="Arial"/>
        </w:rPr>
      </w:pPr>
      <w:r>
        <w:t xml:space="preserve">Scope 3 provides important counter-evidence. Although these emissions were reported as 10.2 per cent lower than in fiscal 2022, they rose by 1.5 per cent from fiscal 2024, driven primarily by higher volumes of finished products and purchased packaging. Diageo also withdrew a specific packaging-weight reduction target and reduced its 2030 recycled-content ambition from 60 to 50 per cent because of anticipated cullet availability (Diageo plc, 2025, pp. 54–55). This disclosure illustrates the tension between volume growth, packaging, external infrastructure and target feasibility. Transparent revision may support credibility, but repeated revision can weaken </w:t>
      </w:r>
      <w:proofErr w:type="spellStart"/>
      <w:r>
        <w:t>signalling</w:t>
      </w:r>
      <w:proofErr w:type="spellEnd"/>
      <w:r>
        <w:t xml:space="preserve"> value if stakeholders perceive ambition as being diluted.</w:t>
      </w:r>
    </w:p>
    <w:p w14:paraId="2C216381" w14:textId="77777777" w:rsidR="004D7A10" w:rsidRPr="00C176D7" w:rsidRDefault="004D7A10" w:rsidP="004D7A10">
      <w:pPr>
        <w:keepNext/>
        <w:rPr>
          <w:rFonts w:cs="Arial"/>
        </w:rPr>
      </w:pPr>
      <w:r w:rsidRPr="00C176D7">
        <w:rPr>
          <w:rFonts w:cs="Arial"/>
        </w:rPr>
        <w:t xml:space="preserve">Figure </w:t>
      </w:r>
      <w:r w:rsidR="00575D08">
        <w:rPr>
          <w:rFonts w:cs="Arial"/>
        </w:rPr>
        <w:t>3</w:t>
      </w:r>
      <w:r w:rsidRPr="00C176D7">
        <w:rPr>
          <w:rFonts w:cs="Arial"/>
        </w:rPr>
        <w:t xml:space="preserve"> </w:t>
      </w:r>
      <w:proofErr w:type="spellStart"/>
      <w:r w:rsidRPr="00C176D7">
        <w:rPr>
          <w:rFonts w:cs="Arial"/>
        </w:rPr>
        <w:t>summarises</w:t>
      </w:r>
      <w:proofErr w:type="spellEnd"/>
      <w:r w:rsidRPr="00C176D7">
        <w:rPr>
          <w:rFonts w:cs="Arial"/>
        </w:rPr>
        <w:t xml:space="preserve"> the reported environmental changes and the principal Scope 3 counter-evidence discussed above.</w:t>
      </w:r>
    </w:p>
    <w:p w14:paraId="17F322B5" w14:textId="77777777" w:rsidR="004D7A10" w:rsidRPr="00C176D7" w:rsidRDefault="004D7A10" w:rsidP="00971EDF">
      <w:pPr>
        <w:pStyle w:val="Heading4"/>
      </w:pPr>
      <w:bookmarkStart w:id="94" w:name="_Toc240857240"/>
      <w:r w:rsidRPr="00C176D7">
        <w:t xml:space="preserve">Figure </w:t>
      </w:r>
      <w:r w:rsidR="00575D08">
        <w:t>3</w:t>
      </w:r>
      <w:r w:rsidRPr="00C176D7">
        <w:t>. Diageo environmental progress and counter-evidence</w:t>
      </w:r>
      <w:bookmarkEnd w:id="94"/>
    </w:p>
    <w:p w14:paraId="6587413C" w14:textId="77777777" w:rsidR="004D7A10" w:rsidRPr="00C176D7" w:rsidRDefault="004D7A10" w:rsidP="004D7A10">
      <w:pPr>
        <w:keepNext/>
        <w:spacing w:after="60"/>
        <w:jc w:val="center"/>
        <w:rPr>
          <w:rFonts w:cs="Arial"/>
        </w:rPr>
      </w:pPr>
      <w:r w:rsidRPr="00C176D7">
        <w:rPr>
          <w:rFonts w:cs="Arial"/>
          <w:noProof/>
        </w:rPr>
        <w:drawing>
          <wp:inline distT="0" distB="0" distL="0" distR="0" wp14:anchorId="75EFEA58" wp14:editId="0FFE2F67">
            <wp:extent cx="5973052" cy="345440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4_diageo_environmental_progress.png"/>
                    <pic:cNvPicPr/>
                  </pic:nvPicPr>
                  <pic:blipFill>
                    <a:blip r:embed="rId19"/>
                    <a:stretch>
                      <a:fillRect/>
                    </a:stretch>
                  </pic:blipFill>
                  <pic:spPr>
                    <a:xfrm>
                      <a:off x="0" y="0"/>
                      <a:ext cx="5985759" cy="3461749"/>
                    </a:xfrm>
                    <a:prstGeom prst="rect">
                      <a:avLst/>
                    </a:prstGeom>
                  </pic:spPr>
                </pic:pic>
              </a:graphicData>
            </a:graphic>
          </wp:inline>
        </w:drawing>
      </w:r>
    </w:p>
    <w:p w14:paraId="10DE7F94" w14:textId="77777777" w:rsidR="004D7A10" w:rsidRPr="00971EDF" w:rsidRDefault="004D7A10" w:rsidP="004D7A10">
      <w:pPr>
        <w:keepNext/>
        <w:spacing w:after="0"/>
        <w:jc w:val="center"/>
        <w:rPr>
          <w:rFonts w:cs="Arial"/>
          <w:i/>
          <w:iCs/>
          <w:szCs w:val="24"/>
        </w:rPr>
      </w:pPr>
      <w:r w:rsidRPr="00971EDF">
        <w:rPr>
          <w:i/>
          <w:iCs/>
        </w:rPr>
        <w:t>Source: Author's compilation based on Diageo plc (2025, pp. 18–19, 52–55).</w:t>
      </w:r>
    </w:p>
    <w:p w14:paraId="42D11001" w14:textId="77777777" w:rsidR="004D7A10" w:rsidRPr="00575D08" w:rsidRDefault="004D7A10" w:rsidP="004D7A10">
      <w:pPr>
        <w:spacing w:after="160"/>
        <w:jc w:val="center"/>
        <w:rPr>
          <w:rFonts w:cs="Arial"/>
          <w:szCs w:val="24"/>
        </w:rPr>
      </w:pPr>
      <w:r w:rsidRPr="00575D08">
        <w:rPr>
          <w:rFonts w:cs="Arial"/>
          <w:i/>
          <w:szCs w:val="24"/>
        </w:rPr>
        <w:t>Note: The indicators use different baselines and constructs and are shown descriptively rather than as directly comparable measures.</w:t>
      </w:r>
    </w:p>
    <w:p w14:paraId="695FDBE4" w14:textId="77777777" w:rsidR="004D7A10" w:rsidRPr="00C176D7" w:rsidRDefault="004D7A10" w:rsidP="004D7A10">
      <w:pPr>
        <w:rPr>
          <w:rFonts w:cs="Arial"/>
        </w:rPr>
      </w:pPr>
      <w:r>
        <w:lastRenderedPageBreak/>
        <w:t xml:space="preserve">Moderation also creates an innovation pathway. Diageo reported growth of nearly 40 per cent in its broader non-alcoholic portfolio in fiscal 2025, while Guinness 0.0 grew by double digits; the company also expanded the portfolio through Captain Morgan 0.0 and the Ritual Beverage acquisition (Diageo plc, 2025, pp. 3–4). These are company-reported results, and moderation is not the only possible demand driver. However, the products connect a category-specific social objective with commercial growth more directly than a stand-alone philanthropic </w:t>
      </w:r>
      <w:proofErr w:type="spellStart"/>
      <w:r>
        <w:t>programme</w:t>
      </w:r>
      <w:proofErr w:type="spellEnd"/>
      <w:r>
        <w:t xml:space="preserve"> would.</w:t>
      </w:r>
    </w:p>
    <w:p w14:paraId="1D839864" w14:textId="77777777" w:rsidR="004D7A10" w:rsidRPr="00C176D7" w:rsidRDefault="004D7A10" w:rsidP="004D7A10">
      <w:pPr>
        <w:rPr>
          <w:rFonts w:cs="Arial"/>
        </w:rPr>
      </w:pPr>
      <w:r>
        <w:t>The commercial counter-pattern is equally important. Reported net sales declined by 0.1 per cent to $20.245 billion, while organic net sales increased by 1.7 per cent, organic operating profit declined by 0.7 per cent, 12-month total shareholder return was -24 per cent, and return on invested capital fell from 15.8 to 13.7 per cent (Diageo plc, 2025, pp. 16–21). The report attributes these outcomes to factors including foreign exchange, impairment and restructuring costs, consumer conditions and associate income. ESG and diversity progress therefore coexisted with weak investor returns. This counter-pattern challenges any simple contemporaneous direct-effect claim while leaving open more specific capability mechanisms related to water resilience, workforce reputation and non-alcoholic innovation.</w:t>
      </w:r>
    </w:p>
    <w:p w14:paraId="5C79F0A5" w14:textId="77777777" w:rsidR="004D7A10" w:rsidRPr="00C176D7" w:rsidRDefault="004D7A10" w:rsidP="004D7A10">
      <w:pPr>
        <w:pStyle w:val="Heading2"/>
        <w:rPr>
          <w:rFonts w:cs="Arial"/>
        </w:rPr>
      </w:pPr>
      <w:bookmarkStart w:id="95" w:name="_Toc240378634"/>
      <w:bookmarkStart w:id="96" w:name="_Toc240858688"/>
      <w:r w:rsidRPr="00C176D7">
        <w:rPr>
          <w:rFonts w:cs="Arial"/>
        </w:rPr>
        <w:t xml:space="preserve">4.6 Associated British Foods: </w:t>
      </w:r>
      <w:proofErr w:type="spellStart"/>
      <w:r w:rsidRPr="00C176D7">
        <w:rPr>
          <w:rFonts w:cs="Arial"/>
        </w:rPr>
        <w:t>decentralised</w:t>
      </w:r>
      <w:proofErr w:type="spellEnd"/>
      <w:r w:rsidRPr="00C176D7">
        <w:rPr>
          <w:rFonts w:cs="Arial"/>
        </w:rPr>
        <w:t xml:space="preserve"> materiality, affordability and portfolio confounding</w:t>
      </w:r>
      <w:bookmarkEnd w:id="95"/>
      <w:bookmarkEnd w:id="96"/>
    </w:p>
    <w:p w14:paraId="4D11CC3F" w14:textId="77777777" w:rsidR="004D7A10" w:rsidRPr="00C176D7" w:rsidRDefault="004D7A10" w:rsidP="004D7A10">
      <w:pPr>
        <w:rPr>
          <w:rFonts w:cs="Arial"/>
        </w:rPr>
      </w:pPr>
      <w:r>
        <w:t xml:space="preserve">ABF has the most </w:t>
      </w:r>
      <w:proofErr w:type="spellStart"/>
      <w:r>
        <w:t>decentralised</w:t>
      </w:r>
      <w:proofErr w:type="spellEnd"/>
      <w:r>
        <w:t xml:space="preserve"> structure among the four cases. The group has a 2050 net-zero ambition, while individual businesses retain substantial discretion to develop plans suited to their operations and value chains. The Board provides high-level oversight, material issues are considered by the Chief Executive and Finance Director, and quarterly ESG Update Meetings were established in 2025 involving corporate responsibility, finance, legal, people and performance functions (Associated British Foods plc, 2025, pp. 54–56). EY provides limited assurance over 26 ESG key performance indicators (Associated British Foods plc, 2025, pp. 54, 152–154). </w:t>
      </w:r>
      <w:proofErr w:type="spellStart"/>
      <w:r>
        <w:t>Decentralisation</w:t>
      </w:r>
      <w:proofErr w:type="spellEnd"/>
      <w:r>
        <w:t xml:space="preserve"> can make targets more operationally relevant, but it also increases the need for consistent data standards and effective central escalation.</w:t>
      </w:r>
    </w:p>
    <w:p w14:paraId="3ED572B7" w14:textId="77777777" w:rsidR="004D7A10" w:rsidRPr="00C176D7" w:rsidRDefault="004D7A10" w:rsidP="004D7A10">
      <w:pPr>
        <w:rPr>
          <w:rFonts w:cs="Arial"/>
        </w:rPr>
      </w:pPr>
      <w:r>
        <w:lastRenderedPageBreak/>
        <w:t xml:space="preserve">At group level, market-based Scope 1 and 2 emissions fell from 2,627 thousand </w:t>
      </w:r>
      <w:proofErr w:type="spellStart"/>
      <w:r>
        <w:t>tonnes</w:t>
      </w:r>
      <w:proofErr w:type="spellEnd"/>
      <w:r>
        <w:t xml:space="preserve"> of </w:t>
      </w:r>
      <w:proofErr w:type="spellStart"/>
      <w:r>
        <w:t>CO₂e</w:t>
      </w:r>
      <w:proofErr w:type="spellEnd"/>
      <w:r>
        <w:t xml:space="preserve"> in 2024 to 2,410 thousand </w:t>
      </w:r>
      <w:proofErr w:type="spellStart"/>
      <w:r>
        <w:t>tonnes</w:t>
      </w:r>
      <w:proofErr w:type="spellEnd"/>
      <w:r>
        <w:t xml:space="preserve"> in 2025. Total operational energy use declined to 18,459 GWh, of which 54 per cent was renewable (Associated British Foods plc, 2025, p. 63). The report attributes lower energy use to both reduced Sugar production volumes and efficiency improvements. This caveat prevents the emissions decline from being interpreted solely as an efficiency gain: part of the year-on-year reduction reflects lower activity in a segment facing difficult economics.</w:t>
      </w:r>
    </w:p>
    <w:p w14:paraId="1D9EAA8D" w14:textId="77777777" w:rsidR="004D7A10" w:rsidRPr="00C176D7" w:rsidRDefault="004D7A10" w:rsidP="004D7A10">
      <w:pPr>
        <w:keepNext/>
        <w:rPr>
          <w:rFonts w:cs="Arial"/>
        </w:rPr>
      </w:pPr>
      <w:r w:rsidRPr="00C176D7">
        <w:rPr>
          <w:rFonts w:cs="Arial"/>
        </w:rPr>
        <w:t xml:space="preserve">Figure </w:t>
      </w:r>
      <w:r w:rsidR="00575D08">
        <w:rPr>
          <w:rFonts w:cs="Arial"/>
        </w:rPr>
        <w:t>4</w:t>
      </w:r>
      <w:r w:rsidRPr="00C176D7">
        <w:rPr>
          <w:rFonts w:cs="Arial"/>
        </w:rPr>
        <w:t xml:space="preserve"> presents the year-on-year change in ABF's reported market-based Scope 1 and 2 emissions between 2024 and 2025.</w:t>
      </w:r>
    </w:p>
    <w:p w14:paraId="6B01B56B" w14:textId="77777777" w:rsidR="004D7A10" w:rsidRPr="00C176D7" w:rsidRDefault="004D7A10" w:rsidP="00971EDF">
      <w:pPr>
        <w:pStyle w:val="Heading4"/>
      </w:pPr>
      <w:bookmarkStart w:id="97" w:name="_Toc240857241"/>
      <w:r w:rsidRPr="00C176D7">
        <w:t xml:space="preserve">Figure </w:t>
      </w:r>
      <w:r w:rsidR="00575D08">
        <w:t>4</w:t>
      </w:r>
      <w:r w:rsidRPr="00C176D7">
        <w:t>. ABF market-based Scope 1 and 2 emissions, 2024–2025</w:t>
      </w:r>
      <w:bookmarkEnd w:id="97"/>
    </w:p>
    <w:p w14:paraId="3B99ADAD" w14:textId="77777777" w:rsidR="004D7A10" w:rsidRPr="00C176D7" w:rsidRDefault="004D7A10" w:rsidP="004D7A10">
      <w:pPr>
        <w:keepNext/>
        <w:spacing w:after="60"/>
        <w:jc w:val="center"/>
        <w:rPr>
          <w:rFonts w:cs="Arial"/>
        </w:rPr>
      </w:pPr>
      <w:r w:rsidRPr="00C176D7">
        <w:rPr>
          <w:rFonts w:cs="Arial"/>
          <w:noProof/>
        </w:rPr>
        <w:drawing>
          <wp:inline distT="0" distB="0" distL="0" distR="0" wp14:anchorId="256D3898" wp14:editId="6A20DF35">
            <wp:extent cx="6002390" cy="36322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5_abf_emissions.png"/>
                    <pic:cNvPicPr/>
                  </pic:nvPicPr>
                  <pic:blipFill>
                    <a:blip r:embed="rId20"/>
                    <a:stretch>
                      <a:fillRect/>
                    </a:stretch>
                  </pic:blipFill>
                  <pic:spPr>
                    <a:xfrm>
                      <a:off x="0" y="0"/>
                      <a:ext cx="6021686" cy="3643877"/>
                    </a:xfrm>
                    <a:prstGeom prst="rect">
                      <a:avLst/>
                    </a:prstGeom>
                  </pic:spPr>
                </pic:pic>
              </a:graphicData>
            </a:graphic>
          </wp:inline>
        </w:drawing>
      </w:r>
    </w:p>
    <w:p w14:paraId="11A89D98" w14:textId="77777777" w:rsidR="004D7A10" w:rsidRPr="004D7A10" w:rsidRDefault="004D7A10" w:rsidP="004D7A10">
      <w:pPr>
        <w:keepNext/>
        <w:spacing w:after="0"/>
        <w:jc w:val="center"/>
        <w:rPr>
          <w:rFonts w:cs="Arial"/>
          <w:szCs w:val="24"/>
        </w:rPr>
      </w:pPr>
      <w:r w:rsidRPr="004D7A10">
        <w:rPr>
          <w:rFonts w:cs="Arial"/>
          <w:i/>
          <w:szCs w:val="24"/>
        </w:rPr>
        <w:t>Source: Author's compilation based on Associated British Foods plc (2025, p. 63).</w:t>
      </w:r>
    </w:p>
    <w:p w14:paraId="0CB2783C" w14:textId="77777777" w:rsidR="004D7A10" w:rsidRPr="004D7A10" w:rsidRDefault="004D7A10" w:rsidP="004D7A10">
      <w:pPr>
        <w:spacing w:after="160"/>
        <w:jc w:val="center"/>
        <w:rPr>
          <w:rFonts w:cs="Arial"/>
          <w:szCs w:val="24"/>
        </w:rPr>
      </w:pPr>
      <w:r w:rsidRPr="004D7A10">
        <w:rPr>
          <w:rFonts w:cs="Arial"/>
          <w:i/>
          <w:szCs w:val="24"/>
        </w:rPr>
        <w:t xml:space="preserve">Note: The 217 kt </w:t>
      </w:r>
      <w:proofErr w:type="spellStart"/>
      <w:r w:rsidRPr="004D7A10">
        <w:rPr>
          <w:rFonts w:cs="Arial"/>
          <w:i/>
          <w:szCs w:val="24"/>
        </w:rPr>
        <w:t>CO</w:t>
      </w:r>
      <w:r w:rsidRPr="004D7A10">
        <w:rPr>
          <w:rFonts w:ascii="Cambria Math" w:hAnsi="Cambria Math" w:cs="Cambria Math"/>
          <w:i/>
          <w:szCs w:val="24"/>
        </w:rPr>
        <w:t>₂</w:t>
      </w:r>
      <w:r w:rsidRPr="004D7A10">
        <w:rPr>
          <w:rFonts w:cs="Arial"/>
          <w:i/>
          <w:szCs w:val="24"/>
        </w:rPr>
        <w:t>e</w:t>
      </w:r>
      <w:proofErr w:type="spellEnd"/>
      <w:r w:rsidRPr="004D7A10">
        <w:rPr>
          <w:rFonts w:cs="Arial"/>
          <w:i/>
          <w:szCs w:val="24"/>
        </w:rPr>
        <w:t xml:space="preserve"> (8.3%) decrease is calculated from the reported 2024 and 2025 values. The report links lower operational energy use to both lower Sugar production volumes and efficiency, so the change is not attributed solely to efficiency.</w:t>
      </w:r>
    </w:p>
    <w:p w14:paraId="35BB4920" w14:textId="77777777" w:rsidR="004D7A10" w:rsidRPr="00C176D7" w:rsidRDefault="004D7A10" w:rsidP="004D7A10">
      <w:pPr>
        <w:rPr>
          <w:rFonts w:cs="Arial"/>
        </w:rPr>
      </w:pPr>
      <w:r>
        <w:t xml:space="preserve">ABF's case evidence is interpreted using claim-specific page or section locators. Primark's financial metrics are drawn from the Retail operating review, while sustainability </w:t>
      </w:r>
      <w:r>
        <w:lastRenderedPageBreak/>
        <w:t>metrics are linked to the relevant annual-report sections. Where a page-level locator is not necessary to support a broad document-level claim, the annual report is cited at document level (Associated British Foods plc, 2025).</w:t>
      </w:r>
    </w:p>
    <w:p w14:paraId="6CF1145C" w14:textId="77777777" w:rsidR="004D7A10" w:rsidRPr="00C176D7" w:rsidRDefault="004D7A10" w:rsidP="004D7A10">
      <w:pPr>
        <w:rPr>
          <w:rFonts w:cs="Arial"/>
        </w:rPr>
      </w:pPr>
      <w:r w:rsidRPr="00C176D7">
        <w:rPr>
          <w:rFonts w:cs="Arial"/>
        </w:rPr>
        <w:t xml:space="preserve">Primark's company-specific sustainability percentages are attributed directly to ABF's 2025 Annual Report rather than to the </w:t>
      </w:r>
      <w:proofErr w:type="spellStart"/>
      <w:r w:rsidRPr="00C176D7">
        <w:rPr>
          <w:rFonts w:cs="Arial"/>
        </w:rPr>
        <w:t>KnowTheChain</w:t>
      </w:r>
      <w:proofErr w:type="spellEnd"/>
      <w:r w:rsidRPr="00C176D7">
        <w:rPr>
          <w:rFonts w:cs="Arial"/>
        </w:rPr>
        <w:t xml:space="preserve"> benchmark. </w:t>
      </w:r>
      <w:proofErr w:type="spellStart"/>
      <w:r w:rsidRPr="00C176D7">
        <w:rPr>
          <w:rFonts w:cs="Arial"/>
        </w:rPr>
        <w:t>KnowTheChain's</w:t>
      </w:r>
      <w:proofErr w:type="spellEnd"/>
      <w:r w:rsidRPr="00C176D7">
        <w:rPr>
          <w:rFonts w:cs="Arial"/>
        </w:rPr>
        <w:t xml:space="preserve"> 2023 Apparel and Footwear Benchmark assesses companies' efforts to address forced-</w:t>
      </w:r>
      <w:proofErr w:type="spellStart"/>
      <w:r w:rsidRPr="00C176D7">
        <w:rPr>
          <w:rFonts w:cs="Arial"/>
        </w:rPr>
        <w:t>labour</w:t>
      </w:r>
      <w:proofErr w:type="spellEnd"/>
      <w:r w:rsidRPr="00C176D7">
        <w:rPr>
          <w:rFonts w:cs="Arial"/>
        </w:rPr>
        <w:t xml:space="preserve"> risks in supply chains; it is not a child-</w:t>
      </w:r>
      <w:proofErr w:type="spellStart"/>
      <w:r w:rsidRPr="00C176D7">
        <w:rPr>
          <w:rFonts w:cs="Arial"/>
        </w:rPr>
        <w:t>labour</w:t>
      </w:r>
      <w:proofErr w:type="spellEnd"/>
      <w:r w:rsidRPr="00C176D7">
        <w:rPr>
          <w:rFonts w:cs="Arial"/>
        </w:rPr>
        <w:t>-only benchmark, and its sector average is not treated as a firm-specific verdict (</w:t>
      </w:r>
      <w:proofErr w:type="spellStart"/>
      <w:r w:rsidRPr="00C176D7">
        <w:rPr>
          <w:rFonts w:cs="Arial"/>
        </w:rPr>
        <w:t>KnowTheChain</w:t>
      </w:r>
      <w:proofErr w:type="spellEnd"/>
      <w:r w:rsidRPr="00C176D7">
        <w:rPr>
          <w:rFonts w:cs="Arial"/>
        </w:rPr>
        <w:t>, 2024). The benchmark is therefore used only as external context for forced-</w:t>
      </w:r>
      <w:proofErr w:type="spellStart"/>
      <w:r w:rsidRPr="00C176D7">
        <w:rPr>
          <w:rFonts w:cs="Arial"/>
        </w:rPr>
        <w:t>labour</w:t>
      </w:r>
      <w:proofErr w:type="spellEnd"/>
      <w:r w:rsidRPr="00C176D7">
        <w:rPr>
          <w:rFonts w:cs="Arial"/>
        </w:rPr>
        <w:t xml:space="preserve"> due-diligence expectations.</w:t>
      </w:r>
    </w:p>
    <w:p w14:paraId="77A6EF0D" w14:textId="77777777" w:rsidR="004D7A10" w:rsidRPr="00C176D7" w:rsidRDefault="004D7A10" w:rsidP="004D7A10">
      <w:pPr>
        <w:rPr>
          <w:rFonts w:cs="Arial"/>
        </w:rPr>
      </w:pPr>
      <w:r>
        <w:t>Primark generated £9.489 billion of revenue and £1.126 billion of adjusted operating profit in 2025, with an adjusted operating margin of 11.9 per cent. Total sales grew by 1 per cent, supported by store expansion, while like-for-like sales declined by 2.3 per cent (Associated British Foods plc, 2025). New-store contribution and like-for-like trading are therefore kept analytically separate.</w:t>
      </w:r>
    </w:p>
    <w:p w14:paraId="5A2DB9A3" w14:textId="77777777" w:rsidR="004D7A10" w:rsidRPr="00C176D7" w:rsidRDefault="004D7A10" w:rsidP="004D7A10">
      <w:pPr>
        <w:rPr>
          <w:rFonts w:cs="Arial"/>
        </w:rPr>
      </w:pPr>
      <w:r>
        <w:t>At group level, ABF reported adjusted operating profit of £1.734 billion in 2025, down 13 per cent at actual exchange rates from the previous year but still positive. The much weaker result in the Sugar division is therefore treated separately from the group outcome (Associated British Foods plc, 2025).</w:t>
      </w:r>
    </w:p>
    <w:p w14:paraId="27377C0E" w14:textId="77777777" w:rsidR="004D7A10" w:rsidRPr="00C176D7" w:rsidRDefault="004D7A10" w:rsidP="004D7A10">
      <w:pPr>
        <w:pStyle w:val="Heading2"/>
        <w:rPr>
          <w:rFonts w:cs="Arial"/>
        </w:rPr>
      </w:pPr>
      <w:bookmarkStart w:id="98" w:name="_Toc240378635"/>
      <w:bookmarkStart w:id="99" w:name="_Toc240858689"/>
      <w:r w:rsidRPr="00C176D7">
        <w:rPr>
          <w:rFonts w:cs="Arial"/>
        </w:rPr>
        <w:t>4.7 Cross-case synthesis</w:t>
      </w:r>
      <w:bookmarkEnd w:id="98"/>
      <w:bookmarkEnd w:id="99"/>
    </w:p>
    <w:p w14:paraId="169EF6C3" w14:textId="77777777" w:rsidR="004D7A10" w:rsidRPr="00C176D7" w:rsidRDefault="004D7A10" w:rsidP="004D7A10">
      <w:pPr>
        <w:rPr>
          <w:rFonts w:cs="Arial"/>
        </w:rPr>
      </w:pPr>
      <w:r>
        <w:t xml:space="preserve">Four themes emerge from the cross-case evidence. First, substantive ESG strategy requires implementation through products or operating practices. Reckitt's innovation calculator, Diageo's water and moderation </w:t>
      </w:r>
      <w:proofErr w:type="spellStart"/>
      <w:r>
        <w:t>programmes</w:t>
      </w:r>
      <w:proofErr w:type="spellEnd"/>
      <w:r>
        <w:t xml:space="preserve">, Primark's supplier and design systems, and Unilever's plastics and sourcing </w:t>
      </w:r>
      <w:proofErr w:type="spellStart"/>
      <w:r>
        <w:t>programmes</w:t>
      </w:r>
      <w:proofErr w:type="spellEnd"/>
      <w:r>
        <w:t xml:space="preserve"> illustrate routines that can embody </w:t>
      </w:r>
      <w:proofErr w:type="spellStart"/>
      <w:r>
        <w:t>organisational</w:t>
      </w:r>
      <w:proofErr w:type="spellEnd"/>
      <w:r>
        <w:t xml:space="preserve"> capability. Without such routines, public commitments are relatively easy for competitors to imitate.</w:t>
      </w:r>
    </w:p>
    <w:p w14:paraId="6B6D49DD" w14:textId="77777777" w:rsidR="004D7A10" w:rsidRPr="00C176D7" w:rsidRDefault="004D7A10" w:rsidP="004D7A10">
      <w:pPr>
        <w:rPr>
          <w:rFonts w:cs="Arial"/>
        </w:rPr>
      </w:pPr>
      <w:r w:rsidRPr="00C176D7">
        <w:rPr>
          <w:rFonts w:cs="Arial"/>
        </w:rPr>
        <w:t xml:space="preserve">The cross-case evidence distinguishes reputation-relevant exposure from </w:t>
      </w:r>
      <w:proofErr w:type="spellStart"/>
      <w:r w:rsidRPr="00C176D7">
        <w:rPr>
          <w:rFonts w:cs="Arial"/>
        </w:rPr>
        <w:t>realised</w:t>
      </w:r>
      <w:proofErr w:type="spellEnd"/>
      <w:r w:rsidRPr="00C176D7">
        <w:rPr>
          <w:rFonts w:cs="Arial"/>
        </w:rPr>
        <w:t xml:space="preserve"> reputation outcomes. Regulatory scrutiny, litigation exposure and independent benchmark results can affect stakeholder interpretation, but they are not direct measurements of changes in stakeholder trust or overall corporate reputation. Because comparable longitudinal reputation measures are sparse, the dissertation treats these </w:t>
      </w:r>
      <w:r w:rsidRPr="00C176D7">
        <w:rPr>
          <w:rFonts w:cs="Arial"/>
        </w:rPr>
        <w:lastRenderedPageBreak/>
        <w:t>items as indicators or exposures and reserves stronger claims for cases where stakeholder-specific evidence is available.</w:t>
      </w:r>
    </w:p>
    <w:p w14:paraId="5AB797DF" w14:textId="77777777" w:rsidR="004D7A10" w:rsidRPr="00C176D7" w:rsidRDefault="004D7A10" w:rsidP="004D7A10">
      <w:pPr>
        <w:rPr>
          <w:rFonts w:cs="Arial"/>
        </w:rPr>
      </w:pPr>
      <w:r>
        <w:t>Third, assurance and governance can strengthen credibility, but their scope is limited. All four companies use limited assurance over selected metrics; this should not be interpreted as reasonable assurance over the ESG strategy as a whole. Incentive metrics can increase accountability, but they can also concentrate management attention on the measures that determine vesting. Target revision may reflect learning and adaptation, yet repeated or weakly explained revisions can also make difficult ambitions easier to meet.</w:t>
      </w:r>
    </w:p>
    <w:p w14:paraId="504A3820" w14:textId="77777777" w:rsidR="004D7A10" w:rsidRPr="00C176D7" w:rsidRDefault="004D7A10" w:rsidP="004D7A10">
      <w:pPr>
        <w:rPr>
          <w:rFonts w:cs="Arial"/>
        </w:rPr>
      </w:pPr>
      <w:r>
        <w:t>Fourth, competitive outcomes are configurational rather than uniform. Unilever and Reckitt combine several positive ESG indicators with positive growth or margin measures in selected areas, whereas Diageo and ABF show progress on some ESG measures alongside weaker group-level financial outcomes. Within ABF, Primark remained comparatively resilient while the Sugar segment weighed on group performance. These patterns do not support a universal, immediate ESG return and instead point to the influence of category economics, portfolio structure, execution and time lags.</w:t>
      </w:r>
    </w:p>
    <w:p w14:paraId="4A5815F7" w14:textId="77777777" w:rsidR="004D7A10" w:rsidRPr="00C176D7" w:rsidRDefault="004D7A10" w:rsidP="00971EDF">
      <w:pPr>
        <w:pStyle w:val="Heading4"/>
      </w:pPr>
      <w:bookmarkStart w:id="100" w:name="table_4"/>
      <w:bookmarkStart w:id="101" w:name="_Toc240857237"/>
      <w:r w:rsidRPr="00C176D7">
        <w:t>Table 4. Triangulated mechanism findings and rival explanations</w:t>
      </w:r>
      <w:bookmarkEnd w:id="100"/>
      <w:bookmarkEnd w:id="101"/>
    </w:p>
    <w:tbl>
      <w:tblPr>
        <w:tblW w:w="9926" w:type="dxa"/>
        <w:jc w:val="center"/>
        <w:tblLayout w:type="fixed"/>
        <w:tblCellMar>
          <w:top w:w="105" w:type="dxa"/>
          <w:left w:w="90" w:type="dxa"/>
          <w:bottom w:w="105" w:type="dxa"/>
          <w:right w:w="90" w:type="dxa"/>
        </w:tblCellMar>
        <w:tblLook w:val="04A0" w:firstRow="1" w:lastRow="0" w:firstColumn="1" w:lastColumn="0" w:noHBand="0" w:noVBand="1"/>
      </w:tblPr>
      <w:tblGrid>
        <w:gridCol w:w="1639"/>
        <w:gridCol w:w="3098"/>
        <w:gridCol w:w="3124"/>
        <w:gridCol w:w="2065"/>
      </w:tblGrid>
      <w:tr w:rsidR="00971EDF" w:rsidRPr="00971EDF" w14:paraId="47795673" w14:textId="77777777" w:rsidTr="00575D08">
        <w:trPr>
          <w:cantSplit/>
          <w:trHeight w:val="253"/>
          <w:tblHeader/>
          <w:jc w:val="center"/>
        </w:trPr>
        <w:tc>
          <w:tcPr>
            <w:tcW w:w="1639" w:type="dxa"/>
            <w:tcBorders>
              <w:top w:val="single" w:sz="4" w:space="0" w:color="BCC7D1"/>
              <w:left w:val="single" w:sz="4" w:space="0" w:color="BCC7D1"/>
              <w:bottom w:val="single" w:sz="4" w:space="0" w:color="BCC7D1"/>
              <w:right w:val="single" w:sz="4" w:space="0" w:color="BCC7D1"/>
            </w:tcBorders>
            <w:shd w:val="clear" w:color="auto" w:fill="17365D"/>
          </w:tcPr>
          <w:p w14:paraId="304F859D" w14:textId="77777777" w:rsidR="004D7A10" w:rsidRPr="00971EDF" w:rsidRDefault="004D7A10" w:rsidP="0026770E">
            <w:pPr>
              <w:spacing w:after="0" w:line="276" w:lineRule="auto"/>
              <w:rPr>
                <w:rFonts w:cs="Arial"/>
                <w:color w:val="auto"/>
                <w:sz w:val="20"/>
                <w:szCs w:val="20"/>
              </w:rPr>
            </w:pPr>
            <w:r w:rsidRPr="00971EDF">
              <w:rPr>
                <w:rFonts w:cs="Arial"/>
                <w:b/>
                <w:color w:val="auto"/>
                <w:sz w:val="20"/>
                <w:szCs w:val="20"/>
              </w:rPr>
              <w:t>Mechanism</w:t>
            </w:r>
          </w:p>
        </w:tc>
        <w:tc>
          <w:tcPr>
            <w:tcW w:w="3098" w:type="dxa"/>
            <w:tcBorders>
              <w:top w:val="single" w:sz="4" w:space="0" w:color="BCC7D1"/>
              <w:left w:val="single" w:sz="4" w:space="0" w:color="BCC7D1"/>
              <w:bottom w:val="single" w:sz="4" w:space="0" w:color="BCC7D1"/>
              <w:right w:val="single" w:sz="4" w:space="0" w:color="BCC7D1"/>
            </w:tcBorders>
            <w:shd w:val="clear" w:color="auto" w:fill="17365D"/>
          </w:tcPr>
          <w:p w14:paraId="75C5AC8D" w14:textId="77777777" w:rsidR="004D7A10" w:rsidRPr="00971EDF" w:rsidRDefault="004D7A10" w:rsidP="0026770E">
            <w:pPr>
              <w:spacing w:after="0" w:line="276" w:lineRule="auto"/>
              <w:rPr>
                <w:rFonts w:cs="Arial"/>
                <w:color w:val="auto"/>
                <w:sz w:val="20"/>
                <w:szCs w:val="20"/>
              </w:rPr>
            </w:pPr>
            <w:r w:rsidRPr="00971EDF">
              <w:rPr>
                <w:rFonts w:cs="Arial"/>
                <w:b/>
                <w:color w:val="auto"/>
                <w:sz w:val="20"/>
                <w:szCs w:val="20"/>
              </w:rPr>
              <w:t>Triangulated evidence</w:t>
            </w:r>
          </w:p>
        </w:tc>
        <w:tc>
          <w:tcPr>
            <w:tcW w:w="3124" w:type="dxa"/>
            <w:tcBorders>
              <w:top w:val="single" w:sz="4" w:space="0" w:color="BCC7D1"/>
              <w:left w:val="single" w:sz="4" w:space="0" w:color="BCC7D1"/>
              <w:bottom w:val="single" w:sz="4" w:space="0" w:color="BCC7D1"/>
              <w:right w:val="single" w:sz="4" w:space="0" w:color="BCC7D1"/>
            </w:tcBorders>
            <w:shd w:val="clear" w:color="auto" w:fill="17365D"/>
          </w:tcPr>
          <w:p w14:paraId="3B79993B" w14:textId="77777777" w:rsidR="004D7A10" w:rsidRPr="00971EDF" w:rsidRDefault="004D7A10" w:rsidP="0026770E">
            <w:pPr>
              <w:spacing w:after="0" w:line="276" w:lineRule="auto"/>
              <w:rPr>
                <w:rFonts w:cs="Arial"/>
                <w:color w:val="auto"/>
                <w:sz w:val="20"/>
                <w:szCs w:val="20"/>
              </w:rPr>
            </w:pPr>
            <w:r w:rsidRPr="00971EDF">
              <w:rPr>
                <w:rFonts w:cs="Arial"/>
                <w:b/>
                <w:color w:val="auto"/>
                <w:sz w:val="20"/>
                <w:szCs w:val="20"/>
              </w:rPr>
              <w:t>Rival or negative evidence</w:t>
            </w:r>
          </w:p>
        </w:tc>
        <w:tc>
          <w:tcPr>
            <w:tcW w:w="2065" w:type="dxa"/>
            <w:tcBorders>
              <w:top w:val="single" w:sz="4" w:space="0" w:color="BCC7D1"/>
              <w:left w:val="single" w:sz="4" w:space="0" w:color="BCC7D1"/>
              <w:bottom w:val="single" w:sz="4" w:space="0" w:color="BCC7D1"/>
              <w:right w:val="single" w:sz="4" w:space="0" w:color="BCC7D1"/>
            </w:tcBorders>
            <w:shd w:val="clear" w:color="auto" w:fill="17365D"/>
          </w:tcPr>
          <w:p w14:paraId="42F83796" w14:textId="77777777" w:rsidR="004D7A10" w:rsidRPr="00971EDF" w:rsidRDefault="004D7A10" w:rsidP="0026770E">
            <w:pPr>
              <w:spacing w:after="0" w:line="276" w:lineRule="auto"/>
              <w:rPr>
                <w:rFonts w:cs="Arial"/>
                <w:color w:val="auto"/>
                <w:sz w:val="20"/>
                <w:szCs w:val="20"/>
              </w:rPr>
            </w:pPr>
            <w:r w:rsidRPr="00971EDF">
              <w:rPr>
                <w:rFonts w:cs="Arial"/>
                <w:b/>
                <w:color w:val="auto"/>
                <w:sz w:val="20"/>
                <w:szCs w:val="20"/>
              </w:rPr>
              <w:t>Judgement</w:t>
            </w:r>
          </w:p>
        </w:tc>
      </w:tr>
      <w:tr w:rsidR="00971EDF" w:rsidRPr="00971EDF" w14:paraId="7DA5A6CE" w14:textId="77777777" w:rsidTr="00575D08">
        <w:trPr>
          <w:cantSplit/>
          <w:trHeight w:val="2693"/>
          <w:jc w:val="center"/>
        </w:trPr>
        <w:tc>
          <w:tcPr>
            <w:tcW w:w="1639" w:type="dxa"/>
            <w:tcBorders>
              <w:top w:val="single" w:sz="4" w:space="0" w:color="BCC7D1"/>
              <w:left w:val="single" w:sz="4" w:space="0" w:color="BCC7D1"/>
              <w:bottom w:val="single" w:sz="4" w:space="0" w:color="BCC7D1"/>
              <w:right w:val="single" w:sz="4" w:space="0" w:color="BCC7D1"/>
            </w:tcBorders>
            <w:tcMar>
              <w:top w:w="80" w:type="dxa"/>
              <w:bottom w:w="80" w:type="dxa"/>
            </w:tcMar>
          </w:tcPr>
          <w:p w14:paraId="14F65545"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Operational capability</w:t>
            </w:r>
          </w:p>
        </w:tc>
        <w:tc>
          <w:tcPr>
            <w:tcW w:w="309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4931E33A"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Product, water, energy, packaging and supplier routines appear across all four cases.</w:t>
            </w:r>
          </w:p>
        </w:tc>
        <w:tc>
          <w:tcPr>
            <w:tcW w:w="312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19E6F387"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Some reductions reflect volume, portfolio or data changes; value-chain delivery depends on external actors.</w:t>
            </w:r>
          </w:p>
        </w:tc>
        <w:tc>
          <w:tcPr>
            <w:tcW w:w="2065" w:type="dxa"/>
            <w:tcBorders>
              <w:top w:val="single" w:sz="4" w:space="0" w:color="BCC7D1"/>
              <w:left w:val="single" w:sz="4" w:space="0" w:color="BCC7D1"/>
              <w:bottom w:val="single" w:sz="4" w:space="0" w:color="BCC7D1"/>
              <w:right w:val="single" w:sz="4" w:space="0" w:color="BCC7D1"/>
            </w:tcBorders>
            <w:tcMar>
              <w:top w:w="80" w:type="dxa"/>
              <w:bottom w:w="80" w:type="dxa"/>
            </w:tcMar>
          </w:tcPr>
          <w:p w14:paraId="4C193226"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Conditional: operational mechanisms are directly evidenced, but outcome attribution remains subject to boundary and rival-explanation checks.</w:t>
            </w:r>
          </w:p>
        </w:tc>
      </w:tr>
      <w:tr w:rsidR="00971EDF" w:rsidRPr="00971EDF" w14:paraId="3D388B49" w14:textId="77777777" w:rsidTr="00575D08">
        <w:trPr>
          <w:cantSplit/>
          <w:trHeight w:val="1341"/>
          <w:jc w:val="center"/>
        </w:trPr>
        <w:tc>
          <w:tcPr>
            <w:tcW w:w="1639"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56FD2638"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Credibility and reputation</w:t>
            </w:r>
          </w:p>
        </w:tc>
        <w:tc>
          <w:tcPr>
            <w:tcW w:w="3098"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48B01613"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Assurance is used by all cases; Diageo has an independent equality signal; transparent setbacks can support integrity.</w:t>
            </w:r>
          </w:p>
        </w:tc>
        <w:tc>
          <w:tcPr>
            <w:tcW w:w="3124"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264BA7AD"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CMA scrutiny, litigation exposure and sparse comparable reputation measures prevent a general reputation claim.</w:t>
            </w:r>
          </w:p>
        </w:tc>
        <w:tc>
          <w:tcPr>
            <w:tcW w:w="2065"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3F6C6A58"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Conditional and asymmetric.</w:t>
            </w:r>
          </w:p>
        </w:tc>
      </w:tr>
      <w:tr w:rsidR="00971EDF" w:rsidRPr="00971EDF" w14:paraId="2C4A732B" w14:textId="77777777" w:rsidTr="00575D08">
        <w:trPr>
          <w:cantSplit/>
          <w:trHeight w:val="1880"/>
          <w:jc w:val="center"/>
        </w:trPr>
        <w:tc>
          <w:tcPr>
            <w:tcW w:w="1639" w:type="dxa"/>
            <w:tcBorders>
              <w:top w:val="single" w:sz="4" w:space="0" w:color="BCC7D1"/>
              <w:left w:val="single" w:sz="4" w:space="0" w:color="BCC7D1"/>
              <w:bottom w:val="single" w:sz="4" w:space="0" w:color="BCC7D1"/>
              <w:right w:val="single" w:sz="4" w:space="0" w:color="BCC7D1"/>
            </w:tcBorders>
            <w:tcMar>
              <w:top w:w="80" w:type="dxa"/>
              <w:bottom w:w="80" w:type="dxa"/>
            </w:tcMar>
          </w:tcPr>
          <w:p w14:paraId="3D4436C7"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lastRenderedPageBreak/>
              <w:t>Innovation and differentiation</w:t>
            </w:r>
          </w:p>
        </w:tc>
        <w:tc>
          <w:tcPr>
            <w:tcW w:w="309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CF6402A"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Reckitt links sustainability to product assessment; Diageo’s moderation portfolio and case-level redesign show category fit.</w:t>
            </w:r>
          </w:p>
        </w:tc>
        <w:tc>
          <w:tcPr>
            <w:tcW w:w="312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0E087D3A"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Demand, efficacy, marketing, acquisition and price can explain product growth.</w:t>
            </w:r>
          </w:p>
        </w:tc>
        <w:tc>
          <w:tcPr>
            <w:tcW w:w="2065"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6B8D82F"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Conditional: plausible contributor where category fit is clear; isolated causation is not demonstrated.</w:t>
            </w:r>
          </w:p>
        </w:tc>
      </w:tr>
      <w:tr w:rsidR="00971EDF" w:rsidRPr="00971EDF" w14:paraId="0A1F70DB" w14:textId="77777777" w:rsidTr="00575D08">
        <w:trPr>
          <w:cantSplit/>
          <w:trHeight w:val="1615"/>
          <w:jc w:val="center"/>
        </w:trPr>
        <w:tc>
          <w:tcPr>
            <w:tcW w:w="1639"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3F310845"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Efficiency and resilience</w:t>
            </w:r>
          </w:p>
        </w:tc>
        <w:tc>
          <w:tcPr>
            <w:tcW w:w="3098"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57171C20"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 xml:space="preserve">Own-operation emissions, energy and water </w:t>
            </w:r>
            <w:proofErr w:type="spellStart"/>
            <w:r w:rsidRPr="00971EDF">
              <w:rPr>
                <w:rFonts w:cs="Arial"/>
                <w:color w:val="auto"/>
                <w:sz w:val="20"/>
                <w:szCs w:val="20"/>
              </w:rPr>
              <w:t>programmes</w:t>
            </w:r>
            <w:proofErr w:type="spellEnd"/>
            <w:r w:rsidRPr="00971EDF">
              <w:rPr>
                <w:rFonts w:cs="Arial"/>
                <w:color w:val="auto"/>
                <w:sz w:val="20"/>
                <w:szCs w:val="20"/>
              </w:rPr>
              <w:t xml:space="preserve"> provide observable resource and continuity pathways.</w:t>
            </w:r>
          </w:p>
        </w:tc>
        <w:tc>
          <w:tcPr>
            <w:tcW w:w="3124"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2C9EE865"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Reported financial performance diverged at Diageo and ABF; crisis or segment conditions dominate some outcomes.</w:t>
            </w:r>
          </w:p>
        </w:tc>
        <w:tc>
          <w:tcPr>
            <w:tcW w:w="2065" w:type="dxa"/>
            <w:tcBorders>
              <w:top w:val="single" w:sz="4" w:space="0" w:color="BCC7D1"/>
              <w:left w:val="single" w:sz="4" w:space="0" w:color="BCC7D1"/>
              <w:bottom w:val="single" w:sz="4" w:space="0" w:color="BCC7D1"/>
              <w:right w:val="single" w:sz="4" w:space="0" w:color="BCC7D1"/>
            </w:tcBorders>
            <w:shd w:val="clear" w:color="auto" w:fill="F3F5F7"/>
            <w:tcMar>
              <w:top w:w="80" w:type="dxa"/>
              <w:bottom w:w="80" w:type="dxa"/>
            </w:tcMar>
          </w:tcPr>
          <w:p w14:paraId="67462C54"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Conditional operational contribution; a distinct financial effect is not demonstrated.</w:t>
            </w:r>
          </w:p>
        </w:tc>
      </w:tr>
      <w:tr w:rsidR="00971EDF" w:rsidRPr="00971EDF" w14:paraId="77211178" w14:textId="77777777" w:rsidTr="00575D08">
        <w:trPr>
          <w:cantSplit/>
          <w:trHeight w:val="2419"/>
          <w:jc w:val="center"/>
        </w:trPr>
        <w:tc>
          <w:tcPr>
            <w:tcW w:w="1639"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33928F8"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Long-term advantage</w:t>
            </w:r>
          </w:p>
        </w:tc>
        <w:tc>
          <w:tcPr>
            <w:tcW w:w="3098" w:type="dxa"/>
            <w:tcBorders>
              <w:top w:val="single" w:sz="4" w:space="0" w:color="BCC7D1"/>
              <w:left w:val="single" w:sz="4" w:space="0" w:color="BCC7D1"/>
              <w:bottom w:val="single" w:sz="4" w:space="0" w:color="BCC7D1"/>
              <w:right w:val="single" w:sz="4" w:space="0" w:color="BCC7D1"/>
            </w:tcBorders>
            <w:tcMar>
              <w:top w:w="80" w:type="dxa"/>
              <w:bottom w:w="80" w:type="dxa"/>
            </w:tcMar>
          </w:tcPr>
          <w:p w14:paraId="72E5A0C3"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Embedded data, supplier and innovation routines are less imitable than public commitments.</w:t>
            </w:r>
          </w:p>
        </w:tc>
        <w:tc>
          <w:tcPr>
            <w:tcW w:w="3124" w:type="dxa"/>
            <w:tcBorders>
              <w:top w:val="single" w:sz="4" w:space="0" w:color="BCC7D1"/>
              <w:left w:val="single" w:sz="4" w:space="0" w:color="BCC7D1"/>
              <w:bottom w:val="single" w:sz="4" w:space="0" w:color="BCC7D1"/>
              <w:right w:val="single" w:sz="4" w:space="0" w:color="BCC7D1"/>
            </w:tcBorders>
            <w:tcMar>
              <w:top w:w="80" w:type="dxa"/>
              <w:bottom w:w="80" w:type="dxa"/>
            </w:tcMar>
          </w:tcPr>
          <w:p w14:paraId="6E553D9E"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Unilever and Reckitt growth contrasts with weaker Diageo and ABF group outcomes; time lags are unresolved.</w:t>
            </w:r>
          </w:p>
        </w:tc>
        <w:tc>
          <w:tcPr>
            <w:tcW w:w="2065" w:type="dxa"/>
            <w:tcBorders>
              <w:top w:val="single" w:sz="4" w:space="0" w:color="BCC7D1"/>
              <w:left w:val="single" w:sz="4" w:space="0" w:color="BCC7D1"/>
              <w:bottom w:val="single" w:sz="4" w:space="0" w:color="BCC7D1"/>
              <w:right w:val="single" w:sz="4" w:space="0" w:color="BCC7D1"/>
            </w:tcBorders>
            <w:tcMar>
              <w:top w:w="80" w:type="dxa"/>
              <w:bottom w:w="80" w:type="dxa"/>
            </w:tcMar>
          </w:tcPr>
          <w:p w14:paraId="5729BC13" w14:textId="77777777" w:rsidR="004D7A10" w:rsidRPr="00971EDF" w:rsidRDefault="004D7A10" w:rsidP="0026770E">
            <w:pPr>
              <w:spacing w:after="0" w:line="276" w:lineRule="auto"/>
              <w:rPr>
                <w:rFonts w:cs="Arial"/>
                <w:color w:val="auto"/>
                <w:sz w:val="20"/>
                <w:szCs w:val="20"/>
              </w:rPr>
            </w:pPr>
            <w:r w:rsidRPr="00971EDF">
              <w:rPr>
                <w:rFonts w:cs="Arial"/>
                <w:color w:val="auto"/>
                <w:sz w:val="20"/>
                <w:szCs w:val="20"/>
              </w:rPr>
              <w:t>Configurational contribution only; no universal ESG premium or statistically demonstrated reputation-performance relationship.</w:t>
            </w:r>
          </w:p>
        </w:tc>
      </w:tr>
    </w:tbl>
    <w:p w14:paraId="4AA8305D" w14:textId="77777777" w:rsidR="00981CC7" w:rsidRDefault="00CC58FE">
      <w:r>
        <w:t xml:space="preserve">Source: Author's cross-case synthesis of the evidence reported in </w:t>
      </w:r>
      <w:r>
        <w:t>Chapter 4.</w:t>
      </w:r>
    </w:p>
    <w:p w14:paraId="31543EB8" w14:textId="77777777" w:rsidR="004D7A10" w:rsidRPr="00C176D7" w:rsidRDefault="004D7A10" w:rsidP="004D7A10">
      <w:pPr>
        <w:rPr>
          <w:rFonts w:cs="Arial"/>
        </w:rPr>
      </w:pPr>
    </w:p>
    <w:p w14:paraId="07F6F802" w14:textId="77777777" w:rsidR="004B4463" w:rsidRPr="004D7A10" w:rsidRDefault="004D7A10">
      <w:pPr>
        <w:rPr>
          <w:rFonts w:cs="Arial"/>
        </w:rPr>
      </w:pPr>
      <w:r w:rsidRPr="00C176D7">
        <w:rPr>
          <w:rFonts w:cs="Arial"/>
        </w:rPr>
        <w:t xml:space="preserve">Overall, the operational route is supported by more direct documentary evidence than the reputation route. Emission reductions, product redesign, water initiatives and supplier </w:t>
      </w:r>
      <w:proofErr w:type="spellStart"/>
      <w:r w:rsidRPr="00C176D7">
        <w:rPr>
          <w:rFonts w:cs="Arial"/>
        </w:rPr>
        <w:t>programmes</w:t>
      </w:r>
      <w:proofErr w:type="spellEnd"/>
      <w:r w:rsidRPr="00C176D7">
        <w:rPr>
          <w:rFonts w:cs="Arial"/>
        </w:rPr>
        <w:t xml:space="preserve"> are observable, although their boundaries and causal interpretation remain imperfect. The presence of an operational routine demonstrates a plausible capability mechanism, not a demonstrated effect on competitive outcomes, because volume, portfolio, pricing and other rival explanations may remain. The findings therefore support ESG as a potential contributor to sustainable competitive advantage within a configuration of capabilities and market conditions, rather than as a standalone cause</w:t>
      </w:r>
      <w:r w:rsidR="00F763E6">
        <w:t>.</w:t>
      </w:r>
    </w:p>
    <w:p w14:paraId="28950C11" w14:textId="77777777" w:rsidR="004B4463" w:rsidRDefault="00F763E6">
      <w:pPr>
        <w:pStyle w:val="Heading1"/>
        <w:pageBreakBefore/>
      </w:pPr>
      <w:bookmarkStart w:id="102" w:name="_Toc240378636"/>
      <w:bookmarkStart w:id="103" w:name="_Toc240858690"/>
      <w:r>
        <w:lastRenderedPageBreak/>
        <w:t>Chapter 5: Discussion</w:t>
      </w:r>
      <w:bookmarkEnd w:id="102"/>
      <w:bookmarkEnd w:id="103"/>
    </w:p>
    <w:p w14:paraId="78FCA983" w14:textId="77777777" w:rsidR="004B4463" w:rsidRDefault="00F763E6">
      <w:pPr>
        <w:pStyle w:val="Heading2"/>
      </w:pPr>
      <w:bookmarkStart w:id="104" w:name="_Toc240378637"/>
      <w:bookmarkStart w:id="105" w:name="_Toc240858691"/>
      <w:r>
        <w:t>5.1 Introduction</w:t>
      </w:r>
      <w:bookmarkEnd w:id="104"/>
      <w:bookmarkEnd w:id="105"/>
    </w:p>
    <w:p w14:paraId="0FFFEF6B" w14:textId="77777777" w:rsidR="004B4463" w:rsidRDefault="00F763E6">
      <w:r>
        <w:t>This chapter interprets the findings in relation to the literature and the research questions. The central conclusion is that the ESG label does not create value directly; any contribution operates through governed mechanisms. Across the cases, two pathways are evident: operational capability and stakeholder reputation. The operational pathway is more directly observable, whereas the reputational pathway is more conditional. Commercial outcomes reflect the interaction of ESG substance with category economics, portfolio change, evidence credibility and time, challenging both an automatic business-case interpretation and the view that all ESG activity is merely symbolic.</w:t>
      </w:r>
    </w:p>
    <w:p w14:paraId="689093D7" w14:textId="77777777" w:rsidR="004B4463" w:rsidRDefault="00F763E6">
      <w:pPr>
        <w:pStyle w:val="Heading2"/>
      </w:pPr>
      <w:bookmarkStart w:id="106" w:name="_Toc240378638"/>
      <w:bookmarkStart w:id="107" w:name="_Toc240858692"/>
      <w:r>
        <w:t xml:space="preserve">5.2 How ESG strategy is </w:t>
      </w:r>
      <w:proofErr w:type="spellStart"/>
      <w:r>
        <w:t>conceptualised</w:t>
      </w:r>
      <w:proofErr w:type="spellEnd"/>
      <w:r>
        <w:t xml:space="preserve"> and implemented</w:t>
      </w:r>
      <w:bookmarkEnd w:id="106"/>
      <w:bookmarkEnd w:id="107"/>
    </w:p>
    <w:p w14:paraId="0D84933F" w14:textId="77777777" w:rsidR="004B4463" w:rsidRDefault="00F763E6">
      <w:r>
        <w:t xml:space="preserve">The first research question asks how ESG strategy is </w:t>
      </w:r>
      <w:proofErr w:type="spellStart"/>
      <w:r>
        <w:t>conceptualised</w:t>
      </w:r>
      <w:proofErr w:type="spellEnd"/>
      <w:r>
        <w:t xml:space="preserve">, governed and implemented. Across the four cases, ESG extends beyond disclosure but does not follow a single </w:t>
      </w:r>
      <w:proofErr w:type="spellStart"/>
      <w:r>
        <w:t>organisational</w:t>
      </w:r>
      <w:proofErr w:type="spellEnd"/>
      <w:r>
        <w:t xml:space="preserve"> model. Unilever and Reckitt use relatively concentrated target systems; Diageo adapts targets to the material issues of beverage alcohol; and ABF combines group-level oversight with </w:t>
      </w:r>
      <w:proofErr w:type="spellStart"/>
      <w:r>
        <w:t>decentralised</w:t>
      </w:r>
      <w:proofErr w:type="spellEnd"/>
      <w:r>
        <w:t xml:space="preserve"> business design. This is consistent with Edmans (2023), who argues that stakeholder factors should be integrated into ordinary strategy rather than treated as a generic ESG category. It also supports Gillan, Koch and Starks' (2021) observation that similar ESG labels can describe different </w:t>
      </w:r>
      <w:proofErr w:type="spellStart"/>
      <w:r>
        <w:t>organisational</w:t>
      </w:r>
      <w:proofErr w:type="spellEnd"/>
      <w:r>
        <w:t xml:space="preserve"> phenomena.</w:t>
      </w:r>
    </w:p>
    <w:p w14:paraId="3211A032" w14:textId="77777777" w:rsidR="004B4463" w:rsidRDefault="00F763E6">
      <w:r>
        <w:t>Implementation is strongest where a material issue is linked to an operating process. Reckitt integrates life-cycle comparison into product development through its Sustainable Innovation Calculator. Diageo links water stewardship to production locations and moderation to category development. Unilever connects plastics, sourcing and agricultural supply chains, while Primark links materials, circular design and supplier energy to value-fashion. From an RBV perspective, the potential source of value lies less in public commitments than in accumulated knowledge, relationships and routines. A target can be copied more easily than a traceable supplier network or a cross-functional innovation system.</w:t>
      </w:r>
    </w:p>
    <w:p w14:paraId="693B5C81" w14:textId="77777777" w:rsidR="004B4463" w:rsidRDefault="00F763E6">
      <w:r>
        <w:lastRenderedPageBreak/>
        <w:t xml:space="preserve">Governance structure matters, but it is not determinative. </w:t>
      </w:r>
      <w:proofErr w:type="spellStart"/>
      <w:r>
        <w:t>Centralisation</w:t>
      </w:r>
      <w:proofErr w:type="spellEnd"/>
      <w:r>
        <w:t xml:space="preserve"> can support common definitions and escalation while also imposing targets that may fit some categories poorly. </w:t>
      </w:r>
      <w:proofErr w:type="spellStart"/>
      <w:r>
        <w:t>Decentralisation</w:t>
      </w:r>
      <w:proofErr w:type="spellEnd"/>
      <w:r>
        <w:t xml:space="preserve"> can improve materiality but may permit inconsistent standards. ABF's quarterly ESG Update Meetings, introduced in 2025, can therefore be interpreted as strengthening central visibility without eliminating business-level autonomy. This finding extends stakeholder theory by showing that responsiveness requires not only identifying stakeholder claims but also creating </w:t>
      </w:r>
      <w:proofErr w:type="spellStart"/>
      <w:r>
        <w:t>organisational</w:t>
      </w:r>
      <w:proofErr w:type="spellEnd"/>
      <w:r>
        <w:t xml:space="preserve"> pathways through which competing claims influence capital and operating decisions.</w:t>
      </w:r>
    </w:p>
    <w:p w14:paraId="25589F80" w14:textId="77777777" w:rsidR="004B4463" w:rsidRDefault="00F763E6">
      <w:r>
        <w:t xml:space="preserve">Further evidence of strategic integration appears in incentive design. Sustainability metrics in Unilever's performance-share plan and Reckitt's long-term incentive plan make delivery consequential for executives. Incentives nevertheless require careful design because narrow metrics can be </w:t>
      </w:r>
      <w:proofErr w:type="spellStart"/>
      <w:r>
        <w:t>optimised</w:t>
      </w:r>
      <w:proofErr w:type="spellEnd"/>
      <w:r>
        <w:t xml:space="preserve"> through product mix, boundary choices or timing. This is consistent with Christensen, Hail and </w:t>
      </w:r>
      <w:proofErr w:type="spellStart"/>
      <w:r>
        <w:t>Leuz</w:t>
      </w:r>
      <w:proofErr w:type="spellEnd"/>
      <w:r>
        <w:t xml:space="preserve"> (2021), who show that sustainability reporting and measurement can generate both intended and unintended </w:t>
      </w:r>
      <w:proofErr w:type="spellStart"/>
      <w:r>
        <w:t>behavioural</w:t>
      </w:r>
      <w:proofErr w:type="spellEnd"/>
      <w:r>
        <w:t xml:space="preserve"> effects. Boards should therefore oversee metric design as well as the headline weighting.</w:t>
      </w:r>
    </w:p>
    <w:p w14:paraId="53EBB4C9" w14:textId="77777777" w:rsidR="004B4463" w:rsidRDefault="00F763E6">
      <w:pPr>
        <w:pStyle w:val="Heading2"/>
      </w:pPr>
      <w:bookmarkStart w:id="108" w:name="_Toc240378639"/>
      <w:bookmarkStart w:id="109" w:name="_Toc240858693"/>
      <w:r>
        <w:t>5.3 Reputation as a conditional and asymmetric mechanism</w:t>
      </w:r>
      <w:bookmarkEnd w:id="108"/>
      <w:bookmarkEnd w:id="109"/>
    </w:p>
    <w:p w14:paraId="14836135" w14:textId="77777777" w:rsidR="004B4463" w:rsidRDefault="00F763E6">
      <w:r>
        <w:t xml:space="preserve">The second research question concerns the influence of ESG on reputation. The evidence supports a credibility-mediated rather than direct pathway. Stakeholders receive claims and observe outcomes, which may shape perceptions of competence and integrity and, over time, assessments of the company. Limited assurance, transparent baselines and independent recognition can reduce information asymmetry. The clearest positive indicator that is independent of company narrative is Diageo's </w:t>
      </w:r>
      <w:proofErr w:type="spellStart"/>
      <w:r>
        <w:t>Equileap</w:t>
      </w:r>
      <w:proofErr w:type="spellEnd"/>
      <w:r>
        <w:t xml:space="preserve"> ranking. By contrast, social-impact reach measures reported by Reckitt or Unilever demonstrate activity rather than direct stakeholder judgement.</w:t>
      </w:r>
    </w:p>
    <w:p w14:paraId="0F34EE19" w14:textId="77777777" w:rsidR="004B4463" w:rsidRDefault="00F763E6">
      <w:r>
        <w:t xml:space="preserve">This distinction qualifies the positive reputational pathways identified by Gangi, Daniele and Varrone (2020) and Meng et al. (2023). Aggregate measures can conflate three separate stages: production of evidence, stakeholder interpretation of that evidence and the resulting reputation. In the case evidence, these stages are not directly connected. Operational progress may occur without broad stakeholder awareness; a high-profile </w:t>
      </w:r>
      <w:r>
        <w:lastRenderedPageBreak/>
        <w:t xml:space="preserve">target can raise expectations before outcomes are delivered; and an unrelated controversy can dominate reputational interpretation. Reputation should therefore be treated as stakeholder-specific and issue-specific before it is </w:t>
      </w:r>
      <w:proofErr w:type="spellStart"/>
      <w:r>
        <w:t>generalised</w:t>
      </w:r>
      <w:proofErr w:type="spellEnd"/>
      <w:r>
        <w:t xml:space="preserve"> to the corporate level.</w:t>
      </w:r>
    </w:p>
    <w:p w14:paraId="7C9EDF43" w14:textId="77777777" w:rsidR="004B4463" w:rsidRDefault="00F763E6">
      <w:r>
        <w:t xml:space="preserve">Legitimacy theory also directs attention to asymmetry in how claims are </w:t>
      </w:r>
      <w:proofErr w:type="spellStart"/>
      <w:r>
        <w:t>scrutinised</w:t>
      </w:r>
      <w:proofErr w:type="spellEnd"/>
      <w:r>
        <w:t xml:space="preserve">. The CMA's investigation of Unilever's environmental claims demonstrates regulatory attention to substantiation, but the 2024 closure neither found a breach nor constituted a general exoneration (Competition and Markets Authority, 2024). Reckitt's NEC-related litigation disclosures likewise show that a company can face salient governance or product-risk exposure while environmental and social </w:t>
      </w:r>
      <w:proofErr w:type="spellStart"/>
      <w:r>
        <w:t>programmes</w:t>
      </w:r>
      <w:proofErr w:type="spellEnd"/>
      <w:r>
        <w:t xml:space="preserve"> continue elsewhere in the business. </w:t>
      </w:r>
      <w:proofErr w:type="spellStart"/>
      <w:r>
        <w:t>Ghitti</w:t>
      </w:r>
      <w:proofErr w:type="spellEnd"/>
      <w:r>
        <w:t xml:space="preserve">, </w:t>
      </w:r>
      <w:proofErr w:type="spellStart"/>
      <w:r>
        <w:t>Gianfrate</w:t>
      </w:r>
      <w:proofErr w:type="spellEnd"/>
      <w:r>
        <w:t xml:space="preserve"> and Palma (2024) provide a theoretical account of greenwashing incentives and agency problems; the present cases are consistent with the relevance of claim-level governance risk, but they do not independently confirm the authors' causal explanation.</w:t>
      </w:r>
    </w:p>
    <w:p w14:paraId="75E817A8" w14:textId="77777777" w:rsidR="004B4463" w:rsidRDefault="00F763E6">
      <w:r>
        <w:t>Reputation is therefore treated as a conditional conceptual mechanism rather than as a statistically demonstrated mediator. Repeated, verified actions may plausibly strengthen stakeholder confidence over time, while a salient contradiction may prompt a larger negative reassessment because stakeholders can interpret it as evidence about governance beyond the disputed claim. This asymmetry is theoretically consistent with legitimacy and stakeholder perspectives, but the present documentary design does not estimate a nonlinear 'downside convexity' effect. Regulators, consumers, employees and suppliers also apply different evaluative criteria, which reinforces the limits of a single reputation index.</w:t>
      </w:r>
    </w:p>
    <w:p w14:paraId="63E06DDB" w14:textId="77777777" w:rsidR="004B4463" w:rsidRDefault="00F763E6">
      <w:pPr>
        <w:pStyle w:val="Heading2"/>
      </w:pPr>
      <w:bookmarkStart w:id="110" w:name="_Toc240378640"/>
      <w:bookmarkStart w:id="111" w:name="_Toc240858694"/>
      <w:r>
        <w:t>5.4 Contribution to long-term competitive advantage</w:t>
      </w:r>
      <w:bookmarkEnd w:id="110"/>
      <w:bookmarkEnd w:id="111"/>
    </w:p>
    <w:p w14:paraId="33E36511" w14:textId="77777777" w:rsidR="004B4463" w:rsidRDefault="00F763E6">
      <w:r>
        <w:t>The third research question asks how reputation-related evidence aligns with indicators of long-term competitive advantage. The cases show mixed patterns and do not support a statistical correlation or causal conclusion. Unilever and Reckitt combine several positive ESG indicators with positive underlying or like-for-like commercial measures in selected areas. Diageo and ABF also show ESG progress on some indicators while facing weaker group-level financial outcomes or category-specific headwinds. These counter-</w:t>
      </w:r>
      <w:r>
        <w:lastRenderedPageBreak/>
        <w:t>patterns are analytically important because they show that ESG progress and commercial performance can move differently across metrics, firms and periods. The evidence therefore supports only a conditional association, subject to substantial rival explanations.</w:t>
      </w:r>
    </w:p>
    <w:p w14:paraId="35A91657" w14:textId="77777777" w:rsidR="004B4463" w:rsidRDefault="00F763E6">
      <w:r>
        <w:t>Several rival explanations remain material. Unilever's performance is also shaped by portfolio simplification, Power Brand concentration, market mix and productivity. Reckitt's revenue and margin are influenced by price/mix, Fuel for Growth and the Essential Home disposal. Diageo faces foreign-exchange, impairment, restructuring and category-demand effects. ABF's group profit is affected by weak Sugar economics, while Primark's retail performance reflects store expansion, pricing and cost control. These factors do not rule out an ESG contribution; rather, they show that any contribution is embedded within a wider business configuration and is difficult to isolate from complementary actions.</w:t>
      </w:r>
    </w:p>
    <w:p w14:paraId="32CAE74A" w14:textId="77777777" w:rsidR="004B4463" w:rsidRDefault="00F763E6">
      <w:r>
        <w:t xml:space="preserve">The operational pathway is more directly observable. Energy efficiency, renewable procurement, packaging redesign, concentrated formulations, water projects and supplier capability can affect costs, continuity and product relevance. This is consistent with the relationship between ESG-oriented innovation and subsequent </w:t>
      </w:r>
      <w:proofErr w:type="spellStart"/>
      <w:r>
        <w:t>organisational</w:t>
      </w:r>
      <w:proofErr w:type="spellEnd"/>
      <w:r>
        <w:t xml:space="preserve"> outcomes identified by Cabaleiro-Cerviño and Mendi (2024). It also helps explain why value-chain progress is slower: many capabilities lie outside the focal firm and require coordination, infrastructure and external investment. Differences between own-operation and Scope 3 outcomes therefore mark the limits of unilateral control. A potential source of advantage is the ability to coordinate these interdependent requirements more effectively than competitors.</w:t>
      </w:r>
    </w:p>
    <w:p w14:paraId="2D17DA00" w14:textId="5906DBA1" w:rsidR="004B4463" w:rsidRDefault="00F763E6">
      <w:r>
        <w:t xml:space="preserve">The relational pathway remains commercially relevant. Reputation can reduce stakeholder friction, support talent attraction, maintain </w:t>
      </w:r>
      <w:proofErr w:type="spellStart"/>
      <w:r>
        <w:t>licence</w:t>
      </w:r>
      <w:proofErr w:type="spellEnd"/>
      <w:r>
        <w:t xml:space="preserve"> to operate and strengthen customer preference. </w:t>
      </w:r>
      <w:proofErr w:type="spellStart"/>
      <w:r>
        <w:t>Fafaliou</w:t>
      </w:r>
      <w:proofErr w:type="spellEnd"/>
      <w:r>
        <w:t xml:space="preserve"> et al. (2022) associate ESG reputational risk with market longevity, while crisis studies suggest that stakeholder capital can contribute to resilience (Albuquerque et al., 2020; Broadstock et al., 2021). However, directly comparable reputation evidence is limited in this study. The appropriate conclusion is therefore that verified ESG may create reputational potential, not </w:t>
      </w:r>
      <w:r w:rsidR="00971EDF">
        <w:t>those reputational gains</w:t>
      </w:r>
      <w:r>
        <w:t xml:space="preserve"> are automatically </w:t>
      </w:r>
      <w:proofErr w:type="spellStart"/>
      <w:r>
        <w:t>realised</w:t>
      </w:r>
      <w:proofErr w:type="spellEnd"/>
      <w:r>
        <w:t>.</w:t>
      </w:r>
    </w:p>
    <w:p w14:paraId="0712FCDB" w14:textId="77777777" w:rsidR="004B4463" w:rsidRDefault="00F763E6">
      <w:r>
        <w:lastRenderedPageBreak/>
        <w:t>The RBV also changes the expected source of advantage. Public targets and ratings can be copied and may converge as disclosure expectations become more structured. The UK SRS S1 and S2 were published in 2026 as a UK sustainability-reporting framework, while the UK Corporate Governance Code strengthens expectations around material controls for relevant reporting periods. These developments do not mean that all four companies were already subject to identical mandatory disclosure requirements. Rather, they reduce the distinctiveness of disclosure alone and increase the potential strategic value of firm-specific data quality, supplier relationships, design know-how and adaptive execution.</w:t>
      </w:r>
    </w:p>
    <w:p w14:paraId="7E7B22A4" w14:textId="77777777" w:rsidR="004B4463" w:rsidRDefault="00F763E6">
      <w:pPr>
        <w:pStyle w:val="Heading2"/>
      </w:pPr>
      <w:bookmarkStart w:id="112" w:name="_Toc240378641"/>
      <w:bookmarkStart w:id="113" w:name="_Toc240858695"/>
      <w:r>
        <w:t>5.5 Conditions that strengthen or weaken the mechanisms</w:t>
      </w:r>
      <w:bookmarkEnd w:id="112"/>
      <w:bookmarkEnd w:id="113"/>
    </w:p>
    <w:p w14:paraId="54ECD98D" w14:textId="77777777" w:rsidR="004B4463" w:rsidRDefault="00F763E6">
      <w:r>
        <w:t xml:space="preserve">The fourth research question concerns boundary conditions. Six conditions recur across the evidence. Materiality appears to strengthen both operational and relational routes because action is more likely to receive resources and stakeholder attention when it addresses a consequential dependency or expectation; however, this design does not test materiality as a necessary causal condition. Category fit similarly affects salience: responsible-drinking </w:t>
      </w:r>
      <w:proofErr w:type="spellStart"/>
      <w:r>
        <w:t>programmes</w:t>
      </w:r>
      <w:proofErr w:type="spellEnd"/>
      <w:r>
        <w:t xml:space="preserve"> are closer to Diageo's </w:t>
      </w:r>
      <w:proofErr w:type="spellStart"/>
      <w:r>
        <w:t>licence</w:t>
      </w:r>
      <w:proofErr w:type="spellEnd"/>
      <w:r>
        <w:t xml:space="preserve">-to-operate issues, while product efficacy and health claims are closer to Reckitt's category legitimacy. Governance ownership and incentives can support implementation, but they can also distort </w:t>
      </w:r>
      <w:proofErr w:type="spellStart"/>
      <w:r>
        <w:t>behaviour</w:t>
      </w:r>
      <w:proofErr w:type="spellEnd"/>
      <w:r>
        <w:t xml:space="preserve"> if metric design is weak.</w:t>
      </w:r>
    </w:p>
    <w:p w14:paraId="1D62C653" w14:textId="77777777" w:rsidR="004B4463" w:rsidRDefault="00F763E6">
      <w:r>
        <w:t xml:space="preserve">Fourth, evidence quality is fundamental to credibility. Transparent definitions, stable baselines, disclosed restatements, clear scope and acknowledgement of setbacks help stakeholders assess performance. Berg, Kölbel and </w:t>
      </w:r>
      <w:proofErr w:type="spellStart"/>
      <w:r>
        <w:t>Rigobon</w:t>
      </w:r>
      <w:proofErr w:type="spellEnd"/>
      <w:r>
        <w:t xml:space="preserve"> (2022) explain why aggregate ratings diverge; the cases suggest a practical response in which decision-useful underlying metrics are </w:t>
      </w:r>
      <w:proofErr w:type="spellStart"/>
      <w:r>
        <w:t>prioritised</w:t>
      </w:r>
      <w:proofErr w:type="spellEnd"/>
      <w:r>
        <w:t xml:space="preserve"> over </w:t>
      </w:r>
      <w:proofErr w:type="spellStart"/>
      <w:r>
        <w:t>optimisation</w:t>
      </w:r>
      <w:proofErr w:type="spellEnd"/>
      <w:r>
        <w:t xml:space="preserve"> of a single score. Limited assurance can strengthen confidence in selected indicators but is not sufficient on its own. A progressive assurance model should direct stronger verification toward the most material and claim-sensitive metrics.</w:t>
      </w:r>
    </w:p>
    <w:p w14:paraId="715F184B" w14:textId="77777777" w:rsidR="004B4463" w:rsidRDefault="00F763E6">
      <w:r>
        <w:t xml:space="preserve">Fifth, external dependency weakens short-term control. Progress on Scope 3 emissions, flexible packaging and recycled-content availability depends on suppliers, infrastructure and policy conditions as well as on the focal company. This constraint is evident in </w:t>
      </w:r>
      <w:r>
        <w:lastRenderedPageBreak/>
        <w:t>Diageo's year-on-year Scope 3 increase despite improvement from the baseline, and in Reckitt's packaging shortfall. A systems perspective therefore distinguishes responsibility for strategy from direct ownership of every outcome. Credibility depends on separating controllable levers from external dependencies and reporting both transparently.</w:t>
      </w:r>
    </w:p>
    <w:p w14:paraId="6833F3A6" w14:textId="77777777" w:rsidR="004B4463" w:rsidRDefault="00F763E6">
      <w:r>
        <w:t xml:space="preserve">Sixth, value capture depends on affordability and commercial fit. Cost remains a barrier to sustainable consumption (Deloitte, 2024), while stated willingness to pay is </w:t>
      </w:r>
      <w:proofErr w:type="spellStart"/>
      <w:r>
        <w:t>behaviourally</w:t>
      </w:r>
      <w:proofErr w:type="spellEnd"/>
      <w:r>
        <w:t xml:space="preserve"> ambiguous (PwC, 2024). Primark illustrates the importance of embedding sustainability within a value proposition rather than treating it as a premium add-on. Firms that make sustainability conditional on higher prices may exclude price-sensitive consumers or sacrifice volume. Innovation that reduces energy, materials or total cost can mitigate this trade-off while creating more inclusive stakeholder value.</w:t>
      </w:r>
    </w:p>
    <w:p w14:paraId="2C1711A1" w14:textId="77777777" w:rsidR="004B4463" w:rsidRDefault="00F763E6">
      <w:pPr>
        <w:pStyle w:val="Heading2"/>
      </w:pPr>
      <w:bookmarkStart w:id="114" w:name="_Toc240378642"/>
      <w:bookmarkStart w:id="115" w:name="_Toc240858696"/>
      <w:r>
        <w:t>5.6 Revised conceptual framework and theoretical contribution</w:t>
      </w:r>
      <w:bookmarkEnd w:id="114"/>
      <w:bookmarkEnd w:id="115"/>
    </w:p>
    <w:p w14:paraId="0C0C1DAA" w14:textId="77777777" w:rsidR="004B4463" w:rsidRDefault="00F763E6">
      <w:r>
        <w:t>The evidence refines the original framework in three ways. First, it clarifies that materiality and governance are constituent features of substantive ESG strategy, rather than separate external amplifiers; Figure 1 already located governance within the strategy construct, so the revision makes that relationship explicit rather than claiming a wholly new placement. Second, the revised framework inserts verified outcomes and claim control between operational action and stakeholder judgement. Third, it represents commercial and portfolio pressures as rival or interacting influences on observed performance rather than treating them as residual noise.</w:t>
      </w:r>
    </w:p>
    <w:p w14:paraId="47DAC3DF" w14:textId="77777777" w:rsidR="004B4463" w:rsidRDefault="00F763E6" w:rsidP="00A504AC">
      <w:pPr>
        <w:pStyle w:val="FigureCaption"/>
        <w:keepNext/>
      </w:pPr>
      <w:bookmarkStart w:id="116" w:name="fig_3"/>
      <w:bookmarkStart w:id="117" w:name="_Toc240857242"/>
      <w:r>
        <w:lastRenderedPageBreak/>
        <w:t xml:space="preserve">Figure </w:t>
      </w:r>
      <w:r w:rsidR="002915E8">
        <w:t>5</w:t>
      </w:r>
      <w:r>
        <w:t>. Revised evidence-based mechanism model</w:t>
      </w:r>
      <w:bookmarkEnd w:id="116"/>
      <w:bookmarkEnd w:id="117"/>
    </w:p>
    <w:p w14:paraId="2E9915EF" w14:textId="77777777" w:rsidR="004B4463" w:rsidRDefault="00F763E6">
      <w:pPr>
        <w:jc w:val="center"/>
      </w:pPr>
      <w:r>
        <w:rPr>
          <w:noProof/>
        </w:rPr>
        <w:drawing>
          <wp:inline distT="0" distB="0" distL="0" distR="0" wp14:anchorId="0A1FD2BE" wp14:editId="01E47860">
            <wp:extent cx="5238750" cy="3220085"/>
            <wp:effectExtent l="0" t="0" r="0" b="0"/>
            <wp:docPr id="5" name="Picture 3" descr="Material ESG strategy generates operational routines. Routines create verified outcomes and capability value. Verified outcomes influence trust and reputation; capability and reputation contribute to durable advantage. Category fit, affordability, external dependency and time lag moderate the model, while commercial rivals also affect observed performance." title="Figure 3. Revised evidence-based mechanis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Material ESG strategy generates operational routines. Routines create verified outcomes and capability value. Verified outcomes influence trust and reputation; capability and reputation contribute to durable advantage. Category fit, affordability, external dependency and time lag moderate the model, while commercial rivals also affect observed performance." title="Figure 3. Revised evidence-based mechanism model"/>
                    <pic:cNvPicPr>
                      <a:picLocks noChangeAspect="1" noChangeArrowheads="1"/>
                    </pic:cNvPicPr>
                  </pic:nvPicPr>
                  <pic:blipFill>
                    <a:blip r:embed="rId21"/>
                    <a:stretch>
                      <a:fillRect/>
                    </a:stretch>
                  </pic:blipFill>
                  <pic:spPr bwMode="auto">
                    <a:xfrm>
                      <a:off x="0" y="0"/>
                      <a:ext cx="5238750" cy="3220085"/>
                    </a:xfrm>
                    <a:prstGeom prst="rect">
                      <a:avLst/>
                    </a:prstGeom>
                    <a:noFill/>
                  </pic:spPr>
                </pic:pic>
              </a:graphicData>
            </a:graphic>
          </wp:inline>
        </w:drawing>
      </w:r>
    </w:p>
    <w:p w14:paraId="41EB3616" w14:textId="77777777" w:rsidR="004B4463" w:rsidRDefault="00F763E6">
      <w:pPr>
        <w:jc w:val="center"/>
        <w:rPr>
          <w:i/>
          <w:iCs/>
        </w:rPr>
      </w:pPr>
      <w:r>
        <w:t>Source: Created by the author.</w:t>
      </w:r>
    </w:p>
    <w:p w14:paraId="7786AFAC" w14:textId="77777777" w:rsidR="004B4463" w:rsidRDefault="00F763E6">
      <w:r>
        <w:t xml:space="preserve">In the revised model, material ESG decisions inform operational routines that may contribute to innovation, efficiency, resilience and risk control. Verified outcomes then provide evidence that stakeholders can interpret, potentially influencing trust and reputation when the outcomes are relevant, credible and affordable. Operational capabilities and reputation can interact in contributing to durable advantage, while external dependency, category fit, time lags, pricing, portfolio decisions and macroeconomic conditions shape observed commercial results. Figure </w:t>
      </w:r>
      <w:r w:rsidR="002915E8">
        <w:t>5</w:t>
      </w:r>
      <w:r>
        <w:t xml:space="preserve"> is therefore an evidence-informed conceptual refinement, not a causal validation of the sequence or a statistical mediation model.</w:t>
      </w:r>
    </w:p>
    <w:p w14:paraId="050E56D8" w14:textId="77777777" w:rsidR="004B4463" w:rsidRDefault="00F763E6">
      <w:r>
        <w:t>The theoretical contribution is a controlled-</w:t>
      </w:r>
      <w:proofErr w:type="spellStart"/>
      <w:r>
        <w:t>signalling</w:t>
      </w:r>
      <w:proofErr w:type="spellEnd"/>
      <w:r>
        <w:t xml:space="preserve"> perspective on ESG. Legitimacy is not created by disclosure volume alone, but by a sequence of accountable decisions, measurable delivery and proportionate claims. The RBV helps explain why underlying routines can become durable capabilities, while stakeholder theory identifies the relationships that make those routines valuable. Reputation is the stakeholder judgement attached to this chain rather than an automatic financial return on ESG expenditure. This integrated perspective helps explain why mature ESG systems can still attract criticism, </w:t>
      </w:r>
      <w:r>
        <w:lastRenderedPageBreak/>
        <w:t>why failure to meet a target does not necessarily imply failure of the entire strategy, and why short-term financial performance can diverge from ESG performance.</w:t>
      </w:r>
    </w:p>
    <w:p w14:paraId="12264B9A" w14:textId="77777777" w:rsidR="004B4463" w:rsidRDefault="00F763E6">
      <w:pPr>
        <w:pStyle w:val="Heading2"/>
      </w:pPr>
      <w:bookmarkStart w:id="118" w:name="_Toc240378643"/>
      <w:bookmarkStart w:id="119" w:name="_Toc240858697"/>
      <w:r>
        <w:t>5.7 Implications of the discussion</w:t>
      </w:r>
      <w:bookmarkEnd w:id="118"/>
      <w:bookmarkEnd w:id="119"/>
    </w:p>
    <w:p w14:paraId="622F1016" w14:textId="77777777" w:rsidR="004B4463" w:rsidRDefault="00F763E6">
      <w:r>
        <w:t xml:space="preserve">The findings caution against treating a single ESG score as either the 'treatment' or proof of strategic capability. Future research should distinguish operational outcomes, assurance, stakeholder interpretation and commercial outcomes, with appropriate time lags. For managers, the analysis shifts attention from </w:t>
      </w:r>
      <w:proofErr w:type="spellStart"/>
      <w:r>
        <w:t>maximising</w:t>
      </w:r>
      <w:proofErr w:type="spellEnd"/>
      <w:r>
        <w:t xml:space="preserve"> activity or disclosure toward governance at the issue and claim level. For regulators, clearer substantiation requirements may improve competition by making it more difficult for weak claims to mimic costly substantive action. For investors, target governance, baseline stability and value-chain capability may be more informative than an aggregate rating alone.</w:t>
      </w:r>
    </w:p>
    <w:p w14:paraId="4288FE39" w14:textId="77777777" w:rsidR="004B4463" w:rsidRDefault="00F763E6">
      <w:pPr>
        <w:pStyle w:val="Heading2"/>
      </w:pPr>
      <w:bookmarkStart w:id="120" w:name="_Toc240378644"/>
      <w:bookmarkStart w:id="121" w:name="_Toc240858698"/>
      <w:r>
        <w:t>5.8 Critical evaluation of causal claims</w:t>
      </w:r>
      <w:bookmarkEnd w:id="120"/>
      <w:bookmarkEnd w:id="121"/>
    </w:p>
    <w:p w14:paraId="1C8DAF92" w14:textId="3DCB3D44" w:rsidR="004B4463" w:rsidRDefault="00F763E6">
      <w:r>
        <w:t>The method does not identify an average treatment effect, so the term 'impact' in the dissertation title is interpreted cautiously. Three conceptual tests are used when considering causal claims: temporality, mechanism and rival explanation. Temporality asks whether the proposed action precedes the observed outcome; mechanism asks whether a credible pathway links action to effect; and rival explanation asks whether alternative factors could account for the same change. Many company-level financial claims fail the third test because pricing, portfolio changes and macroeconomic conditions occur simultaneously. Some operational claims can satisfy the first two tests more readily</w:t>
      </w:r>
      <w:r w:rsidR="00971EDF">
        <w:t xml:space="preserve">; </w:t>
      </w:r>
      <w:r>
        <w:t>for example, renewable procurement can directly reduce reported market-based Scope 2 emissions</w:t>
      </w:r>
      <w:r w:rsidR="00971EDF">
        <w:t xml:space="preserve">, </w:t>
      </w:r>
      <w:r>
        <w:t>while still requiring caution about broader commercial attribution.</w:t>
      </w:r>
    </w:p>
    <w:p w14:paraId="029525DF" w14:textId="77777777" w:rsidR="004B4463" w:rsidRDefault="00F763E6">
      <w:r>
        <w:t>This distinction avoids two opposing errors. The first is post hoc attribution: ESG improves alongside growth, therefore ESG is assumed to have caused the growth. The second is causal nihilism: because perfect identification is unavailable, ESG is assumed to have no commercial relevance. A critical-realist position lies between these extremes. Mechanisms can be strategically important even when their net contribution cannot be isolated in public data. Conclusions should therefore follow the strength of the evidence rather than being forced toward either proof or dismissal.</w:t>
      </w:r>
    </w:p>
    <w:p w14:paraId="2EDA8779" w14:textId="77777777" w:rsidR="004B4463" w:rsidRDefault="00F763E6">
      <w:r>
        <w:lastRenderedPageBreak/>
        <w:t>The evidence also raises a time-horizon problem. Scope 3 partnerships, agricultural practices and brand trust may take years to affect cost or demand, so annual financial indicators can be misaligned with capability development. Target announcements, by contrast, can create immediate reputational expectations before operational delivery occurs. Future empirical research should therefore use lagged designs and event sequences rather than relying only on contemporaneous scores. For current decision-making, boards should monitor leading indicators of capability alongside lagging impact and financial measures.</w:t>
      </w:r>
    </w:p>
    <w:p w14:paraId="108BEDED" w14:textId="77777777" w:rsidR="004B4463" w:rsidRDefault="00F763E6">
      <w:pPr>
        <w:pStyle w:val="Heading2"/>
      </w:pPr>
      <w:bookmarkStart w:id="122" w:name="_Toc240378645"/>
      <w:bookmarkStart w:id="123" w:name="_Toc240858699"/>
      <w:r>
        <w:t>5.9 Overall evaluative judgement</w:t>
      </w:r>
      <w:bookmarkEnd w:id="122"/>
      <w:bookmarkEnd w:id="123"/>
    </w:p>
    <w:p w14:paraId="633353B8" w14:textId="77777777" w:rsidR="004B4463" w:rsidRDefault="00F763E6">
      <w:r>
        <w:t>An overall evaluative judgement must distinguish strategic quality from moral sufficiency. Improvements relative to a company's own baseline do not establish that residual environmental or social impacts are ecologically acceptable or equitable. Nor does evidence of commercial contribution resolve the normative question of who bears transition costs. Stakeholder theory is relevant because value creation that shifts unaffordable costs onto suppliers, workers or communities may support short-term profitability while weakening legitimacy and long-term resilience. Under the proposed framework, commercial contribution is therefore one dimension of strategy, not a complete measure of responsibility.</w:t>
      </w:r>
    </w:p>
    <w:p w14:paraId="431FA3A5" w14:textId="77777777" w:rsidR="004B4463" w:rsidRDefault="00F763E6">
      <w:r>
        <w:t xml:space="preserve">A further implication concerns transparency. More detailed disclosure can reveal weaknesses and attract greater scrutiny, at least in the short term, so a company with a better information system may appear worse than a less transparent rival. Christensen, Serafeim and </w:t>
      </w:r>
      <w:proofErr w:type="spellStart"/>
      <w:r>
        <w:t>Sikochi</w:t>
      </w:r>
      <w:proofErr w:type="spellEnd"/>
      <w:r>
        <w:t xml:space="preserve"> (2022) similarly show that additional disclosure can widen disagreement among ESG raters. Comparative evaluation should therefore reward specificity without overlooking underlying performance. Target revisions, restatements and disclosed negative movements can indicate learning when governance, evidence and retained ambition are clear; warning signs arise when boundaries change opportunistically or explanations are incomplete.</w:t>
      </w:r>
    </w:p>
    <w:p w14:paraId="2FD5B6B3" w14:textId="77777777" w:rsidR="004B4463" w:rsidRDefault="00F763E6">
      <w:r>
        <w:t xml:space="preserve">Overall, the cases do not establish either a universal ESG halo or an ESG discount. They support an interpretive proposition that execution quality may matter more than the ESG label: material initiatives can create opportunities to innovate, reduce waste, manage risk </w:t>
      </w:r>
      <w:r>
        <w:lastRenderedPageBreak/>
        <w:t>and meet regulatory expectations, while credible evidence can make those capabilities more legible to stakeholders. The dissertation does not estimate a monetary or comparative 'execution premium', so that term is used only as a conceptual shorthand rather than a measured effect. Managers should therefore use mechanism-specific indicators and explicit counterfactual questions: what would cost, risk, trust or innovation capacity plausibly have looked like without the initiative, and which non-ESG factors could produce the same observed outcome? Public documents cannot resolve that counterfactual, but posing it reduces the risk of treating association as causation.</w:t>
      </w:r>
    </w:p>
    <w:p w14:paraId="34CECEFD" w14:textId="77777777" w:rsidR="004B4463" w:rsidRDefault="00F763E6">
      <w:pPr>
        <w:pStyle w:val="Heading1"/>
        <w:pageBreakBefore/>
      </w:pPr>
      <w:bookmarkStart w:id="124" w:name="_Toc240378646"/>
      <w:bookmarkStart w:id="125" w:name="_Toc240858700"/>
      <w:r>
        <w:lastRenderedPageBreak/>
        <w:t>Chapter 6: Recommendations</w:t>
      </w:r>
      <w:bookmarkEnd w:id="124"/>
      <w:bookmarkEnd w:id="125"/>
    </w:p>
    <w:p w14:paraId="7CE79134" w14:textId="77777777" w:rsidR="004B4463" w:rsidRDefault="00F763E6">
      <w:pPr>
        <w:pStyle w:val="Heading2"/>
      </w:pPr>
      <w:bookmarkStart w:id="126" w:name="_Toc240378647"/>
      <w:bookmarkStart w:id="127" w:name="_Toc240858701"/>
      <w:r>
        <w:t>6.1 Introduction</w:t>
      </w:r>
      <w:bookmarkEnd w:id="126"/>
      <w:bookmarkEnd w:id="127"/>
    </w:p>
    <w:p w14:paraId="5ABA7B2A" w14:textId="77777777" w:rsidR="004B4463" w:rsidRDefault="00F763E6">
      <w:r>
        <w:t xml:space="preserve">The recommendations translate the mechanism-based findings into an action framework for UK consumer-goods businesses. They are not equally applicable to every case. Unilever's priority is claim-level substantiation and boundary control across a broad portfolio; Reckitt's is alignment between product-sustainability metrics, incentives and product-risk governance; Diageo's is category-specific social legitimacy alongside climate and water execution; and ABF's </w:t>
      </w:r>
      <w:proofErr w:type="spellStart"/>
      <w:r>
        <w:t>decentralised</w:t>
      </w:r>
      <w:proofErr w:type="spellEnd"/>
      <w:r>
        <w:t xml:space="preserve"> model requires business-level materiality and traceability while protecting affordability. Accountable ownership, practical time horizons and measurable indicators are incorporated across the recommendations and are consolidated in the implementation priorities in Section 6.9.</w:t>
      </w:r>
    </w:p>
    <w:p w14:paraId="3F13DD17" w14:textId="77777777" w:rsidR="004B4463" w:rsidRDefault="00F763E6">
      <w:pPr>
        <w:pStyle w:val="Heading2"/>
      </w:pPr>
      <w:bookmarkStart w:id="128" w:name="_Toc240378648"/>
      <w:bookmarkStart w:id="129" w:name="_Toc240858702"/>
      <w:r>
        <w:t>6.2 Build a materiality-to-value portfolio</w:t>
      </w:r>
      <w:bookmarkEnd w:id="128"/>
      <w:bookmarkEnd w:id="129"/>
    </w:p>
    <w:p w14:paraId="7815853B" w14:textId="77777777" w:rsidR="004B4463" w:rsidRDefault="00F763E6">
      <w:r>
        <w:t xml:space="preserve">Boards should map each significant ESG initiative to the relevant impact or dependency, stakeholder, operational lever, expected outcome, time horizon and value pathway. Initiatives can then be grouped as </w:t>
      </w:r>
      <w:proofErr w:type="spellStart"/>
      <w:r>
        <w:t>licence</w:t>
      </w:r>
      <w:proofErr w:type="spellEnd"/>
      <w:r>
        <w:t>-to-operate, risk-reduction, efficiency, innovation or reputation investments. This helps prevent resources from being spread across low-priority activities and protects long-horizon actions from short-term pressure. Double-materiality assessments should be updated when portfolio composition, regulation or stakeholder dependencies change, and material decisions, non-decisions and dissent should be documented.</w:t>
      </w:r>
    </w:p>
    <w:p w14:paraId="6CA52C61" w14:textId="77777777" w:rsidR="004B4463" w:rsidRDefault="00F763E6">
      <w:pPr>
        <w:pStyle w:val="Heading2"/>
      </w:pPr>
      <w:bookmarkStart w:id="130" w:name="_Toc240378649"/>
      <w:bookmarkStart w:id="131" w:name="_Toc240858703"/>
      <w:r>
        <w:t>6.3 Establish claim-level evidence control</w:t>
      </w:r>
      <w:bookmarkEnd w:id="130"/>
      <w:bookmarkEnd w:id="131"/>
    </w:p>
    <w:p w14:paraId="17A48080" w14:textId="77777777" w:rsidR="004B4463" w:rsidRDefault="00F763E6">
      <w:r>
        <w:t>Companies should maintain a central evidence register for each consumer-facing and corporate claim, including an accountable owner, approved wording, scope, baseline, methodology, supporting records, review date and assurance status. High-risk claims should pass through a shared validation process involving legal, sustainability, marketing, product and finance teams. Automated screening can flag absolute language or outdated baselines, but accountable human review remains necessary. Such a control protects reputation and also reduces financial and regulatory exposure under the strengthened UK consumer-enforcement regime.</w:t>
      </w:r>
    </w:p>
    <w:p w14:paraId="1CE25A56" w14:textId="77777777" w:rsidR="004B4463" w:rsidRDefault="00F763E6">
      <w:pPr>
        <w:pStyle w:val="Heading2"/>
      </w:pPr>
      <w:bookmarkStart w:id="132" w:name="_Toc240378650"/>
      <w:bookmarkStart w:id="133" w:name="_Toc240858704"/>
      <w:r>
        <w:lastRenderedPageBreak/>
        <w:t>6.4 Move towards proportionate, progressive assurance</w:t>
      </w:r>
      <w:bookmarkEnd w:id="132"/>
      <w:bookmarkEnd w:id="133"/>
    </w:p>
    <w:p w14:paraId="32B052AF" w14:textId="77777777" w:rsidR="004B4463" w:rsidRDefault="00F763E6">
      <w:r>
        <w:t>Limited assurance over selected indicators provides a useful starting point. Companies should develop a risk-based roadmap that begins with material metrics and claims, progressively extends to value-chain data and key controls, and considers reasonable assurance where evidence systems are mature and stakeholder reliance is high. Assurance reports should be readily accessible and should state exclusions clearly. Management should not allow assurance over a subset of indicators to imply that the overall strategy or every product claim has been verified.</w:t>
      </w:r>
    </w:p>
    <w:p w14:paraId="3160DB51" w14:textId="77777777" w:rsidR="004B4463" w:rsidRDefault="00F763E6">
      <w:pPr>
        <w:pStyle w:val="Heading2"/>
      </w:pPr>
      <w:bookmarkStart w:id="134" w:name="_Toc240378651"/>
      <w:bookmarkStart w:id="135" w:name="_Toc240858705"/>
      <w:r>
        <w:t>6.5 Design sustainability into affordability and product utility</w:t>
      </w:r>
      <w:bookmarkEnd w:id="134"/>
      <w:bookmarkEnd w:id="135"/>
    </w:p>
    <w:p w14:paraId="6BCA80CC" w14:textId="77777777" w:rsidR="004B4463" w:rsidRDefault="00F763E6">
      <w:r>
        <w:t xml:space="preserve">Teams should </w:t>
      </w:r>
      <w:proofErr w:type="spellStart"/>
      <w:r>
        <w:t>prioritise</w:t>
      </w:r>
      <w:proofErr w:type="spellEnd"/>
      <w:r>
        <w:t xml:space="preserve"> 'double-value' and 'triple-value' propositions that reduce impact while also improving utility or lowering customer cost. Examples include concentrated formulations, lighter yet transport-efficient packaging, products with lower in-use energy demand, durable or refillable formats, and moderation products that create new consumption occasions. Stage-gate decisions should test life-cycle benefit, consumer relevance, unit economics and rebound risk. This is especially important in value segments where a sustainability premium cannot be assumed.</w:t>
      </w:r>
    </w:p>
    <w:p w14:paraId="52BC1229" w14:textId="77777777" w:rsidR="004B4463" w:rsidRDefault="00F763E6">
      <w:pPr>
        <w:pStyle w:val="Heading2"/>
      </w:pPr>
      <w:bookmarkStart w:id="136" w:name="_Toc240378652"/>
      <w:bookmarkStart w:id="137" w:name="_Toc240858706"/>
      <w:r>
        <w:t>6.6 Govern Scope 3 as a partnership portfolio</w:t>
      </w:r>
      <w:bookmarkEnd w:id="136"/>
      <w:bookmarkEnd w:id="137"/>
    </w:p>
    <w:p w14:paraId="14119912" w14:textId="77777777" w:rsidR="004B4463" w:rsidRDefault="00F763E6">
      <w:r>
        <w:t>Companies should disaggregate value-chain emissions and social risks according to influence, materiality and supplier readiness. High-control levers can use contractual standards and primary-data requirements; shared-control levers can use co-investment and technical support; low-control or system-level levers can rely on longer-term purchasing signals, pre-competitive collaboration and sector initiatives. Reporting should distinguish real supplier reductions from data-quality improvements or emission-factor changes. Traceability and supplier-coverage milestones, supported by transparent transition finance, are more decision-useful than distant targets without delivery capacity.</w:t>
      </w:r>
    </w:p>
    <w:p w14:paraId="022A09C8" w14:textId="77777777" w:rsidR="004B4463" w:rsidRDefault="00F763E6">
      <w:pPr>
        <w:pStyle w:val="Heading2"/>
      </w:pPr>
      <w:bookmarkStart w:id="138" w:name="_Toc240378653"/>
      <w:bookmarkStart w:id="139" w:name="_Toc240858707"/>
      <w:r>
        <w:t>6.7 Measure stakeholder-specific reputation outcomes</w:t>
      </w:r>
      <w:bookmarkEnd w:id="138"/>
      <w:bookmarkEnd w:id="139"/>
    </w:p>
    <w:p w14:paraId="21C5E0A6" w14:textId="77777777" w:rsidR="004B4463" w:rsidRDefault="00F763E6">
      <w:r>
        <w:t xml:space="preserve">Management should monitor employee trust, consumer claim credibility, supplier experience, regulatory issues and investor confidence separately rather than compressing them into a single reputation score. Relevant measures may include longitudinal trust surveys, complaint and claim-challenge rates, employee advocacy, </w:t>
      </w:r>
      <w:r>
        <w:lastRenderedPageBreak/>
        <w:t xml:space="preserve">supplier retention, remediation closure and movement in independent benchmarks. These indicators should be interpreted alongside operational and commercial data with appropriate time lags. The purpose is to identify where ESG evidence does, or does not, influence stakeholder </w:t>
      </w:r>
      <w:proofErr w:type="spellStart"/>
      <w:r>
        <w:t>behaviour</w:t>
      </w:r>
      <w:proofErr w:type="spellEnd"/>
      <w:r>
        <w:t>.</w:t>
      </w:r>
    </w:p>
    <w:p w14:paraId="3F48137A" w14:textId="77777777" w:rsidR="004B4463" w:rsidRDefault="00F763E6">
      <w:pPr>
        <w:pStyle w:val="Heading2"/>
      </w:pPr>
      <w:bookmarkStart w:id="140" w:name="_Toc240378654"/>
      <w:bookmarkStart w:id="141" w:name="_Toc240858708"/>
      <w:r>
        <w:t>6.8 Report setbacks as decision-useful evidence</w:t>
      </w:r>
      <w:bookmarkEnd w:id="140"/>
      <w:bookmarkEnd w:id="141"/>
    </w:p>
    <w:p w14:paraId="4B2011A0" w14:textId="77777777" w:rsidR="004B4463" w:rsidRDefault="00F763E6">
      <w:r>
        <w:t>Target changes should explain the original ambition, progress to date, the reason for revision, governance approval, external dependencies and any compensating action. This format helps distinguish adaptive learning from quiet dilution. Companies should publish both positive and negative indicator movements and explain portfolio or production effects. Credibility is more likely to be sustained when setbacks are reported transparently rather than hidden behind an implausibly uninterrupted sequence of positive outcomes.</w:t>
      </w:r>
    </w:p>
    <w:p w14:paraId="28510CF4" w14:textId="77777777" w:rsidR="004B4463" w:rsidRDefault="00F763E6">
      <w:pPr>
        <w:pStyle w:val="Heading2"/>
      </w:pPr>
      <w:bookmarkStart w:id="142" w:name="_Toc240378655"/>
      <w:bookmarkStart w:id="143" w:name="_Toc240858709"/>
      <w:r>
        <w:t>6.9 Implementation priorities</w:t>
      </w:r>
      <w:bookmarkEnd w:id="142"/>
      <w:bookmarkEnd w:id="143"/>
    </w:p>
    <w:p w14:paraId="486AC0B6" w14:textId="77777777" w:rsidR="004B4463" w:rsidRDefault="00F763E6">
      <w:r>
        <w:t>Within 12 months, firms should complete a material-claim register, assign an accountable owner to each material metric and map the indicators that warrant independent assurance. Over one to three years, investment decisions should increasingly incorporate supplier primary data, product economics and stakeholder-specific reputation measures. Beyond three years, the objective should be a learning system in which verified ESG outcomes inform portfolio decisions, innovation and partnership design. Board review should focus on both unresolved trade-offs and a concise dashboard of leading and lagging indicators, with explicit escalation triggers where performance or evidence quality falls outside agreed thresholds.</w:t>
      </w:r>
    </w:p>
    <w:p w14:paraId="426FD850" w14:textId="77777777" w:rsidR="004B4463" w:rsidRDefault="00F763E6">
      <w:pPr>
        <w:pStyle w:val="Heading2"/>
      </w:pPr>
      <w:bookmarkStart w:id="144" w:name="_Toc240378656"/>
      <w:bookmarkStart w:id="145" w:name="_Toc240858710"/>
      <w:r>
        <w:t>6.10 Decision rules and accountability</w:t>
      </w:r>
      <w:bookmarkEnd w:id="144"/>
      <w:bookmarkEnd w:id="145"/>
    </w:p>
    <w:p w14:paraId="57CA58DE" w14:textId="77777777" w:rsidR="004B4463" w:rsidRDefault="00F763E6">
      <w:r>
        <w:t xml:space="preserve">Implementation should be governed by a small number of clear decision rules. Material claims or investments should not proceed without current evidence and an accountable owner. Any target revision should explain its effect on overall ambition. Product investments marketed with sustainability claims should pass stage-gate tests covering life-cycle impact, customer value and unit economics. Executive indicators should be tested for boundary gaming and perverse incentives before approval. These rules translate broad principles into auditable </w:t>
      </w:r>
      <w:proofErr w:type="spellStart"/>
      <w:r>
        <w:t>behaviour</w:t>
      </w:r>
      <w:proofErr w:type="spellEnd"/>
      <w:r>
        <w:t>.</w:t>
      </w:r>
    </w:p>
    <w:p w14:paraId="08C01465" w14:textId="77777777" w:rsidR="004B4463" w:rsidRDefault="00F763E6">
      <w:r>
        <w:lastRenderedPageBreak/>
        <w:t xml:space="preserve">Boards should receive a quarterly exception report focused on problems rather than achievements. It should highlight missed milestones, material restatements, unassured high-risk measures, claim challenges, supplier constraints and decisions in which cost has been </w:t>
      </w:r>
      <w:proofErr w:type="spellStart"/>
      <w:r>
        <w:t>prioritised</w:t>
      </w:r>
      <w:proofErr w:type="spellEnd"/>
      <w:r>
        <w:t xml:space="preserve"> over benefit. Each exception should identify an owner, corrective action and review date. This approach enables directors to challenge weak performance and creates a clearer governance record when delivery becomes difficult.</w:t>
      </w:r>
    </w:p>
    <w:p w14:paraId="4BDB0EB4" w14:textId="77777777" w:rsidR="004B4463" w:rsidRDefault="00F763E6">
      <w:r>
        <w:t>Five balanced indicator groups are recommended: (1) absolute and intensity impact measures; (2) product and process adoption; (3) supplier coverage and transition progress; (4) control and assurance effectiveness; and (5) stakeholder-response and commercial outcomes. Leading and lagging indicators should be reviewed separately, and plausible alternative explanations should be documented. A dashboard that does not change resource allocation, corrective action or accountability is merely presentational and should be simplified or removed.</w:t>
      </w:r>
    </w:p>
    <w:p w14:paraId="2DCFE915" w14:textId="77777777" w:rsidR="004B4463" w:rsidRDefault="00F763E6">
      <w:pPr>
        <w:pStyle w:val="Heading1"/>
        <w:pageBreakBefore/>
      </w:pPr>
      <w:bookmarkStart w:id="146" w:name="_Toc240378657"/>
      <w:bookmarkStart w:id="147" w:name="_Toc240858711"/>
      <w:r>
        <w:lastRenderedPageBreak/>
        <w:t>Conclusion</w:t>
      </w:r>
      <w:bookmarkEnd w:id="146"/>
      <w:bookmarkEnd w:id="147"/>
    </w:p>
    <w:p w14:paraId="1C2D8E5E" w14:textId="77777777" w:rsidR="004B4463" w:rsidRDefault="00F763E6">
      <w:r>
        <w:t xml:space="preserve">This dissertation assessed how ESG strategy may affect corporate reputation and contribute to long-term competitive advantage through a four-case comparison of Unilever, Reckitt, Diageo and Associated British Foods in the UK consumer goods sector. The evidence does not establish a universal or immediate ESG premium. Instead, ESG appears most strategically relevant when material commitments are translated into governed operational capabilities and verified outcomes that stakeholders </w:t>
      </w:r>
      <w:proofErr w:type="spellStart"/>
      <w:r>
        <w:t>recognise</w:t>
      </w:r>
      <w:proofErr w:type="spellEnd"/>
      <w:r>
        <w:t>. Reputation can amplify or constrain that contribution, but it is stakeholder-specific and vulnerable to contradiction, while observed commercial results remain subject to strong non-ESG influences.</w:t>
      </w:r>
    </w:p>
    <w:p w14:paraId="1ABB676B" w14:textId="77777777" w:rsidR="004B4463" w:rsidRDefault="00F763E6">
      <w:r>
        <w:t xml:space="preserve">The four companies treat ESG as part of strategy but implement it through different </w:t>
      </w:r>
      <w:proofErr w:type="spellStart"/>
      <w:r>
        <w:t>organisational</w:t>
      </w:r>
      <w:proofErr w:type="spellEnd"/>
      <w:r>
        <w:t xml:space="preserve"> structures. Unilever and Reckitt use relatively focused target and incentive arrangements; Diageo links ESG to the specific responsibilities of beverage alcohol; and ABF combines group-level oversight with substantial business autonomy. Implementation is most substantive where targets are connected to product development, operations, sourcing or risk control. Board oversight and remuneration links can strengthen accountability, but they do not by themselves guarantee outcome quality. Reputation is treated as a stakeholder judgement shaped by relevance, competence, consistency and integrity. Independent assurance and third-party recognition can strengthen credibility, while regulatory scrutiny, litigation exposure or poorly explained target revisions can weaken it. The CMA investigation into Unilever did not result in a confirmed violation, and Diageo's </w:t>
      </w:r>
      <w:proofErr w:type="spellStart"/>
      <w:r>
        <w:t>Equileap</w:t>
      </w:r>
      <w:proofErr w:type="spellEnd"/>
      <w:r>
        <w:t xml:space="preserve"> ranking provides an independent positive signal. Directly comparable reputation evidence nevertheless remains limited, so company claims about trust are not treated as measured outcomes.</w:t>
      </w:r>
    </w:p>
    <w:p w14:paraId="227B4159" w14:textId="50F52213" w:rsidR="004B4463" w:rsidRDefault="00F763E6">
      <w:r>
        <w:t>Some competitive-advantage proxies move in the same direction as ESG progress, but the relationship is neither consistent nor demonstrably causal. Unilever and Reckitt combine several positive ESG indicators with positive commercial measures in selected areas, while Diageo and ABF show some ESG improvements alongside weaker group-level financial outcomes. Operational capabilities</w:t>
      </w:r>
      <w:r w:rsidR="00971EDF">
        <w:t xml:space="preserve">; </w:t>
      </w:r>
      <w:r>
        <w:t>such as innovation, efficiency, water security, supplier resilience and claim control</w:t>
      </w:r>
      <w:r w:rsidR="007E140B">
        <w:t xml:space="preserve"> to </w:t>
      </w:r>
      <w:r>
        <w:t xml:space="preserve">provide more directly observable </w:t>
      </w:r>
      <w:r>
        <w:lastRenderedPageBreak/>
        <w:t>pathways than reputation alone. At the same time, pricing, portfolio composition, category demand, exchange rates and restructuring remain important rival explanations. Scope 3 dependency, infrastructure constraints, changing definitions and tensions between sustainability costs and consumer value can strengthen or weaken the mechanisms. Time lags also matter because capability investments may precede commercial returns, while reputational expectations can arise before delivery.</w:t>
      </w:r>
    </w:p>
    <w:p w14:paraId="6D86C620" w14:textId="77777777" w:rsidR="004B4463" w:rsidRDefault="00F763E6">
      <w:r>
        <w:t>The study develops a two-route perspective in which material ESG strategy can generate operational routines that contribute to capability gains, while substantiated outcomes can shape stakeholder perceptions and relational advantage. The routes are analytically distinct but can overlap and reinforce one another; for example, a product redesign can lower cost operationally while also strengthening stakeholder credibility if the claim is well substantiated. The framework therefore moves beyond a simple ESG-performance relationship by incorporating evidence quality, stakeholder interpretation and rival causation. In practice, disclosure volume alone is likely to be less strategically distinctive than primary-data quality, product design, supplier relationships, incentive quality, decision rights and credible revision when targets or evidence change.</w:t>
      </w:r>
    </w:p>
    <w:p w14:paraId="666BAED0" w14:textId="77777777" w:rsidR="004B4463" w:rsidRDefault="00F763E6">
      <w:r>
        <w:t xml:space="preserve">The study is limited by its reliance on public documents, partial assurance, limited comparable reputation measures, a four-company sample and a 2020–2025 analytical period. The findings therefore indicate plausible contribution rather than definitive causality. Future research should use primary evidence, longitudinal stakeholder surveys, product-level sales analysis, supplier-level research and quasi-experimental designs. Ultimately, the strategic potential of ESG depends on </w:t>
      </w:r>
      <w:proofErr w:type="spellStart"/>
      <w:r>
        <w:t>organisational</w:t>
      </w:r>
      <w:proofErr w:type="spellEnd"/>
      <w:r>
        <w:t xml:space="preserve"> credibility and capability: selecting material issues, making viable commitments, delivering measurable outcomes and communicating only what the evidence can support. The ESG label is easy to copy; repeated delivery of useful, affordable and verifiable change is not.</w:t>
      </w:r>
    </w:p>
    <w:p w14:paraId="4C1E3EB3" w14:textId="77777777" w:rsidR="004B4463" w:rsidRDefault="00F763E6">
      <w:pPr>
        <w:pStyle w:val="Heading1"/>
        <w:pageBreakBefore/>
      </w:pPr>
      <w:bookmarkStart w:id="148" w:name="_Toc240378658"/>
      <w:bookmarkStart w:id="149" w:name="_Toc240858712"/>
      <w:r>
        <w:lastRenderedPageBreak/>
        <w:t>References</w:t>
      </w:r>
      <w:bookmarkEnd w:id="148"/>
      <w:bookmarkEnd w:id="149"/>
    </w:p>
    <w:p w14:paraId="3F582A66" w14:textId="77777777" w:rsidR="004B4463" w:rsidRDefault="00F763E6">
      <w:r>
        <w:t xml:space="preserve">Albuquerque, R., Koskinen, Y., Yang, S. and Zhang, C. (2020) ‘Resiliency of environmental and social stocks: An analysis of the exogenous COVID-19 market crash’, </w:t>
      </w:r>
      <w:r>
        <w:rPr>
          <w:i/>
        </w:rPr>
        <w:t>The Review of Corporate Finance Studies</w:t>
      </w:r>
      <w:r>
        <w:t xml:space="preserve">, 9(3), pp. 593–621. Available at: </w:t>
      </w:r>
      <w:hyperlink r:id="rId22">
        <w:r>
          <w:rPr>
            <w:color w:val="2F6B8A"/>
            <w:u w:val="single"/>
          </w:rPr>
          <w:t>https://doi.org/10.1093/rcfs/cfaa011</w:t>
        </w:r>
      </w:hyperlink>
      <w:r>
        <w:t xml:space="preserve"> </w:t>
      </w:r>
    </w:p>
    <w:p w14:paraId="345F6EEF" w14:textId="77777777" w:rsidR="004B4463" w:rsidRDefault="00F763E6">
      <w:r>
        <w:t xml:space="preserve">Associated British Foods plc (2025) Annual report and accounts 2025. Available at: </w:t>
      </w:r>
      <w:proofErr w:type="gramStart"/>
      <w:r>
        <w:t>https://www.abf.co.uk/investors/results-reports-presentations/annual-reports  (</w:t>
      </w:r>
      <w:proofErr w:type="gramEnd"/>
      <w:r>
        <w:t>Accessed: 20 July 2026).</w:t>
      </w:r>
    </w:p>
    <w:p w14:paraId="4C2FA588" w14:textId="77777777" w:rsidR="004B4463" w:rsidRDefault="00F763E6">
      <w:r>
        <w:t xml:space="preserve">Aydoğmuş, M., Gülay, G. and Ergun, K. (2022) ‘Impact of ESG performance on firm value and profitability’, </w:t>
      </w:r>
      <w:r>
        <w:rPr>
          <w:i/>
        </w:rPr>
        <w:t>Borsa Istanbul Review</w:t>
      </w:r>
      <w:r>
        <w:t xml:space="preserve">, 22(S2), pp. S119–S127. Available at: </w:t>
      </w:r>
      <w:hyperlink r:id="rId23">
        <w:r>
          <w:rPr>
            <w:color w:val="2F6B8A"/>
            <w:u w:val="single"/>
          </w:rPr>
          <w:t>https://doi.org/10.1016/j.bir.2022.11.006</w:t>
        </w:r>
      </w:hyperlink>
      <w:r>
        <w:t xml:space="preserve"> </w:t>
      </w:r>
    </w:p>
    <w:p w14:paraId="5AEE4306" w14:textId="77777777" w:rsidR="004B4463" w:rsidRDefault="00F763E6">
      <w:r>
        <w:t xml:space="preserve">Barney, J. (1991) ‘Firm resources and sustained competitive advantage’, </w:t>
      </w:r>
      <w:r>
        <w:rPr>
          <w:i/>
        </w:rPr>
        <w:t>Journal of Management</w:t>
      </w:r>
      <w:r>
        <w:t xml:space="preserve">, 17(1), pp. 99–120. Available at: </w:t>
      </w:r>
      <w:hyperlink r:id="rId24">
        <w:r>
          <w:rPr>
            <w:color w:val="2F6B8A"/>
            <w:u w:val="single"/>
          </w:rPr>
          <w:t>https://doi.org/10.1177/014920639101700108</w:t>
        </w:r>
      </w:hyperlink>
      <w:r>
        <w:t xml:space="preserve"> </w:t>
      </w:r>
    </w:p>
    <w:p w14:paraId="018E173F" w14:textId="77777777" w:rsidR="004B4463" w:rsidRDefault="00F763E6">
      <w:r>
        <w:t xml:space="preserve">Berg, F., Kölbel, J.F. and </w:t>
      </w:r>
      <w:proofErr w:type="spellStart"/>
      <w:r>
        <w:t>Rigobon</w:t>
      </w:r>
      <w:proofErr w:type="spellEnd"/>
      <w:r>
        <w:t xml:space="preserve">, R. (2022) ‘Aggregate confusion: The divergence of ESG ratings’, </w:t>
      </w:r>
      <w:r>
        <w:rPr>
          <w:i/>
        </w:rPr>
        <w:t>Review of Finance</w:t>
      </w:r>
      <w:r>
        <w:t xml:space="preserve">, 26(6), pp. 1315–1344. Available at: </w:t>
      </w:r>
      <w:hyperlink r:id="rId25">
        <w:r>
          <w:rPr>
            <w:color w:val="2F6B8A"/>
            <w:u w:val="single"/>
          </w:rPr>
          <w:t>https://doi.org/10.1093/rof/rfac033</w:t>
        </w:r>
      </w:hyperlink>
      <w:r>
        <w:t xml:space="preserve"> </w:t>
      </w:r>
    </w:p>
    <w:p w14:paraId="431E8C1A" w14:textId="77777777" w:rsidR="004B4463" w:rsidRDefault="00F763E6">
      <w:r>
        <w:t xml:space="preserve">Braun, V. and Clarke, V. (2021) ‘One size </w:t>
      </w:r>
      <w:proofErr w:type="gramStart"/>
      <w:r>
        <w:t>fits</w:t>
      </w:r>
      <w:proofErr w:type="gramEnd"/>
      <w:r>
        <w:t xml:space="preserve"> all? What counts as quality practice in (reflexive) thematic analysis?’, </w:t>
      </w:r>
      <w:r>
        <w:rPr>
          <w:i/>
        </w:rPr>
        <w:t>Qualitative Research in Psychology</w:t>
      </w:r>
      <w:r>
        <w:t xml:space="preserve">, 18(3), pp. 328–352. Available at: </w:t>
      </w:r>
      <w:hyperlink r:id="rId26">
        <w:r>
          <w:rPr>
            <w:color w:val="2F6B8A"/>
            <w:u w:val="single"/>
          </w:rPr>
          <w:t>https://doi.org/10.1080/14780887.2020.1769238</w:t>
        </w:r>
      </w:hyperlink>
    </w:p>
    <w:p w14:paraId="05F18E7A" w14:textId="77777777" w:rsidR="004B4463" w:rsidRDefault="00F763E6">
      <w:r>
        <w:t xml:space="preserve">Broadstock, D.C., Chan, K., Cheng, L.T.W. and Wang, X. (2021) ‘The role of ESG performance during times of financial crisis: Evidence from COVID-19 in China’, </w:t>
      </w:r>
      <w:r>
        <w:rPr>
          <w:i/>
        </w:rPr>
        <w:t>Finance Research Letters</w:t>
      </w:r>
      <w:r>
        <w:t xml:space="preserve">, 38, article 101716. Available at: </w:t>
      </w:r>
      <w:hyperlink r:id="rId27">
        <w:r>
          <w:rPr>
            <w:color w:val="2F6B8A"/>
            <w:u w:val="single"/>
          </w:rPr>
          <w:t>https://doi.org/10.1016/j.frl.2020.101716</w:t>
        </w:r>
      </w:hyperlink>
      <w:r>
        <w:t xml:space="preserve"> </w:t>
      </w:r>
    </w:p>
    <w:p w14:paraId="1EF392C6" w14:textId="77777777" w:rsidR="004B4463" w:rsidRDefault="00F763E6">
      <w:r>
        <w:t xml:space="preserve">Cabaleiro-Cerviño, G. and Mendi, P. (2024) ‘ESG-driven innovation strategy and firm performance’, </w:t>
      </w:r>
      <w:r>
        <w:rPr>
          <w:i/>
        </w:rPr>
        <w:t>Eurasian Business Review</w:t>
      </w:r>
      <w:r>
        <w:t xml:space="preserve">, 14(1), pp. 137–185. Available at: </w:t>
      </w:r>
      <w:hyperlink r:id="rId28">
        <w:r>
          <w:rPr>
            <w:color w:val="2F6B8A"/>
            <w:u w:val="single"/>
          </w:rPr>
          <w:t>https://doi.org/10.1007/s40821-024-00254-x</w:t>
        </w:r>
      </w:hyperlink>
      <w:r>
        <w:t xml:space="preserve"> </w:t>
      </w:r>
    </w:p>
    <w:p w14:paraId="01526F1B" w14:textId="77777777" w:rsidR="004B4463" w:rsidRDefault="00F763E6">
      <w:r>
        <w:lastRenderedPageBreak/>
        <w:t xml:space="preserve">Christensen, D.M., Serafeim, G. and </w:t>
      </w:r>
      <w:proofErr w:type="spellStart"/>
      <w:r>
        <w:t>Sikochi</w:t>
      </w:r>
      <w:proofErr w:type="spellEnd"/>
      <w:r>
        <w:t xml:space="preserve">, A. (2022) ‘Why is corporate virtue in the eye of the beholder? The case of ESG ratings’, </w:t>
      </w:r>
      <w:r>
        <w:rPr>
          <w:i/>
        </w:rPr>
        <w:t>The Accounting Review</w:t>
      </w:r>
      <w:r>
        <w:t xml:space="preserve">, 97(1), pp. 147–175. Available at: </w:t>
      </w:r>
      <w:hyperlink r:id="rId29">
        <w:r>
          <w:rPr>
            <w:color w:val="2F6B8A"/>
            <w:u w:val="single"/>
          </w:rPr>
          <w:t>https://doi.org/10.2308/TAR-2019-0506</w:t>
        </w:r>
      </w:hyperlink>
      <w:r>
        <w:t xml:space="preserve"> </w:t>
      </w:r>
    </w:p>
    <w:p w14:paraId="527D02A0" w14:textId="77777777" w:rsidR="004B4463" w:rsidRDefault="00F763E6">
      <w:r>
        <w:t xml:space="preserve">Christensen, H.B., Hail, L. and </w:t>
      </w:r>
      <w:proofErr w:type="spellStart"/>
      <w:r>
        <w:t>Leuz</w:t>
      </w:r>
      <w:proofErr w:type="spellEnd"/>
      <w:r>
        <w:t xml:space="preserve">, C. (2021) ‘Mandatory CSR and sustainability reporting: Economic analysis and literature review’, </w:t>
      </w:r>
      <w:r>
        <w:rPr>
          <w:i/>
        </w:rPr>
        <w:t>Review of Accounting Studies</w:t>
      </w:r>
      <w:r>
        <w:t xml:space="preserve">, 26(3), pp. 1176–1248. Available at: </w:t>
      </w:r>
      <w:hyperlink r:id="rId30">
        <w:r>
          <w:rPr>
            <w:color w:val="2F6B8A"/>
            <w:u w:val="single"/>
          </w:rPr>
          <w:t>https://doi.org/10.1007/s11142-021-09609-5</w:t>
        </w:r>
      </w:hyperlink>
      <w:r>
        <w:t xml:space="preserve"> </w:t>
      </w:r>
    </w:p>
    <w:p w14:paraId="20DA8739" w14:textId="77777777" w:rsidR="004B4463" w:rsidRDefault="00F763E6">
      <w:r>
        <w:t xml:space="preserve">Competition and Markets Authority (2021) Green Claims Code: Making environmental claims. Available at: </w:t>
      </w:r>
      <w:proofErr w:type="gramStart"/>
      <w:r>
        <w:t>https://www.gov.uk/government/publications/green-claims-code-making-environmental-claims  (</w:t>
      </w:r>
      <w:proofErr w:type="gramEnd"/>
      <w:r>
        <w:t>Accessed: 20 July 2026).</w:t>
      </w:r>
    </w:p>
    <w:p w14:paraId="7A826581" w14:textId="77777777" w:rsidR="004B4463" w:rsidRDefault="00F763E6">
      <w:r>
        <w:t xml:space="preserve">Competition and Markets Authority (2023) Unilever’s ‘green’ claims come under CMA microscope. Available at: </w:t>
      </w:r>
      <w:proofErr w:type="gramStart"/>
      <w:r>
        <w:t>https://www.gov.uk/government/news/unilevers-green-claims-come-under-cma-microscope  (</w:t>
      </w:r>
      <w:proofErr w:type="gramEnd"/>
      <w:r>
        <w:t>Accessed: 20 July 2026).</w:t>
      </w:r>
    </w:p>
    <w:p w14:paraId="777CF0DC" w14:textId="77777777" w:rsidR="004B4463" w:rsidRDefault="00F763E6">
      <w:r>
        <w:t xml:space="preserve">Competition and Markets Authority (2024) Fast-moving consumer goods (FMCG). Available at: </w:t>
      </w:r>
      <w:proofErr w:type="gramStart"/>
      <w:r>
        <w:t>https://www.gov.uk/cma-cases/fast-moving-consumer-goods-fmcg  (</w:t>
      </w:r>
      <w:proofErr w:type="gramEnd"/>
      <w:r>
        <w:t>Accessed: 20 July 2026).</w:t>
      </w:r>
    </w:p>
    <w:p w14:paraId="0F311073" w14:textId="77777777" w:rsidR="004B4463" w:rsidRDefault="00F763E6">
      <w:r>
        <w:t xml:space="preserve">Competition and Markets Authority (2025) CMA to boost consumer and business confidence as new consumer protection regime comes into force. Available at: </w:t>
      </w:r>
      <w:proofErr w:type="gramStart"/>
      <w:r>
        <w:t>https://www.gov.uk/government/news/cma-to-boost-consumer-and-business-confidence-as-new-consumer-protection-regime-comes-into-force  (</w:t>
      </w:r>
      <w:proofErr w:type="gramEnd"/>
      <w:r>
        <w:t>Accessed: 20 July 2026).</w:t>
      </w:r>
    </w:p>
    <w:p w14:paraId="6850CE3D" w14:textId="77777777" w:rsidR="004B4463" w:rsidRDefault="00F763E6">
      <w:r>
        <w:t xml:space="preserve">de Freitas Netto, S.V., Sobral, M.F.F., Ribeiro, A.R.B. and Soares, G.R.L. (2020) ‘Concepts and forms of greenwashing: A systematic review’, </w:t>
      </w:r>
      <w:r>
        <w:rPr>
          <w:i/>
        </w:rPr>
        <w:t>Environmental Sciences Europe</w:t>
      </w:r>
      <w:r>
        <w:t xml:space="preserve">, 32, article 19. Available at: </w:t>
      </w:r>
      <w:hyperlink r:id="rId31">
        <w:r>
          <w:rPr>
            <w:color w:val="2F6B8A"/>
            <w:u w:val="single"/>
          </w:rPr>
          <w:t>https://doi.org/10.1186/s12302-020-0300-3</w:t>
        </w:r>
      </w:hyperlink>
      <w:r>
        <w:t xml:space="preserve"> </w:t>
      </w:r>
    </w:p>
    <w:p w14:paraId="7F04D86B" w14:textId="77777777" w:rsidR="004B4463" w:rsidRDefault="00F763E6">
      <w:r>
        <w:t xml:space="preserve">Deloitte (2024) </w:t>
      </w:r>
      <w:r>
        <w:rPr>
          <w:i/>
        </w:rPr>
        <w:t xml:space="preserve">The sustainable consumer: Understanding consumer attitudes to sustainability and sustainable </w:t>
      </w:r>
      <w:proofErr w:type="spellStart"/>
      <w:r>
        <w:rPr>
          <w:i/>
        </w:rPr>
        <w:t>behaviours</w:t>
      </w:r>
      <w:proofErr w:type="spellEnd"/>
      <w:r>
        <w:t xml:space="preserve">. Available at: </w:t>
      </w:r>
      <w:hyperlink r:id="rId32">
        <w:r>
          <w:rPr>
            <w:color w:val="2F6B8A"/>
            <w:u w:val="single"/>
          </w:rPr>
          <w:t>https://www.deloitte.com/uk/en/Industries/consumer/perspectives/the-sustainable-consumer.html</w:t>
        </w:r>
      </w:hyperlink>
      <w:r>
        <w:t xml:space="preserve">  (Accessed: 20 </w:t>
      </w:r>
      <w:r w:rsidR="00D67D53">
        <w:t>July</w:t>
      </w:r>
      <w:r>
        <w:t xml:space="preserve"> 2026).</w:t>
      </w:r>
    </w:p>
    <w:p w14:paraId="77EF6E0A" w14:textId="77777777" w:rsidR="004B4463" w:rsidRDefault="00F763E6">
      <w:r>
        <w:lastRenderedPageBreak/>
        <w:t xml:space="preserve">Department for Business and Trade (2026) </w:t>
      </w:r>
      <w:r>
        <w:rPr>
          <w:i/>
        </w:rPr>
        <w:t>UK Sustainability Reporting Standards: UK SRS S1 and UK SRS S2</w:t>
      </w:r>
      <w:r>
        <w:t xml:space="preserve">. Available at: </w:t>
      </w:r>
      <w:hyperlink r:id="rId33">
        <w:r>
          <w:rPr>
            <w:color w:val="2F6B8A"/>
            <w:u w:val="single"/>
          </w:rPr>
          <w:t>https://www.gov.uk/government/publications/uk-sustainability-reporting-standards-uk-srs-s1-and-uk-srs-s2</w:t>
        </w:r>
      </w:hyperlink>
      <w:r>
        <w:t xml:space="preserve">  (Accessed: 20 </w:t>
      </w:r>
      <w:r w:rsidR="00D67D53">
        <w:t>July</w:t>
      </w:r>
      <w:r>
        <w:t xml:space="preserve"> 2026).</w:t>
      </w:r>
    </w:p>
    <w:p w14:paraId="375D6880" w14:textId="77777777" w:rsidR="004B4463" w:rsidRDefault="00F763E6">
      <w:r>
        <w:t xml:space="preserve">Diageo plc (2025) </w:t>
      </w:r>
      <w:r>
        <w:rPr>
          <w:i/>
        </w:rPr>
        <w:t>Annual report 2025</w:t>
      </w:r>
      <w:r>
        <w:t xml:space="preserve">. Available at: </w:t>
      </w:r>
      <w:hyperlink r:id="rId34">
        <w:r>
          <w:rPr>
            <w:color w:val="2F6B8A"/>
            <w:u w:val="single"/>
          </w:rPr>
          <w:t>https://www.diageo.com/en/investors/results-reports-and-events/annual-reports</w:t>
        </w:r>
      </w:hyperlink>
      <w:r>
        <w:t xml:space="preserve">  (Accessed: 20 </w:t>
      </w:r>
      <w:r w:rsidR="00D67D53">
        <w:t>July</w:t>
      </w:r>
      <w:r>
        <w:t xml:space="preserve"> 2026).</w:t>
      </w:r>
    </w:p>
    <w:p w14:paraId="157EBB83" w14:textId="77777777" w:rsidR="004B4463" w:rsidRDefault="00F763E6">
      <w:r>
        <w:t xml:space="preserve">dos Reis Cardillo, M.A. and Basso, L.F.C. (2025) ‘Revisiting knowledge on ESG/CSR and financial performance: A bibliometric and systematic review of moderating variables’, </w:t>
      </w:r>
      <w:r>
        <w:rPr>
          <w:i/>
        </w:rPr>
        <w:t>Journal of Innovation &amp; Knowledge</w:t>
      </w:r>
      <w:r>
        <w:t xml:space="preserve">, 10(1), article 100648. Available at: </w:t>
      </w:r>
      <w:hyperlink r:id="rId35">
        <w:r>
          <w:rPr>
            <w:color w:val="2F6B8A"/>
            <w:u w:val="single"/>
          </w:rPr>
          <w:t>https://doi.org/10.1016/j.jik.2024.100648</w:t>
        </w:r>
      </w:hyperlink>
      <w:r>
        <w:t xml:space="preserve"> </w:t>
      </w:r>
    </w:p>
    <w:p w14:paraId="39EC4F3B" w14:textId="77777777" w:rsidR="004B4463" w:rsidRDefault="00F763E6">
      <w:r>
        <w:t xml:space="preserve">Edmans, A. (2023) ‘The end of ESG’, </w:t>
      </w:r>
      <w:r>
        <w:rPr>
          <w:i/>
        </w:rPr>
        <w:t>Financial Management</w:t>
      </w:r>
      <w:r>
        <w:t xml:space="preserve">, 52(1), pp. 3–17. Available at: </w:t>
      </w:r>
      <w:hyperlink r:id="rId36">
        <w:r>
          <w:rPr>
            <w:color w:val="2F6B8A"/>
            <w:u w:val="single"/>
          </w:rPr>
          <w:t>https://doi.org/10.1111/fima.12413</w:t>
        </w:r>
      </w:hyperlink>
      <w:r>
        <w:t xml:space="preserve"> </w:t>
      </w:r>
    </w:p>
    <w:p w14:paraId="39A85E94" w14:textId="77777777" w:rsidR="004B4463" w:rsidRDefault="00F763E6">
      <w:proofErr w:type="spellStart"/>
      <w:r>
        <w:t>Equileap</w:t>
      </w:r>
      <w:proofErr w:type="spellEnd"/>
      <w:r>
        <w:t xml:space="preserve"> (2024) </w:t>
      </w:r>
      <w:r>
        <w:rPr>
          <w:i/>
        </w:rPr>
        <w:t>Gender Equality Report &amp; Ranking 2024: Developed Markets Edition</w:t>
      </w:r>
      <w:r>
        <w:t xml:space="preserve">. Available at: </w:t>
      </w:r>
      <w:hyperlink r:id="rId37">
        <w:r>
          <w:rPr>
            <w:rStyle w:val="Hyperlink"/>
          </w:rPr>
          <w:t>https://equileap.com/wp-content/uploads/2024/02/Equileap_2024_Gender_Equality_Report_Developed_Markets.pdf</w:t>
        </w:r>
      </w:hyperlink>
      <w:r>
        <w:t xml:space="preserve">  (Accessed: 20 </w:t>
      </w:r>
      <w:r w:rsidR="00D67D53">
        <w:t>July</w:t>
      </w:r>
      <w:r>
        <w:t xml:space="preserve"> 2026).</w:t>
      </w:r>
    </w:p>
    <w:p w14:paraId="0B412CEF" w14:textId="77777777" w:rsidR="004B4463" w:rsidRDefault="00F763E6">
      <w:proofErr w:type="spellStart"/>
      <w:r>
        <w:t>Fafaliou</w:t>
      </w:r>
      <w:proofErr w:type="spellEnd"/>
      <w:r>
        <w:t xml:space="preserve">, I., Giaka, M., </w:t>
      </w:r>
      <w:proofErr w:type="spellStart"/>
      <w:r>
        <w:t>Konstantios</w:t>
      </w:r>
      <w:proofErr w:type="spellEnd"/>
      <w:r>
        <w:t xml:space="preserve">, D. and </w:t>
      </w:r>
      <w:proofErr w:type="spellStart"/>
      <w:r>
        <w:t>Polemis</w:t>
      </w:r>
      <w:proofErr w:type="spellEnd"/>
      <w:r>
        <w:t xml:space="preserve">, M. (2022) ‘Firms’ ESG reputational risk and market longevity: A firm-level analysis for the United States’, </w:t>
      </w:r>
      <w:r>
        <w:rPr>
          <w:i/>
        </w:rPr>
        <w:t>Journal of Business Research</w:t>
      </w:r>
      <w:r>
        <w:t xml:space="preserve">, 149, pp. 161–177. Available at: </w:t>
      </w:r>
      <w:hyperlink r:id="rId38">
        <w:r>
          <w:rPr>
            <w:color w:val="2F6B8A"/>
            <w:u w:val="single"/>
          </w:rPr>
          <w:t>https://doi.org/10.1016/j.jbusres.2022.05.010</w:t>
        </w:r>
      </w:hyperlink>
      <w:r>
        <w:t xml:space="preserve"> </w:t>
      </w:r>
    </w:p>
    <w:p w14:paraId="5E658625" w14:textId="77777777" w:rsidR="004B4463" w:rsidRDefault="00F763E6">
      <w:r>
        <w:t xml:space="preserve">Financial Reporting Council (2024) UK Corporate Governance Code 2024. London: Financial Reporting Council. Available at: </w:t>
      </w:r>
      <w:proofErr w:type="gramStart"/>
      <w:r>
        <w:t>https://www.frc.org.uk/library/standards-codes-policy/corporate-governance/uk-corporate-governance-code/  (</w:t>
      </w:r>
      <w:proofErr w:type="gramEnd"/>
      <w:r>
        <w:t>Accessed: 20 July 2026).</w:t>
      </w:r>
    </w:p>
    <w:p w14:paraId="77D8118E" w14:textId="77777777" w:rsidR="004B4463" w:rsidRDefault="00F763E6">
      <w:proofErr w:type="spellStart"/>
      <w:r>
        <w:t>Fombrun</w:t>
      </w:r>
      <w:proofErr w:type="spellEnd"/>
      <w:r>
        <w:t xml:space="preserve">, C.J. (1996) </w:t>
      </w:r>
      <w:r>
        <w:rPr>
          <w:i/>
        </w:rPr>
        <w:t>Reputation: Realizing value from the corporate image</w:t>
      </w:r>
      <w:r>
        <w:t>. Boston, MA: Harvard Business School Press.</w:t>
      </w:r>
    </w:p>
    <w:p w14:paraId="372665CE" w14:textId="77777777" w:rsidR="004B4463" w:rsidRDefault="00F763E6">
      <w:r>
        <w:t xml:space="preserve">Freeman, R.E. (1984) </w:t>
      </w:r>
      <w:r>
        <w:rPr>
          <w:i/>
        </w:rPr>
        <w:t>Strategic management: A stakeholder approach</w:t>
      </w:r>
      <w:r>
        <w:t>. Boston, MA: Pitman.</w:t>
      </w:r>
    </w:p>
    <w:p w14:paraId="571C54FE" w14:textId="77777777" w:rsidR="004B4463" w:rsidRDefault="00F763E6">
      <w:r>
        <w:t xml:space="preserve">Gangi, F., Daniele, L.M. and Varrone, N. (2020) ‘How do corporate environmental policy and corporate reputation affect risk-adjusted financial performance?’, </w:t>
      </w:r>
      <w:r>
        <w:rPr>
          <w:i/>
        </w:rPr>
        <w:t xml:space="preserve">Business Strategy </w:t>
      </w:r>
      <w:r>
        <w:rPr>
          <w:i/>
        </w:rPr>
        <w:lastRenderedPageBreak/>
        <w:t>and the Environment</w:t>
      </w:r>
      <w:r>
        <w:t xml:space="preserve">, 29(5), pp. 1975–1991. Available at: </w:t>
      </w:r>
      <w:hyperlink r:id="rId39">
        <w:r>
          <w:rPr>
            <w:color w:val="2F6B8A"/>
            <w:u w:val="single"/>
          </w:rPr>
          <w:t>https://doi.org/10.1002/bse.2482</w:t>
        </w:r>
      </w:hyperlink>
      <w:r>
        <w:t xml:space="preserve"> </w:t>
      </w:r>
    </w:p>
    <w:p w14:paraId="74F58736" w14:textId="77777777" w:rsidR="004B4463" w:rsidRDefault="00F763E6">
      <w:proofErr w:type="spellStart"/>
      <w:r>
        <w:t>Ghitti</w:t>
      </w:r>
      <w:proofErr w:type="spellEnd"/>
      <w:r>
        <w:t xml:space="preserve">, M., </w:t>
      </w:r>
      <w:proofErr w:type="spellStart"/>
      <w:r>
        <w:t>Gianfrate</w:t>
      </w:r>
      <w:proofErr w:type="spellEnd"/>
      <w:r>
        <w:t xml:space="preserve">, G. and Palma, L. (2024) ‘The agency of greenwashing’, </w:t>
      </w:r>
      <w:r>
        <w:rPr>
          <w:i/>
        </w:rPr>
        <w:t>Journal of Management and Governance</w:t>
      </w:r>
      <w:r>
        <w:t xml:space="preserve">, 28(3), pp. 905–941. Available at: </w:t>
      </w:r>
      <w:hyperlink r:id="rId40">
        <w:r>
          <w:rPr>
            <w:color w:val="2F6B8A"/>
            <w:u w:val="single"/>
          </w:rPr>
          <w:t>https://doi.org/10.1007/s10997-023-09683-8</w:t>
        </w:r>
      </w:hyperlink>
      <w:r>
        <w:t xml:space="preserve"> </w:t>
      </w:r>
    </w:p>
    <w:p w14:paraId="0A5114E3" w14:textId="77777777" w:rsidR="004B4463" w:rsidRDefault="00F763E6">
      <w:r>
        <w:t xml:space="preserve">Gillan, S.L., Koch, A. and Starks, L.T. (2021) ‘Firms and social responsibility: A review of ESG and CSR research in corporate finance’, </w:t>
      </w:r>
      <w:r>
        <w:rPr>
          <w:i/>
        </w:rPr>
        <w:t>Journal of Corporate Finance</w:t>
      </w:r>
      <w:r>
        <w:t xml:space="preserve">, 66, article 101889. Available at: </w:t>
      </w:r>
      <w:hyperlink r:id="rId41">
        <w:r>
          <w:rPr>
            <w:color w:val="2F6B8A"/>
            <w:u w:val="single"/>
          </w:rPr>
          <w:t>https://doi.org/10.1016/j.jcorpfin.2021.101889</w:t>
        </w:r>
      </w:hyperlink>
      <w:r>
        <w:t xml:space="preserve"> </w:t>
      </w:r>
    </w:p>
    <w:p w14:paraId="639AFC17" w14:textId="77777777" w:rsidR="004B4463" w:rsidRDefault="00F763E6">
      <w:r>
        <w:t xml:space="preserve">Khan, M., Serafeim, G. and Yoon, A. (2016) ‘Corporate sustainability: First evidence on materiality’, </w:t>
      </w:r>
      <w:r>
        <w:rPr>
          <w:i/>
        </w:rPr>
        <w:t>The Accounting Review</w:t>
      </w:r>
      <w:r>
        <w:t xml:space="preserve">, 91(6), pp. 1697–1724. Available at: </w:t>
      </w:r>
      <w:hyperlink r:id="rId42">
        <w:r>
          <w:rPr>
            <w:color w:val="2F6B8A"/>
            <w:u w:val="single"/>
          </w:rPr>
          <w:t>https://doi.org/10.2308/accr-51383</w:t>
        </w:r>
      </w:hyperlink>
      <w:r>
        <w:t xml:space="preserve"> </w:t>
      </w:r>
    </w:p>
    <w:p w14:paraId="4BC5DDF7" w14:textId="77777777" w:rsidR="004B4463" w:rsidRDefault="00F763E6">
      <w:proofErr w:type="spellStart"/>
      <w:r>
        <w:t>KnowTheChain</w:t>
      </w:r>
      <w:proofErr w:type="spellEnd"/>
      <w:r>
        <w:t xml:space="preserve"> (2024) </w:t>
      </w:r>
      <w:r>
        <w:rPr>
          <w:i/>
        </w:rPr>
        <w:t>2023 apparel and footwear benchmark findings report</w:t>
      </w:r>
      <w:r>
        <w:t xml:space="preserve">. Available at: </w:t>
      </w:r>
      <w:hyperlink r:id="rId43">
        <w:r>
          <w:rPr>
            <w:color w:val="2F6B8A"/>
            <w:u w:val="single"/>
          </w:rPr>
          <w:t>https://www.business-humanrights.org/en/from-us/briefings/2023-knowthechain-apparel-footwear-benchmark/</w:t>
        </w:r>
      </w:hyperlink>
      <w:r>
        <w:t xml:space="preserve">  (Accessed: 20 </w:t>
      </w:r>
      <w:r w:rsidR="00D67D53">
        <w:t>July</w:t>
      </w:r>
      <w:r>
        <w:t xml:space="preserve"> 2026).</w:t>
      </w:r>
    </w:p>
    <w:p w14:paraId="00E11DE2" w14:textId="77777777" w:rsidR="004B4463" w:rsidRDefault="00F763E6">
      <w:r>
        <w:t xml:space="preserve">Mayer, R.C., Davis, J.H. and </w:t>
      </w:r>
      <w:proofErr w:type="spellStart"/>
      <w:r>
        <w:t>Schoorman</w:t>
      </w:r>
      <w:proofErr w:type="spellEnd"/>
      <w:r>
        <w:t>, F.D. (1995) ‘An integrative model of organizational trust’, Academy of Management Review, 20(3), pp. 709–734. Available at: https://doi.org/10.5465/amr.1995.9508080335</w:t>
      </w:r>
    </w:p>
    <w:p w14:paraId="57440FB6" w14:textId="77777777" w:rsidR="004B4463" w:rsidRDefault="00F763E6">
      <w:r>
        <w:t xml:space="preserve">McKinsey &amp; Company and </w:t>
      </w:r>
      <w:proofErr w:type="spellStart"/>
      <w:r>
        <w:t>NielsenIQ</w:t>
      </w:r>
      <w:proofErr w:type="spellEnd"/>
      <w:r>
        <w:t xml:space="preserve"> (2023) </w:t>
      </w:r>
      <w:r>
        <w:rPr>
          <w:i/>
        </w:rPr>
        <w:t>Consumers care about sustainability—and back it up with their wallets</w:t>
      </w:r>
      <w:r>
        <w:t xml:space="preserve">. Available at: </w:t>
      </w:r>
      <w:hyperlink r:id="rId44">
        <w:r>
          <w:rPr>
            <w:color w:val="2F6B8A"/>
            <w:u w:val="single"/>
          </w:rPr>
          <w:t>https://www.mckinsey.com/industries/consumer-packaged-goods/our-insights/consumers-care-about-sustainability-and-back-it-up-with-their-wallets</w:t>
        </w:r>
      </w:hyperlink>
      <w:r>
        <w:t xml:space="preserve">  (Accessed: 20 </w:t>
      </w:r>
      <w:r w:rsidR="00D67D53">
        <w:t>July</w:t>
      </w:r>
      <w:r>
        <w:t xml:space="preserve"> 2026).</w:t>
      </w:r>
    </w:p>
    <w:p w14:paraId="691BA430" w14:textId="77777777" w:rsidR="004B4463" w:rsidRDefault="00F763E6">
      <w:r>
        <w:t xml:space="preserve">Meng, T., Dato Haji Yahya, M.H., </w:t>
      </w:r>
      <w:proofErr w:type="spellStart"/>
      <w:r>
        <w:t>Ashhari</w:t>
      </w:r>
      <w:proofErr w:type="spellEnd"/>
      <w:r>
        <w:t xml:space="preserve">, Z.M. and Yu, D. (2023) ‘ESG performance, investor attention, and company reputation: Threshold model analysis based on panel data from listed companies in China’, </w:t>
      </w:r>
      <w:proofErr w:type="spellStart"/>
      <w:r>
        <w:rPr>
          <w:i/>
        </w:rPr>
        <w:t>Heliyon</w:t>
      </w:r>
      <w:proofErr w:type="spellEnd"/>
      <w:r>
        <w:t xml:space="preserve">, 9(10), article e20974. Available at: </w:t>
      </w:r>
      <w:hyperlink r:id="rId45">
        <w:r>
          <w:rPr>
            <w:color w:val="2F6B8A"/>
            <w:u w:val="single"/>
          </w:rPr>
          <w:t>https://doi.org/10.1016/j.heliyon.2023.e20974</w:t>
        </w:r>
      </w:hyperlink>
      <w:r>
        <w:t xml:space="preserve"> </w:t>
      </w:r>
    </w:p>
    <w:p w14:paraId="6476C065" w14:textId="77777777" w:rsidR="004B4463" w:rsidRDefault="00F763E6">
      <w:proofErr w:type="spellStart"/>
      <w:r>
        <w:t>Persakis</w:t>
      </w:r>
      <w:proofErr w:type="spellEnd"/>
      <w:r>
        <w:t xml:space="preserve">, A., Nikolopoulos, T., </w:t>
      </w:r>
      <w:proofErr w:type="spellStart"/>
      <w:r>
        <w:t>Negkakis</w:t>
      </w:r>
      <w:proofErr w:type="spellEnd"/>
      <w:r>
        <w:t xml:space="preserve">, I.C. and Pavlopoulos, A. (2025) ‘Greenwashing in marketing: A systematic literature review and bibliometric analysis’, </w:t>
      </w:r>
      <w:r>
        <w:rPr>
          <w:i/>
        </w:rPr>
        <w:t>International Review on Public and Nonprofit Marketing</w:t>
      </w:r>
      <w:r>
        <w:t xml:space="preserve">, 22(4), pp. 957–992. Available at: </w:t>
      </w:r>
      <w:hyperlink r:id="rId46">
        <w:r>
          <w:rPr>
            <w:color w:val="2F6B8A"/>
            <w:u w:val="single"/>
          </w:rPr>
          <w:t>https://doi.org/10.1007/s12208-025-00452-x</w:t>
        </w:r>
      </w:hyperlink>
      <w:r>
        <w:t xml:space="preserve"> </w:t>
      </w:r>
    </w:p>
    <w:p w14:paraId="3ABFBF4E" w14:textId="77777777" w:rsidR="004B4463" w:rsidRDefault="00F763E6">
      <w:r>
        <w:lastRenderedPageBreak/>
        <w:t xml:space="preserve">PwC (2024) </w:t>
      </w:r>
      <w:r>
        <w:rPr>
          <w:i/>
        </w:rPr>
        <w:t>Voice of the Consumer Survey 2024: Shrinking the consumer trust deficit</w:t>
      </w:r>
      <w:r>
        <w:t xml:space="preserve">. Available at: </w:t>
      </w:r>
      <w:hyperlink r:id="rId47">
        <w:r>
          <w:rPr>
            <w:color w:val="2F6B8A"/>
            <w:u w:val="single"/>
          </w:rPr>
          <w:t>https://www.pwc.com/gx/en/issues/c-suite-insights/voice-of-the-consumer-survey/2024.html</w:t>
        </w:r>
      </w:hyperlink>
      <w:r>
        <w:t xml:space="preserve">  (Accessed: 20 </w:t>
      </w:r>
      <w:r w:rsidR="00D67D53">
        <w:t>July</w:t>
      </w:r>
      <w:r>
        <w:t xml:space="preserve"> 2026).</w:t>
      </w:r>
    </w:p>
    <w:p w14:paraId="691ADA4A" w14:textId="77777777" w:rsidR="004B4463" w:rsidRDefault="00F763E6">
      <w:proofErr w:type="spellStart"/>
      <w:r>
        <w:t>Pástor</w:t>
      </w:r>
      <w:proofErr w:type="spellEnd"/>
      <w:r>
        <w:t xml:space="preserve">, Ľ., Stambaugh, R.F. and Taylor, L.A. (2021) ‘Sustainable investing in equilibrium’, </w:t>
      </w:r>
      <w:r>
        <w:rPr>
          <w:i/>
        </w:rPr>
        <w:t>Journal of Financial Economics</w:t>
      </w:r>
      <w:r>
        <w:t xml:space="preserve">, 142(2), pp. 550–571. Available at: </w:t>
      </w:r>
      <w:hyperlink r:id="rId48">
        <w:r>
          <w:rPr>
            <w:color w:val="2F6B8A"/>
            <w:u w:val="single"/>
          </w:rPr>
          <w:t>https://doi.org/10.1016/j.jfineco.2020.12.011</w:t>
        </w:r>
      </w:hyperlink>
      <w:r>
        <w:t xml:space="preserve"> </w:t>
      </w:r>
    </w:p>
    <w:p w14:paraId="4635499C" w14:textId="77777777" w:rsidR="004B4463" w:rsidRDefault="00F763E6">
      <w:r>
        <w:t xml:space="preserve">Reckitt Benckiser Group plc (2026) Annual report and accounts 2025. Available at: </w:t>
      </w:r>
      <w:proofErr w:type="gramStart"/>
      <w:r>
        <w:t>https://www.reckitt.com/investors/latest-annual-report/annual-report-archive/  (</w:t>
      </w:r>
      <w:proofErr w:type="gramEnd"/>
      <w:r>
        <w:t>Accessed: 20 July 2026).</w:t>
      </w:r>
    </w:p>
    <w:p w14:paraId="0555C1C3" w14:textId="77777777" w:rsidR="004B4463" w:rsidRDefault="00F763E6">
      <w:r>
        <w:t xml:space="preserve">Santos, C., Coelho, A. and Marques, A. (2024) ‘A systematic literature review on greenwashing and its relationship to stakeholders: State of art and future research agenda’, </w:t>
      </w:r>
      <w:r>
        <w:rPr>
          <w:i/>
        </w:rPr>
        <w:t>Management Review Quarterly</w:t>
      </w:r>
      <w:r>
        <w:t xml:space="preserve">, 74(3), pp. 1397–1421. Available at: </w:t>
      </w:r>
      <w:hyperlink r:id="rId49">
        <w:r>
          <w:rPr>
            <w:color w:val="2F6B8A"/>
            <w:u w:val="single"/>
          </w:rPr>
          <w:t>https://doi.org/10.1007/s11301-023-00337-5</w:t>
        </w:r>
      </w:hyperlink>
      <w:r>
        <w:t xml:space="preserve"> </w:t>
      </w:r>
    </w:p>
    <w:p w14:paraId="45F71262" w14:textId="77777777" w:rsidR="004B4463" w:rsidRDefault="00F763E6">
      <w:r>
        <w:t xml:space="preserve">Saunders, M.N.K., Lewis, P. and Thornhill, A. (2023) </w:t>
      </w:r>
      <w:r>
        <w:rPr>
          <w:i/>
        </w:rPr>
        <w:t>Research methods for business students</w:t>
      </w:r>
      <w:r>
        <w:t xml:space="preserve">. 9th </w:t>
      </w:r>
      <w:proofErr w:type="spellStart"/>
      <w:r>
        <w:t>edn</w:t>
      </w:r>
      <w:proofErr w:type="spellEnd"/>
      <w:r>
        <w:t>. Harlow: Pearson.</w:t>
      </w:r>
    </w:p>
    <w:p w14:paraId="32890A73" w14:textId="77777777" w:rsidR="004B4463" w:rsidRDefault="00F763E6">
      <w:r>
        <w:t xml:space="preserve">Suchman, M.C. (1995) ‘Managing legitimacy: Strategic and institutional approaches’, </w:t>
      </w:r>
      <w:r>
        <w:rPr>
          <w:i/>
        </w:rPr>
        <w:t>Academy of Management Review</w:t>
      </w:r>
      <w:r>
        <w:t xml:space="preserve">, 20(3), pp. 571–610. Available at: </w:t>
      </w:r>
      <w:hyperlink r:id="rId50">
        <w:r>
          <w:rPr>
            <w:color w:val="2F6B8A"/>
            <w:u w:val="single"/>
          </w:rPr>
          <w:t>https://doi.org/10.5465/amr.1995.9508080331</w:t>
        </w:r>
      </w:hyperlink>
      <w:r>
        <w:t xml:space="preserve"> </w:t>
      </w:r>
    </w:p>
    <w:p w14:paraId="4E62B73E" w14:textId="77777777" w:rsidR="004B4463" w:rsidRDefault="00F763E6">
      <w:r>
        <w:t xml:space="preserve">Unilever PLC (2026) </w:t>
      </w:r>
      <w:r>
        <w:rPr>
          <w:i/>
        </w:rPr>
        <w:t>Annual report and accounts 2025</w:t>
      </w:r>
      <w:r>
        <w:t xml:space="preserve">. Available at: </w:t>
      </w:r>
      <w:hyperlink r:id="rId51">
        <w:r>
          <w:rPr>
            <w:color w:val="2F6B8A"/>
            <w:u w:val="single"/>
          </w:rPr>
          <w:t>https://www.unilever.com/investors/annual-report-and-accounts/archive-of-annual-report-and-accounts/</w:t>
        </w:r>
      </w:hyperlink>
      <w:r>
        <w:t xml:space="preserve">  (Accessed: 20 </w:t>
      </w:r>
      <w:r w:rsidR="00D67D53">
        <w:t>July</w:t>
      </w:r>
      <w:r>
        <w:t xml:space="preserve"> 2026).</w:t>
      </w:r>
    </w:p>
    <w:p w14:paraId="3C1C9AB8" w14:textId="77777777" w:rsidR="004B4463" w:rsidRDefault="00F763E6">
      <w:r>
        <w:t xml:space="preserve">Whelan, T., Atz, U., Van Holt, T. and Clark, C. (2021) </w:t>
      </w:r>
      <w:r>
        <w:rPr>
          <w:i/>
        </w:rPr>
        <w:t>ESG and financial performance: Uncovering the relationship by aggregating evidence from 1,000 plus studies published between 2015–2020</w:t>
      </w:r>
      <w:r>
        <w:t>. New York: NYU Stern Center for Sustainable Business and Rockefeller Asset Management. Available at: https://www.stern.nyu.edu/sites/default/files/assets/documents/NYU-RAM_ESG-Paper_2021.pdf (Accessed: 20 July 2026).</w:t>
      </w:r>
    </w:p>
    <w:p w14:paraId="30684C7A" w14:textId="77777777" w:rsidR="004B4463" w:rsidRDefault="00F763E6">
      <w:r>
        <w:lastRenderedPageBreak/>
        <w:t xml:space="preserve">Yang, C., Zhu, C. and </w:t>
      </w:r>
      <w:proofErr w:type="spellStart"/>
      <w:r>
        <w:t>Albitar</w:t>
      </w:r>
      <w:proofErr w:type="spellEnd"/>
      <w:r>
        <w:t xml:space="preserve">, K. (2024) ‘ESG ratings and green innovation: A U-shaped journey towards sustainable development’, </w:t>
      </w:r>
      <w:r>
        <w:rPr>
          <w:i/>
        </w:rPr>
        <w:t>Business Strategy and the Environment</w:t>
      </w:r>
      <w:r>
        <w:t xml:space="preserve">, 33(5), pp. 4108–4129. Available at: </w:t>
      </w:r>
      <w:hyperlink r:id="rId52">
        <w:r>
          <w:rPr>
            <w:color w:val="2F6B8A"/>
            <w:u w:val="single"/>
          </w:rPr>
          <w:t>https://doi.org/10.1002/bse.3692</w:t>
        </w:r>
      </w:hyperlink>
      <w:r>
        <w:t xml:space="preserve"> </w:t>
      </w:r>
    </w:p>
    <w:p w14:paraId="2C4AB0AC" w14:textId="77777777" w:rsidR="004B4463" w:rsidRDefault="00F763E6">
      <w:r>
        <w:t xml:space="preserve">Yu, E.P., Luu, B.V. and Chen, C.H. (2020) ‘Greenwashing in environmental, social and governance disclosures’, </w:t>
      </w:r>
      <w:r>
        <w:rPr>
          <w:i/>
        </w:rPr>
        <w:t>Research in International Business and Finance</w:t>
      </w:r>
      <w:r>
        <w:t xml:space="preserve">, 52, article 101192. Available at: </w:t>
      </w:r>
      <w:hyperlink r:id="rId53">
        <w:r>
          <w:rPr>
            <w:color w:val="2F6B8A"/>
            <w:u w:val="single"/>
          </w:rPr>
          <w:t>https://doi.org/10.1016/j.ribaf.2020.101192</w:t>
        </w:r>
      </w:hyperlink>
      <w:r>
        <w:t xml:space="preserve"> </w:t>
      </w:r>
    </w:p>
    <w:p w14:paraId="486893D8" w14:textId="77777777" w:rsidR="004B4463" w:rsidRDefault="004B4463"/>
    <w:p w14:paraId="6EFCABBE" w14:textId="77777777" w:rsidR="004B4463" w:rsidRDefault="00F763E6">
      <w:r>
        <w:br/>
      </w:r>
    </w:p>
    <w:p w14:paraId="6E5595E7" w14:textId="77777777" w:rsidR="00D67D53" w:rsidRDefault="00D67D53"/>
    <w:p w14:paraId="64649EC0" w14:textId="77777777" w:rsidR="00D67D53" w:rsidRDefault="00D67D53"/>
    <w:p w14:paraId="032B11E2" w14:textId="77777777" w:rsidR="00D67D53" w:rsidRDefault="00D67D53"/>
    <w:p w14:paraId="2659AE52" w14:textId="77777777" w:rsidR="00D67D53" w:rsidRDefault="00D67D53"/>
    <w:p w14:paraId="59814181" w14:textId="77777777" w:rsidR="00D67D53" w:rsidRDefault="00D67D53"/>
    <w:p w14:paraId="4EBAC7CE" w14:textId="77777777" w:rsidR="00D67D53" w:rsidRDefault="00D67D53"/>
    <w:p w14:paraId="6E9010C9" w14:textId="77777777" w:rsidR="00D67D53" w:rsidRDefault="00D67D53"/>
    <w:p w14:paraId="27E0DEE4" w14:textId="77777777" w:rsidR="00D67D53" w:rsidRDefault="00D67D53"/>
    <w:p w14:paraId="78D38BA5" w14:textId="77777777" w:rsidR="00D67D53" w:rsidRDefault="00D67D53"/>
    <w:p w14:paraId="66A12955" w14:textId="77777777" w:rsidR="00D67D53" w:rsidRDefault="00D67D53"/>
    <w:p w14:paraId="4FBB8D66" w14:textId="77777777" w:rsidR="00D67D53" w:rsidRDefault="00D67D53"/>
    <w:p w14:paraId="692C74FE" w14:textId="77777777" w:rsidR="00D67D53" w:rsidRDefault="00D67D53"/>
    <w:p w14:paraId="69912689" w14:textId="77777777" w:rsidR="004B4463" w:rsidRDefault="00F763E6">
      <w:pPr>
        <w:pStyle w:val="Heading1"/>
        <w:pageBreakBefore/>
      </w:pPr>
      <w:bookmarkStart w:id="150" w:name="_Toc240858713"/>
      <w:r>
        <w:lastRenderedPageBreak/>
        <w:t>Appendix A: Evidence Traceability and Coding Examples</w:t>
      </w:r>
      <w:bookmarkEnd w:id="150"/>
    </w:p>
    <w:p w14:paraId="0080560D" w14:textId="77777777" w:rsidR="004B4463" w:rsidRDefault="00F763E6">
      <w:pPr>
        <w:pStyle w:val="Heading2"/>
      </w:pPr>
      <w:bookmarkStart w:id="151" w:name="_Toc240858714"/>
      <w:r>
        <w:t xml:space="preserve">A1. Representative evidence </w:t>
      </w:r>
      <w:proofErr w:type="gramStart"/>
      <w:r>
        <w:t>register</w:t>
      </w:r>
      <w:bookmarkEnd w:id="151"/>
      <w:proofErr w:type="gramEnd"/>
    </w:p>
    <w:tbl>
      <w:tblPr>
        <w:tblW w:w="101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45"/>
        <w:gridCol w:w="1443"/>
        <w:gridCol w:w="1445"/>
        <w:gridCol w:w="1443"/>
        <w:gridCol w:w="1447"/>
        <w:gridCol w:w="1440"/>
        <w:gridCol w:w="1444"/>
      </w:tblGrid>
      <w:tr w:rsidR="004B4463" w:rsidRPr="0044333C" w14:paraId="6F59B060" w14:textId="77777777" w:rsidTr="0044333C">
        <w:trPr>
          <w:trHeight w:val="1050"/>
          <w:jc w:val="center"/>
        </w:trPr>
        <w:tc>
          <w:tcPr>
            <w:tcW w:w="1445" w:type="dxa"/>
          </w:tcPr>
          <w:p w14:paraId="5671E300" w14:textId="77777777" w:rsidR="004B4463" w:rsidRPr="0044333C" w:rsidRDefault="00F763E6">
            <w:pPr>
              <w:spacing w:after="0"/>
              <w:rPr>
                <w:b/>
                <w:bCs/>
              </w:rPr>
            </w:pPr>
            <w:r w:rsidRPr="0044333C">
              <w:rPr>
                <w:b/>
                <w:bCs/>
                <w:sz w:val="19"/>
              </w:rPr>
              <w:t>Case/source</w:t>
            </w:r>
          </w:p>
        </w:tc>
        <w:tc>
          <w:tcPr>
            <w:tcW w:w="1443" w:type="dxa"/>
          </w:tcPr>
          <w:p w14:paraId="6A1E4C44" w14:textId="77777777" w:rsidR="004B4463" w:rsidRPr="0044333C" w:rsidRDefault="00F763E6">
            <w:pPr>
              <w:spacing w:after="0"/>
              <w:rPr>
                <w:b/>
                <w:bCs/>
              </w:rPr>
            </w:pPr>
            <w:r w:rsidRPr="0044333C">
              <w:rPr>
                <w:b/>
                <w:bCs/>
                <w:sz w:val="19"/>
              </w:rPr>
              <w:t>Period</w:t>
            </w:r>
          </w:p>
        </w:tc>
        <w:tc>
          <w:tcPr>
            <w:tcW w:w="1445" w:type="dxa"/>
          </w:tcPr>
          <w:p w14:paraId="2760CD22" w14:textId="77777777" w:rsidR="004B4463" w:rsidRPr="0044333C" w:rsidRDefault="00F763E6">
            <w:pPr>
              <w:spacing w:after="0"/>
              <w:rPr>
                <w:b/>
                <w:bCs/>
              </w:rPr>
            </w:pPr>
            <w:r w:rsidRPr="0044333C">
              <w:rPr>
                <w:b/>
                <w:bCs/>
                <w:sz w:val="19"/>
              </w:rPr>
              <w:t>Claim/metric</w:t>
            </w:r>
          </w:p>
        </w:tc>
        <w:tc>
          <w:tcPr>
            <w:tcW w:w="1443" w:type="dxa"/>
          </w:tcPr>
          <w:p w14:paraId="47AA5191" w14:textId="77777777" w:rsidR="004B4463" w:rsidRPr="0044333C" w:rsidRDefault="00F763E6">
            <w:pPr>
              <w:spacing w:after="0"/>
              <w:rPr>
                <w:b/>
                <w:bCs/>
              </w:rPr>
            </w:pPr>
            <w:r w:rsidRPr="0044333C">
              <w:rPr>
                <w:b/>
                <w:bCs/>
                <w:sz w:val="19"/>
              </w:rPr>
              <w:t>Locator</w:t>
            </w:r>
          </w:p>
        </w:tc>
        <w:tc>
          <w:tcPr>
            <w:tcW w:w="1447" w:type="dxa"/>
          </w:tcPr>
          <w:p w14:paraId="6C07F4B3" w14:textId="77777777" w:rsidR="004B4463" w:rsidRPr="0044333C" w:rsidRDefault="00F763E6">
            <w:pPr>
              <w:spacing w:after="0"/>
              <w:rPr>
                <w:b/>
                <w:bCs/>
              </w:rPr>
            </w:pPr>
            <w:r w:rsidRPr="0044333C">
              <w:rPr>
                <w:b/>
                <w:bCs/>
                <w:sz w:val="19"/>
              </w:rPr>
              <w:t>Boundary/baseline</w:t>
            </w:r>
          </w:p>
        </w:tc>
        <w:tc>
          <w:tcPr>
            <w:tcW w:w="1440" w:type="dxa"/>
          </w:tcPr>
          <w:p w14:paraId="08436CBE" w14:textId="77777777" w:rsidR="004B4463" w:rsidRPr="0044333C" w:rsidRDefault="00F763E6">
            <w:pPr>
              <w:spacing w:after="0"/>
              <w:rPr>
                <w:b/>
                <w:bCs/>
              </w:rPr>
            </w:pPr>
            <w:r w:rsidRPr="0044333C">
              <w:rPr>
                <w:b/>
                <w:bCs/>
                <w:sz w:val="19"/>
              </w:rPr>
              <w:t>Assurance/external status</w:t>
            </w:r>
          </w:p>
        </w:tc>
        <w:tc>
          <w:tcPr>
            <w:tcW w:w="1444" w:type="dxa"/>
          </w:tcPr>
          <w:p w14:paraId="1DAF764A" w14:textId="77777777" w:rsidR="004B4463" w:rsidRPr="0044333C" w:rsidRDefault="00F763E6">
            <w:pPr>
              <w:spacing w:after="0"/>
              <w:rPr>
                <w:b/>
                <w:bCs/>
              </w:rPr>
            </w:pPr>
            <w:r w:rsidRPr="0044333C">
              <w:rPr>
                <w:b/>
                <w:bCs/>
                <w:sz w:val="19"/>
              </w:rPr>
              <w:t>Analytical use and caveat</w:t>
            </w:r>
          </w:p>
        </w:tc>
      </w:tr>
      <w:tr w:rsidR="004B4463" w14:paraId="2FD10F3E" w14:textId="77777777" w:rsidTr="0044333C">
        <w:trPr>
          <w:trHeight w:val="2921"/>
          <w:jc w:val="center"/>
        </w:trPr>
        <w:tc>
          <w:tcPr>
            <w:tcW w:w="1445" w:type="dxa"/>
          </w:tcPr>
          <w:p w14:paraId="5ED03541" w14:textId="77777777" w:rsidR="00981CC7" w:rsidRDefault="00CC58FE">
            <w:pPr>
              <w:spacing w:after="0"/>
            </w:pPr>
            <w:r>
              <w:rPr>
                <w:sz w:val="19"/>
              </w:rPr>
              <w:t>Unilever PLC, Annual Report and Accounts 2025</w:t>
            </w:r>
          </w:p>
        </w:tc>
        <w:tc>
          <w:tcPr>
            <w:tcW w:w="1443" w:type="dxa"/>
          </w:tcPr>
          <w:p w14:paraId="7497EB7B" w14:textId="77777777" w:rsidR="004B4463" w:rsidRDefault="00F763E6">
            <w:pPr>
              <w:spacing w:after="0"/>
            </w:pPr>
            <w:r>
              <w:rPr>
                <w:sz w:val="19"/>
              </w:rPr>
              <w:t>2025</w:t>
            </w:r>
          </w:p>
        </w:tc>
        <w:tc>
          <w:tcPr>
            <w:tcW w:w="1445" w:type="dxa"/>
          </w:tcPr>
          <w:p w14:paraId="0331CAF8" w14:textId="77777777" w:rsidR="004B4463" w:rsidRDefault="00F763E6">
            <w:pPr>
              <w:spacing w:after="0"/>
            </w:pPr>
            <w:r>
              <w:rPr>
                <w:sz w:val="19"/>
              </w:rPr>
              <w:t>Operational Scope 1 and 2 GHG emissions reduced 77%; 2030 target 100% reduction</w:t>
            </w:r>
          </w:p>
        </w:tc>
        <w:tc>
          <w:tcPr>
            <w:tcW w:w="1443" w:type="dxa"/>
          </w:tcPr>
          <w:p w14:paraId="2844342F" w14:textId="77777777" w:rsidR="004B4463" w:rsidRDefault="00F763E6">
            <w:pPr>
              <w:spacing w:after="0"/>
            </w:pPr>
            <w:r>
              <w:rPr>
                <w:sz w:val="19"/>
              </w:rPr>
              <w:t>p. 30</w:t>
            </w:r>
          </w:p>
        </w:tc>
        <w:tc>
          <w:tcPr>
            <w:tcW w:w="1447" w:type="dxa"/>
          </w:tcPr>
          <w:p w14:paraId="5B92A95F" w14:textId="77777777" w:rsidR="004B4463" w:rsidRDefault="00F763E6">
            <w:pPr>
              <w:spacing w:after="0"/>
            </w:pPr>
            <w:r>
              <w:rPr>
                <w:sz w:val="19"/>
              </w:rPr>
              <w:t>2015 baseline; 2025 reporting boundary disclosed by company</w:t>
            </w:r>
          </w:p>
        </w:tc>
        <w:tc>
          <w:tcPr>
            <w:tcW w:w="1440" w:type="dxa"/>
          </w:tcPr>
          <w:p w14:paraId="24787821" w14:textId="77777777" w:rsidR="004B4463" w:rsidRDefault="00F763E6">
            <w:pPr>
              <w:spacing w:after="0"/>
            </w:pPr>
            <w:r>
              <w:rPr>
                <w:sz w:val="19"/>
              </w:rPr>
              <w:t>Company report; assurance only where specifically scoped</w:t>
            </w:r>
          </w:p>
        </w:tc>
        <w:tc>
          <w:tcPr>
            <w:tcW w:w="1444" w:type="dxa"/>
          </w:tcPr>
          <w:p w14:paraId="3CA562EE" w14:textId="77777777" w:rsidR="004B4463" w:rsidRDefault="00F763E6">
            <w:pPr>
              <w:spacing w:after="0"/>
            </w:pPr>
            <w:r>
              <w:rPr>
                <w:sz w:val="19"/>
              </w:rPr>
              <w:t>Operational progress. Do not describe 77% as the target; do not infer causation for sales or margin.</w:t>
            </w:r>
          </w:p>
        </w:tc>
      </w:tr>
      <w:tr w:rsidR="004B4463" w14:paraId="1FD6A3EC" w14:textId="77777777" w:rsidTr="0044333C">
        <w:trPr>
          <w:trHeight w:val="2910"/>
          <w:jc w:val="center"/>
        </w:trPr>
        <w:tc>
          <w:tcPr>
            <w:tcW w:w="1445" w:type="dxa"/>
          </w:tcPr>
          <w:p w14:paraId="02427BA5" w14:textId="77777777" w:rsidR="004B4463" w:rsidRDefault="00F763E6">
            <w:pPr>
              <w:spacing w:after="0"/>
            </w:pPr>
            <w:r>
              <w:rPr>
                <w:sz w:val="19"/>
              </w:rPr>
              <w:t>CMA, FMCG case record</w:t>
            </w:r>
          </w:p>
        </w:tc>
        <w:tc>
          <w:tcPr>
            <w:tcW w:w="1443" w:type="dxa"/>
          </w:tcPr>
          <w:p w14:paraId="4B8E0C4F" w14:textId="77777777" w:rsidR="004B4463" w:rsidRDefault="00F763E6">
            <w:pPr>
              <w:spacing w:after="0"/>
            </w:pPr>
            <w:r>
              <w:rPr>
                <w:sz w:val="19"/>
              </w:rPr>
              <w:t>2023-2024</w:t>
            </w:r>
          </w:p>
        </w:tc>
        <w:tc>
          <w:tcPr>
            <w:tcW w:w="1445" w:type="dxa"/>
          </w:tcPr>
          <w:p w14:paraId="237B025A" w14:textId="77777777" w:rsidR="004B4463" w:rsidRDefault="00F763E6">
            <w:pPr>
              <w:spacing w:after="0"/>
            </w:pPr>
            <w:r>
              <w:rPr>
                <w:sz w:val="19"/>
              </w:rPr>
              <w:t>Investigation of Unilever environmental claims; case closed in Nov 2024</w:t>
            </w:r>
          </w:p>
        </w:tc>
        <w:tc>
          <w:tcPr>
            <w:tcW w:w="1443" w:type="dxa"/>
          </w:tcPr>
          <w:p w14:paraId="41160465" w14:textId="77777777" w:rsidR="004B4463" w:rsidRDefault="00F763E6">
            <w:pPr>
              <w:spacing w:after="0"/>
            </w:pPr>
            <w:r>
              <w:rPr>
                <w:sz w:val="19"/>
              </w:rPr>
              <w:t>Official case page</w:t>
            </w:r>
          </w:p>
        </w:tc>
        <w:tc>
          <w:tcPr>
            <w:tcW w:w="1447" w:type="dxa"/>
          </w:tcPr>
          <w:p w14:paraId="04B37E65" w14:textId="77777777" w:rsidR="004B4463" w:rsidRDefault="00F763E6">
            <w:pPr>
              <w:spacing w:after="0"/>
            </w:pPr>
            <w:r>
              <w:rPr>
                <w:sz w:val="19"/>
              </w:rPr>
              <w:t>Consumer-law scrutiny of specified claims</w:t>
            </w:r>
          </w:p>
        </w:tc>
        <w:tc>
          <w:tcPr>
            <w:tcW w:w="1440" w:type="dxa"/>
          </w:tcPr>
          <w:p w14:paraId="7504AB26" w14:textId="77777777" w:rsidR="004B4463" w:rsidRDefault="00F763E6">
            <w:pPr>
              <w:spacing w:after="0"/>
            </w:pPr>
            <w:r>
              <w:rPr>
                <w:sz w:val="19"/>
              </w:rPr>
              <w:t>Regulatory record</w:t>
            </w:r>
          </w:p>
        </w:tc>
        <w:tc>
          <w:tcPr>
            <w:tcW w:w="1444" w:type="dxa"/>
          </w:tcPr>
          <w:p w14:paraId="4F26D56D" w14:textId="77777777" w:rsidR="004B4463" w:rsidRDefault="00F763E6">
            <w:pPr>
              <w:spacing w:after="0"/>
            </w:pPr>
            <w:r>
              <w:rPr>
                <w:sz w:val="19"/>
              </w:rPr>
              <w:t>Reputation/claim-substantiation exposure. Closure is neither a breach finding nor general exoneration.</w:t>
            </w:r>
          </w:p>
        </w:tc>
      </w:tr>
      <w:tr w:rsidR="004B4463" w14:paraId="5FB05214" w14:textId="77777777" w:rsidTr="0044333C">
        <w:trPr>
          <w:trHeight w:val="3221"/>
          <w:jc w:val="center"/>
        </w:trPr>
        <w:tc>
          <w:tcPr>
            <w:tcW w:w="1445" w:type="dxa"/>
          </w:tcPr>
          <w:p w14:paraId="085B48BD" w14:textId="77777777" w:rsidR="00981CC7" w:rsidRDefault="00CC58FE">
            <w:pPr>
              <w:spacing w:after="0"/>
            </w:pPr>
            <w:r>
              <w:rPr>
                <w:sz w:val="19"/>
              </w:rPr>
              <w:t>Reckitt Benckiser Group plc, Annual Report and Accounts 2025</w:t>
            </w:r>
          </w:p>
        </w:tc>
        <w:tc>
          <w:tcPr>
            <w:tcW w:w="1443" w:type="dxa"/>
          </w:tcPr>
          <w:p w14:paraId="31023063" w14:textId="77777777" w:rsidR="004B4463" w:rsidRDefault="00F763E6">
            <w:pPr>
              <w:spacing w:after="0"/>
            </w:pPr>
            <w:r>
              <w:rPr>
                <w:sz w:val="19"/>
              </w:rPr>
              <w:t>2025</w:t>
            </w:r>
          </w:p>
        </w:tc>
        <w:tc>
          <w:tcPr>
            <w:tcW w:w="1445" w:type="dxa"/>
          </w:tcPr>
          <w:p w14:paraId="3C070282" w14:textId="77777777" w:rsidR="004B4463" w:rsidRDefault="00F763E6">
            <w:pPr>
              <w:spacing w:after="0"/>
            </w:pPr>
            <w:r>
              <w:rPr>
                <w:sz w:val="19"/>
              </w:rPr>
              <w:t>Scope 1 and 2 emissions reduction 73% vs 2015; more-sustainable-products LTIP weighting 10%</w:t>
            </w:r>
          </w:p>
        </w:tc>
        <w:tc>
          <w:tcPr>
            <w:tcW w:w="1443" w:type="dxa"/>
          </w:tcPr>
          <w:p w14:paraId="73F80612" w14:textId="77777777" w:rsidR="004B4463" w:rsidRDefault="00F763E6">
            <w:pPr>
              <w:spacing w:after="0"/>
            </w:pPr>
            <w:r>
              <w:rPr>
                <w:sz w:val="19"/>
              </w:rPr>
              <w:t>p. 104 for LTIP; environmental performance in annual-report sustainability section</w:t>
            </w:r>
          </w:p>
        </w:tc>
        <w:tc>
          <w:tcPr>
            <w:tcW w:w="1447" w:type="dxa"/>
          </w:tcPr>
          <w:p w14:paraId="0D0DE05F" w14:textId="77777777" w:rsidR="004B4463" w:rsidRDefault="00F763E6">
            <w:pPr>
              <w:spacing w:after="0"/>
            </w:pPr>
            <w:r>
              <w:rPr>
                <w:sz w:val="19"/>
              </w:rPr>
              <w:t>2015 baseline for operational emissions</w:t>
            </w:r>
          </w:p>
        </w:tc>
        <w:tc>
          <w:tcPr>
            <w:tcW w:w="1440" w:type="dxa"/>
          </w:tcPr>
          <w:p w14:paraId="68654B7D" w14:textId="77777777" w:rsidR="004B4463" w:rsidRDefault="00F763E6">
            <w:pPr>
              <w:spacing w:after="0"/>
            </w:pPr>
            <w:r>
              <w:rPr>
                <w:sz w:val="19"/>
              </w:rPr>
              <w:t>Company report; assurance applies only to named metrics</w:t>
            </w:r>
          </w:p>
        </w:tc>
        <w:tc>
          <w:tcPr>
            <w:tcW w:w="1444" w:type="dxa"/>
          </w:tcPr>
          <w:p w14:paraId="110DF658" w14:textId="77777777" w:rsidR="00981CC7" w:rsidRDefault="00CC58FE">
            <w:pPr>
              <w:spacing w:after="0"/>
            </w:pPr>
            <w:r>
              <w:rPr>
                <w:sz w:val="19"/>
              </w:rPr>
              <w:t>Governance and operational mechanisms. Use the current 10% weighting; assurance applies only to specified named metrics.</w:t>
            </w:r>
          </w:p>
        </w:tc>
      </w:tr>
      <w:tr w:rsidR="004B4463" w14:paraId="04749376" w14:textId="77777777" w:rsidTr="0044333C">
        <w:trPr>
          <w:trHeight w:val="2921"/>
          <w:jc w:val="center"/>
        </w:trPr>
        <w:tc>
          <w:tcPr>
            <w:tcW w:w="1445" w:type="dxa"/>
          </w:tcPr>
          <w:p w14:paraId="0A49A761" w14:textId="77777777" w:rsidR="00981CC7" w:rsidRDefault="00CC58FE">
            <w:pPr>
              <w:spacing w:after="0"/>
            </w:pPr>
            <w:r>
              <w:rPr>
                <w:sz w:val="19"/>
              </w:rPr>
              <w:lastRenderedPageBreak/>
              <w:t>Diageo plc, Annual Report 2025</w:t>
            </w:r>
          </w:p>
        </w:tc>
        <w:tc>
          <w:tcPr>
            <w:tcW w:w="1443" w:type="dxa"/>
          </w:tcPr>
          <w:p w14:paraId="46A6ED1C" w14:textId="77777777" w:rsidR="004B4463" w:rsidRDefault="00F763E6">
            <w:pPr>
              <w:spacing w:after="0"/>
            </w:pPr>
            <w:r>
              <w:rPr>
                <w:sz w:val="19"/>
              </w:rPr>
              <w:t>FY2025</w:t>
            </w:r>
          </w:p>
        </w:tc>
        <w:tc>
          <w:tcPr>
            <w:tcW w:w="1445" w:type="dxa"/>
          </w:tcPr>
          <w:p w14:paraId="0CE31FD8" w14:textId="77777777" w:rsidR="004B4463" w:rsidRDefault="00F763E6">
            <w:pPr>
              <w:spacing w:after="0"/>
            </w:pPr>
            <w:r>
              <w:rPr>
                <w:sz w:val="19"/>
              </w:rPr>
              <w:t>2.0m people educated during FY2025; 8.2m cumulative SMASHED progress</w:t>
            </w:r>
          </w:p>
        </w:tc>
        <w:tc>
          <w:tcPr>
            <w:tcW w:w="1443" w:type="dxa"/>
          </w:tcPr>
          <w:p w14:paraId="00495EB0" w14:textId="77777777" w:rsidR="004B4463" w:rsidRDefault="00F763E6">
            <w:pPr>
              <w:spacing w:after="0"/>
            </w:pPr>
            <w:r>
              <w:rPr>
                <w:sz w:val="19"/>
              </w:rPr>
              <w:t>Positive Drinking performance table</w:t>
            </w:r>
          </w:p>
        </w:tc>
        <w:tc>
          <w:tcPr>
            <w:tcW w:w="1447" w:type="dxa"/>
          </w:tcPr>
          <w:p w14:paraId="19C248C7" w14:textId="77777777" w:rsidR="004B4463" w:rsidRDefault="00F763E6">
            <w:pPr>
              <w:spacing w:after="0"/>
            </w:pPr>
            <w:r>
              <w:rPr>
                <w:sz w:val="19"/>
              </w:rPr>
              <w:t>Annual vs cumulative measures separated</w:t>
            </w:r>
          </w:p>
        </w:tc>
        <w:tc>
          <w:tcPr>
            <w:tcW w:w="1440" w:type="dxa"/>
          </w:tcPr>
          <w:p w14:paraId="4D6EAEAB" w14:textId="77777777" w:rsidR="004B4463" w:rsidRDefault="00F763E6">
            <w:pPr>
              <w:spacing w:after="0"/>
            </w:pPr>
            <w:r>
              <w:rPr>
                <w:sz w:val="19"/>
              </w:rPr>
              <w:t>Company report</w:t>
            </w:r>
          </w:p>
        </w:tc>
        <w:tc>
          <w:tcPr>
            <w:tcW w:w="1444" w:type="dxa"/>
          </w:tcPr>
          <w:p w14:paraId="2A2FBD0E" w14:textId="77777777" w:rsidR="004B4463" w:rsidRDefault="00F763E6">
            <w:pPr>
              <w:spacing w:after="0"/>
            </w:pPr>
            <w:r>
              <w:rPr>
                <w:sz w:val="19"/>
              </w:rPr>
              <w:t>Category-specific social-purpose evidence. Reach is not a direct reputation score.</w:t>
            </w:r>
          </w:p>
        </w:tc>
      </w:tr>
      <w:tr w:rsidR="004B4463" w14:paraId="349AC736" w14:textId="77777777" w:rsidTr="0044333C">
        <w:trPr>
          <w:trHeight w:val="3221"/>
          <w:jc w:val="center"/>
        </w:trPr>
        <w:tc>
          <w:tcPr>
            <w:tcW w:w="1445" w:type="dxa"/>
          </w:tcPr>
          <w:p w14:paraId="0749D363" w14:textId="77777777" w:rsidR="00981CC7" w:rsidRDefault="00CC58FE">
            <w:pPr>
              <w:spacing w:after="0"/>
            </w:pPr>
            <w:r>
              <w:rPr>
                <w:sz w:val="19"/>
              </w:rPr>
              <w:t>Associated British Foods plc, Annual Report 2025</w:t>
            </w:r>
          </w:p>
        </w:tc>
        <w:tc>
          <w:tcPr>
            <w:tcW w:w="1443" w:type="dxa"/>
          </w:tcPr>
          <w:p w14:paraId="363F3550" w14:textId="77777777" w:rsidR="004B4463" w:rsidRDefault="00F763E6">
            <w:pPr>
              <w:spacing w:after="0"/>
            </w:pPr>
            <w:r>
              <w:rPr>
                <w:sz w:val="19"/>
              </w:rPr>
              <w:t>2025</w:t>
            </w:r>
          </w:p>
        </w:tc>
        <w:tc>
          <w:tcPr>
            <w:tcW w:w="1445" w:type="dxa"/>
          </w:tcPr>
          <w:p w14:paraId="31ED0851" w14:textId="77777777" w:rsidR="004B4463" w:rsidRDefault="00F763E6">
            <w:pPr>
              <w:spacing w:after="0"/>
            </w:pPr>
            <w:r>
              <w:rPr>
                <w:sz w:val="19"/>
              </w:rPr>
              <w:t>Primark revenue £9.489bn; adjusted operating profit £1.126bn; margin 11.9%; LFL sales -2.3%</w:t>
            </w:r>
          </w:p>
        </w:tc>
        <w:tc>
          <w:tcPr>
            <w:tcW w:w="1443" w:type="dxa"/>
          </w:tcPr>
          <w:p w14:paraId="6D64E57D" w14:textId="77777777" w:rsidR="004B4463" w:rsidRDefault="00F763E6">
            <w:pPr>
              <w:spacing w:after="0"/>
            </w:pPr>
            <w:r>
              <w:rPr>
                <w:sz w:val="19"/>
              </w:rPr>
              <w:t>Retail operating review; Annual Report p. 17 for retail financial summary</w:t>
            </w:r>
          </w:p>
        </w:tc>
        <w:tc>
          <w:tcPr>
            <w:tcW w:w="1447" w:type="dxa"/>
          </w:tcPr>
          <w:p w14:paraId="52C4D2FC" w14:textId="77777777" w:rsidR="004B4463" w:rsidRDefault="00F763E6">
            <w:pPr>
              <w:spacing w:after="0"/>
            </w:pPr>
            <w:r>
              <w:rPr>
                <w:sz w:val="19"/>
              </w:rPr>
              <w:t>Primark/Retail segment</w:t>
            </w:r>
          </w:p>
        </w:tc>
        <w:tc>
          <w:tcPr>
            <w:tcW w:w="1440" w:type="dxa"/>
          </w:tcPr>
          <w:p w14:paraId="63DF0102" w14:textId="77777777" w:rsidR="004B4463" w:rsidRDefault="00F763E6">
            <w:pPr>
              <w:spacing w:after="0"/>
            </w:pPr>
            <w:r>
              <w:rPr>
                <w:sz w:val="19"/>
              </w:rPr>
              <w:t>Official company financial reporting</w:t>
            </w:r>
          </w:p>
        </w:tc>
        <w:tc>
          <w:tcPr>
            <w:tcW w:w="1444" w:type="dxa"/>
          </w:tcPr>
          <w:p w14:paraId="7D36A667" w14:textId="77777777" w:rsidR="004B4463" w:rsidRDefault="00F763E6">
            <w:pPr>
              <w:spacing w:after="0"/>
            </w:pPr>
            <w:r>
              <w:rPr>
                <w:sz w:val="19"/>
              </w:rPr>
              <w:t>Commercial context. New-store growth offsets weaker LFL; do not describe -2.3% as a growth driver.</w:t>
            </w:r>
          </w:p>
        </w:tc>
      </w:tr>
      <w:tr w:rsidR="004B4463" w14:paraId="3A23C077" w14:textId="77777777" w:rsidTr="0044333C">
        <w:trPr>
          <w:trHeight w:val="3231"/>
          <w:jc w:val="center"/>
        </w:trPr>
        <w:tc>
          <w:tcPr>
            <w:tcW w:w="1445" w:type="dxa"/>
          </w:tcPr>
          <w:p w14:paraId="30D93DF5" w14:textId="77777777" w:rsidR="004B4463" w:rsidRDefault="00F763E6">
            <w:pPr>
              <w:spacing w:after="0"/>
            </w:pPr>
            <w:proofErr w:type="spellStart"/>
            <w:r>
              <w:rPr>
                <w:sz w:val="19"/>
              </w:rPr>
              <w:t>KnowTheChain</w:t>
            </w:r>
            <w:proofErr w:type="spellEnd"/>
            <w:r>
              <w:rPr>
                <w:sz w:val="19"/>
              </w:rPr>
              <w:t>, 2023 Apparel &amp; Footwear Benchmark</w:t>
            </w:r>
          </w:p>
        </w:tc>
        <w:tc>
          <w:tcPr>
            <w:tcW w:w="1443" w:type="dxa"/>
          </w:tcPr>
          <w:p w14:paraId="192AA398" w14:textId="77777777" w:rsidR="004B4463" w:rsidRDefault="00F763E6">
            <w:pPr>
              <w:spacing w:after="0"/>
            </w:pPr>
            <w:r>
              <w:rPr>
                <w:sz w:val="19"/>
              </w:rPr>
              <w:t>2023</w:t>
            </w:r>
          </w:p>
        </w:tc>
        <w:tc>
          <w:tcPr>
            <w:tcW w:w="1445" w:type="dxa"/>
          </w:tcPr>
          <w:p w14:paraId="13D2AB8E" w14:textId="77777777" w:rsidR="004B4463" w:rsidRDefault="00F763E6">
            <w:pPr>
              <w:spacing w:after="0"/>
            </w:pPr>
            <w:r>
              <w:rPr>
                <w:sz w:val="19"/>
              </w:rPr>
              <w:t>Benchmark of forced-</w:t>
            </w:r>
            <w:proofErr w:type="spellStart"/>
            <w:r>
              <w:rPr>
                <w:sz w:val="19"/>
              </w:rPr>
              <w:t>labour</w:t>
            </w:r>
            <w:proofErr w:type="spellEnd"/>
            <w:r>
              <w:rPr>
                <w:sz w:val="19"/>
              </w:rPr>
              <w:t xml:space="preserve"> risk management across apparel and footwear companies</w:t>
            </w:r>
          </w:p>
        </w:tc>
        <w:tc>
          <w:tcPr>
            <w:tcW w:w="1443" w:type="dxa"/>
          </w:tcPr>
          <w:p w14:paraId="140C15F2" w14:textId="77777777" w:rsidR="004B4463" w:rsidRDefault="00F763E6">
            <w:pPr>
              <w:spacing w:after="0"/>
            </w:pPr>
            <w:r>
              <w:rPr>
                <w:sz w:val="19"/>
              </w:rPr>
              <w:t>Benchmark methodology and findings</w:t>
            </w:r>
          </w:p>
        </w:tc>
        <w:tc>
          <w:tcPr>
            <w:tcW w:w="1447" w:type="dxa"/>
          </w:tcPr>
          <w:p w14:paraId="2EB29099" w14:textId="77777777" w:rsidR="004B4463" w:rsidRDefault="00F763E6">
            <w:pPr>
              <w:spacing w:after="0"/>
            </w:pPr>
            <w:r>
              <w:rPr>
                <w:sz w:val="19"/>
              </w:rPr>
              <w:t>Sector benchmark; firm scores interpreted within methodology</w:t>
            </w:r>
          </w:p>
        </w:tc>
        <w:tc>
          <w:tcPr>
            <w:tcW w:w="1440" w:type="dxa"/>
          </w:tcPr>
          <w:p w14:paraId="13621374" w14:textId="77777777" w:rsidR="004B4463" w:rsidRDefault="00F763E6">
            <w:pPr>
              <w:spacing w:after="0"/>
            </w:pPr>
            <w:r>
              <w:rPr>
                <w:sz w:val="19"/>
              </w:rPr>
              <w:t>Independent benchmark</w:t>
            </w:r>
          </w:p>
        </w:tc>
        <w:tc>
          <w:tcPr>
            <w:tcW w:w="1444" w:type="dxa"/>
          </w:tcPr>
          <w:p w14:paraId="349102C3" w14:textId="77777777" w:rsidR="004B4463" w:rsidRDefault="00F763E6">
            <w:pPr>
              <w:spacing w:after="0"/>
            </w:pPr>
            <w:r>
              <w:rPr>
                <w:sz w:val="19"/>
              </w:rPr>
              <w:t>External due-diligence context. Not a child-</w:t>
            </w:r>
            <w:proofErr w:type="spellStart"/>
            <w:r>
              <w:rPr>
                <w:sz w:val="19"/>
              </w:rPr>
              <w:t>labour</w:t>
            </w:r>
            <w:proofErr w:type="spellEnd"/>
            <w:r>
              <w:rPr>
                <w:sz w:val="19"/>
              </w:rPr>
              <w:t>-only benchmark and sector average is not a firm-specific verdict.</w:t>
            </w:r>
          </w:p>
        </w:tc>
      </w:tr>
      <w:tr w:rsidR="004B4463" w14:paraId="6E0B751A" w14:textId="77777777" w:rsidTr="0044333C">
        <w:trPr>
          <w:trHeight w:val="2600"/>
          <w:jc w:val="center"/>
        </w:trPr>
        <w:tc>
          <w:tcPr>
            <w:tcW w:w="1445" w:type="dxa"/>
          </w:tcPr>
          <w:p w14:paraId="089B75F7" w14:textId="77777777" w:rsidR="004B4463" w:rsidRDefault="00F763E6">
            <w:pPr>
              <w:spacing w:after="0"/>
            </w:pPr>
            <w:proofErr w:type="spellStart"/>
            <w:r>
              <w:rPr>
                <w:sz w:val="19"/>
              </w:rPr>
              <w:t>Equileap</w:t>
            </w:r>
            <w:proofErr w:type="spellEnd"/>
            <w:r>
              <w:rPr>
                <w:sz w:val="19"/>
              </w:rPr>
              <w:t>, Gender Equality Report &amp; Ranking 2024</w:t>
            </w:r>
          </w:p>
        </w:tc>
        <w:tc>
          <w:tcPr>
            <w:tcW w:w="1443" w:type="dxa"/>
          </w:tcPr>
          <w:p w14:paraId="4F094B50" w14:textId="77777777" w:rsidR="004B4463" w:rsidRDefault="00F763E6">
            <w:pPr>
              <w:spacing w:after="0"/>
            </w:pPr>
            <w:r>
              <w:rPr>
                <w:sz w:val="19"/>
              </w:rPr>
              <w:t>2024</w:t>
            </w:r>
          </w:p>
        </w:tc>
        <w:tc>
          <w:tcPr>
            <w:tcW w:w="1445" w:type="dxa"/>
          </w:tcPr>
          <w:p w14:paraId="329B19F3" w14:textId="77777777" w:rsidR="004B4463" w:rsidRDefault="00F763E6">
            <w:pPr>
              <w:spacing w:after="0"/>
            </w:pPr>
            <w:r>
              <w:rPr>
                <w:sz w:val="19"/>
              </w:rPr>
              <w:t>Issue-specific gender-equality benchmark</w:t>
            </w:r>
          </w:p>
        </w:tc>
        <w:tc>
          <w:tcPr>
            <w:tcW w:w="1443" w:type="dxa"/>
          </w:tcPr>
          <w:p w14:paraId="033F499C" w14:textId="77777777" w:rsidR="004B4463" w:rsidRDefault="00F763E6">
            <w:pPr>
              <w:spacing w:after="0"/>
            </w:pPr>
            <w:r>
              <w:rPr>
                <w:sz w:val="19"/>
              </w:rPr>
              <w:t>2024 developed-markets report</w:t>
            </w:r>
          </w:p>
        </w:tc>
        <w:tc>
          <w:tcPr>
            <w:tcW w:w="1447" w:type="dxa"/>
          </w:tcPr>
          <w:p w14:paraId="2DF7A058" w14:textId="77777777" w:rsidR="004B4463" w:rsidRDefault="00F763E6">
            <w:pPr>
              <w:spacing w:after="0"/>
            </w:pPr>
            <w:r>
              <w:rPr>
                <w:sz w:val="19"/>
              </w:rPr>
              <w:t>Gender-equality construct only</w:t>
            </w:r>
          </w:p>
        </w:tc>
        <w:tc>
          <w:tcPr>
            <w:tcW w:w="1440" w:type="dxa"/>
          </w:tcPr>
          <w:p w14:paraId="0FCF0C11" w14:textId="77777777" w:rsidR="004B4463" w:rsidRDefault="00F763E6">
            <w:pPr>
              <w:spacing w:after="0"/>
            </w:pPr>
            <w:r>
              <w:rPr>
                <w:sz w:val="19"/>
              </w:rPr>
              <w:t>Independent benchmark</w:t>
            </w:r>
          </w:p>
        </w:tc>
        <w:tc>
          <w:tcPr>
            <w:tcW w:w="1444" w:type="dxa"/>
          </w:tcPr>
          <w:p w14:paraId="150EA638" w14:textId="77777777" w:rsidR="004B4463" w:rsidRDefault="00F763E6">
            <w:pPr>
              <w:spacing w:after="0"/>
            </w:pPr>
            <w:r>
              <w:rPr>
                <w:sz w:val="19"/>
              </w:rPr>
              <w:t>Independent social-governance signal. Not a general corporate-reputation measure.</w:t>
            </w:r>
          </w:p>
        </w:tc>
      </w:tr>
    </w:tbl>
    <w:p w14:paraId="48986094" w14:textId="77777777" w:rsidR="004B4463" w:rsidRDefault="00F763E6">
      <w:pPr>
        <w:pStyle w:val="Heading2"/>
      </w:pPr>
      <w:bookmarkStart w:id="152" w:name="_Toc240858715"/>
      <w:r>
        <w:lastRenderedPageBreak/>
        <w:t>A2. Representative coding examples</w:t>
      </w:r>
      <w:bookmarkEnd w:id="152"/>
    </w:p>
    <w:tbl>
      <w:tblPr>
        <w:tblW w:w="101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9"/>
        <w:gridCol w:w="2029"/>
        <w:gridCol w:w="2029"/>
        <w:gridCol w:w="2029"/>
        <w:gridCol w:w="2029"/>
      </w:tblGrid>
      <w:tr w:rsidR="004B4463" w14:paraId="5195A7C2" w14:textId="77777777" w:rsidTr="0044333C">
        <w:trPr>
          <w:trHeight w:val="750"/>
          <w:jc w:val="center"/>
        </w:trPr>
        <w:tc>
          <w:tcPr>
            <w:tcW w:w="2029" w:type="dxa"/>
          </w:tcPr>
          <w:p w14:paraId="18BDEA9B" w14:textId="77777777" w:rsidR="004B4463" w:rsidRDefault="00F763E6">
            <w:pPr>
              <w:spacing w:after="0"/>
            </w:pPr>
            <w:r>
              <w:rPr>
                <w:sz w:val="19"/>
              </w:rPr>
              <w:t>Evidence excerpt/observation</w:t>
            </w:r>
          </w:p>
        </w:tc>
        <w:tc>
          <w:tcPr>
            <w:tcW w:w="2029" w:type="dxa"/>
          </w:tcPr>
          <w:p w14:paraId="48DDF1CF" w14:textId="77777777" w:rsidR="004B4463" w:rsidRDefault="00F763E6">
            <w:pPr>
              <w:spacing w:after="0"/>
            </w:pPr>
            <w:r>
              <w:rPr>
                <w:sz w:val="19"/>
              </w:rPr>
              <w:t>Initial code</w:t>
            </w:r>
          </w:p>
        </w:tc>
        <w:tc>
          <w:tcPr>
            <w:tcW w:w="2029" w:type="dxa"/>
          </w:tcPr>
          <w:p w14:paraId="05926034" w14:textId="77777777" w:rsidR="004B4463" w:rsidRDefault="00F763E6">
            <w:pPr>
              <w:spacing w:after="0"/>
            </w:pPr>
            <w:r>
              <w:rPr>
                <w:sz w:val="19"/>
              </w:rPr>
              <w:t>Mechanism</w:t>
            </w:r>
          </w:p>
        </w:tc>
        <w:tc>
          <w:tcPr>
            <w:tcW w:w="2029" w:type="dxa"/>
          </w:tcPr>
          <w:p w14:paraId="5B8161BD" w14:textId="77777777" w:rsidR="004B4463" w:rsidRDefault="00F763E6">
            <w:pPr>
              <w:spacing w:after="0"/>
            </w:pPr>
            <w:r>
              <w:rPr>
                <w:sz w:val="19"/>
              </w:rPr>
              <w:t>Rival explanation</w:t>
            </w:r>
          </w:p>
        </w:tc>
        <w:tc>
          <w:tcPr>
            <w:tcW w:w="2029" w:type="dxa"/>
          </w:tcPr>
          <w:p w14:paraId="0D8F6801" w14:textId="77777777" w:rsidR="004B4463" w:rsidRDefault="00F763E6">
            <w:pPr>
              <w:spacing w:after="0"/>
            </w:pPr>
            <w:r>
              <w:rPr>
                <w:sz w:val="19"/>
              </w:rPr>
              <w:t>Calibrated inference</w:t>
            </w:r>
          </w:p>
        </w:tc>
      </w:tr>
      <w:tr w:rsidR="004B4463" w14:paraId="1B08D272" w14:textId="77777777" w:rsidTr="0044333C">
        <w:trPr>
          <w:trHeight w:val="1694"/>
          <w:jc w:val="center"/>
        </w:trPr>
        <w:tc>
          <w:tcPr>
            <w:tcW w:w="2029" w:type="dxa"/>
          </w:tcPr>
          <w:p w14:paraId="75519C8F" w14:textId="77777777" w:rsidR="004B4463" w:rsidRDefault="00F763E6">
            <w:pPr>
              <w:spacing w:after="0"/>
            </w:pPr>
            <w:r>
              <w:rPr>
                <w:sz w:val="19"/>
              </w:rPr>
              <w:t>Unilever reports 77% operational emissions reduction against a 2015 baseline.</w:t>
            </w:r>
          </w:p>
        </w:tc>
        <w:tc>
          <w:tcPr>
            <w:tcW w:w="2029" w:type="dxa"/>
          </w:tcPr>
          <w:p w14:paraId="56F0070B" w14:textId="77777777" w:rsidR="004B4463" w:rsidRDefault="00F763E6">
            <w:pPr>
              <w:spacing w:after="0"/>
            </w:pPr>
            <w:r>
              <w:rPr>
                <w:sz w:val="19"/>
              </w:rPr>
              <w:t>Measured environmental outcome</w:t>
            </w:r>
          </w:p>
        </w:tc>
        <w:tc>
          <w:tcPr>
            <w:tcW w:w="2029" w:type="dxa"/>
          </w:tcPr>
          <w:p w14:paraId="514B1CD1" w14:textId="77777777" w:rsidR="004B4463" w:rsidRDefault="00F763E6">
            <w:pPr>
              <w:spacing w:after="0"/>
            </w:pPr>
            <w:r>
              <w:rPr>
                <w:sz w:val="19"/>
              </w:rPr>
              <w:t>Efficiency/risk-control capability</w:t>
            </w:r>
          </w:p>
        </w:tc>
        <w:tc>
          <w:tcPr>
            <w:tcW w:w="2029" w:type="dxa"/>
          </w:tcPr>
          <w:p w14:paraId="499D6660" w14:textId="77777777" w:rsidR="004B4463" w:rsidRDefault="00F763E6">
            <w:pPr>
              <w:spacing w:after="0"/>
            </w:pPr>
            <w:r>
              <w:rPr>
                <w:sz w:val="19"/>
              </w:rPr>
              <w:t>Portfolio and boundary changes; energy mix; production volume</w:t>
            </w:r>
          </w:p>
        </w:tc>
        <w:tc>
          <w:tcPr>
            <w:tcW w:w="2029" w:type="dxa"/>
          </w:tcPr>
          <w:p w14:paraId="366D52A8" w14:textId="77777777" w:rsidR="004B4463" w:rsidRDefault="00F763E6">
            <w:pPr>
              <w:spacing w:after="0"/>
            </w:pPr>
            <w:r>
              <w:rPr>
                <w:sz w:val="19"/>
              </w:rPr>
              <w:t>Operational progress is evidenced; commercial effect is not demonstrated.</w:t>
            </w:r>
          </w:p>
        </w:tc>
      </w:tr>
      <w:tr w:rsidR="004B4463" w14:paraId="49F36144" w14:textId="77777777" w:rsidTr="0044333C">
        <w:trPr>
          <w:trHeight w:val="2333"/>
          <w:jc w:val="center"/>
        </w:trPr>
        <w:tc>
          <w:tcPr>
            <w:tcW w:w="2029" w:type="dxa"/>
          </w:tcPr>
          <w:p w14:paraId="3C7E29F8" w14:textId="77777777" w:rsidR="004B4463" w:rsidRDefault="00F763E6">
            <w:pPr>
              <w:spacing w:after="0"/>
            </w:pPr>
            <w:r>
              <w:rPr>
                <w:sz w:val="19"/>
              </w:rPr>
              <w:t>CMA investigated, then closed, Unilever green-claims case without a breach determination.</w:t>
            </w:r>
          </w:p>
        </w:tc>
        <w:tc>
          <w:tcPr>
            <w:tcW w:w="2029" w:type="dxa"/>
          </w:tcPr>
          <w:p w14:paraId="4F1CDEAB" w14:textId="77777777" w:rsidR="004B4463" w:rsidRDefault="00F763E6">
            <w:pPr>
              <w:spacing w:after="0"/>
            </w:pPr>
            <w:r>
              <w:rPr>
                <w:sz w:val="19"/>
              </w:rPr>
              <w:t>Regulatory scrutiny</w:t>
            </w:r>
          </w:p>
        </w:tc>
        <w:tc>
          <w:tcPr>
            <w:tcW w:w="2029" w:type="dxa"/>
          </w:tcPr>
          <w:p w14:paraId="21971C37" w14:textId="77777777" w:rsidR="004B4463" w:rsidRDefault="00F763E6">
            <w:pPr>
              <w:spacing w:after="0"/>
            </w:pPr>
            <w:r>
              <w:rPr>
                <w:sz w:val="19"/>
              </w:rPr>
              <w:t>Legitimacy/claim credibility</w:t>
            </w:r>
          </w:p>
        </w:tc>
        <w:tc>
          <w:tcPr>
            <w:tcW w:w="2029" w:type="dxa"/>
          </w:tcPr>
          <w:p w14:paraId="3D223881" w14:textId="77777777" w:rsidR="004B4463" w:rsidRDefault="00F763E6">
            <w:pPr>
              <w:spacing w:after="0"/>
            </w:pPr>
            <w:r>
              <w:rPr>
                <w:sz w:val="19"/>
              </w:rPr>
              <w:t xml:space="preserve">Closure factors include claim changes and wider enforcement </w:t>
            </w:r>
            <w:proofErr w:type="spellStart"/>
            <w:r>
              <w:rPr>
                <w:sz w:val="19"/>
              </w:rPr>
              <w:t>programme</w:t>
            </w:r>
            <w:proofErr w:type="spellEnd"/>
          </w:p>
        </w:tc>
        <w:tc>
          <w:tcPr>
            <w:tcW w:w="2029" w:type="dxa"/>
          </w:tcPr>
          <w:p w14:paraId="64DE947D" w14:textId="77777777" w:rsidR="004B4463" w:rsidRDefault="00F763E6">
            <w:pPr>
              <w:spacing w:after="0"/>
            </w:pPr>
            <w:r>
              <w:rPr>
                <w:sz w:val="19"/>
              </w:rPr>
              <w:t xml:space="preserve">Issue-specific reputational exposure is plausible; </w:t>
            </w:r>
            <w:proofErr w:type="spellStart"/>
            <w:r>
              <w:rPr>
                <w:sz w:val="19"/>
              </w:rPr>
              <w:t>realised</w:t>
            </w:r>
            <w:proofErr w:type="spellEnd"/>
            <w:r>
              <w:rPr>
                <w:sz w:val="19"/>
              </w:rPr>
              <w:t xml:space="preserve"> reputation damage is not directly measured.</w:t>
            </w:r>
          </w:p>
        </w:tc>
      </w:tr>
      <w:tr w:rsidR="004B4463" w14:paraId="5B4D7A10" w14:textId="77777777" w:rsidTr="0044333C">
        <w:trPr>
          <w:trHeight w:val="2322"/>
          <w:jc w:val="center"/>
        </w:trPr>
        <w:tc>
          <w:tcPr>
            <w:tcW w:w="2029" w:type="dxa"/>
          </w:tcPr>
          <w:p w14:paraId="18E75016" w14:textId="77777777" w:rsidR="004B4463" w:rsidRDefault="00F763E6">
            <w:pPr>
              <w:spacing w:after="0"/>
            </w:pPr>
            <w:r>
              <w:rPr>
                <w:sz w:val="19"/>
              </w:rPr>
              <w:t>Reckitt links a 10% LTIP weighting to more sustainable products.</w:t>
            </w:r>
          </w:p>
        </w:tc>
        <w:tc>
          <w:tcPr>
            <w:tcW w:w="2029" w:type="dxa"/>
          </w:tcPr>
          <w:p w14:paraId="7CF8226C" w14:textId="77777777" w:rsidR="004B4463" w:rsidRDefault="00F763E6">
            <w:pPr>
              <w:spacing w:after="0"/>
            </w:pPr>
            <w:r>
              <w:rPr>
                <w:sz w:val="19"/>
              </w:rPr>
              <w:t>Governance/incentive alignment</w:t>
            </w:r>
          </w:p>
        </w:tc>
        <w:tc>
          <w:tcPr>
            <w:tcW w:w="2029" w:type="dxa"/>
          </w:tcPr>
          <w:p w14:paraId="564D7F8C" w14:textId="77777777" w:rsidR="004B4463" w:rsidRDefault="00F763E6">
            <w:pPr>
              <w:spacing w:after="0"/>
            </w:pPr>
            <w:r>
              <w:rPr>
                <w:sz w:val="19"/>
              </w:rPr>
              <w:t>Implementation accountability</w:t>
            </w:r>
          </w:p>
        </w:tc>
        <w:tc>
          <w:tcPr>
            <w:tcW w:w="2029" w:type="dxa"/>
          </w:tcPr>
          <w:p w14:paraId="7622F081" w14:textId="77777777" w:rsidR="004B4463" w:rsidRDefault="00F763E6">
            <w:pPr>
              <w:spacing w:after="0"/>
            </w:pPr>
            <w:r>
              <w:rPr>
                <w:sz w:val="19"/>
              </w:rPr>
              <w:t xml:space="preserve">Metric design may create gaming or narrow </w:t>
            </w:r>
            <w:proofErr w:type="spellStart"/>
            <w:r>
              <w:rPr>
                <w:sz w:val="19"/>
              </w:rPr>
              <w:t>optimisation</w:t>
            </w:r>
            <w:proofErr w:type="spellEnd"/>
          </w:p>
        </w:tc>
        <w:tc>
          <w:tcPr>
            <w:tcW w:w="2029" w:type="dxa"/>
          </w:tcPr>
          <w:p w14:paraId="35716C1E" w14:textId="77777777" w:rsidR="004B4463" w:rsidRDefault="00F763E6">
            <w:pPr>
              <w:spacing w:after="0"/>
            </w:pPr>
            <w:r>
              <w:rPr>
                <w:sz w:val="19"/>
              </w:rPr>
              <w:t>Governance mechanism is present; effectiveness depends on metric quality and product outcomes.</w:t>
            </w:r>
          </w:p>
        </w:tc>
      </w:tr>
      <w:tr w:rsidR="004B4463" w14:paraId="5895E7B7" w14:textId="77777777" w:rsidTr="0044333C">
        <w:trPr>
          <w:trHeight w:val="2009"/>
          <w:jc w:val="center"/>
        </w:trPr>
        <w:tc>
          <w:tcPr>
            <w:tcW w:w="2029" w:type="dxa"/>
          </w:tcPr>
          <w:p w14:paraId="4650965F" w14:textId="77777777" w:rsidR="004B4463" w:rsidRDefault="00F763E6">
            <w:pPr>
              <w:spacing w:after="0"/>
            </w:pPr>
            <w:r>
              <w:rPr>
                <w:sz w:val="19"/>
              </w:rPr>
              <w:t>Diageo reports annual and cumulative positive-drinking education reach.</w:t>
            </w:r>
          </w:p>
        </w:tc>
        <w:tc>
          <w:tcPr>
            <w:tcW w:w="2029" w:type="dxa"/>
          </w:tcPr>
          <w:p w14:paraId="1CA59D32" w14:textId="77777777" w:rsidR="004B4463" w:rsidRDefault="00F763E6">
            <w:pPr>
              <w:spacing w:after="0"/>
            </w:pPr>
            <w:r>
              <w:rPr>
                <w:sz w:val="19"/>
              </w:rPr>
              <w:t>Social outcome/reach</w:t>
            </w:r>
          </w:p>
        </w:tc>
        <w:tc>
          <w:tcPr>
            <w:tcW w:w="2029" w:type="dxa"/>
          </w:tcPr>
          <w:p w14:paraId="188C431C" w14:textId="77777777" w:rsidR="004B4463" w:rsidRDefault="00F763E6">
            <w:pPr>
              <w:spacing w:after="0"/>
            </w:pPr>
            <w:r>
              <w:rPr>
                <w:sz w:val="19"/>
              </w:rPr>
              <w:t>Category legitimacy/stakeholder relationship</w:t>
            </w:r>
          </w:p>
        </w:tc>
        <w:tc>
          <w:tcPr>
            <w:tcW w:w="2029" w:type="dxa"/>
          </w:tcPr>
          <w:p w14:paraId="57F748A3" w14:textId="77777777" w:rsidR="004B4463" w:rsidRDefault="00F763E6">
            <w:pPr>
              <w:spacing w:after="0"/>
            </w:pPr>
            <w:r>
              <w:rPr>
                <w:sz w:val="19"/>
              </w:rPr>
              <w:t xml:space="preserve">Reach does not establish </w:t>
            </w:r>
            <w:proofErr w:type="spellStart"/>
            <w:r>
              <w:rPr>
                <w:sz w:val="19"/>
              </w:rPr>
              <w:t>behavioural</w:t>
            </w:r>
            <w:proofErr w:type="spellEnd"/>
            <w:r>
              <w:rPr>
                <w:sz w:val="19"/>
              </w:rPr>
              <w:t xml:space="preserve"> change or reputation change</w:t>
            </w:r>
          </w:p>
        </w:tc>
        <w:tc>
          <w:tcPr>
            <w:tcW w:w="2029" w:type="dxa"/>
          </w:tcPr>
          <w:p w14:paraId="44AA6949" w14:textId="77777777" w:rsidR="004B4463" w:rsidRDefault="00F763E6">
            <w:pPr>
              <w:spacing w:after="0"/>
            </w:pPr>
            <w:proofErr w:type="spellStart"/>
            <w:r>
              <w:rPr>
                <w:sz w:val="19"/>
              </w:rPr>
              <w:t>Programme</w:t>
            </w:r>
            <w:proofErr w:type="spellEnd"/>
            <w:r>
              <w:rPr>
                <w:sz w:val="19"/>
              </w:rPr>
              <w:t xml:space="preserve"> execution is evidenced; trust/reputation effect remains conditional.</w:t>
            </w:r>
          </w:p>
        </w:tc>
      </w:tr>
      <w:tr w:rsidR="004B4463" w14:paraId="457C7859" w14:textId="77777777" w:rsidTr="0044333C">
        <w:trPr>
          <w:trHeight w:val="2009"/>
          <w:jc w:val="center"/>
        </w:trPr>
        <w:tc>
          <w:tcPr>
            <w:tcW w:w="2029" w:type="dxa"/>
          </w:tcPr>
          <w:p w14:paraId="09E73B4A" w14:textId="77777777" w:rsidR="004B4463" w:rsidRDefault="00F763E6">
            <w:pPr>
              <w:spacing w:after="0"/>
            </w:pPr>
            <w:r>
              <w:rPr>
                <w:sz w:val="19"/>
              </w:rPr>
              <w:t>Primark total sales +1% while like-for-like sales -2.3%.</w:t>
            </w:r>
          </w:p>
        </w:tc>
        <w:tc>
          <w:tcPr>
            <w:tcW w:w="2029" w:type="dxa"/>
          </w:tcPr>
          <w:p w14:paraId="06DA3744" w14:textId="77777777" w:rsidR="004B4463" w:rsidRDefault="00F763E6">
            <w:pPr>
              <w:spacing w:after="0"/>
            </w:pPr>
            <w:r>
              <w:rPr>
                <w:sz w:val="19"/>
              </w:rPr>
              <w:t>Commercial counter-evidence</w:t>
            </w:r>
          </w:p>
        </w:tc>
        <w:tc>
          <w:tcPr>
            <w:tcW w:w="2029" w:type="dxa"/>
          </w:tcPr>
          <w:p w14:paraId="7C86D3B6" w14:textId="77777777" w:rsidR="004B4463" w:rsidRDefault="00F763E6">
            <w:pPr>
              <w:spacing w:after="0"/>
            </w:pPr>
            <w:r>
              <w:rPr>
                <w:sz w:val="19"/>
              </w:rPr>
              <w:t>Competitive outcome context</w:t>
            </w:r>
          </w:p>
        </w:tc>
        <w:tc>
          <w:tcPr>
            <w:tcW w:w="2029" w:type="dxa"/>
          </w:tcPr>
          <w:p w14:paraId="5B74ED2B" w14:textId="77777777" w:rsidR="004B4463" w:rsidRDefault="00F763E6">
            <w:pPr>
              <w:spacing w:after="0"/>
            </w:pPr>
            <w:r>
              <w:rPr>
                <w:sz w:val="19"/>
              </w:rPr>
              <w:t>Store openings, category demand, pricing and geography</w:t>
            </w:r>
          </w:p>
        </w:tc>
        <w:tc>
          <w:tcPr>
            <w:tcW w:w="2029" w:type="dxa"/>
          </w:tcPr>
          <w:p w14:paraId="2FBB74CC" w14:textId="77777777" w:rsidR="004B4463" w:rsidRDefault="00F763E6">
            <w:pPr>
              <w:spacing w:after="0"/>
            </w:pPr>
            <w:r>
              <w:rPr>
                <w:sz w:val="19"/>
              </w:rPr>
              <w:t>No direct ESG-commercial inference; portfolio/store rollout materially affects observed sales.</w:t>
            </w:r>
          </w:p>
        </w:tc>
      </w:tr>
    </w:tbl>
    <w:p w14:paraId="5321B7B0" w14:textId="77777777" w:rsidR="0044333C" w:rsidRDefault="0044333C" w:rsidP="0044333C">
      <w:bookmarkStart w:id="153" w:name="_Toc240840731"/>
    </w:p>
    <w:p w14:paraId="4F90AE1B" w14:textId="77777777" w:rsidR="004D7A10" w:rsidRDefault="004D7A10" w:rsidP="004D7A10">
      <w:r>
        <w:br w:type="page"/>
      </w:r>
    </w:p>
    <w:p w14:paraId="7C743379" w14:textId="77777777" w:rsidR="004D7A10" w:rsidRDefault="004D7A10" w:rsidP="004D7A10">
      <w:pPr>
        <w:sectPr w:rsidR="004D7A10">
          <w:footerReference w:type="even" r:id="rId54"/>
          <w:footerReference w:type="default" r:id="rId55"/>
          <w:footerReference w:type="first" r:id="rId56"/>
          <w:pgSz w:w="12240" w:h="15840"/>
          <w:pgMar w:top="1440" w:right="1440" w:bottom="1440" w:left="1440" w:header="0" w:footer="720" w:gutter="0"/>
          <w:pgNumType w:start="1"/>
          <w:cols w:space="720"/>
          <w:formProt w:val="0"/>
          <w:docGrid w:linePitch="360"/>
        </w:sectPr>
      </w:pPr>
    </w:p>
    <w:p w14:paraId="10E797DB" w14:textId="77777777" w:rsidR="0044333C" w:rsidRDefault="0044333C" w:rsidP="004D7A10">
      <w:pPr>
        <w:pStyle w:val="Heading1"/>
        <w:pageBreakBefore/>
      </w:pPr>
      <w:bookmarkStart w:id="154" w:name="_Toc240858716"/>
      <w:r>
        <w:lastRenderedPageBreak/>
        <w:t>Appendix B: Literature Review Matrix and Reference Coverage</w:t>
      </w:r>
      <w:bookmarkEnd w:id="153"/>
      <w:bookmarkEnd w:id="154"/>
    </w:p>
    <w:p w14:paraId="1FB95971" w14:textId="77777777" w:rsidR="0044333C" w:rsidRDefault="009F43AA" w:rsidP="009F43AA">
      <w:pPr>
        <w:pStyle w:val="Heading2"/>
      </w:pPr>
      <w:bookmarkStart w:id="155" w:name="_Toc240858717"/>
      <w:r>
        <w:t xml:space="preserve">B1. </w:t>
      </w:r>
      <w:r w:rsidRPr="009F43AA">
        <w:t>Literature Review Matrix</w:t>
      </w:r>
      <w:bookmarkEnd w:id="155"/>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4"/>
        <w:gridCol w:w="1447"/>
        <w:gridCol w:w="1049"/>
        <w:gridCol w:w="905"/>
        <w:gridCol w:w="648"/>
        <w:gridCol w:w="1230"/>
        <w:gridCol w:w="1375"/>
        <w:gridCol w:w="1086"/>
        <w:gridCol w:w="1122"/>
        <w:gridCol w:w="1556"/>
        <w:gridCol w:w="1665"/>
        <w:gridCol w:w="1303"/>
        <w:gridCol w:w="1230"/>
      </w:tblGrid>
      <w:tr w:rsidR="007E140B" w:rsidRPr="007E140B" w14:paraId="7DEB28A7" w14:textId="77777777" w:rsidTr="0026770E">
        <w:trPr>
          <w:cantSplit/>
          <w:tblHeader/>
          <w:jc w:val="center"/>
        </w:trPr>
        <w:tc>
          <w:tcPr>
            <w:tcW w:w="504" w:type="dxa"/>
            <w:shd w:val="clear" w:color="auto" w:fill="17365D"/>
            <w:tcMar>
              <w:top w:w="22" w:type="dxa"/>
              <w:left w:w="24" w:type="dxa"/>
              <w:bottom w:w="22" w:type="dxa"/>
              <w:right w:w="24" w:type="dxa"/>
            </w:tcMar>
            <w:vAlign w:val="center"/>
          </w:tcPr>
          <w:p w14:paraId="24A91653" w14:textId="77777777" w:rsidR="004D7A10" w:rsidRPr="007E140B" w:rsidRDefault="004D7A10" w:rsidP="0026770E">
            <w:pPr>
              <w:spacing w:after="0" w:line="240" w:lineRule="auto"/>
              <w:jc w:val="center"/>
              <w:rPr>
                <w:rFonts w:cs="Arial"/>
                <w:color w:val="auto"/>
              </w:rPr>
            </w:pPr>
            <w:r w:rsidRPr="007E140B">
              <w:rPr>
                <w:rFonts w:cs="Arial"/>
                <w:b/>
                <w:color w:val="auto"/>
                <w:sz w:val="15"/>
              </w:rPr>
              <w:t>No.</w:t>
            </w:r>
          </w:p>
        </w:tc>
        <w:tc>
          <w:tcPr>
            <w:tcW w:w="1447" w:type="dxa"/>
            <w:shd w:val="clear" w:color="auto" w:fill="17365D"/>
            <w:tcMar>
              <w:top w:w="22" w:type="dxa"/>
              <w:left w:w="24" w:type="dxa"/>
              <w:bottom w:w="22" w:type="dxa"/>
              <w:right w:w="24" w:type="dxa"/>
            </w:tcMar>
            <w:vAlign w:val="center"/>
          </w:tcPr>
          <w:p w14:paraId="05CA3291" w14:textId="77777777" w:rsidR="004D7A10" w:rsidRPr="007E140B" w:rsidRDefault="004D7A10" w:rsidP="0026770E">
            <w:pPr>
              <w:spacing w:after="0" w:line="240" w:lineRule="auto"/>
              <w:jc w:val="center"/>
              <w:rPr>
                <w:rFonts w:cs="Arial"/>
                <w:color w:val="auto"/>
              </w:rPr>
            </w:pPr>
            <w:r w:rsidRPr="007E140B">
              <w:rPr>
                <w:rFonts w:cs="Arial"/>
                <w:b/>
                <w:color w:val="auto"/>
                <w:sz w:val="15"/>
              </w:rPr>
              <w:t>Article Title</w:t>
            </w:r>
          </w:p>
        </w:tc>
        <w:tc>
          <w:tcPr>
            <w:tcW w:w="1049" w:type="dxa"/>
            <w:shd w:val="clear" w:color="auto" w:fill="17365D"/>
            <w:tcMar>
              <w:top w:w="22" w:type="dxa"/>
              <w:left w:w="24" w:type="dxa"/>
              <w:bottom w:w="22" w:type="dxa"/>
              <w:right w:w="24" w:type="dxa"/>
            </w:tcMar>
            <w:vAlign w:val="center"/>
          </w:tcPr>
          <w:p w14:paraId="390291EF" w14:textId="77777777" w:rsidR="004D7A10" w:rsidRPr="007E140B" w:rsidRDefault="004D7A10" w:rsidP="0026770E">
            <w:pPr>
              <w:spacing w:after="0" w:line="240" w:lineRule="auto"/>
              <w:jc w:val="center"/>
              <w:rPr>
                <w:rFonts w:cs="Arial"/>
                <w:color w:val="auto"/>
              </w:rPr>
            </w:pPr>
            <w:r w:rsidRPr="007E140B">
              <w:rPr>
                <w:rFonts w:cs="Arial"/>
                <w:b/>
                <w:color w:val="auto"/>
                <w:sz w:val="15"/>
              </w:rPr>
              <w:t>Journal / Source Name</w:t>
            </w:r>
          </w:p>
        </w:tc>
        <w:tc>
          <w:tcPr>
            <w:tcW w:w="905" w:type="dxa"/>
            <w:shd w:val="clear" w:color="auto" w:fill="17365D"/>
            <w:tcMar>
              <w:top w:w="22" w:type="dxa"/>
              <w:left w:w="24" w:type="dxa"/>
              <w:bottom w:w="22" w:type="dxa"/>
              <w:right w:w="24" w:type="dxa"/>
            </w:tcMar>
            <w:vAlign w:val="center"/>
          </w:tcPr>
          <w:p w14:paraId="32A54C93" w14:textId="77777777" w:rsidR="004D7A10" w:rsidRPr="007E140B" w:rsidRDefault="004D7A10" w:rsidP="0026770E">
            <w:pPr>
              <w:spacing w:after="0" w:line="240" w:lineRule="auto"/>
              <w:jc w:val="center"/>
              <w:rPr>
                <w:rFonts w:cs="Arial"/>
                <w:color w:val="auto"/>
              </w:rPr>
            </w:pPr>
            <w:r w:rsidRPr="007E140B">
              <w:rPr>
                <w:rFonts w:cs="Arial"/>
                <w:b/>
                <w:color w:val="auto"/>
                <w:sz w:val="15"/>
              </w:rPr>
              <w:t>Authors</w:t>
            </w:r>
          </w:p>
        </w:tc>
        <w:tc>
          <w:tcPr>
            <w:tcW w:w="648" w:type="dxa"/>
            <w:shd w:val="clear" w:color="auto" w:fill="17365D"/>
            <w:tcMar>
              <w:top w:w="22" w:type="dxa"/>
              <w:left w:w="24" w:type="dxa"/>
              <w:bottom w:w="22" w:type="dxa"/>
              <w:right w:w="24" w:type="dxa"/>
            </w:tcMar>
            <w:vAlign w:val="center"/>
          </w:tcPr>
          <w:p w14:paraId="0A777993" w14:textId="77777777" w:rsidR="004D7A10" w:rsidRPr="007E140B" w:rsidRDefault="004D7A10" w:rsidP="0026770E">
            <w:pPr>
              <w:spacing w:after="0" w:line="240" w:lineRule="auto"/>
              <w:jc w:val="center"/>
              <w:rPr>
                <w:rFonts w:cs="Arial"/>
                <w:color w:val="auto"/>
              </w:rPr>
            </w:pPr>
            <w:r w:rsidRPr="007E140B">
              <w:rPr>
                <w:rFonts w:cs="Arial"/>
                <w:b/>
                <w:color w:val="auto"/>
                <w:sz w:val="15"/>
              </w:rPr>
              <w:t>Year</w:t>
            </w:r>
          </w:p>
        </w:tc>
        <w:tc>
          <w:tcPr>
            <w:tcW w:w="1230" w:type="dxa"/>
            <w:shd w:val="clear" w:color="auto" w:fill="17365D"/>
            <w:tcMar>
              <w:top w:w="22" w:type="dxa"/>
              <w:left w:w="24" w:type="dxa"/>
              <w:bottom w:w="22" w:type="dxa"/>
              <w:right w:w="24" w:type="dxa"/>
            </w:tcMar>
            <w:vAlign w:val="center"/>
          </w:tcPr>
          <w:p w14:paraId="247FAB89" w14:textId="77777777" w:rsidR="004D7A10" w:rsidRPr="007E140B" w:rsidRDefault="004D7A10" w:rsidP="0026770E">
            <w:pPr>
              <w:spacing w:after="0" w:line="240" w:lineRule="auto"/>
              <w:jc w:val="center"/>
              <w:rPr>
                <w:rFonts w:cs="Arial"/>
                <w:color w:val="auto"/>
              </w:rPr>
            </w:pPr>
            <w:r w:rsidRPr="007E140B">
              <w:rPr>
                <w:rFonts w:cs="Arial"/>
                <w:b/>
                <w:color w:val="auto"/>
                <w:sz w:val="15"/>
              </w:rPr>
              <w:t>Aim</w:t>
            </w:r>
          </w:p>
        </w:tc>
        <w:tc>
          <w:tcPr>
            <w:tcW w:w="1375" w:type="dxa"/>
            <w:shd w:val="clear" w:color="auto" w:fill="17365D"/>
            <w:tcMar>
              <w:top w:w="22" w:type="dxa"/>
              <w:left w:w="24" w:type="dxa"/>
              <w:bottom w:w="22" w:type="dxa"/>
              <w:right w:w="24" w:type="dxa"/>
            </w:tcMar>
            <w:vAlign w:val="center"/>
          </w:tcPr>
          <w:p w14:paraId="50E463E9" w14:textId="77777777" w:rsidR="004D7A10" w:rsidRPr="007E140B" w:rsidRDefault="004D7A10" w:rsidP="0026770E">
            <w:pPr>
              <w:spacing w:after="0" w:line="240" w:lineRule="auto"/>
              <w:jc w:val="center"/>
              <w:rPr>
                <w:rFonts w:cs="Arial"/>
                <w:color w:val="auto"/>
              </w:rPr>
            </w:pPr>
            <w:r w:rsidRPr="007E140B">
              <w:rPr>
                <w:rFonts w:cs="Arial"/>
                <w:b/>
                <w:color w:val="auto"/>
                <w:sz w:val="15"/>
              </w:rPr>
              <w:t>Objectives</w:t>
            </w:r>
          </w:p>
        </w:tc>
        <w:tc>
          <w:tcPr>
            <w:tcW w:w="1086" w:type="dxa"/>
            <w:shd w:val="clear" w:color="auto" w:fill="17365D"/>
            <w:tcMar>
              <w:top w:w="22" w:type="dxa"/>
              <w:left w:w="24" w:type="dxa"/>
              <w:bottom w:w="22" w:type="dxa"/>
              <w:right w:w="24" w:type="dxa"/>
            </w:tcMar>
            <w:vAlign w:val="center"/>
          </w:tcPr>
          <w:p w14:paraId="64D9C3E0" w14:textId="77777777" w:rsidR="004D7A10" w:rsidRPr="007E140B" w:rsidRDefault="004D7A10" w:rsidP="0026770E">
            <w:pPr>
              <w:spacing w:after="0" w:line="240" w:lineRule="auto"/>
              <w:jc w:val="center"/>
              <w:rPr>
                <w:rFonts w:cs="Arial"/>
                <w:color w:val="auto"/>
              </w:rPr>
            </w:pPr>
            <w:r w:rsidRPr="007E140B">
              <w:rPr>
                <w:rFonts w:cs="Arial"/>
                <w:b/>
                <w:color w:val="auto"/>
                <w:sz w:val="15"/>
              </w:rPr>
              <w:t>Research Question</w:t>
            </w:r>
          </w:p>
        </w:tc>
        <w:tc>
          <w:tcPr>
            <w:tcW w:w="1122" w:type="dxa"/>
            <w:shd w:val="clear" w:color="auto" w:fill="17365D"/>
            <w:tcMar>
              <w:top w:w="22" w:type="dxa"/>
              <w:left w:w="24" w:type="dxa"/>
              <w:bottom w:w="22" w:type="dxa"/>
              <w:right w:w="24" w:type="dxa"/>
            </w:tcMar>
            <w:vAlign w:val="center"/>
          </w:tcPr>
          <w:p w14:paraId="113C473D" w14:textId="77777777" w:rsidR="004D7A10" w:rsidRPr="007E140B" w:rsidRDefault="004D7A10" w:rsidP="0026770E">
            <w:pPr>
              <w:spacing w:after="0" w:line="240" w:lineRule="auto"/>
              <w:jc w:val="center"/>
              <w:rPr>
                <w:rFonts w:cs="Arial"/>
                <w:color w:val="auto"/>
              </w:rPr>
            </w:pPr>
            <w:r w:rsidRPr="007E140B">
              <w:rPr>
                <w:rFonts w:cs="Arial"/>
                <w:b/>
                <w:color w:val="auto"/>
                <w:sz w:val="15"/>
              </w:rPr>
              <w:t>Method</w:t>
            </w:r>
          </w:p>
        </w:tc>
        <w:tc>
          <w:tcPr>
            <w:tcW w:w="1556" w:type="dxa"/>
            <w:shd w:val="clear" w:color="auto" w:fill="17365D"/>
            <w:tcMar>
              <w:top w:w="22" w:type="dxa"/>
              <w:left w:w="24" w:type="dxa"/>
              <w:bottom w:w="22" w:type="dxa"/>
              <w:right w:w="24" w:type="dxa"/>
            </w:tcMar>
            <w:vAlign w:val="center"/>
          </w:tcPr>
          <w:p w14:paraId="5085A0FD" w14:textId="77777777" w:rsidR="004D7A10" w:rsidRPr="007E140B" w:rsidRDefault="004D7A10" w:rsidP="0026770E">
            <w:pPr>
              <w:spacing w:after="0" w:line="240" w:lineRule="auto"/>
              <w:jc w:val="center"/>
              <w:rPr>
                <w:rFonts w:cs="Arial"/>
                <w:color w:val="auto"/>
              </w:rPr>
            </w:pPr>
            <w:r w:rsidRPr="007E140B">
              <w:rPr>
                <w:rFonts w:cs="Arial"/>
                <w:b/>
                <w:color w:val="auto"/>
                <w:sz w:val="15"/>
              </w:rPr>
              <w:t>Findings</w:t>
            </w:r>
          </w:p>
        </w:tc>
        <w:tc>
          <w:tcPr>
            <w:tcW w:w="1665" w:type="dxa"/>
            <w:shd w:val="clear" w:color="auto" w:fill="17365D"/>
            <w:tcMar>
              <w:top w:w="22" w:type="dxa"/>
              <w:left w:w="24" w:type="dxa"/>
              <w:bottom w:w="22" w:type="dxa"/>
              <w:right w:w="24" w:type="dxa"/>
            </w:tcMar>
            <w:vAlign w:val="center"/>
          </w:tcPr>
          <w:p w14:paraId="317DDBBC" w14:textId="77777777" w:rsidR="004D7A10" w:rsidRPr="007E140B" w:rsidRDefault="004D7A10" w:rsidP="0026770E">
            <w:pPr>
              <w:spacing w:after="0" w:line="240" w:lineRule="auto"/>
              <w:jc w:val="center"/>
              <w:rPr>
                <w:rFonts w:cs="Arial"/>
                <w:color w:val="auto"/>
              </w:rPr>
            </w:pPr>
            <w:r w:rsidRPr="007E140B">
              <w:rPr>
                <w:rFonts w:cs="Arial"/>
                <w:b/>
                <w:color w:val="auto"/>
                <w:sz w:val="15"/>
              </w:rPr>
              <w:t>Abstract (Summary)</w:t>
            </w:r>
          </w:p>
        </w:tc>
        <w:tc>
          <w:tcPr>
            <w:tcW w:w="1303" w:type="dxa"/>
            <w:shd w:val="clear" w:color="auto" w:fill="17365D"/>
            <w:tcMar>
              <w:top w:w="22" w:type="dxa"/>
              <w:left w:w="24" w:type="dxa"/>
              <w:bottom w:w="22" w:type="dxa"/>
              <w:right w:w="24" w:type="dxa"/>
            </w:tcMar>
            <w:vAlign w:val="center"/>
          </w:tcPr>
          <w:p w14:paraId="44637C42" w14:textId="77777777" w:rsidR="004D7A10" w:rsidRPr="007E140B" w:rsidRDefault="004D7A10" w:rsidP="0026770E">
            <w:pPr>
              <w:spacing w:after="0" w:line="240" w:lineRule="auto"/>
              <w:jc w:val="center"/>
              <w:rPr>
                <w:rFonts w:cs="Arial"/>
                <w:color w:val="auto"/>
              </w:rPr>
            </w:pPr>
            <w:r w:rsidRPr="007E140B">
              <w:rPr>
                <w:rFonts w:cs="Arial"/>
                <w:b/>
                <w:color w:val="auto"/>
                <w:sz w:val="15"/>
              </w:rPr>
              <w:t>Analysis</w:t>
            </w:r>
          </w:p>
        </w:tc>
        <w:tc>
          <w:tcPr>
            <w:tcW w:w="1230" w:type="dxa"/>
            <w:shd w:val="clear" w:color="auto" w:fill="17365D"/>
            <w:tcMar>
              <w:top w:w="22" w:type="dxa"/>
              <w:left w:w="24" w:type="dxa"/>
              <w:bottom w:w="22" w:type="dxa"/>
              <w:right w:w="24" w:type="dxa"/>
            </w:tcMar>
            <w:vAlign w:val="center"/>
          </w:tcPr>
          <w:p w14:paraId="37A2DC53" w14:textId="77777777" w:rsidR="004D7A10" w:rsidRPr="007E140B" w:rsidRDefault="004D7A10" w:rsidP="0026770E">
            <w:pPr>
              <w:spacing w:after="0" w:line="240" w:lineRule="auto"/>
              <w:jc w:val="center"/>
              <w:rPr>
                <w:rFonts w:cs="Arial"/>
                <w:color w:val="auto"/>
              </w:rPr>
            </w:pPr>
            <w:r w:rsidRPr="007E140B">
              <w:rPr>
                <w:rFonts w:cs="Arial"/>
                <w:b/>
                <w:color w:val="auto"/>
                <w:sz w:val="15"/>
              </w:rPr>
              <w:t>Source / DOI</w:t>
            </w:r>
          </w:p>
        </w:tc>
      </w:tr>
      <w:tr w:rsidR="007E140B" w:rsidRPr="007E140B" w14:paraId="2BE80D72" w14:textId="77777777" w:rsidTr="0026770E">
        <w:trPr>
          <w:cantSplit/>
          <w:jc w:val="center"/>
        </w:trPr>
        <w:tc>
          <w:tcPr>
            <w:tcW w:w="504" w:type="dxa"/>
            <w:shd w:val="clear" w:color="auto" w:fill="F7FAFC"/>
            <w:tcMar>
              <w:top w:w="22" w:type="dxa"/>
              <w:left w:w="24" w:type="dxa"/>
              <w:bottom w:w="22" w:type="dxa"/>
              <w:right w:w="24" w:type="dxa"/>
            </w:tcMar>
            <w:vAlign w:val="center"/>
          </w:tcPr>
          <w:p w14:paraId="418379F7" w14:textId="77777777" w:rsidR="004D7A10" w:rsidRPr="007E140B" w:rsidRDefault="004D7A10" w:rsidP="0026770E">
            <w:pPr>
              <w:spacing w:after="0" w:line="240" w:lineRule="auto"/>
              <w:jc w:val="center"/>
              <w:rPr>
                <w:rFonts w:cs="Arial"/>
                <w:color w:val="auto"/>
              </w:rPr>
            </w:pPr>
            <w:r w:rsidRPr="007E140B">
              <w:rPr>
                <w:rFonts w:cs="Arial"/>
                <w:b/>
                <w:color w:val="auto"/>
                <w:sz w:val="15"/>
              </w:rPr>
              <w:t>1</w:t>
            </w:r>
          </w:p>
        </w:tc>
        <w:tc>
          <w:tcPr>
            <w:tcW w:w="1447" w:type="dxa"/>
            <w:shd w:val="clear" w:color="auto" w:fill="F7FAFC"/>
            <w:tcMar>
              <w:top w:w="22" w:type="dxa"/>
              <w:left w:w="24" w:type="dxa"/>
              <w:bottom w:w="22" w:type="dxa"/>
              <w:right w:w="24" w:type="dxa"/>
            </w:tcMar>
          </w:tcPr>
          <w:p w14:paraId="6BEAD6C3" w14:textId="77777777" w:rsidR="004D7A10" w:rsidRPr="007E140B" w:rsidRDefault="004D7A10" w:rsidP="0026770E">
            <w:pPr>
              <w:spacing w:after="0" w:line="240" w:lineRule="auto"/>
              <w:rPr>
                <w:rFonts w:cs="Arial"/>
                <w:color w:val="auto"/>
              </w:rPr>
            </w:pPr>
            <w:r w:rsidRPr="007E140B">
              <w:rPr>
                <w:rFonts w:cs="Arial"/>
                <w:b/>
                <w:color w:val="auto"/>
                <w:sz w:val="15"/>
              </w:rPr>
              <w:t>Resiliency of Environmental and Social Stocks: An Analysis of the Exogenous COVID-19 Market Crash</w:t>
            </w:r>
          </w:p>
        </w:tc>
        <w:tc>
          <w:tcPr>
            <w:tcW w:w="1049" w:type="dxa"/>
            <w:shd w:val="clear" w:color="auto" w:fill="F7FAFC"/>
            <w:tcMar>
              <w:top w:w="22" w:type="dxa"/>
              <w:left w:w="24" w:type="dxa"/>
              <w:bottom w:w="22" w:type="dxa"/>
              <w:right w:w="24" w:type="dxa"/>
            </w:tcMar>
          </w:tcPr>
          <w:p w14:paraId="2B3DF578" w14:textId="77777777" w:rsidR="004D7A10" w:rsidRPr="007E140B" w:rsidRDefault="004D7A10" w:rsidP="0026770E">
            <w:pPr>
              <w:spacing w:after="0" w:line="240" w:lineRule="auto"/>
              <w:rPr>
                <w:rFonts w:cs="Arial"/>
                <w:color w:val="auto"/>
              </w:rPr>
            </w:pPr>
            <w:r w:rsidRPr="007E140B">
              <w:rPr>
                <w:rFonts w:cs="Arial"/>
                <w:color w:val="auto"/>
                <w:sz w:val="15"/>
              </w:rPr>
              <w:t>The Review of Corporate Finance Studies</w:t>
            </w:r>
          </w:p>
        </w:tc>
        <w:tc>
          <w:tcPr>
            <w:tcW w:w="905" w:type="dxa"/>
            <w:shd w:val="clear" w:color="auto" w:fill="F7FAFC"/>
            <w:tcMar>
              <w:top w:w="22" w:type="dxa"/>
              <w:left w:w="24" w:type="dxa"/>
              <w:bottom w:w="22" w:type="dxa"/>
              <w:right w:w="24" w:type="dxa"/>
            </w:tcMar>
          </w:tcPr>
          <w:p w14:paraId="02FED58A" w14:textId="77777777" w:rsidR="004D7A10" w:rsidRPr="007E140B" w:rsidRDefault="004D7A10" w:rsidP="0026770E">
            <w:pPr>
              <w:spacing w:after="0" w:line="240" w:lineRule="auto"/>
              <w:rPr>
                <w:rFonts w:cs="Arial"/>
                <w:color w:val="auto"/>
              </w:rPr>
            </w:pPr>
            <w:r w:rsidRPr="007E140B">
              <w:rPr>
                <w:rFonts w:cs="Arial"/>
                <w:color w:val="auto"/>
                <w:sz w:val="15"/>
              </w:rPr>
              <w:t>Albuquerque, R.; Koskinen, Y.; Yang, S.; Zhang, C.</w:t>
            </w:r>
          </w:p>
        </w:tc>
        <w:tc>
          <w:tcPr>
            <w:tcW w:w="648" w:type="dxa"/>
            <w:shd w:val="clear" w:color="auto" w:fill="F7FAFC"/>
            <w:tcMar>
              <w:top w:w="22" w:type="dxa"/>
              <w:left w:w="24" w:type="dxa"/>
              <w:bottom w:w="22" w:type="dxa"/>
              <w:right w:w="24" w:type="dxa"/>
            </w:tcMar>
            <w:vAlign w:val="center"/>
          </w:tcPr>
          <w:p w14:paraId="0552B38D"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F7FAFC"/>
            <w:tcMar>
              <w:top w:w="22" w:type="dxa"/>
              <w:left w:w="24" w:type="dxa"/>
              <w:bottom w:w="22" w:type="dxa"/>
              <w:right w:w="24" w:type="dxa"/>
            </w:tcMar>
          </w:tcPr>
          <w:p w14:paraId="50BEE657" w14:textId="77777777" w:rsidR="004D7A10" w:rsidRPr="007E140B" w:rsidRDefault="004D7A10" w:rsidP="0026770E">
            <w:pPr>
              <w:spacing w:after="0" w:line="240" w:lineRule="auto"/>
              <w:rPr>
                <w:rFonts w:cs="Arial"/>
                <w:color w:val="auto"/>
              </w:rPr>
            </w:pPr>
            <w:r w:rsidRPr="007E140B">
              <w:rPr>
                <w:rFonts w:cs="Arial"/>
                <w:color w:val="auto"/>
                <w:sz w:val="15"/>
              </w:rPr>
              <w:t>To test whether strong environmental and social (E/S) profiles are associated with greater corporate and stock-market resilience during the exogenous COVID-19 shock.</w:t>
            </w:r>
          </w:p>
        </w:tc>
        <w:tc>
          <w:tcPr>
            <w:tcW w:w="1375" w:type="dxa"/>
            <w:shd w:val="clear" w:color="auto" w:fill="F7FAFC"/>
            <w:tcMar>
              <w:top w:w="22" w:type="dxa"/>
              <w:left w:w="24" w:type="dxa"/>
              <w:bottom w:w="22" w:type="dxa"/>
              <w:right w:w="24" w:type="dxa"/>
            </w:tcMar>
          </w:tcPr>
          <w:p w14:paraId="46977854" w14:textId="77777777" w:rsidR="004D7A10" w:rsidRPr="007E140B" w:rsidRDefault="004D7A10" w:rsidP="0026770E">
            <w:pPr>
              <w:spacing w:after="0" w:line="240" w:lineRule="auto"/>
              <w:rPr>
                <w:rFonts w:cs="Arial"/>
                <w:color w:val="auto"/>
              </w:rPr>
            </w:pPr>
            <w:r w:rsidRPr="007E140B">
              <w:rPr>
                <w:rFonts w:cs="Arial"/>
                <w:color w:val="auto"/>
                <w:sz w:val="15"/>
              </w:rPr>
              <w:t>Examine E/S scores against abnormal returns and volatility during the crash; assess operating-profit resilience; explore customer loyalty/advertising and investor E/S preferences as possible channels.</w:t>
            </w:r>
          </w:p>
        </w:tc>
        <w:tc>
          <w:tcPr>
            <w:tcW w:w="1086" w:type="dxa"/>
            <w:shd w:val="clear" w:color="auto" w:fill="F7FAFC"/>
            <w:tcMar>
              <w:top w:w="22" w:type="dxa"/>
              <w:left w:w="24" w:type="dxa"/>
              <w:bottom w:w="22" w:type="dxa"/>
              <w:right w:w="24" w:type="dxa"/>
            </w:tcMar>
          </w:tcPr>
          <w:p w14:paraId="3BF00C2D" w14:textId="77777777" w:rsidR="004D7A10" w:rsidRPr="007E140B" w:rsidRDefault="004D7A10" w:rsidP="0026770E">
            <w:pPr>
              <w:spacing w:after="0" w:line="240" w:lineRule="auto"/>
              <w:rPr>
                <w:rFonts w:cs="Arial"/>
                <w:color w:val="auto"/>
              </w:rPr>
            </w:pPr>
            <w:r w:rsidRPr="007E140B">
              <w:rPr>
                <w:rFonts w:cs="Arial"/>
                <w:color w:val="auto"/>
                <w:sz w:val="15"/>
              </w:rPr>
              <w:t>Do firms with stronger E/S profiles exhibit better market and operating resilience during an unexpected economy-wide crisis?</w:t>
            </w:r>
          </w:p>
        </w:tc>
        <w:tc>
          <w:tcPr>
            <w:tcW w:w="1122" w:type="dxa"/>
            <w:shd w:val="clear" w:color="auto" w:fill="F7FAFC"/>
            <w:tcMar>
              <w:top w:w="22" w:type="dxa"/>
              <w:left w:w="24" w:type="dxa"/>
              <w:bottom w:w="22" w:type="dxa"/>
              <w:right w:w="24" w:type="dxa"/>
            </w:tcMar>
          </w:tcPr>
          <w:p w14:paraId="030FF624" w14:textId="77777777" w:rsidR="004D7A10" w:rsidRPr="007E140B" w:rsidRDefault="004D7A10" w:rsidP="0026770E">
            <w:pPr>
              <w:spacing w:after="0" w:line="240" w:lineRule="auto"/>
              <w:rPr>
                <w:rFonts w:cs="Arial"/>
                <w:color w:val="auto"/>
              </w:rPr>
            </w:pPr>
            <w:r w:rsidRPr="007E140B">
              <w:rPr>
                <w:rFonts w:cs="Arial"/>
                <w:color w:val="auto"/>
                <w:sz w:val="15"/>
              </w:rPr>
              <w:t>Empirical study of U.S. stocks covered by Refinitiv ESG. Daily market data around Q1 2020 are combined with pre-crisis E/S ratings, operating outcomes and institutional-investor holdings; regression-based tests treat COVID-19 as an exogenous shock.</w:t>
            </w:r>
          </w:p>
        </w:tc>
        <w:tc>
          <w:tcPr>
            <w:tcW w:w="1556" w:type="dxa"/>
            <w:shd w:val="clear" w:color="auto" w:fill="F7FAFC"/>
            <w:tcMar>
              <w:top w:w="22" w:type="dxa"/>
              <w:left w:w="24" w:type="dxa"/>
              <w:bottom w:w="22" w:type="dxa"/>
              <w:right w:w="24" w:type="dxa"/>
            </w:tcMar>
          </w:tcPr>
          <w:p w14:paraId="166263C0" w14:textId="77777777" w:rsidR="004D7A10" w:rsidRPr="007E140B" w:rsidRDefault="004D7A10" w:rsidP="0026770E">
            <w:pPr>
              <w:spacing w:after="0" w:line="240" w:lineRule="auto"/>
              <w:rPr>
                <w:rFonts w:cs="Arial"/>
                <w:color w:val="auto"/>
              </w:rPr>
            </w:pPr>
            <w:r w:rsidRPr="007E140B">
              <w:rPr>
                <w:rFonts w:cs="Arial"/>
                <w:color w:val="auto"/>
                <w:sz w:val="15"/>
              </w:rPr>
              <w:t>Higher E/S scores are associated with higher crisis-period returns, lower return volatility and stronger operating-profit margins. Customer-facing investment and E/S-oriented investor ownership are consistent with loyalty/resilience channels.</w:t>
            </w:r>
          </w:p>
        </w:tc>
        <w:tc>
          <w:tcPr>
            <w:tcW w:w="1665" w:type="dxa"/>
            <w:shd w:val="clear" w:color="auto" w:fill="F7FAFC"/>
            <w:tcMar>
              <w:top w:w="22" w:type="dxa"/>
              <w:left w:w="24" w:type="dxa"/>
              <w:bottom w:w="22" w:type="dxa"/>
              <w:right w:w="24" w:type="dxa"/>
            </w:tcMar>
          </w:tcPr>
          <w:p w14:paraId="579977B8" w14:textId="77777777" w:rsidR="004D7A10" w:rsidRPr="007E140B" w:rsidRDefault="004D7A10" w:rsidP="0026770E">
            <w:pPr>
              <w:spacing w:after="0" w:line="240" w:lineRule="auto"/>
              <w:rPr>
                <w:rFonts w:cs="Arial"/>
                <w:color w:val="auto"/>
              </w:rPr>
            </w:pPr>
            <w:r w:rsidRPr="007E140B">
              <w:rPr>
                <w:rFonts w:cs="Arial"/>
                <w:color w:val="auto"/>
                <w:sz w:val="15"/>
              </w:rPr>
              <w:t>The paper uses the COVID-19 market crash as a stress test of stakeholder-oriented corporate policies. It reports that firms with stronger pre-crisis environmental and social profiles were relatively more resilient in both equity-market and operating outcomes.</w:t>
            </w:r>
          </w:p>
        </w:tc>
        <w:tc>
          <w:tcPr>
            <w:tcW w:w="1303" w:type="dxa"/>
            <w:shd w:val="clear" w:color="auto" w:fill="F7FAFC"/>
            <w:tcMar>
              <w:top w:w="22" w:type="dxa"/>
              <w:left w:w="24" w:type="dxa"/>
              <w:bottom w:w="22" w:type="dxa"/>
              <w:right w:w="24" w:type="dxa"/>
            </w:tcMar>
          </w:tcPr>
          <w:p w14:paraId="3592BCD0"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resilience/stakeholder-capital mechanism. However, the dissertation correctly treats crisis stock evidence as contextual and observational—not as proof that ESG causes operating advantage in UK consumer goods.</w:t>
            </w:r>
          </w:p>
        </w:tc>
        <w:tc>
          <w:tcPr>
            <w:tcW w:w="1230" w:type="dxa"/>
            <w:shd w:val="clear" w:color="auto" w:fill="F7FAFC"/>
            <w:tcMar>
              <w:top w:w="22" w:type="dxa"/>
              <w:left w:w="24" w:type="dxa"/>
              <w:bottom w:w="22" w:type="dxa"/>
              <w:right w:w="24" w:type="dxa"/>
            </w:tcMar>
          </w:tcPr>
          <w:p w14:paraId="596251C6" w14:textId="77777777" w:rsidR="004D7A10" w:rsidRPr="007E140B" w:rsidRDefault="00CC58FE" w:rsidP="0026770E">
            <w:pPr>
              <w:spacing w:after="0" w:line="240" w:lineRule="auto"/>
              <w:rPr>
                <w:rFonts w:cs="Arial"/>
                <w:color w:val="auto"/>
              </w:rPr>
            </w:pPr>
            <w:hyperlink r:id="rId57">
              <w:r w:rsidR="004D7A10" w:rsidRPr="007E140B">
                <w:rPr>
                  <w:rFonts w:cs="Arial"/>
                  <w:color w:val="auto"/>
                  <w:sz w:val="13"/>
                  <w:szCs w:val="13"/>
                </w:rPr>
                <w:t>https://doi.org/10.1093/rcfs/cfaa011</w:t>
              </w:r>
            </w:hyperlink>
          </w:p>
        </w:tc>
      </w:tr>
      <w:tr w:rsidR="007E140B" w:rsidRPr="007E140B" w14:paraId="55EB4C77" w14:textId="77777777" w:rsidTr="0026770E">
        <w:trPr>
          <w:cantSplit/>
          <w:jc w:val="center"/>
        </w:trPr>
        <w:tc>
          <w:tcPr>
            <w:tcW w:w="504" w:type="dxa"/>
            <w:shd w:val="clear" w:color="auto" w:fill="EAF1F7"/>
            <w:tcMar>
              <w:top w:w="22" w:type="dxa"/>
              <w:left w:w="24" w:type="dxa"/>
              <w:bottom w:w="22" w:type="dxa"/>
              <w:right w:w="24" w:type="dxa"/>
            </w:tcMar>
            <w:vAlign w:val="center"/>
          </w:tcPr>
          <w:p w14:paraId="00589334" w14:textId="77777777" w:rsidR="004D7A10" w:rsidRPr="007E140B" w:rsidRDefault="004D7A10" w:rsidP="0026770E">
            <w:pPr>
              <w:spacing w:after="0" w:line="240" w:lineRule="auto"/>
              <w:jc w:val="center"/>
              <w:rPr>
                <w:rFonts w:cs="Arial"/>
                <w:color w:val="auto"/>
              </w:rPr>
            </w:pPr>
            <w:r w:rsidRPr="007E140B">
              <w:rPr>
                <w:rFonts w:cs="Arial"/>
                <w:b/>
                <w:color w:val="auto"/>
                <w:sz w:val="15"/>
              </w:rPr>
              <w:t>2</w:t>
            </w:r>
          </w:p>
        </w:tc>
        <w:tc>
          <w:tcPr>
            <w:tcW w:w="1447" w:type="dxa"/>
            <w:shd w:val="clear" w:color="auto" w:fill="EAF1F7"/>
            <w:tcMar>
              <w:top w:w="22" w:type="dxa"/>
              <w:left w:w="24" w:type="dxa"/>
              <w:bottom w:w="22" w:type="dxa"/>
              <w:right w:w="24" w:type="dxa"/>
            </w:tcMar>
          </w:tcPr>
          <w:p w14:paraId="6113DBA0" w14:textId="77777777" w:rsidR="004D7A10" w:rsidRPr="007E140B" w:rsidRDefault="004D7A10" w:rsidP="0026770E">
            <w:pPr>
              <w:spacing w:after="0" w:line="240" w:lineRule="auto"/>
              <w:rPr>
                <w:rFonts w:cs="Arial"/>
                <w:color w:val="auto"/>
              </w:rPr>
            </w:pPr>
            <w:r w:rsidRPr="007E140B">
              <w:rPr>
                <w:rFonts w:cs="Arial"/>
                <w:b/>
                <w:color w:val="auto"/>
                <w:sz w:val="15"/>
              </w:rPr>
              <w:t>Impact of ESG Performance on Firm Value and Profitability</w:t>
            </w:r>
          </w:p>
        </w:tc>
        <w:tc>
          <w:tcPr>
            <w:tcW w:w="1049" w:type="dxa"/>
            <w:shd w:val="clear" w:color="auto" w:fill="EAF1F7"/>
            <w:tcMar>
              <w:top w:w="22" w:type="dxa"/>
              <w:left w:w="24" w:type="dxa"/>
              <w:bottom w:w="22" w:type="dxa"/>
              <w:right w:w="24" w:type="dxa"/>
            </w:tcMar>
          </w:tcPr>
          <w:p w14:paraId="51DD69A2" w14:textId="77777777" w:rsidR="004D7A10" w:rsidRPr="007E140B" w:rsidRDefault="004D7A10" w:rsidP="0026770E">
            <w:pPr>
              <w:spacing w:after="0" w:line="240" w:lineRule="auto"/>
              <w:rPr>
                <w:rFonts w:cs="Arial"/>
                <w:color w:val="auto"/>
              </w:rPr>
            </w:pPr>
            <w:r w:rsidRPr="007E140B">
              <w:rPr>
                <w:rFonts w:cs="Arial"/>
                <w:color w:val="auto"/>
                <w:sz w:val="15"/>
              </w:rPr>
              <w:t>Borsa Istanbul Review</w:t>
            </w:r>
          </w:p>
        </w:tc>
        <w:tc>
          <w:tcPr>
            <w:tcW w:w="905" w:type="dxa"/>
            <w:shd w:val="clear" w:color="auto" w:fill="EAF1F7"/>
            <w:tcMar>
              <w:top w:w="22" w:type="dxa"/>
              <w:left w:w="24" w:type="dxa"/>
              <w:bottom w:w="22" w:type="dxa"/>
              <w:right w:w="24" w:type="dxa"/>
            </w:tcMar>
          </w:tcPr>
          <w:p w14:paraId="362A5248" w14:textId="77777777" w:rsidR="004D7A10" w:rsidRPr="007E140B" w:rsidRDefault="004D7A10" w:rsidP="0026770E">
            <w:pPr>
              <w:spacing w:after="0" w:line="240" w:lineRule="auto"/>
              <w:rPr>
                <w:rFonts w:cs="Arial"/>
                <w:color w:val="auto"/>
              </w:rPr>
            </w:pPr>
            <w:r w:rsidRPr="007E140B">
              <w:rPr>
                <w:rFonts w:cs="Arial"/>
                <w:color w:val="auto"/>
                <w:sz w:val="15"/>
              </w:rPr>
              <w:t>Aydoğmuş, M.; Gülay, G.; Ergun, K.</w:t>
            </w:r>
          </w:p>
        </w:tc>
        <w:tc>
          <w:tcPr>
            <w:tcW w:w="648" w:type="dxa"/>
            <w:shd w:val="clear" w:color="auto" w:fill="EAF1F7"/>
            <w:tcMar>
              <w:top w:w="22" w:type="dxa"/>
              <w:left w:w="24" w:type="dxa"/>
              <w:bottom w:w="22" w:type="dxa"/>
              <w:right w:w="24" w:type="dxa"/>
            </w:tcMar>
            <w:vAlign w:val="center"/>
          </w:tcPr>
          <w:p w14:paraId="10A35340"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EAF1F7"/>
            <w:tcMar>
              <w:top w:w="22" w:type="dxa"/>
              <w:left w:w="24" w:type="dxa"/>
              <w:bottom w:w="22" w:type="dxa"/>
              <w:right w:w="24" w:type="dxa"/>
            </w:tcMar>
          </w:tcPr>
          <w:p w14:paraId="64BD6F7A" w14:textId="77777777" w:rsidR="004D7A10" w:rsidRPr="007E140B" w:rsidRDefault="004D7A10" w:rsidP="0026770E">
            <w:pPr>
              <w:spacing w:after="0" w:line="240" w:lineRule="auto"/>
              <w:rPr>
                <w:rFonts w:cs="Arial"/>
                <w:color w:val="auto"/>
              </w:rPr>
            </w:pPr>
            <w:r w:rsidRPr="007E140B">
              <w:rPr>
                <w:rFonts w:cs="Arial"/>
                <w:color w:val="auto"/>
                <w:sz w:val="15"/>
              </w:rPr>
              <w:t>To examine how overall ESG performance and the environmental, social and governance pillars relate to firm value and profitability.</w:t>
            </w:r>
          </w:p>
        </w:tc>
        <w:tc>
          <w:tcPr>
            <w:tcW w:w="1375" w:type="dxa"/>
            <w:shd w:val="clear" w:color="auto" w:fill="EAF1F7"/>
            <w:tcMar>
              <w:top w:w="22" w:type="dxa"/>
              <w:left w:w="24" w:type="dxa"/>
              <w:bottom w:w="22" w:type="dxa"/>
              <w:right w:w="24" w:type="dxa"/>
            </w:tcMar>
          </w:tcPr>
          <w:p w14:paraId="526A821F" w14:textId="77777777" w:rsidR="004D7A10" w:rsidRPr="007E140B" w:rsidRDefault="004D7A10" w:rsidP="0026770E">
            <w:pPr>
              <w:spacing w:after="0" w:line="240" w:lineRule="auto"/>
              <w:rPr>
                <w:rFonts w:cs="Arial"/>
                <w:color w:val="auto"/>
              </w:rPr>
            </w:pPr>
            <w:r w:rsidRPr="007E140B">
              <w:rPr>
                <w:rFonts w:cs="Arial"/>
                <w:color w:val="auto"/>
                <w:sz w:val="15"/>
              </w:rPr>
              <w:t>Estimate the association of combined and pillar ESG scores with Tobin’s Q and return on assets; test whether relationships remain after controlling for firm size and leverage.</w:t>
            </w:r>
          </w:p>
        </w:tc>
        <w:tc>
          <w:tcPr>
            <w:tcW w:w="1086" w:type="dxa"/>
            <w:shd w:val="clear" w:color="auto" w:fill="EAF1F7"/>
            <w:tcMar>
              <w:top w:w="22" w:type="dxa"/>
              <w:left w:w="24" w:type="dxa"/>
              <w:bottom w:w="22" w:type="dxa"/>
              <w:right w:w="24" w:type="dxa"/>
            </w:tcMar>
          </w:tcPr>
          <w:p w14:paraId="5B0EC131" w14:textId="77777777" w:rsidR="004D7A10" w:rsidRPr="007E140B" w:rsidRDefault="004D7A10" w:rsidP="0026770E">
            <w:pPr>
              <w:spacing w:after="0" w:line="240" w:lineRule="auto"/>
              <w:rPr>
                <w:rFonts w:cs="Arial"/>
                <w:color w:val="auto"/>
              </w:rPr>
            </w:pPr>
            <w:r w:rsidRPr="007E140B">
              <w:rPr>
                <w:rFonts w:cs="Arial"/>
                <w:color w:val="auto"/>
                <w:sz w:val="15"/>
              </w:rPr>
              <w:t>Does stronger ESG performance improve firm value and profitability, and do the E, S and G pillars differ in their relationships with those outcomes?</w:t>
            </w:r>
          </w:p>
        </w:tc>
        <w:tc>
          <w:tcPr>
            <w:tcW w:w="1122" w:type="dxa"/>
            <w:shd w:val="clear" w:color="auto" w:fill="EAF1F7"/>
            <w:tcMar>
              <w:top w:w="22" w:type="dxa"/>
              <w:left w:w="24" w:type="dxa"/>
              <w:bottom w:w="22" w:type="dxa"/>
              <w:right w:w="24" w:type="dxa"/>
            </w:tcMar>
          </w:tcPr>
          <w:p w14:paraId="60165E26" w14:textId="77777777" w:rsidR="004D7A10" w:rsidRPr="007E140B" w:rsidRDefault="004D7A10" w:rsidP="0026770E">
            <w:pPr>
              <w:spacing w:after="0" w:line="240" w:lineRule="auto"/>
              <w:rPr>
                <w:rFonts w:cs="Arial"/>
                <w:color w:val="auto"/>
              </w:rPr>
            </w:pPr>
            <w:r w:rsidRPr="007E140B">
              <w:rPr>
                <w:rFonts w:cs="Arial"/>
                <w:color w:val="auto"/>
                <w:sz w:val="15"/>
              </w:rPr>
              <w:t xml:space="preserve">Panel study of 1,720 listed firms from 39 countries, 2013–2021 (14,043 firm-year observations). Bloomberg financial data and Refinitiv ESG scores are </w:t>
            </w:r>
            <w:proofErr w:type="spellStart"/>
            <w:r w:rsidRPr="007E140B">
              <w:rPr>
                <w:rFonts w:cs="Arial"/>
                <w:color w:val="auto"/>
                <w:sz w:val="15"/>
              </w:rPr>
              <w:t>analysed</w:t>
            </w:r>
            <w:proofErr w:type="spellEnd"/>
            <w:r w:rsidRPr="007E140B">
              <w:rPr>
                <w:rFonts w:cs="Arial"/>
                <w:color w:val="auto"/>
                <w:sz w:val="15"/>
              </w:rPr>
              <w:t xml:space="preserve"> using fixed-effects panel regressions and diagnostic tests.</w:t>
            </w:r>
          </w:p>
        </w:tc>
        <w:tc>
          <w:tcPr>
            <w:tcW w:w="1556" w:type="dxa"/>
            <w:shd w:val="clear" w:color="auto" w:fill="EAF1F7"/>
            <w:tcMar>
              <w:top w:w="22" w:type="dxa"/>
              <w:left w:w="24" w:type="dxa"/>
              <w:bottom w:w="22" w:type="dxa"/>
              <w:right w:w="24" w:type="dxa"/>
            </w:tcMar>
          </w:tcPr>
          <w:p w14:paraId="5526C07B" w14:textId="77777777" w:rsidR="004D7A10" w:rsidRPr="007E140B" w:rsidRDefault="004D7A10" w:rsidP="0026770E">
            <w:pPr>
              <w:spacing w:after="0" w:line="240" w:lineRule="auto"/>
              <w:rPr>
                <w:rFonts w:cs="Arial"/>
                <w:color w:val="auto"/>
              </w:rPr>
            </w:pPr>
            <w:r w:rsidRPr="007E140B">
              <w:rPr>
                <w:rFonts w:cs="Arial"/>
                <w:color w:val="auto"/>
                <w:sz w:val="15"/>
              </w:rPr>
              <w:t>Combined ESG is positively associated with firm value and profitability. Social and governance scores are positively related to firm value, while environmental score is not significant for value; all three pillars are positively related to profitability.</w:t>
            </w:r>
          </w:p>
        </w:tc>
        <w:tc>
          <w:tcPr>
            <w:tcW w:w="1665" w:type="dxa"/>
            <w:shd w:val="clear" w:color="auto" w:fill="EAF1F7"/>
            <w:tcMar>
              <w:top w:w="22" w:type="dxa"/>
              <w:left w:w="24" w:type="dxa"/>
              <w:bottom w:w="22" w:type="dxa"/>
              <w:right w:w="24" w:type="dxa"/>
            </w:tcMar>
          </w:tcPr>
          <w:p w14:paraId="4AB2FF02" w14:textId="77777777" w:rsidR="004D7A10" w:rsidRPr="007E140B" w:rsidRDefault="004D7A10" w:rsidP="0026770E">
            <w:pPr>
              <w:spacing w:after="0" w:line="240" w:lineRule="auto"/>
              <w:rPr>
                <w:rFonts w:cs="Arial"/>
                <w:color w:val="auto"/>
              </w:rPr>
            </w:pPr>
            <w:r w:rsidRPr="007E140B">
              <w:rPr>
                <w:rFonts w:cs="Arial"/>
                <w:color w:val="auto"/>
                <w:sz w:val="15"/>
              </w:rPr>
              <w:t>Using a large international panel, the study finds generally positive associations between ESG performance and financial outcomes, while showing that individual ESG pillars can behave differently depending on the financial measure.</w:t>
            </w:r>
          </w:p>
        </w:tc>
        <w:tc>
          <w:tcPr>
            <w:tcW w:w="1303" w:type="dxa"/>
            <w:shd w:val="clear" w:color="auto" w:fill="EAF1F7"/>
            <w:tcMar>
              <w:top w:w="22" w:type="dxa"/>
              <w:left w:w="24" w:type="dxa"/>
              <w:bottom w:w="22" w:type="dxa"/>
              <w:right w:w="24" w:type="dxa"/>
            </w:tcMar>
          </w:tcPr>
          <w:p w14:paraId="4FEDBEC6" w14:textId="77777777" w:rsidR="004D7A10" w:rsidRPr="007E140B" w:rsidRDefault="004D7A10" w:rsidP="0026770E">
            <w:pPr>
              <w:spacing w:after="0" w:line="240" w:lineRule="auto"/>
              <w:rPr>
                <w:rFonts w:cs="Arial"/>
                <w:color w:val="auto"/>
              </w:rPr>
            </w:pPr>
            <w:r w:rsidRPr="007E140B">
              <w:rPr>
                <w:rFonts w:cs="Arial"/>
                <w:color w:val="auto"/>
                <w:sz w:val="15"/>
              </w:rPr>
              <w:t>Useful broad empirical support for an ESG–financial-performance association, but the dissertation appropriately rejects a universal causal rule because cross-country panel associations remain vulnerable to endogeneity, sector effects and reverse causality.</w:t>
            </w:r>
          </w:p>
        </w:tc>
        <w:tc>
          <w:tcPr>
            <w:tcW w:w="1230" w:type="dxa"/>
            <w:shd w:val="clear" w:color="auto" w:fill="EAF1F7"/>
            <w:tcMar>
              <w:top w:w="22" w:type="dxa"/>
              <w:left w:w="24" w:type="dxa"/>
              <w:bottom w:w="22" w:type="dxa"/>
              <w:right w:w="24" w:type="dxa"/>
            </w:tcMar>
          </w:tcPr>
          <w:p w14:paraId="6EBCA3F8" w14:textId="77777777" w:rsidR="004D7A10" w:rsidRPr="007E140B" w:rsidRDefault="00CC58FE" w:rsidP="0026770E">
            <w:pPr>
              <w:spacing w:after="0" w:line="240" w:lineRule="auto"/>
              <w:rPr>
                <w:rFonts w:cs="Arial"/>
                <w:color w:val="auto"/>
              </w:rPr>
            </w:pPr>
            <w:hyperlink r:id="rId58">
              <w:r w:rsidR="004D7A10" w:rsidRPr="007E140B">
                <w:rPr>
                  <w:rFonts w:cs="Arial"/>
                  <w:color w:val="auto"/>
                  <w:sz w:val="13"/>
                  <w:szCs w:val="13"/>
                </w:rPr>
                <w:t>https://doi.org/10.1016/j.bir.2022.11.006</w:t>
              </w:r>
            </w:hyperlink>
          </w:p>
        </w:tc>
      </w:tr>
      <w:tr w:rsidR="007E140B" w:rsidRPr="007E140B" w14:paraId="68688EDD" w14:textId="77777777" w:rsidTr="0026770E">
        <w:trPr>
          <w:cantSplit/>
          <w:jc w:val="center"/>
        </w:trPr>
        <w:tc>
          <w:tcPr>
            <w:tcW w:w="504" w:type="dxa"/>
            <w:shd w:val="clear" w:color="auto" w:fill="F7FAFC"/>
            <w:tcMar>
              <w:top w:w="22" w:type="dxa"/>
              <w:left w:w="24" w:type="dxa"/>
              <w:bottom w:w="22" w:type="dxa"/>
              <w:right w:w="24" w:type="dxa"/>
            </w:tcMar>
            <w:vAlign w:val="center"/>
          </w:tcPr>
          <w:p w14:paraId="3EE1564F"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3</w:t>
            </w:r>
          </w:p>
        </w:tc>
        <w:tc>
          <w:tcPr>
            <w:tcW w:w="1447" w:type="dxa"/>
            <w:shd w:val="clear" w:color="auto" w:fill="F7FAFC"/>
            <w:tcMar>
              <w:top w:w="22" w:type="dxa"/>
              <w:left w:w="24" w:type="dxa"/>
              <w:bottom w:w="22" w:type="dxa"/>
              <w:right w:w="24" w:type="dxa"/>
            </w:tcMar>
          </w:tcPr>
          <w:p w14:paraId="65B8EFCF" w14:textId="77777777" w:rsidR="004D7A10" w:rsidRPr="007E140B" w:rsidRDefault="004D7A10" w:rsidP="0026770E">
            <w:pPr>
              <w:spacing w:after="0" w:line="240" w:lineRule="auto"/>
              <w:rPr>
                <w:rFonts w:cs="Arial"/>
                <w:color w:val="auto"/>
              </w:rPr>
            </w:pPr>
            <w:r w:rsidRPr="007E140B">
              <w:rPr>
                <w:rFonts w:cs="Arial"/>
                <w:b/>
                <w:color w:val="auto"/>
                <w:sz w:val="15"/>
              </w:rPr>
              <w:t>Firm Resources and Sustained Competitive Advantage</w:t>
            </w:r>
          </w:p>
        </w:tc>
        <w:tc>
          <w:tcPr>
            <w:tcW w:w="1049" w:type="dxa"/>
            <w:shd w:val="clear" w:color="auto" w:fill="F7FAFC"/>
            <w:tcMar>
              <w:top w:w="22" w:type="dxa"/>
              <w:left w:w="24" w:type="dxa"/>
              <w:bottom w:w="22" w:type="dxa"/>
              <w:right w:w="24" w:type="dxa"/>
            </w:tcMar>
          </w:tcPr>
          <w:p w14:paraId="02D4D39C" w14:textId="77777777" w:rsidR="004D7A10" w:rsidRPr="007E140B" w:rsidRDefault="004D7A10" w:rsidP="0026770E">
            <w:pPr>
              <w:spacing w:after="0" w:line="240" w:lineRule="auto"/>
              <w:rPr>
                <w:rFonts w:cs="Arial"/>
                <w:color w:val="auto"/>
              </w:rPr>
            </w:pPr>
            <w:r w:rsidRPr="007E140B">
              <w:rPr>
                <w:rFonts w:cs="Arial"/>
                <w:color w:val="auto"/>
                <w:sz w:val="15"/>
              </w:rPr>
              <w:t>Journal of Management</w:t>
            </w:r>
          </w:p>
        </w:tc>
        <w:tc>
          <w:tcPr>
            <w:tcW w:w="905" w:type="dxa"/>
            <w:shd w:val="clear" w:color="auto" w:fill="F7FAFC"/>
            <w:tcMar>
              <w:top w:w="22" w:type="dxa"/>
              <w:left w:w="24" w:type="dxa"/>
              <w:bottom w:w="22" w:type="dxa"/>
              <w:right w:w="24" w:type="dxa"/>
            </w:tcMar>
          </w:tcPr>
          <w:p w14:paraId="39C6C15E" w14:textId="77777777" w:rsidR="004D7A10" w:rsidRPr="007E140B" w:rsidRDefault="004D7A10" w:rsidP="0026770E">
            <w:pPr>
              <w:spacing w:after="0" w:line="240" w:lineRule="auto"/>
              <w:rPr>
                <w:rFonts w:cs="Arial"/>
                <w:color w:val="auto"/>
              </w:rPr>
            </w:pPr>
            <w:r w:rsidRPr="007E140B">
              <w:rPr>
                <w:rFonts w:cs="Arial"/>
                <w:color w:val="auto"/>
                <w:sz w:val="15"/>
              </w:rPr>
              <w:t>Barney, J.</w:t>
            </w:r>
          </w:p>
        </w:tc>
        <w:tc>
          <w:tcPr>
            <w:tcW w:w="648" w:type="dxa"/>
            <w:shd w:val="clear" w:color="auto" w:fill="F7FAFC"/>
            <w:tcMar>
              <w:top w:w="22" w:type="dxa"/>
              <w:left w:w="24" w:type="dxa"/>
              <w:bottom w:w="22" w:type="dxa"/>
              <w:right w:w="24" w:type="dxa"/>
            </w:tcMar>
            <w:vAlign w:val="center"/>
          </w:tcPr>
          <w:p w14:paraId="18F507BF" w14:textId="77777777" w:rsidR="004D7A10" w:rsidRPr="007E140B" w:rsidRDefault="004D7A10" w:rsidP="0026770E">
            <w:pPr>
              <w:spacing w:after="0" w:line="240" w:lineRule="auto"/>
              <w:jc w:val="center"/>
              <w:rPr>
                <w:rFonts w:cs="Arial"/>
                <w:color w:val="auto"/>
              </w:rPr>
            </w:pPr>
            <w:r w:rsidRPr="007E140B">
              <w:rPr>
                <w:rFonts w:cs="Arial"/>
                <w:b/>
                <w:color w:val="auto"/>
                <w:sz w:val="15"/>
              </w:rPr>
              <w:t>1991</w:t>
            </w:r>
          </w:p>
        </w:tc>
        <w:tc>
          <w:tcPr>
            <w:tcW w:w="1230" w:type="dxa"/>
            <w:shd w:val="clear" w:color="auto" w:fill="F7FAFC"/>
            <w:tcMar>
              <w:top w:w="22" w:type="dxa"/>
              <w:left w:w="24" w:type="dxa"/>
              <w:bottom w:w="22" w:type="dxa"/>
              <w:right w:w="24" w:type="dxa"/>
            </w:tcMar>
          </w:tcPr>
          <w:p w14:paraId="0B36F7A4" w14:textId="77777777" w:rsidR="004D7A10" w:rsidRPr="007E140B" w:rsidRDefault="004D7A10" w:rsidP="0026770E">
            <w:pPr>
              <w:spacing w:after="0" w:line="240" w:lineRule="auto"/>
              <w:rPr>
                <w:rFonts w:cs="Arial"/>
                <w:color w:val="auto"/>
              </w:rPr>
            </w:pPr>
            <w:r w:rsidRPr="007E140B">
              <w:rPr>
                <w:rFonts w:cs="Arial"/>
                <w:color w:val="auto"/>
                <w:sz w:val="15"/>
              </w:rPr>
              <w:t>To explain the conditions under which firm resources can become sources of sustained competitive advantage.</w:t>
            </w:r>
          </w:p>
        </w:tc>
        <w:tc>
          <w:tcPr>
            <w:tcW w:w="1375" w:type="dxa"/>
            <w:shd w:val="clear" w:color="auto" w:fill="F7FAFC"/>
            <w:tcMar>
              <w:top w:w="22" w:type="dxa"/>
              <w:left w:w="24" w:type="dxa"/>
              <w:bottom w:w="22" w:type="dxa"/>
              <w:right w:w="24" w:type="dxa"/>
            </w:tcMar>
          </w:tcPr>
          <w:p w14:paraId="56C70C78" w14:textId="77777777" w:rsidR="004D7A10" w:rsidRPr="007E140B" w:rsidRDefault="004D7A10" w:rsidP="0026770E">
            <w:pPr>
              <w:spacing w:after="0" w:line="240" w:lineRule="auto"/>
              <w:rPr>
                <w:rFonts w:cs="Arial"/>
                <w:color w:val="auto"/>
              </w:rPr>
            </w:pPr>
            <w:r w:rsidRPr="007E140B">
              <w:rPr>
                <w:rFonts w:cs="Arial"/>
                <w:color w:val="auto"/>
                <w:sz w:val="15"/>
              </w:rPr>
              <w:t>Develop a resource-based framework connecting resource heterogeneity and immobility with value, rarity, imperfect imitability and the absence of strategically equivalent substitutes.</w:t>
            </w:r>
          </w:p>
        </w:tc>
        <w:tc>
          <w:tcPr>
            <w:tcW w:w="1086" w:type="dxa"/>
            <w:shd w:val="clear" w:color="auto" w:fill="F7FAFC"/>
            <w:tcMar>
              <w:top w:w="22" w:type="dxa"/>
              <w:left w:w="24" w:type="dxa"/>
              <w:bottom w:w="22" w:type="dxa"/>
              <w:right w:w="24" w:type="dxa"/>
            </w:tcMar>
          </w:tcPr>
          <w:p w14:paraId="2D3632C8" w14:textId="77777777" w:rsidR="004D7A10" w:rsidRPr="007E140B" w:rsidRDefault="004D7A10" w:rsidP="0026770E">
            <w:pPr>
              <w:spacing w:after="0" w:line="240" w:lineRule="auto"/>
              <w:rPr>
                <w:rFonts w:cs="Arial"/>
                <w:color w:val="auto"/>
              </w:rPr>
            </w:pPr>
            <w:r w:rsidRPr="007E140B">
              <w:rPr>
                <w:rFonts w:cs="Arial"/>
                <w:color w:val="auto"/>
                <w:sz w:val="15"/>
              </w:rPr>
              <w:t>Under what resource conditions can a firm obtain and sustain an advantage that competitors cannot readily duplicate or substitute?</w:t>
            </w:r>
          </w:p>
        </w:tc>
        <w:tc>
          <w:tcPr>
            <w:tcW w:w="1122" w:type="dxa"/>
            <w:shd w:val="clear" w:color="auto" w:fill="F7FAFC"/>
            <w:tcMar>
              <w:top w:w="22" w:type="dxa"/>
              <w:left w:w="24" w:type="dxa"/>
              <w:bottom w:w="22" w:type="dxa"/>
              <w:right w:w="24" w:type="dxa"/>
            </w:tcMar>
          </w:tcPr>
          <w:p w14:paraId="1346FEAC" w14:textId="77777777" w:rsidR="004D7A10" w:rsidRPr="007E140B" w:rsidRDefault="004D7A10" w:rsidP="0026770E">
            <w:pPr>
              <w:spacing w:after="0" w:line="240" w:lineRule="auto"/>
              <w:rPr>
                <w:rFonts w:cs="Arial"/>
                <w:color w:val="auto"/>
              </w:rPr>
            </w:pPr>
            <w:r w:rsidRPr="007E140B">
              <w:rPr>
                <w:rFonts w:cs="Arial"/>
                <w:color w:val="auto"/>
                <w:sz w:val="15"/>
              </w:rPr>
              <w:t xml:space="preserve">Conceptual/theoretical article </w:t>
            </w:r>
            <w:proofErr w:type="spellStart"/>
            <w:r w:rsidRPr="007E140B">
              <w:rPr>
                <w:rFonts w:cs="Arial"/>
                <w:color w:val="auto"/>
                <w:sz w:val="15"/>
              </w:rPr>
              <w:t>synthesising</w:t>
            </w:r>
            <w:proofErr w:type="spellEnd"/>
            <w:r w:rsidRPr="007E140B">
              <w:rPr>
                <w:rFonts w:cs="Arial"/>
                <w:color w:val="auto"/>
                <w:sz w:val="15"/>
              </w:rPr>
              <w:t xml:space="preserve"> strategy and economics literature; no empirical sample.</w:t>
            </w:r>
          </w:p>
        </w:tc>
        <w:tc>
          <w:tcPr>
            <w:tcW w:w="1556" w:type="dxa"/>
            <w:shd w:val="clear" w:color="auto" w:fill="F7FAFC"/>
            <w:tcMar>
              <w:top w:w="22" w:type="dxa"/>
              <w:left w:w="24" w:type="dxa"/>
              <w:bottom w:w="22" w:type="dxa"/>
              <w:right w:w="24" w:type="dxa"/>
            </w:tcMar>
          </w:tcPr>
          <w:p w14:paraId="25A4C20F" w14:textId="77777777" w:rsidR="004D7A10" w:rsidRPr="007E140B" w:rsidRDefault="004D7A10" w:rsidP="0026770E">
            <w:pPr>
              <w:spacing w:after="0" w:line="240" w:lineRule="auto"/>
              <w:rPr>
                <w:rFonts w:cs="Arial"/>
                <w:color w:val="auto"/>
              </w:rPr>
            </w:pPr>
            <w:r w:rsidRPr="007E140B">
              <w:rPr>
                <w:rFonts w:cs="Arial"/>
                <w:color w:val="auto"/>
                <w:sz w:val="15"/>
              </w:rPr>
              <w:t>Sustained advantage depends on resources that are valuable, rare, imperfectly imitable and not strategically substitutable. History, causal ambiguity and social complexity can protect resources from imitation.</w:t>
            </w:r>
          </w:p>
        </w:tc>
        <w:tc>
          <w:tcPr>
            <w:tcW w:w="1665" w:type="dxa"/>
            <w:shd w:val="clear" w:color="auto" w:fill="F7FAFC"/>
            <w:tcMar>
              <w:top w:w="22" w:type="dxa"/>
              <w:left w:w="24" w:type="dxa"/>
              <w:bottom w:w="22" w:type="dxa"/>
              <w:right w:w="24" w:type="dxa"/>
            </w:tcMar>
          </w:tcPr>
          <w:p w14:paraId="3CB58E6B" w14:textId="77777777" w:rsidR="004D7A10" w:rsidRPr="007E140B" w:rsidRDefault="004D7A10" w:rsidP="0026770E">
            <w:pPr>
              <w:spacing w:after="0" w:line="240" w:lineRule="auto"/>
              <w:rPr>
                <w:rFonts w:cs="Arial"/>
                <w:color w:val="auto"/>
              </w:rPr>
            </w:pPr>
            <w:r w:rsidRPr="007E140B">
              <w:rPr>
                <w:rFonts w:cs="Arial"/>
                <w:color w:val="auto"/>
                <w:sz w:val="15"/>
              </w:rPr>
              <w:t>The article establishes the classic resource-based view of the firm and shifts attention from industry position alone to firm-specific resources and capabilities as the basis of durable competitive advantage.</w:t>
            </w:r>
          </w:p>
        </w:tc>
        <w:tc>
          <w:tcPr>
            <w:tcW w:w="1303" w:type="dxa"/>
            <w:shd w:val="clear" w:color="auto" w:fill="F7FAFC"/>
            <w:tcMar>
              <w:top w:w="22" w:type="dxa"/>
              <w:left w:w="24" w:type="dxa"/>
              <w:bottom w:w="22" w:type="dxa"/>
              <w:right w:w="24" w:type="dxa"/>
            </w:tcMar>
          </w:tcPr>
          <w:p w14:paraId="1C2577F7" w14:textId="77777777" w:rsidR="004D7A10" w:rsidRPr="007E140B" w:rsidRDefault="004D7A10" w:rsidP="0026770E">
            <w:pPr>
              <w:spacing w:after="0" w:line="240" w:lineRule="auto"/>
              <w:rPr>
                <w:rFonts w:cs="Arial"/>
                <w:color w:val="auto"/>
              </w:rPr>
            </w:pPr>
            <w:r w:rsidRPr="007E140B">
              <w:rPr>
                <w:rFonts w:cs="Arial"/>
                <w:color w:val="auto"/>
                <w:sz w:val="15"/>
              </w:rPr>
              <w:t>A core theoretical foundation for the dissertation. It justifies distinguishing copyable ESG targets/labels from harder-to-imitate supplier relationships, design knowledge, routines, data systems and cross-functional capabilities.</w:t>
            </w:r>
          </w:p>
        </w:tc>
        <w:tc>
          <w:tcPr>
            <w:tcW w:w="1230" w:type="dxa"/>
            <w:shd w:val="clear" w:color="auto" w:fill="F7FAFC"/>
            <w:tcMar>
              <w:top w:w="22" w:type="dxa"/>
              <w:left w:w="24" w:type="dxa"/>
              <w:bottom w:w="22" w:type="dxa"/>
              <w:right w:w="24" w:type="dxa"/>
            </w:tcMar>
          </w:tcPr>
          <w:p w14:paraId="6477F115" w14:textId="77777777" w:rsidR="004D7A10" w:rsidRPr="007E140B" w:rsidRDefault="00CC58FE" w:rsidP="0026770E">
            <w:pPr>
              <w:spacing w:after="0" w:line="240" w:lineRule="auto"/>
              <w:rPr>
                <w:rFonts w:cs="Arial"/>
                <w:color w:val="auto"/>
              </w:rPr>
            </w:pPr>
            <w:hyperlink r:id="rId59">
              <w:r w:rsidR="004D7A10" w:rsidRPr="007E140B">
                <w:rPr>
                  <w:rFonts w:cs="Arial"/>
                  <w:color w:val="auto"/>
                  <w:sz w:val="13"/>
                  <w:szCs w:val="13"/>
                </w:rPr>
                <w:t>https://doi.org/10.1177/014920639101700108</w:t>
              </w:r>
            </w:hyperlink>
          </w:p>
        </w:tc>
      </w:tr>
      <w:tr w:rsidR="007E140B" w:rsidRPr="007E140B" w14:paraId="33EE1167" w14:textId="77777777" w:rsidTr="0026770E">
        <w:trPr>
          <w:cantSplit/>
          <w:jc w:val="center"/>
        </w:trPr>
        <w:tc>
          <w:tcPr>
            <w:tcW w:w="504" w:type="dxa"/>
            <w:shd w:val="clear" w:color="auto" w:fill="EAF1F7"/>
            <w:tcMar>
              <w:top w:w="22" w:type="dxa"/>
              <w:left w:w="24" w:type="dxa"/>
              <w:bottom w:w="22" w:type="dxa"/>
              <w:right w:w="24" w:type="dxa"/>
            </w:tcMar>
            <w:vAlign w:val="center"/>
          </w:tcPr>
          <w:p w14:paraId="0E3DA521" w14:textId="77777777" w:rsidR="004D7A10" w:rsidRPr="007E140B" w:rsidRDefault="004D7A10" w:rsidP="0026770E">
            <w:pPr>
              <w:spacing w:after="0" w:line="240" w:lineRule="auto"/>
              <w:jc w:val="center"/>
              <w:rPr>
                <w:rFonts w:cs="Arial"/>
                <w:color w:val="auto"/>
              </w:rPr>
            </w:pPr>
            <w:r w:rsidRPr="007E140B">
              <w:rPr>
                <w:rFonts w:cs="Arial"/>
                <w:b/>
                <w:color w:val="auto"/>
                <w:sz w:val="15"/>
              </w:rPr>
              <w:t>4</w:t>
            </w:r>
          </w:p>
        </w:tc>
        <w:tc>
          <w:tcPr>
            <w:tcW w:w="1447" w:type="dxa"/>
            <w:shd w:val="clear" w:color="auto" w:fill="EAF1F7"/>
            <w:tcMar>
              <w:top w:w="22" w:type="dxa"/>
              <w:left w:w="24" w:type="dxa"/>
              <w:bottom w:w="22" w:type="dxa"/>
              <w:right w:w="24" w:type="dxa"/>
            </w:tcMar>
          </w:tcPr>
          <w:p w14:paraId="6DF4AB97" w14:textId="77777777" w:rsidR="004D7A10" w:rsidRPr="007E140B" w:rsidRDefault="004D7A10" w:rsidP="0026770E">
            <w:pPr>
              <w:spacing w:after="0" w:line="240" w:lineRule="auto"/>
              <w:rPr>
                <w:rFonts w:cs="Arial"/>
                <w:color w:val="auto"/>
              </w:rPr>
            </w:pPr>
            <w:r w:rsidRPr="007E140B">
              <w:rPr>
                <w:rFonts w:cs="Arial"/>
                <w:b/>
                <w:color w:val="auto"/>
                <w:sz w:val="15"/>
              </w:rPr>
              <w:t>Aggregate Confusion: The Divergence of ESG Ratings</w:t>
            </w:r>
          </w:p>
        </w:tc>
        <w:tc>
          <w:tcPr>
            <w:tcW w:w="1049" w:type="dxa"/>
            <w:shd w:val="clear" w:color="auto" w:fill="EAF1F7"/>
            <w:tcMar>
              <w:top w:w="22" w:type="dxa"/>
              <w:left w:w="24" w:type="dxa"/>
              <w:bottom w:w="22" w:type="dxa"/>
              <w:right w:w="24" w:type="dxa"/>
            </w:tcMar>
          </w:tcPr>
          <w:p w14:paraId="5E67C06E" w14:textId="77777777" w:rsidR="004D7A10" w:rsidRPr="007E140B" w:rsidRDefault="004D7A10" w:rsidP="0026770E">
            <w:pPr>
              <w:spacing w:after="0" w:line="240" w:lineRule="auto"/>
              <w:rPr>
                <w:rFonts w:cs="Arial"/>
                <w:color w:val="auto"/>
              </w:rPr>
            </w:pPr>
            <w:r w:rsidRPr="007E140B">
              <w:rPr>
                <w:rFonts w:cs="Arial"/>
                <w:color w:val="auto"/>
                <w:sz w:val="15"/>
              </w:rPr>
              <w:t>Review of Finance</w:t>
            </w:r>
          </w:p>
        </w:tc>
        <w:tc>
          <w:tcPr>
            <w:tcW w:w="905" w:type="dxa"/>
            <w:shd w:val="clear" w:color="auto" w:fill="EAF1F7"/>
            <w:tcMar>
              <w:top w:w="22" w:type="dxa"/>
              <w:left w:w="24" w:type="dxa"/>
              <w:bottom w:w="22" w:type="dxa"/>
              <w:right w:w="24" w:type="dxa"/>
            </w:tcMar>
          </w:tcPr>
          <w:p w14:paraId="4D4E3079" w14:textId="77777777" w:rsidR="004D7A10" w:rsidRPr="007E140B" w:rsidRDefault="004D7A10" w:rsidP="0026770E">
            <w:pPr>
              <w:spacing w:after="0" w:line="240" w:lineRule="auto"/>
              <w:rPr>
                <w:rFonts w:cs="Arial"/>
                <w:color w:val="auto"/>
              </w:rPr>
            </w:pPr>
            <w:r w:rsidRPr="007E140B">
              <w:rPr>
                <w:rFonts w:cs="Arial"/>
                <w:color w:val="auto"/>
                <w:sz w:val="15"/>
              </w:rPr>
              <w:t xml:space="preserve">Berg, F.; Kölbel, J.F.; </w:t>
            </w:r>
            <w:proofErr w:type="spellStart"/>
            <w:r w:rsidRPr="007E140B">
              <w:rPr>
                <w:rFonts w:cs="Arial"/>
                <w:color w:val="auto"/>
                <w:sz w:val="15"/>
              </w:rPr>
              <w:t>Rigobon</w:t>
            </w:r>
            <w:proofErr w:type="spellEnd"/>
            <w:r w:rsidRPr="007E140B">
              <w:rPr>
                <w:rFonts w:cs="Arial"/>
                <w:color w:val="auto"/>
                <w:sz w:val="15"/>
              </w:rPr>
              <w:t>, R.</w:t>
            </w:r>
          </w:p>
        </w:tc>
        <w:tc>
          <w:tcPr>
            <w:tcW w:w="648" w:type="dxa"/>
            <w:shd w:val="clear" w:color="auto" w:fill="EAF1F7"/>
            <w:tcMar>
              <w:top w:w="22" w:type="dxa"/>
              <w:left w:w="24" w:type="dxa"/>
              <w:bottom w:w="22" w:type="dxa"/>
              <w:right w:w="24" w:type="dxa"/>
            </w:tcMar>
            <w:vAlign w:val="center"/>
          </w:tcPr>
          <w:p w14:paraId="4BA67D1B"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EAF1F7"/>
            <w:tcMar>
              <w:top w:w="22" w:type="dxa"/>
              <w:left w:w="24" w:type="dxa"/>
              <w:bottom w:w="22" w:type="dxa"/>
              <w:right w:w="24" w:type="dxa"/>
            </w:tcMar>
          </w:tcPr>
          <w:p w14:paraId="4D1A44E8" w14:textId="77777777" w:rsidR="004D7A10" w:rsidRPr="007E140B" w:rsidRDefault="004D7A10" w:rsidP="0026770E">
            <w:pPr>
              <w:spacing w:after="0" w:line="240" w:lineRule="auto"/>
              <w:rPr>
                <w:rFonts w:cs="Arial"/>
                <w:color w:val="auto"/>
              </w:rPr>
            </w:pPr>
            <w:r w:rsidRPr="007E140B">
              <w:rPr>
                <w:rFonts w:cs="Arial"/>
                <w:color w:val="auto"/>
                <w:sz w:val="15"/>
              </w:rPr>
              <w:t>To explain why major ESG rating providers assign substantially different ratings to the same firms.</w:t>
            </w:r>
          </w:p>
        </w:tc>
        <w:tc>
          <w:tcPr>
            <w:tcW w:w="1375" w:type="dxa"/>
            <w:shd w:val="clear" w:color="auto" w:fill="EAF1F7"/>
            <w:tcMar>
              <w:top w:w="22" w:type="dxa"/>
              <w:left w:w="24" w:type="dxa"/>
              <w:bottom w:w="22" w:type="dxa"/>
              <w:right w:w="24" w:type="dxa"/>
            </w:tcMar>
          </w:tcPr>
          <w:p w14:paraId="03D258CB" w14:textId="77777777" w:rsidR="004D7A10" w:rsidRPr="007E140B" w:rsidRDefault="004D7A10" w:rsidP="0026770E">
            <w:pPr>
              <w:spacing w:after="0" w:line="240" w:lineRule="auto"/>
              <w:rPr>
                <w:rFonts w:cs="Arial"/>
                <w:color w:val="auto"/>
              </w:rPr>
            </w:pPr>
            <w:r w:rsidRPr="007E140B">
              <w:rPr>
                <w:rFonts w:cs="Arial"/>
                <w:color w:val="auto"/>
                <w:sz w:val="15"/>
              </w:rPr>
              <w:t>Create a common taxonomy for provider indicators; decompose rating divergence into scope, measurement and weighting components; investigate systematic rater effects.</w:t>
            </w:r>
          </w:p>
        </w:tc>
        <w:tc>
          <w:tcPr>
            <w:tcW w:w="1086" w:type="dxa"/>
            <w:shd w:val="clear" w:color="auto" w:fill="EAF1F7"/>
            <w:tcMar>
              <w:top w:w="22" w:type="dxa"/>
              <w:left w:w="24" w:type="dxa"/>
              <w:bottom w:w="22" w:type="dxa"/>
              <w:right w:w="24" w:type="dxa"/>
            </w:tcMar>
          </w:tcPr>
          <w:p w14:paraId="37A5156D" w14:textId="77777777" w:rsidR="004D7A10" w:rsidRPr="007E140B" w:rsidRDefault="004D7A10" w:rsidP="0026770E">
            <w:pPr>
              <w:spacing w:after="0" w:line="240" w:lineRule="auto"/>
              <w:rPr>
                <w:rFonts w:cs="Arial"/>
                <w:color w:val="auto"/>
              </w:rPr>
            </w:pPr>
            <w:r w:rsidRPr="007E140B">
              <w:rPr>
                <w:rFonts w:cs="Arial"/>
                <w:color w:val="auto"/>
                <w:sz w:val="15"/>
              </w:rPr>
              <w:t>How much ESG-rating disagreement is caused by differences in scope, measurement and weights, and do raters display systematic measurement effects?</w:t>
            </w:r>
          </w:p>
        </w:tc>
        <w:tc>
          <w:tcPr>
            <w:tcW w:w="1122" w:type="dxa"/>
            <w:shd w:val="clear" w:color="auto" w:fill="EAF1F7"/>
            <w:tcMar>
              <w:top w:w="22" w:type="dxa"/>
              <w:left w:w="24" w:type="dxa"/>
              <w:bottom w:w="22" w:type="dxa"/>
              <w:right w:w="24" w:type="dxa"/>
            </w:tcMar>
          </w:tcPr>
          <w:p w14:paraId="5333BA7B" w14:textId="77777777" w:rsidR="004D7A10" w:rsidRPr="007E140B" w:rsidRDefault="004D7A10" w:rsidP="0026770E">
            <w:pPr>
              <w:spacing w:after="0" w:line="240" w:lineRule="auto"/>
              <w:rPr>
                <w:rFonts w:cs="Arial"/>
                <w:color w:val="auto"/>
              </w:rPr>
            </w:pPr>
            <w:r w:rsidRPr="007E140B">
              <w:rPr>
                <w:rFonts w:cs="Arial"/>
                <w:color w:val="auto"/>
                <w:sz w:val="15"/>
              </w:rPr>
              <w:t>Comparative quantitative analysis of six ESG rating providers. The authors map 709 indicators into a common 64-category taxonomy and statistically decompose pairwise rating divergence.</w:t>
            </w:r>
          </w:p>
        </w:tc>
        <w:tc>
          <w:tcPr>
            <w:tcW w:w="1556" w:type="dxa"/>
            <w:shd w:val="clear" w:color="auto" w:fill="EAF1F7"/>
            <w:tcMar>
              <w:top w:w="22" w:type="dxa"/>
              <w:left w:w="24" w:type="dxa"/>
              <w:bottom w:w="22" w:type="dxa"/>
              <w:right w:w="24" w:type="dxa"/>
            </w:tcMar>
          </w:tcPr>
          <w:p w14:paraId="0285F042" w14:textId="77777777" w:rsidR="004D7A10" w:rsidRPr="007E140B" w:rsidRDefault="004D7A10" w:rsidP="0026770E">
            <w:pPr>
              <w:spacing w:after="0" w:line="240" w:lineRule="auto"/>
              <w:rPr>
                <w:rFonts w:cs="Arial"/>
                <w:color w:val="auto"/>
              </w:rPr>
            </w:pPr>
            <w:r w:rsidRPr="007E140B">
              <w:rPr>
                <w:rFonts w:cs="Arial"/>
                <w:color w:val="auto"/>
                <w:sz w:val="15"/>
              </w:rPr>
              <w:t xml:space="preserve">Measurement differences explain about 56% of divergence, scope about 38% and </w:t>
            </w:r>
            <w:proofErr w:type="spellStart"/>
            <w:r w:rsidRPr="007E140B">
              <w:rPr>
                <w:rFonts w:cs="Arial"/>
                <w:color w:val="auto"/>
                <w:sz w:val="15"/>
              </w:rPr>
              <w:t>weights</w:t>
            </w:r>
            <w:proofErr w:type="spellEnd"/>
            <w:r w:rsidRPr="007E140B">
              <w:rPr>
                <w:rFonts w:cs="Arial"/>
                <w:color w:val="auto"/>
                <w:sz w:val="15"/>
              </w:rPr>
              <w:t xml:space="preserve"> about 6%. A substantial “rater/halo effect” also influences category scores.</w:t>
            </w:r>
          </w:p>
        </w:tc>
        <w:tc>
          <w:tcPr>
            <w:tcW w:w="1665" w:type="dxa"/>
            <w:shd w:val="clear" w:color="auto" w:fill="EAF1F7"/>
            <w:tcMar>
              <w:top w:w="22" w:type="dxa"/>
              <w:left w:w="24" w:type="dxa"/>
              <w:bottom w:w="22" w:type="dxa"/>
              <w:right w:w="24" w:type="dxa"/>
            </w:tcMar>
          </w:tcPr>
          <w:p w14:paraId="675EB2D8" w14:textId="77777777" w:rsidR="004D7A10" w:rsidRPr="007E140B" w:rsidRDefault="004D7A10" w:rsidP="0026770E">
            <w:pPr>
              <w:spacing w:after="0" w:line="240" w:lineRule="auto"/>
              <w:rPr>
                <w:rFonts w:cs="Arial"/>
                <w:color w:val="auto"/>
              </w:rPr>
            </w:pPr>
            <w:r w:rsidRPr="007E140B">
              <w:rPr>
                <w:rFonts w:cs="Arial"/>
                <w:color w:val="auto"/>
                <w:sz w:val="15"/>
              </w:rPr>
              <w:t>The study demonstrates that an ESG score is partly a product of provider choices about what to measure and how to measure it. Different ratings therefore need not represent the same underlying construct.</w:t>
            </w:r>
          </w:p>
        </w:tc>
        <w:tc>
          <w:tcPr>
            <w:tcW w:w="1303" w:type="dxa"/>
            <w:shd w:val="clear" w:color="auto" w:fill="EAF1F7"/>
            <w:tcMar>
              <w:top w:w="22" w:type="dxa"/>
              <w:left w:w="24" w:type="dxa"/>
              <w:bottom w:w="22" w:type="dxa"/>
              <w:right w:w="24" w:type="dxa"/>
            </w:tcMar>
          </w:tcPr>
          <w:p w14:paraId="37000261" w14:textId="77777777" w:rsidR="004D7A10" w:rsidRPr="007E140B" w:rsidRDefault="004D7A10" w:rsidP="0026770E">
            <w:pPr>
              <w:spacing w:after="0" w:line="240" w:lineRule="auto"/>
              <w:rPr>
                <w:rFonts w:cs="Arial"/>
                <w:color w:val="auto"/>
              </w:rPr>
            </w:pPr>
            <w:r w:rsidRPr="007E140B">
              <w:rPr>
                <w:rFonts w:cs="Arial"/>
                <w:color w:val="auto"/>
                <w:sz w:val="15"/>
              </w:rPr>
              <w:t>Central to the dissertation’s measurement-divergence argument and its decision not to create a synthetic cross-company ESG score. It supports using underlying metrics, boundaries and assurance rather than a single rating.</w:t>
            </w:r>
          </w:p>
        </w:tc>
        <w:tc>
          <w:tcPr>
            <w:tcW w:w="1230" w:type="dxa"/>
            <w:shd w:val="clear" w:color="auto" w:fill="EAF1F7"/>
            <w:tcMar>
              <w:top w:w="22" w:type="dxa"/>
              <w:left w:w="24" w:type="dxa"/>
              <w:bottom w:w="22" w:type="dxa"/>
              <w:right w:w="24" w:type="dxa"/>
            </w:tcMar>
          </w:tcPr>
          <w:p w14:paraId="16682207" w14:textId="77777777" w:rsidR="004D7A10" w:rsidRPr="007E140B" w:rsidRDefault="00CC58FE" w:rsidP="0026770E">
            <w:pPr>
              <w:spacing w:after="0" w:line="240" w:lineRule="auto"/>
              <w:rPr>
                <w:rFonts w:cs="Arial"/>
                <w:color w:val="auto"/>
              </w:rPr>
            </w:pPr>
            <w:hyperlink r:id="rId60">
              <w:r w:rsidR="004D7A10" w:rsidRPr="007E140B">
                <w:rPr>
                  <w:rFonts w:cs="Arial"/>
                  <w:color w:val="auto"/>
                  <w:sz w:val="13"/>
                  <w:szCs w:val="13"/>
                </w:rPr>
                <w:t>https://doi.org/10.1093/rof/rfac033</w:t>
              </w:r>
            </w:hyperlink>
          </w:p>
        </w:tc>
      </w:tr>
      <w:tr w:rsidR="007E140B" w:rsidRPr="007E140B" w14:paraId="40E679B6" w14:textId="77777777" w:rsidTr="0026770E">
        <w:trPr>
          <w:cantSplit/>
          <w:jc w:val="center"/>
        </w:trPr>
        <w:tc>
          <w:tcPr>
            <w:tcW w:w="504" w:type="dxa"/>
            <w:shd w:val="clear" w:color="auto" w:fill="F7FAFC"/>
            <w:tcMar>
              <w:top w:w="22" w:type="dxa"/>
              <w:left w:w="24" w:type="dxa"/>
              <w:bottom w:w="22" w:type="dxa"/>
              <w:right w:w="24" w:type="dxa"/>
            </w:tcMar>
            <w:vAlign w:val="center"/>
          </w:tcPr>
          <w:p w14:paraId="4F1E725C" w14:textId="77777777" w:rsidR="004D7A10" w:rsidRPr="007E140B" w:rsidRDefault="004D7A10" w:rsidP="0026770E">
            <w:pPr>
              <w:spacing w:after="0" w:line="240" w:lineRule="auto"/>
              <w:jc w:val="center"/>
              <w:rPr>
                <w:rFonts w:cs="Arial"/>
                <w:color w:val="auto"/>
              </w:rPr>
            </w:pPr>
            <w:r w:rsidRPr="007E140B">
              <w:rPr>
                <w:rFonts w:cs="Arial"/>
                <w:b/>
                <w:color w:val="auto"/>
                <w:sz w:val="15"/>
              </w:rPr>
              <w:t>5</w:t>
            </w:r>
          </w:p>
        </w:tc>
        <w:tc>
          <w:tcPr>
            <w:tcW w:w="1447" w:type="dxa"/>
            <w:shd w:val="clear" w:color="auto" w:fill="F7FAFC"/>
            <w:tcMar>
              <w:top w:w="22" w:type="dxa"/>
              <w:left w:w="24" w:type="dxa"/>
              <w:bottom w:w="22" w:type="dxa"/>
              <w:right w:w="24" w:type="dxa"/>
            </w:tcMar>
          </w:tcPr>
          <w:p w14:paraId="5E161A5F" w14:textId="77777777" w:rsidR="004D7A10" w:rsidRPr="007E140B" w:rsidRDefault="004D7A10" w:rsidP="0026770E">
            <w:pPr>
              <w:spacing w:after="0" w:line="240" w:lineRule="auto"/>
              <w:rPr>
                <w:rFonts w:cs="Arial"/>
                <w:color w:val="auto"/>
              </w:rPr>
            </w:pPr>
            <w:r w:rsidRPr="007E140B">
              <w:rPr>
                <w:rFonts w:cs="Arial"/>
                <w:b/>
                <w:color w:val="auto"/>
                <w:sz w:val="15"/>
              </w:rPr>
              <w:t>One Size Fits All? What Counts as Quality Practice in (Reflexive) Thematic Analysis?</w:t>
            </w:r>
          </w:p>
        </w:tc>
        <w:tc>
          <w:tcPr>
            <w:tcW w:w="1049" w:type="dxa"/>
            <w:shd w:val="clear" w:color="auto" w:fill="F7FAFC"/>
            <w:tcMar>
              <w:top w:w="22" w:type="dxa"/>
              <w:left w:w="24" w:type="dxa"/>
              <w:bottom w:w="22" w:type="dxa"/>
              <w:right w:w="24" w:type="dxa"/>
            </w:tcMar>
          </w:tcPr>
          <w:p w14:paraId="10FE9E62" w14:textId="77777777" w:rsidR="004D7A10" w:rsidRPr="007E140B" w:rsidRDefault="004D7A10" w:rsidP="0026770E">
            <w:pPr>
              <w:spacing w:after="0" w:line="240" w:lineRule="auto"/>
              <w:rPr>
                <w:rFonts w:cs="Arial"/>
                <w:color w:val="auto"/>
              </w:rPr>
            </w:pPr>
            <w:r w:rsidRPr="007E140B">
              <w:rPr>
                <w:rFonts w:cs="Arial"/>
                <w:color w:val="auto"/>
                <w:sz w:val="15"/>
              </w:rPr>
              <w:t>Qualitative Research in Psychology</w:t>
            </w:r>
          </w:p>
        </w:tc>
        <w:tc>
          <w:tcPr>
            <w:tcW w:w="905" w:type="dxa"/>
            <w:shd w:val="clear" w:color="auto" w:fill="F7FAFC"/>
            <w:tcMar>
              <w:top w:w="22" w:type="dxa"/>
              <w:left w:w="24" w:type="dxa"/>
              <w:bottom w:w="22" w:type="dxa"/>
              <w:right w:w="24" w:type="dxa"/>
            </w:tcMar>
          </w:tcPr>
          <w:p w14:paraId="130ED059" w14:textId="77777777" w:rsidR="004D7A10" w:rsidRPr="007E140B" w:rsidRDefault="004D7A10" w:rsidP="0026770E">
            <w:pPr>
              <w:spacing w:after="0" w:line="240" w:lineRule="auto"/>
              <w:rPr>
                <w:rFonts w:cs="Arial"/>
                <w:color w:val="auto"/>
              </w:rPr>
            </w:pPr>
            <w:r w:rsidRPr="007E140B">
              <w:rPr>
                <w:rFonts w:cs="Arial"/>
                <w:color w:val="auto"/>
                <w:sz w:val="15"/>
              </w:rPr>
              <w:t>Braun, V.; Clarke, V.</w:t>
            </w:r>
          </w:p>
        </w:tc>
        <w:tc>
          <w:tcPr>
            <w:tcW w:w="648" w:type="dxa"/>
            <w:shd w:val="clear" w:color="auto" w:fill="F7FAFC"/>
            <w:tcMar>
              <w:top w:w="22" w:type="dxa"/>
              <w:left w:w="24" w:type="dxa"/>
              <w:bottom w:w="22" w:type="dxa"/>
              <w:right w:w="24" w:type="dxa"/>
            </w:tcMar>
            <w:vAlign w:val="center"/>
          </w:tcPr>
          <w:p w14:paraId="3A5BA965"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697E50F8" w14:textId="77777777" w:rsidR="004D7A10" w:rsidRPr="007E140B" w:rsidRDefault="004D7A10" w:rsidP="0026770E">
            <w:pPr>
              <w:spacing w:after="0" w:line="240" w:lineRule="auto"/>
              <w:rPr>
                <w:rFonts w:cs="Arial"/>
                <w:color w:val="auto"/>
              </w:rPr>
            </w:pPr>
            <w:r w:rsidRPr="007E140B">
              <w:rPr>
                <w:rFonts w:cs="Arial"/>
                <w:color w:val="auto"/>
                <w:sz w:val="15"/>
              </w:rPr>
              <w:t>To clarify what quality means in thematic analysis (TA), especially reflexive TA, and to challenge universal quality criteria that assume all TA approaches are the same.</w:t>
            </w:r>
          </w:p>
        </w:tc>
        <w:tc>
          <w:tcPr>
            <w:tcW w:w="1375" w:type="dxa"/>
            <w:shd w:val="clear" w:color="auto" w:fill="F7FAFC"/>
            <w:tcMar>
              <w:top w:w="22" w:type="dxa"/>
              <w:left w:w="24" w:type="dxa"/>
              <w:bottom w:w="22" w:type="dxa"/>
              <w:right w:w="24" w:type="dxa"/>
            </w:tcMar>
          </w:tcPr>
          <w:p w14:paraId="2DF52CA9" w14:textId="77777777" w:rsidR="004D7A10" w:rsidRPr="007E140B" w:rsidRDefault="004D7A10" w:rsidP="0026770E">
            <w:pPr>
              <w:spacing w:after="0" w:line="240" w:lineRule="auto"/>
              <w:rPr>
                <w:rFonts w:cs="Arial"/>
                <w:color w:val="auto"/>
              </w:rPr>
            </w:pPr>
            <w:r w:rsidRPr="007E140B">
              <w:rPr>
                <w:rFonts w:cs="Arial"/>
                <w:color w:val="auto"/>
                <w:sz w:val="15"/>
              </w:rPr>
              <w:t>Differentiate varieties of TA; identify common methodological problems; provide practical questions for evaluating reflexive TA quality.</w:t>
            </w:r>
          </w:p>
        </w:tc>
        <w:tc>
          <w:tcPr>
            <w:tcW w:w="1086" w:type="dxa"/>
            <w:shd w:val="clear" w:color="auto" w:fill="F7FAFC"/>
            <w:tcMar>
              <w:top w:w="22" w:type="dxa"/>
              <w:left w:w="24" w:type="dxa"/>
              <w:bottom w:w="22" w:type="dxa"/>
              <w:right w:w="24" w:type="dxa"/>
            </w:tcMar>
          </w:tcPr>
          <w:p w14:paraId="31BF1ED2" w14:textId="77777777" w:rsidR="004D7A10" w:rsidRPr="007E140B" w:rsidRDefault="004D7A10" w:rsidP="0026770E">
            <w:pPr>
              <w:spacing w:after="0" w:line="240" w:lineRule="auto"/>
              <w:rPr>
                <w:rFonts w:cs="Arial"/>
                <w:color w:val="auto"/>
              </w:rPr>
            </w:pPr>
            <w:r w:rsidRPr="007E140B">
              <w:rPr>
                <w:rFonts w:cs="Arial"/>
                <w:color w:val="auto"/>
                <w:sz w:val="15"/>
              </w:rPr>
              <w:t>What constitutes high-quality practice in reflexive thematic analysis, and why are coding-reliability standards not universally appropriate across TA approaches?</w:t>
            </w:r>
          </w:p>
        </w:tc>
        <w:tc>
          <w:tcPr>
            <w:tcW w:w="1122" w:type="dxa"/>
            <w:shd w:val="clear" w:color="auto" w:fill="F7FAFC"/>
            <w:tcMar>
              <w:top w:w="22" w:type="dxa"/>
              <w:left w:w="24" w:type="dxa"/>
              <w:bottom w:w="22" w:type="dxa"/>
              <w:right w:w="24" w:type="dxa"/>
            </w:tcMar>
          </w:tcPr>
          <w:p w14:paraId="0C0E2673" w14:textId="77777777" w:rsidR="004D7A10" w:rsidRPr="007E140B" w:rsidRDefault="004D7A10" w:rsidP="0026770E">
            <w:pPr>
              <w:spacing w:after="0" w:line="240" w:lineRule="auto"/>
              <w:rPr>
                <w:rFonts w:cs="Arial"/>
                <w:color w:val="auto"/>
              </w:rPr>
            </w:pPr>
            <w:r w:rsidRPr="007E140B">
              <w:rPr>
                <w:rFonts w:cs="Arial"/>
                <w:color w:val="auto"/>
                <w:sz w:val="15"/>
              </w:rPr>
              <w:t>Methodological/conceptual paper drawing on published TA practice. It discusses ten recurring problems and proposes twenty critical questions for quality assessment.</w:t>
            </w:r>
          </w:p>
        </w:tc>
        <w:tc>
          <w:tcPr>
            <w:tcW w:w="1556" w:type="dxa"/>
            <w:shd w:val="clear" w:color="auto" w:fill="F7FAFC"/>
            <w:tcMar>
              <w:top w:w="22" w:type="dxa"/>
              <w:left w:w="24" w:type="dxa"/>
              <w:bottom w:w="22" w:type="dxa"/>
              <w:right w:w="24" w:type="dxa"/>
            </w:tcMar>
          </w:tcPr>
          <w:p w14:paraId="15E5BA2F" w14:textId="77777777" w:rsidR="004D7A10" w:rsidRPr="007E140B" w:rsidRDefault="004D7A10" w:rsidP="0026770E">
            <w:pPr>
              <w:spacing w:after="0" w:line="240" w:lineRule="auto"/>
              <w:rPr>
                <w:rFonts w:cs="Arial"/>
                <w:color w:val="auto"/>
              </w:rPr>
            </w:pPr>
            <w:r w:rsidRPr="007E140B">
              <w:rPr>
                <w:rFonts w:cs="Arial"/>
                <w:color w:val="auto"/>
                <w:sz w:val="15"/>
              </w:rPr>
              <w:t>Quality criteria must fit the specific TA approach. Reflexive TA does not require consensus coding or intercoder reliability as universal standards; methodological coherence, reflexivity and transparent analytic practice are more appropriate.</w:t>
            </w:r>
          </w:p>
        </w:tc>
        <w:tc>
          <w:tcPr>
            <w:tcW w:w="1665" w:type="dxa"/>
            <w:shd w:val="clear" w:color="auto" w:fill="F7FAFC"/>
            <w:tcMar>
              <w:top w:w="22" w:type="dxa"/>
              <w:left w:w="24" w:type="dxa"/>
              <w:bottom w:w="22" w:type="dxa"/>
              <w:right w:w="24" w:type="dxa"/>
            </w:tcMar>
          </w:tcPr>
          <w:p w14:paraId="29245D97" w14:textId="77777777" w:rsidR="004D7A10" w:rsidRPr="007E140B" w:rsidRDefault="004D7A10" w:rsidP="0026770E">
            <w:pPr>
              <w:spacing w:after="0" w:line="240" w:lineRule="auto"/>
              <w:rPr>
                <w:rFonts w:cs="Arial"/>
                <w:color w:val="auto"/>
              </w:rPr>
            </w:pPr>
            <w:r w:rsidRPr="007E140B">
              <w:rPr>
                <w:rFonts w:cs="Arial"/>
                <w:color w:val="auto"/>
                <w:sz w:val="15"/>
              </w:rPr>
              <w:t>The article argues against treating thematic analysis as a homogeneous method and offers a quality framework tailored to reflexive TA rather than importing reliability procedures from different coding traditions.</w:t>
            </w:r>
          </w:p>
        </w:tc>
        <w:tc>
          <w:tcPr>
            <w:tcW w:w="1303" w:type="dxa"/>
            <w:shd w:val="clear" w:color="auto" w:fill="F7FAFC"/>
            <w:tcMar>
              <w:top w:w="22" w:type="dxa"/>
              <w:left w:w="24" w:type="dxa"/>
              <w:bottom w:w="22" w:type="dxa"/>
              <w:right w:w="24" w:type="dxa"/>
            </w:tcMar>
          </w:tcPr>
          <w:p w14:paraId="73272C64"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reflexive thematic-analysis design and its decision not to claim intercoder reliability. It reinforces the focus on traceability, code-definition discipline, reflexivity and transparent interpretation.</w:t>
            </w:r>
          </w:p>
        </w:tc>
        <w:tc>
          <w:tcPr>
            <w:tcW w:w="1230" w:type="dxa"/>
            <w:shd w:val="clear" w:color="auto" w:fill="F7FAFC"/>
            <w:tcMar>
              <w:top w:w="22" w:type="dxa"/>
              <w:left w:w="24" w:type="dxa"/>
              <w:bottom w:w="22" w:type="dxa"/>
              <w:right w:w="24" w:type="dxa"/>
            </w:tcMar>
          </w:tcPr>
          <w:p w14:paraId="40DEDD8E" w14:textId="77777777" w:rsidR="004D7A10" w:rsidRPr="007E140B" w:rsidRDefault="00CC58FE" w:rsidP="0026770E">
            <w:pPr>
              <w:spacing w:after="0" w:line="240" w:lineRule="auto"/>
              <w:rPr>
                <w:rFonts w:cs="Arial"/>
                <w:color w:val="auto"/>
              </w:rPr>
            </w:pPr>
            <w:hyperlink r:id="rId61">
              <w:r w:rsidR="004D7A10" w:rsidRPr="007E140B">
                <w:rPr>
                  <w:rFonts w:cs="Arial"/>
                  <w:color w:val="auto"/>
                  <w:sz w:val="13"/>
                  <w:szCs w:val="13"/>
                </w:rPr>
                <w:t>https://doi.org/10.1080/14780887.2020.1769238</w:t>
              </w:r>
            </w:hyperlink>
          </w:p>
        </w:tc>
      </w:tr>
      <w:tr w:rsidR="007E140B" w:rsidRPr="007E140B" w14:paraId="01157034" w14:textId="77777777" w:rsidTr="0026770E">
        <w:trPr>
          <w:cantSplit/>
          <w:jc w:val="center"/>
        </w:trPr>
        <w:tc>
          <w:tcPr>
            <w:tcW w:w="504" w:type="dxa"/>
            <w:shd w:val="clear" w:color="auto" w:fill="EAF1F7"/>
            <w:tcMar>
              <w:top w:w="22" w:type="dxa"/>
              <w:left w:w="24" w:type="dxa"/>
              <w:bottom w:w="22" w:type="dxa"/>
              <w:right w:w="24" w:type="dxa"/>
            </w:tcMar>
            <w:vAlign w:val="center"/>
          </w:tcPr>
          <w:p w14:paraId="64D80EE3"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6</w:t>
            </w:r>
          </w:p>
        </w:tc>
        <w:tc>
          <w:tcPr>
            <w:tcW w:w="1447" w:type="dxa"/>
            <w:shd w:val="clear" w:color="auto" w:fill="EAF1F7"/>
            <w:tcMar>
              <w:top w:w="22" w:type="dxa"/>
              <w:left w:w="24" w:type="dxa"/>
              <w:bottom w:w="22" w:type="dxa"/>
              <w:right w:w="24" w:type="dxa"/>
            </w:tcMar>
          </w:tcPr>
          <w:p w14:paraId="4FBFF727" w14:textId="77777777" w:rsidR="004D7A10" w:rsidRPr="007E140B" w:rsidRDefault="004D7A10" w:rsidP="0026770E">
            <w:pPr>
              <w:spacing w:after="0" w:line="240" w:lineRule="auto"/>
              <w:rPr>
                <w:rFonts w:cs="Arial"/>
                <w:color w:val="auto"/>
              </w:rPr>
            </w:pPr>
            <w:r w:rsidRPr="007E140B">
              <w:rPr>
                <w:rFonts w:cs="Arial"/>
                <w:b/>
                <w:color w:val="auto"/>
                <w:sz w:val="15"/>
              </w:rPr>
              <w:t>The Role of ESG Performance During Times of Financial Crisis: Evidence from COVID-19 in China</w:t>
            </w:r>
          </w:p>
        </w:tc>
        <w:tc>
          <w:tcPr>
            <w:tcW w:w="1049" w:type="dxa"/>
            <w:shd w:val="clear" w:color="auto" w:fill="EAF1F7"/>
            <w:tcMar>
              <w:top w:w="22" w:type="dxa"/>
              <w:left w:w="24" w:type="dxa"/>
              <w:bottom w:w="22" w:type="dxa"/>
              <w:right w:w="24" w:type="dxa"/>
            </w:tcMar>
          </w:tcPr>
          <w:p w14:paraId="12796119" w14:textId="77777777" w:rsidR="004D7A10" w:rsidRPr="007E140B" w:rsidRDefault="004D7A10" w:rsidP="0026770E">
            <w:pPr>
              <w:spacing w:after="0" w:line="240" w:lineRule="auto"/>
              <w:rPr>
                <w:rFonts w:cs="Arial"/>
                <w:color w:val="auto"/>
              </w:rPr>
            </w:pPr>
            <w:r w:rsidRPr="007E140B">
              <w:rPr>
                <w:rFonts w:cs="Arial"/>
                <w:color w:val="auto"/>
                <w:sz w:val="15"/>
              </w:rPr>
              <w:t>Finance Research Letters</w:t>
            </w:r>
          </w:p>
        </w:tc>
        <w:tc>
          <w:tcPr>
            <w:tcW w:w="905" w:type="dxa"/>
            <w:shd w:val="clear" w:color="auto" w:fill="EAF1F7"/>
            <w:tcMar>
              <w:top w:w="22" w:type="dxa"/>
              <w:left w:w="24" w:type="dxa"/>
              <w:bottom w:w="22" w:type="dxa"/>
              <w:right w:w="24" w:type="dxa"/>
            </w:tcMar>
          </w:tcPr>
          <w:p w14:paraId="558EABF6" w14:textId="77777777" w:rsidR="004D7A10" w:rsidRPr="007E140B" w:rsidRDefault="004D7A10" w:rsidP="0026770E">
            <w:pPr>
              <w:spacing w:after="0" w:line="240" w:lineRule="auto"/>
              <w:rPr>
                <w:rFonts w:cs="Arial"/>
                <w:color w:val="auto"/>
              </w:rPr>
            </w:pPr>
            <w:r w:rsidRPr="007E140B">
              <w:rPr>
                <w:rFonts w:cs="Arial"/>
                <w:color w:val="auto"/>
                <w:sz w:val="15"/>
              </w:rPr>
              <w:t>Broadstock, D.C.; Chan, K.; Cheng, L.T.W.; Wang, X.</w:t>
            </w:r>
          </w:p>
        </w:tc>
        <w:tc>
          <w:tcPr>
            <w:tcW w:w="648" w:type="dxa"/>
            <w:shd w:val="clear" w:color="auto" w:fill="EAF1F7"/>
            <w:tcMar>
              <w:top w:w="22" w:type="dxa"/>
              <w:left w:w="24" w:type="dxa"/>
              <w:bottom w:w="22" w:type="dxa"/>
              <w:right w:w="24" w:type="dxa"/>
            </w:tcMar>
            <w:vAlign w:val="center"/>
          </w:tcPr>
          <w:p w14:paraId="5D67D8D4"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EAF1F7"/>
            <w:tcMar>
              <w:top w:w="22" w:type="dxa"/>
              <w:left w:w="24" w:type="dxa"/>
              <w:bottom w:w="22" w:type="dxa"/>
              <w:right w:w="24" w:type="dxa"/>
            </w:tcMar>
          </w:tcPr>
          <w:p w14:paraId="73F61C66" w14:textId="77777777" w:rsidR="004D7A10" w:rsidRPr="007E140B" w:rsidRDefault="004D7A10" w:rsidP="0026770E">
            <w:pPr>
              <w:spacing w:after="0" w:line="240" w:lineRule="auto"/>
              <w:rPr>
                <w:rFonts w:cs="Arial"/>
                <w:color w:val="auto"/>
              </w:rPr>
            </w:pPr>
            <w:r w:rsidRPr="007E140B">
              <w:rPr>
                <w:rFonts w:cs="Arial"/>
                <w:color w:val="auto"/>
                <w:sz w:val="15"/>
              </w:rPr>
              <w:t>To test whether ESG performance acts as a signal of resilience and risk mitigation during the COVID-19 market crisis in China.</w:t>
            </w:r>
          </w:p>
        </w:tc>
        <w:tc>
          <w:tcPr>
            <w:tcW w:w="1375" w:type="dxa"/>
            <w:shd w:val="clear" w:color="auto" w:fill="EAF1F7"/>
            <w:tcMar>
              <w:top w:w="22" w:type="dxa"/>
              <w:left w:w="24" w:type="dxa"/>
              <w:bottom w:w="22" w:type="dxa"/>
              <w:right w:w="24" w:type="dxa"/>
            </w:tcMar>
          </w:tcPr>
          <w:p w14:paraId="43AC57A9" w14:textId="77777777" w:rsidR="004D7A10" w:rsidRPr="007E140B" w:rsidRDefault="004D7A10" w:rsidP="0026770E">
            <w:pPr>
              <w:spacing w:after="0" w:line="240" w:lineRule="auto"/>
              <w:rPr>
                <w:rFonts w:cs="Arial"/>
                <w:color w:val="auto"/>
              </w:rPr>
            </w:pPr>
            <w:r w:rsidRPr="007E140B">
              <w:rPr>
                <w:rFonts w:cs="Arial"/>
                <w:color w:val="auto"/>
                <w:sz w:val="15"/>
              </w:rPr>
              <w:t>Compare high- and low-ESG portfolios; test ESG effects on crisis-period returns and risk; compare crisis and normal periods.</w:t>
            </w:r>
          </w:p>
        </w:tc>
        <w:tc>
          <w:tcPr>
            <w:tcW w:w="1086" w:type="dxa"/>
            <w:shd w:val="clear" w:color="auto" w:fill="EAF1F7"/>
            <w:tcMar>
              <w:top w:w="22" w:type="dxa"/>
              <w:left w:w="24" w:type="dxa"/>
              <w:bottom w:w="22" w:type="dxa"/>
              <w:right w:w="24" w:type="dxa"/>
            </w:tcMar>
          </w:tcPr>
          <w:p w14:paraId="45ABC9BB" w14:textId="77777777" w:rsidR="004D7A10" w:rsidRPr="007E140B" w:rsidRDefault="004D7A10" w:rsidP="0026770E">
            <w:pPr>
              <w:spacing w:after="0" w:line="240" w:lineRule="auto"/>
              <w:rPr>
                <w:rFonts w:cs="Arial"/>
                <w:color w:val="auto"/>
              </w:rPr>
            </w:pPr>
            <w:r w:rsidRPr="007E140B">
              <w:rPr>
                <w:rFonts w:cs="Arial"/>
                <w:color w:val="auto"/>
                <w:sz w:val="15"/>
              </w:rPr>
              <w:t>Does ESG performance help explain stock performance and risk mitigation during a market-wide financial crisis?</w:t>
            </w:r>
          </w:p>
        </w:tc>
        <w:tc>
          <w:tcPr>
            <w:tcW w:w="1122" w:type="dxa"/>
            <w:shd w:val="clear" w:color="auto" w:fill="EAF1F7"/>
            <w:tcMar>
              <w:top w:w="22" w:type="dxa"/>
              <w:left w:w="24" w:type="dxa"/>
              <w:bottom w:w="22" w:type="dxa"/>
              <w:right w:w="24" w:type="dxa"/>
            </w:tcMar>
          </w:tcPr>
          <w:p w14:paraId="6A66F4E1" w14:textId="77777777" w:rsidR="004D7A10" w:rsidRPr="007E140B" w:rsidRDefault="004D7A10" w:rsidP="0026770E">
            <w:pPr>
              <w:spacing w:after="0" w:line="240" w:lineRule="auto"/>
              <w:rPr>
                <w:rFonts w:cs="Arial"/>
                <w:color w:val="auto"/>
              </w:rPr>
            </w:pPr>
            <w:r w:rsidRPr="007E140B">
              <w:rPr>
                <w:rFonts w:cs="Arial"/>
                <w:color w:val="auto"/>
                <w:sz w:val="15"/>
              </w:rPr>
              <w:t>Quantitative event/portfolio analysis using China’s CSI300 constituents (300 A-share firms), ESG scores, stock returns and firm controls around the Wuhan lockdown/COVID-19 shock.</w:t>
            </w:r>
          </w:p>
        </w:tc>
        <w:tc>
          <w:tcPr>
            <w:tcW w:w="1556" w:type="dxa"/>
            <w:shd w:val="clear" w:color="auto" w:fill="EAF1F7"/>
            <w:tcMar>
              <w:top w:w="22" w:type="dxa"/>
              <w:left w:w="24" w:type="dxa"/>
              <w:bottom w:w="22" w:type="dxa"/>
              <w:right w:w="24" w:type="dxa"/>
            </w:tcMar>
          </w:tcPr>
          <w:p w14:paraId="0ACD55CD" w14:textId="77777777" w:rsidR="004D7A10" w:rsidRPr="007E140B" w:rsidRDefault="004D7A10" w:rsidP="0026770E">
            <w:pPr>
              <w:spacing w:after="0" w:line="240" w:lineRule="auto"/>
              <w:rPr>
                <w:rFonts w:cs="Arial"/>
                <w:color w:val="auto"/>
              </w:rPr>
            </w:pPr>
            <w:r w:rsidRPr="007E140B">
              <w:rPr>
                <w:rFonts w:cs="Arial"/>
                <w:color w:val="auto"/>
                <w:sz w:val="15"/>
              </w:rPr>
              <w:t>High-ESG portfolios generally outperform low-ESG portfolios; ESG performance reduces financial risk in the crisis; the effect is weaker in normal periods.</w:t>
            </w:r>
          </w:p>
        </w:tc>
        <w:tc>
          <w:tcPr>
            <w:tcW w:w="1665" w:type="dxa"/>
            <w:shd w:val="clear" w:color="auto" w:fill="EAF1F7"/>
            <w:tcMar>
              <w:top w:w="22" w:type="dxa"/>
              <w:left w:w="24" w:type="dxa"/>
              <w:bottom w:w="22" w:type="dxa"/>
              <w:right w:w="24" w:type="dxa"/>
            </w:tcMar>
          </w:tcPr>
          <w:p w14:paraId="026148D5" w14:textId="77777777" w:rsidR="004D7A10" w:rsidRPr="007E140B" w:rsidRDefault="004D7A10" w:rsidP="0026770E">
            <w:pPr>
              <w:spacing w:after="0" w:line="240" w:lineRule="auto"/>
              <w:rPr>
                <w:rFonts w:cs="Arial"/>
                <w:color w:val="auto"/>
              </w:rPr>
            </w:pPr>
            <w:r w:rsidRPr="007E140B">
              <w:rPr>
                <w:rFonts w:cs="Arial"/>
                <w:color w:val="auto"/>
                <w:sz w:val="15"/>
              </w:rPr>
              <w:t>The paper treats COVID-19 as a market-wide shock and finds that ESG performance becomes more economically relevant during periods of severe stress than during normal market conditions.</w:t>
            </w:r>
          </w:p>
        </w:tc>
        <w:tc>
          <w:tcPr>
            <w:tcW w:w="1303" w:type="dxa"/>
            <w:shd w:val="clear" w:color="auto" w:fill="EAF1F7"/>
            <w:tcMar>
              <w:top w:w="22" w:type="dxa"/>
              <w:left w:w="24" w:type="dxa"/>
              <w:bottom w:w="22" w:type="dxa"/>
              <w:right w:w="24" w:type="dxa"/>
            </w:tcMar>
          </w:tcPr>
          <w:p w14:paraId="6933BF0F"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resilience mechanism and stakeholder-capital discussion, but it is China-specific asset-pricing evidence. The dissertation appropriately avoids treating it as direct evidence of UK operating advantage.</w:t>
            </w:r>
          </w:p>
        </w:tc>
        <w:tc>
          <w:tcPr>
            <w:tcW w:w="1230" w:type="dxa"/>
            <w:shd w:val="clear" w:color="auto" w:fill="EAF1F7"/>
            <w:tcMar>
              <w:top w:w="22" w:type="dxa"/>
              <w:left w:w="24" w:type="dxa"/>
              <w:bottom w:w="22" w:type="dxa"/>
              <w:right w:w="24" w:type="dxa"/>
            </w:tcMar>
          </w:tcPr>
          <w:p w14:paraId="01359EB0" w14:textId="77777777" w:rsidR="004D7A10" w:rsidRPr="007E140B" w:rsidRDefault="00CC58FE" w:rsidP="0026770E">
            <w:pPr>
              <w:spacing w:after="0" w:line="240" w:lineRule="auto"/>
              <w:rPr>
                <w:rFonts w:cs="Arial"/>
                <w:color w:val="auto"/>
              </w:rPr>
            </w:pPr>
            <w:hyperlink r:id="rId62">
              <w:r w:rsidR="004D7A10" w:rsidRPr="007E140B">
                <w:rPr>
                  <w:rFonts w:cs="Arial"/>
                  <w:color w:val="auto"/>
                  <w:sz w:val="13"/>
                  <w:szCs w:val="13"/>
                </w:rPr>
                <w:t>https://doi.org/10.1016/j.frl.2020.101716</w:t>
              </w:r>
            </w:hyperlink>
          </w:p>
        </w:tc>
      </w:tr>
      <w:tr w:rsidR="007E140B" w:rsidRPr="007E140B" w14:paraId="3FCE9332" w14:textId="77777777" w:rsidTr="0026770E">
        <w:trPr>
          <w:cantSplit/>
          <w:jc w:val="center"/>
        </w:trPr>
        <w:tc>
          <w:tcPr>
            <w:tcW w:w="504" w:type="dxa"/>
            <w:shd w:val="clear" w:color="auto" w:fill="F7FAFC"/>
            <w:tcMar>
              <w:top w:w="22" w:type="dxa"/>
              <w:left w:w="24" w:type="dxa"/>
              <w:bottom w:w="22" w:type="dxa"/>
              <w:right w:w="24" w:type="dxa"/>
            </w:tcMar>
            <w:vAlign w:val="center"/>
          </w:tcPr>
          <w:p w14:paraId="2E7E1917" w14:textId="77777777" w:rsidR="004D7A10" w:rsidRPr="007E140B" w:rsidRDefault="004D7A10" w:rsidP="0026770E">
            <w:pPr>
              <w:spacing w:after="0" w:line="240" w:lineRule="auto"/>
              <w:jc w:val="center"/>
              <w:rPr>
                <w:rFonts w:cs="Arial"/>
                <w:color w:val="auto"/>
              </w:rPr>
            </w:pPr>
            <w:r w:rsidRPr="007E140B">
              <w:rPr>
                <w:rFonts w:cs="Arial"/>
                <w:b/>
                <w:color w:val="auto"/>
                <w:sz w:val="15"/>
              </w:rPr>
              <w:t>7</w:t>
            </w:r>
          </w:p>
        </w:tc>
        <w:tc>
          <w:tcPr>
            <w:tcW w:w="1447" w:type="dxa"/>
            <w:shd w:val="clear" w:color="auto" w:fill="F7FAFC"/>
            <w:tcMar>
              <w:top w:w="22" w:type="dxa"/>
              <w:left w:w="24" w:type="dxa"/>
              <w:bottom w:w="22" w:type="dxa"/>
              <w:right w:w="24" w:type="dxa"/>
            </w:tcMar>
          </w:tcPr>
          <w:p w14:paraId="36954E0D" w14:textId="77777777" w:rsidR="004D7A10" w:rsidRPr="007E140B" w:rsidRDefault="004D7A10" w:rsidP="0026770E">
            <w:pPr>
              <w:spacing w:after="0" w:line="240" w:lineRule="auto"/>
              <w:rPr>
                <w:rFonts w:cs="Arial"/>
                <w:color w:val="auto"/>
              </w:rPr>
            </w:pPr>
            <w:r w:rsidRPr="007E140B">
              <w:rPr>
                <w:rFonts w:cs="Arial"/>
                <w:b/>
                <w:color w:val="auto"/>
                <w:sz w:val="15"/>
              </w:rPr>
              <w:t>ESG-Driven Innovation Strategy and Firm Performance</w:t>
            </w:r>
          </w:p>
        </w:tc>
        <w:tc>
          <w:tcPr>
            <w:tcW w:w="1049" w:type="dxa"/>
            <w:shd w:val="clear" w:color="auto" w:fill="F7FAFC"/>
            <w:tcMar>
              <w:top w:w="22" w:type="dxa"/>
              <w:left w:w="24" w:type="dxa"/>
              <w:bottom w:w="22" w:type="dxa"/>
              <w:right w:w="24" w:type="dxa"/>
            </w:tcMar>
          </w:tcPr>
          <w:p w14:paraId="18E006E1" w14:textId="77777777" w:rsidR="004D7A10" w:rsidRPr="007E140B" w:rsidRDefault="004D7A10" w:rsidP="0026770E">
            <w:pPr>
              <w:spacing w:after="0" w:line="240" w:lineRule="auto"/>
              <w:rPr>
                <w:rFonts w:cs="Arial"/>
                <w:color w:val="auto"/>
              </w:rPr>
            </w:pPr>
            <w:r w:rsidRPr="007E140B">
              <w:rPr>
                <w:rFonts w:cs="Arial"/>
                <w:color w:val="auto"/>
                <w:sz w:val="15"/>
              </w:rPr>
              <w:t>Eurasian Business Review</w:t>
            </w:r>
          </w:p>
        </w:tc>
        <w:tc>
          <w:tcPr>
            <w:tcW w:w="905" w:type="dxa"/>
            <w:shd w:val="clear" w:color="auto" w:fill="F7FAFC"/>
            <w:tcMar>
              <w:top w:w="22" w:type="dxa"/>
              <w:left w:w="24" w:type="dxa"/>
              <w:bottom w:w="22" w:type="dxa"/>
              <w:right w:w="24" w:type="dxa"/>
            </w:tcMar>
          </w:tcPr>
          <w:p w14:paraId="65749FBB" w14:textId="77777777" w:rsidR="004D7A10" w:rsidRPr="007E140B" w:rsidRDefault="004D7A10" w:rsidP="0026770E">
            <w:pPr>
              <w:spacing w:after="0" w:line="240" w:lineRule="auto"/>
              <w:rPr>
                <w:rFonts w:cs="Arial"/>
                <w:color w:val="auto"/>
              </w:rPr>
            </w:pPr>
            <w:r w:rsidRPr="007E140B">
              <w:rPr>
                <w:rFonts w:cs="Arial"/>
                <w:color w:val="auto"/>
                <w:sz w:val="15"/>
              </w:rPr>
              <w:t>Cabaleiro-Cerviño, G.; Mendi, P.</w:t>
            </w:r>
          </w:p>
        </w:tc>
        <w:tc>
          <w:tcPr>
            <w:tcW w:w="648" w:type="dxa"/>
            <w:shd w:val="clear" w:color="auto" w:fill="F7FAFC"/>
            <w:tcMar>
              <w:top w:w="22" w:type="dxa"/>
              <w:left w:w="24" w:type="dxa"/>
              <w:bottom w:w="22" w:type="dxa"/>
              <w:right w:w="24" w:type="dxa"/>
            </w:tcMar>
            <w:vAlign w:val="center"/>
          </w:tcPr>
          <w:p w14:paraId="4620B967"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F7FAFC"/>
            <w:tcMar>
              <w:top w:w="22" w:type="dxa"/>
              <w:left w:w="24" w:type="dxa"/>
              <w:bottom w:w="22" w:type="dxa"/>
              <w:right w:w="24" w:type="dxa"/>
            </w:tcMar>
          </w:tcPr>
          <w:p w14:paraId="7075708B" w14:textId="77777777" w:rsidR="004D7A10" w:rsidRPr="007E140B" w:rsidRDefault="004D7A10" w:rsidP="0026770E">
            <w:pPr>
              <w:spacing w:after="0" w:line="240" w:lineRule="auto"/>
              <w:rPr>
                <w:rFonts w:cs="Arial"/>
                <w:color w:val="auto"/>
              </w:rPr>
            </w:pPr>
            <w:r w:rsidRPr="007E140B">
              <w:rPr>
                <w:rFonts w:cs="Arial"/>
                <w:color w:val="auto"/>
                <w:sz w:val="15"/>
              </w:rPr>
              <w:t>To investigate whether innovation strategies aligned with ESG goals are associated with stronger future innovation and non-innovation performance.</w:t>
            </w:r>
          </w:p>
        </w:tc>
        <w:tc>
          <w:tcPr>
            <w:tcW w:w="1375" w:type="dxa"/>
            <w:shd w:val="clear" w:color="auto" w:fill="F7FAFC"/>
            <w:tcMar>
              <w:top w:w="22" w:type="dxa"/>
              <w:left w:w="24" w:type="dxa"/>
              <w:bottom w:w="22" w:type="dxa"/>
              <w:right w:w="24" w:type="dxa"/>
            </w:tcMar>
          </w:tcPr>
          <w:p w14:paraId="646B7350" w14:textId="77777777" w:rsidR="004D7A10" w:rsidRPr="007E140B" w:rsidRDefault="004D7A10" w:rsidP="0026770E">
            <w:pPr>
              <w:spacing w:after="0" w:line="240" w:lineRule="auto"/>
              <w:rPr>
                <w:rFonts w:cs="Arial"/>
                <w:color w:val="auto"/>
              </w:rPr>
            </w:pPr>
            <w:r w:rsidRPr="007E140B">
              <w:rPr>
                <w:rFonts w:cs="Arial"/>
                <w:color w:val="auto"/>
                <w:sz w:val="15"/>
              </w:rPr>
              <w:t xml:space="preserve">Compare ESG-driven and non-ESG-driven innovative firms; test future innovation output, </w:t>
            </w:r>
            <w:proofErr w:type="spellStart"/>
            <w:r w:rsidRPr="007E140B">
              <w:rPr>
                <w:rFonts w:cs="Arial"/>
                <w:color w:val="auto"/>
                <w:sz w:val="15"/>
              </w:rPr>
              <w:t>labour</w:t>
            </w:r>
            <w:proofErr w:type="spellEnd"/>
            <w:r w:rsidRPr="007E140B">
              <w:rPr>
                <w:rFonts w:cs="Arial"/>
                <w:color w:val="auto"/>
                <w:sz w:val="15"/>
              </w:rPr>
              <w:t xml:space="preserve"> productivity, exporting and survival; reduce selection differences through matching.</w:t>
            </w:r>
          </w:p>
        </w:tc>
        <w:tc>
          <w:tcPr>
            <w:tcW w:w="1086" w:type="dxa"/>
            <w:shd w:val="clear" w:color="auto" w:fill="F7FAFC"/>
            <w:tcMar>
              <w:top w:w="22" w:type="dxa"/>
              <w:left w:w="24" w:type="dxa"/>
              <w:bottom w:w="22" w:type="dxa"/>
              <w:right w:w="24" w:type="dxa"/>
            </w:tcMar>
          </w:tcPr>
          <w:p w14:paraId="0933B6C8" w14:textId="77777777" w:rsidR="004D7A10" w:rsidRPr="007E140B" w:rsidRDefault="004D7A10" w:rsidP="0026770E">
            <w:pPr>
              <w:spacing w:after="0" w:line="240" w:lineRule="auto"/>
              <w:rPr>
                <w:rFonts w:cs="Arial"/>
                <w:color w:val="auto"/>
              </w:rPr>
            </w:pPr>
            <w:r w:rsidRPr="007E140B">
              <w:rPr>
                <w:rFonts w:cs="Arial"/>
                <w:color w:val="auto"/>
                <w:sz w:val="15"/>
              </w:rPr>
              <w:t>Do ESG-driven innovative firms outperform otherwise comparable non-ESG-driven innovative firms in subsequent innovation and business performance?</w:t>
            </w:r>
          </w:p>
        </w:tc>
        <w:tc>
          <w:tcPr>
            <w:tcW w:w="1122" w:type="dxa"/>
            <w:shd w:val="clear" w:color="auto" w:fill="F7FAFC"/>
            <w:tcMar>
              <w:top w:w="22" w:type="dxa"/>
              <w:left w:w="24" w:type="dxa"/>
              <w:bottom w:w="22" w:type="dxa"/>
              <w:right w:w="24" w:type="dxa"/>
            </w:tcMar>
          </w:tcPr>
          <w:p w14:paraId="1FF7CDA8" w14:textId="77777777" w:rsidR="004D7A10" w:rsidRPr="007E140B" w:rsidRDefault="004D7A10" w:rsidP="0026770E">
            <w:pPr>
              <w:spacing w:after="0" w:line="240" w:lineRule="auto"/>
              <w:rPr>
                <w:rFonts w:cs="Arial"/>
                <w:color w:val="auto"/>
              </w:rPr>
            </w:pPr>
            <w:r w:rsidRPr="007E140B">
              <w:rPr>
                <w:rFonts w:cs="Arial"/>
                <w:color w:val="auto"/>
                <w:sz w:val="15"/>
              </w:rPr>
              <w:t>Panel analysis using Spain’s Technological Innovation Panel (PITEC). ESG-driven innovative firms are compared with matched non-ESG-driven innovative firms to balance pre-treatment characteristics.</w:t>
            </w:r>
          </w:p>
        </w:tc>
        <w:tc>
          <w:tcPr>
            <w:tcW w:w="1556" w:type="dxa"/>
            <w:shd w:val="clear" w:color="auto" w:fill="F7FAFC"/>
            <w:tcMar>
              <w:top w:w="22" w:type="dxa"/>
              <w:left w:w="24" w:type="dxa"/>
              <w:bottom w:w="22" w:type="dxa"/>
              <w:right w:w="24" w:type="dxa"/>
            </w:tcMar>
          </w:tcPr>
          <w:p w14:paraId="009965F3" w14:textId="77777777" w:rsidR="004D7A10" w:rsidRPr="007E140B" w:rsidRDefault="004D7A10" w:rsidP="0026770E">
            <w:pPr>
              <w:spacing w:after="0" w:line="240" w:lineRule="auto"/>
              <w:rPr>
                <w:rFonts w:cs="Arial"/>
                <w:color w:val="auto"/>
              </w:rPr>
            </w:pPr>
            <w:r w:rsidRPr="007E140B">
              <w:rPr>
                <w:rFonts w:cs="Arial"/>
                <w:color w:val="auto"/>
                <w:sz w:val="15"/>
              </w:rPr>
              <w:t xml:space="preserve">ESG-driven firms show stronger future innovation performance. Results for </w:t>
            </w:r>
            <w:proofErr w:type="spellStart"/>
            <w:r w:rsidRPr="007E140B">
              <w:rPr>
                <w:rFonts w:cs="Arial"/>
                <w:color w:val="auto"/>
                <w:sz w:val="15"/>
              </w:rPr>
              <w:t>labour</w:t>
            </w:r>
            <w:proofErr w:type="spellEnd"/>
            <w:r w:rsidRPr="007E140B">
              <w:rPr>
                <w:rFonts w:cs="Arial"/>
                <w:color w:val="auto"/>
                <w:sz w:val="15"/>
              </w:rPr>
              <w:t xml:space="preserve"> productivity, exporting and survival indicate no general underperformance, though these non-innovation outcomes are less robust to specification/classification choices.</w:t>
            </w:r>
          </w:p>
        </w:tc>
        <w:tc>
          <w:tcPr>
            <w:tcW w:w="1665" w:type="dxa"/>
            <w:shd w:val="clear" w:color="auto" w:fill="F7FAFC"/>
            <w:tcMar>
              <w:top w:w="22" w:type="dxa"/>
              <w:left w:w="24" w:type="dxa"/>
              <w:bottom w:w="22" w:type="dxa"/>
              <w:right w:w="24" w:type="dxa"/>
            </w:tcMar>
          </w:tcPr>
          <w:p w14:paraId="17E8CC6F" w14:textId="77777777" w:rsidR="004D7A10" w:rsidRPr="007E140B" w:rsidRDefault="004D7A10" w:rsidP="0026770E">
            <w:pPr>
              <w:spacing w:after="0" w:line="240" w:lineRule="auto"/>
              <w:rPr>
                <w:rFonts w:cs="Arial"/>
                <w:color w:val="auto"/>
              </w:rPr>
            </w:pPr>
            <w:r w:rsidRPr="007E140B">
              <w:rPr>
                <w:rFonts w:cs="Arial"/>
                <w:color w:val="auto"/>
                <w:sz w:val="15"/>
              </w:rPr>
              <w:t>The study links ESG orientation to innovation strategy rather than to an aggregate score alone and finds the clearest advantage in later innovation performance.</w:t>
            </w:r>
          </w:p>
        </w:tc>
        <w:tc>
          <w:tcPr>
            <w:tcW w:w="1303" w:type="dxa"/>
            <w:shd w:val="clear" w:color="auto" w:fill="F7FAFC"/>
            <w:tcMar>
              <w:top w:w="22" w:type="dxa"/>
              <w:left w:w="24" w:type="dxa"/>
              <w:bottom w:w="22" w:type="dxa"/>
              <w:right w:w="24" w:type="dxa"/>
            </w:tcMar>
          </w:tcPr>
          <w:p w14:paraId="58F777CB" w14:textId="77777777" w:rsidR="004D7A10" w:rsidRPr="007E140B" w:rsidRDefault="004D7A10" w:rsidP="0026770E">
            <w:pPr>
              <w:spacing w:after="0" w:line="240" w:lineRule="auto"/>
              <w:rPr>
                <w:rFonts w:cs="Arial"/>
                <w:color w:val="auto"/>
              </w:rPr>
            </w:pPr>
            <w:r w:rsidRPr="007E140B">
              <w:rPr>
                <w:rFonts w:cs="Arial"/>
                <w:color w:val="auto"/>
                <w:sz w:val="15"/>
              </w:rPr>
              <w:t>Highly relevant to the dissertation’s operational-capability/RBV pathway. It supports the idea that ESG can contribute through innovation routines, while the qualified non-innovation results reinforce the dissertation’s conditional language.</w:t>
            </w:r>
          </w:p>
        </w:tc>
        <w:tc>
          <w:tcPr>
            <w:tcW w:w="1230" w:type="dxa"/>
            <w:shd w:val="clear" w:color="auto" w:fill="F7FAFC"/>
            <w:tcMar>
              <w:top w:w="22" w:type="dxa"/>
              <w:left w:w="24" w:type="dxa"/>
              <w:bottom w:w="22" w:type="dxa"/>
              <w:right w:w="24" w:type="dxa"/>
            </w:tcMar>
          </w:tcPr>
          <w:p w14:paraId="28BB984D" w14:textId="77777777" w:rsidR="004D7A10" w:rsidRPr="007E140B" w:rsidRDefault="00CC58FE" w:rsidP="0026770E">
            <w:pPr>
              <w:spacing w:after="0" w:line="240" w:lineRule="auto"/>
              <w:rPr>
                <w:rFonts w:cs="Arial"/>
                <w:color w:val="auto"/>
              </w:rPr>
            </w:pPr>
            <w:hyperlink r:id="rId63">
              <w:r w:rsidR="004D7A10" w:rsidRPr="007E140B">
                <w:rPr>
                  <w:rFonts w:cs="Arial"/>
                  <w:color w:val="auto"/>
                  <w:sz w:val="13"/>
                  <w:szCs w:val="13"/>
                </w:rPr>
                <w:t>https://doi.org/10.1007/s40821-024-00254-x</w:t>
              </w:r>
            </w:hyperlink>
          </w:p>
        </w:tc>
      </w:tr>
      <w:tr w:rsidR="007E140B" w:rsidRPr="007E140B" w14:paraId="1D8944F9" w14:textId="77777777" w:rsidTr="0026770E">
        <w:trPr>
          <w:cantSplit/>
          <w:jc w:val="center"/>
        </w:trPr>
        <w:tc>
          <w:tcPr>
            <w:tcW w:w="504" w:type="dxa"/>
            <w:shd w:val="clear" w:color="auto" w:fill="EAF1F7"/>
            <w:tcMar>
              <w:top w:w="22" w:type="dxa"/>
              <w:left w:w="24" w:type="dxa"/>
              <w:bottom w:w="22" w:type="dxa"/>
              <w:right w:w="24" w:type="dxa"/>
            </w:tcMar>
            <w:vAlign w:val="center"/>
          </w:tcPr>
          <w:p w14:paraId="72F1BB1B" w14:textId="77777777" w:rsidR="004D7A10" w:rsidRPr="007E140B" w:rsidRDefault="004D7A10" w:rsidP="0026770E">
            <w:pPr>
              <w:spacing w:after="0" w:line="240" w:lineRule="auto"/>
              <w:jc w:val="center"/>
              <w:rPr>
                <w:rFonts w:cs="Arial"/>
                <w:color w:val="auto"/>
              </w:rPr>
            </w:pPr>
            <w:r w:rsidRPr="007E140B">
              <w:rPr>
                <w:rFonts w:cs="Arial"/>
                <w:b/>
                <w:color w:val="auto"/>
                <w:sz w:val="15"/>
              </w:rPr>
              <w:t>8</w:t>
            </w:r>
          </w:p>
        </w:tc>
        <w:tc>
          <w:tcPr>
            <w:tcW w:w="1447" w:type="dxa"/>
            <w:shd w:val="clear" w:color="auto" w:fill="EAF1F7"/>
            <w:tcMar>
              <w:top w:w="22" w:type="dxa"/>
              <w:left w:w="24" w:type="dxa"/>
              <w:bottom w:w="22" w:type="dxa"/>
              <w:right w:w="24" w:type="dxa"/>
            </w:tcMar>
          </w:tcPr>
          <w:p w14:paraId="3EA3E1C3" w14:textId="77777777" w:rsidR="004D7A10" w:rsidRPr="007E140B" w:rsidRDefault="004D7A10" w:rsidP="0026770E">
            <w:pPr>
              <w:spacing w:after="0" w:line="240" w:lineRule="auto"/>
              <w:rPr>
                <w:rFonts w:cs="Arial"/>
                <w:color w:val="auto"/>
              </w:rPr>
            </w:pPr>
            <w:r w:rsidRPr="007E140B">
              <w:rPr>
                <w:rFonts w:cs="Arial"/>
                <w:b/>
                <w:color w:val="auto"/>
                <w:sz w:val="15"/>
              </w:rPr>
              <w:t>Why Is Corporate Virtue in the Eye of the Beholder? The Case of ESG Ratings</w:t>
            </w:r>
          </w:p>
        </w:tc>
        <w:tc>
          <w:tcPr>
            <w:tcW w:w="1049" w:type="dxa"/>
            <w:shd w:val="clear" w:color="auto" w:fill="EAF1F7"/>
            <w:tcMar>
              <w:top w:w="22" w:type="dxa"/>
              <w:left w:w="24" w:type="dxa"/>
              <w:bottom w:w="22" w:type="dxa"/>
              <w:right w:w="24" w:type="dxa"/>
            </w:tcMar>
          </w:tcPr>
          <w:p w14:paraId="3018BF7F" w14:textId="77777777" w:rsidR="004D7A10" w:rsidRPr="007E140B" w:rsidRDefault="004D7A10" w:rsidP="0026770E">
            <w:pPr>
              <w:spacing w:after="0" w:line="240" w:lineRule="auto"/>
              <w:rPr>
                <w:rFonts w:cs="Arial"/>
                <w:color w:val="auto"/>
              </w:rPr>
            </w:pPr>
            <w:r w:rsidRPr="007E140B">
              <w:rPr>
                <w:rFonts w:cs="Arial"/>
                <w:color w:val="auto"/>
                <w:sz w:val="15"/>
              </w:rPr>
              <w:t>The Accounting Review</w:t>
            </w:r>
          </w:p>
        </w:tc>
        <w:tc>
          <w:tcPr>
            <w:tcW w:w="905" w:type="dxa"/>
            <w:shd w:val="clear" w:color="auto" w:fill="EAF1F7"/>
            <w:tcMar>
              <w:top w:w="22" w:type="dxa"/>
              <w:left w:w="24" w:type="dxa"/>
              <w:bottom w:w="22" w:type="dxa"/>
              <w:right w:w="24" w:type="dxa"/>
            </w:tcMar>
          </w:tcPr>
          <w:p w14:paraId="407733D1" w14:textId="77777777" w:rsidR="004D7A10" w:rsidRPr="007E140B" w:rsidRDefault="004D7A10" w:rsidP="0026770E">
            <w:pPr>
              <w:spacing w:after="0" w:line="240" w:lineRule="auto"/>
              <w:rPr>
                <w:rFonts w:cs="Arial"/>
                <w:color w:val="auto"/>
              </w:rPr>
            </w:pPr>
            <w:r w:rsidRPr="007E140B">
              <w:rPr>
                <w:rFonts w:cs="Arial"/>
                <w:color w:val="auto"/>
                <w:sz w:val="15"/>
              </w:rPr>
              <w:t xml:space="preserve">Christensen, D.M.; Serafeim, G.; </w:t>
            </w:r>
            <w:proofErr w:type="spellStart"/>
            <w:r w:rsidRPr="007E140B">
              <w:rPr>
                <w:rFonts w:cs="Arial"/>
                <w:color w:val="auto"/>
                <w:sz w:val="15"/>
              </w:rPr>
              <w:t>Sikochi</w:t>
            </w:r>
            <w:proofErr w:type="spellEnd"/>
            <w:r w:rsidRPr="007E140B">
              <w:rPr>
                <w:rFonts w:cs="Arial"/>
                <w:color w:val="auto"/>
                <w:sz w:val="15"/>
              </w:rPr>
              <w:t>, A.</w:t>
            </w:r>
          </w:p>
        </w:tc>
        <w:tc>
          <w:tcPr>
            <w:tcW w:w="648" w:type="dxa"/>
            <w:shd w:val="clear" w:color="auto" w:fill="EAF1F7"/>
            <w:tcMar>
              <w:top w:w="22" w:type="dxa"/>
              <w:left w:w="24" w:type="dxa"/>
              <w:bottom w:w="22" w:type="dxa"/>
              <w:right w:w="24" w:type="dxa"/>
            </w:tcMar>
            <w:vAlign w:val="center"/>
          </w:tcPr>
          <w:p w14:paraId="380BBA1C"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EAF1F7"/>
            <w:tcMar>
              <w:top w:w="22" w:type="dxa"/>
              <w:left w:w="24" w:type="dxa"/>
              <w:bottom w:w="22" w:type="dxa"/>
              <w:right w:w="24" w:type="dxa"/>
            </w:tcMar>
          </w:tcPr>
          <w:p w14:paraId="34EF8E34" w14:textId="77777777" w:rsidR="004D7A10" w:rsidRPr="007E140B" w:rsidRDefault="004D7A10" w:rsidP="0026770E">
            <w:pPr>
              <w:spacing w:after="0" w:line="240" w:lineRule="auto"/>
              <w:rPr>
                <w:rFonts w:cs="Arial"/>
                <w:color w:val="auto"/>
              </w:rPr>
            </w:pPr>
            <w:r w:rsidRPr="007E140B">
              <w:rPr>
                <w:rFonts w:cs="Arial"/>
                <w:color w:val="auto"/>
                <w:sz w:val="15"/>
              </w:rPr>
              <w:t>To explain ESG rating disagreement and determine whether greater corporate ESG disclosure reduces or increases disagreement among rating agencies.</w:t>
            </w:r>
          </w:p>
        </w:tc>
        <w:tc>
          <w:tcPr>
            <w:tcW w:w="1375" w:type="dxa"/>
            <w:shd w:val="clear" w:color="auto" w:fill="EAF1F7"/>
            <w:tcMar>
              <w:top w:w="22" w:type="dxa"/>
              <w:left w:w="24" w:type="dxa"/>
              <w:bottom w:w="22" w:type="dxa"/>
              <w:right w:w="24" w:type="dxa"/>
            </w:tcMar>
          </w:tcPr>
          <w:p w14:paraId="652F260C" w14:textId="77777777" w:rsidR="004D7A10" w:rsidRPr="007E140B" w:rsidRDefault="004D7A10" w:rsidP="0026770E">
            <w:pPr>
              <w:spacing w:after="0" w:line="240" w:lineRule="auto"/>
              <w:rPr>
                <w:rFonts w:cs="Arial"/>
                <w:color w:val="auto"/>
              </w:rPr>
            </w:pPr>
            <w:r w:rsidRPr="007E140B">
              <w:rPr>
                <w:rFonts w:cs="Arial"/>
                <w:color w:val="auto"/>
                <w:sz w:val="15"/>
              </w:rPr>
              <w:t>Test the disclosure–rating-disagreement relationship; compare disagreement for outcome versus input metrics; assess capital-market consequences of disagreement.</w:t>
            </w:r>
          </w:p>
        </w:tc>
        <w:tc>
          <w:tcPr>
            <w:tcW w:w="1086" w:type="dxa"/>
            <w:shd w:val="clear" w:color="auto" w:fill="EAF1F7"/>
            <w:tcMar>
              <w:top w:w="22" w:type="dxa"/>
              <w:left w:w="24" w:type="dxa"/>
              <w:bottom w:w="22" w:type="dxa"/>
              <w:right w:w="24" w:type="dxa"/>
            </w:tcMar>
          </w:tcPr>
          <w:p w14:paraId="5CD38D4C" w14:textId="77777777" w:rsidR="004D7A10" w:rsidRPr="007E140B" w:rsidRDefault="004D7A10" w:rsidP="0026770E">
            <w:pPr>
              <w:spacing w:after="0" w:line="240" w:lineRule="auto"/>
              <w:rPr>
                <w:rFonts w:cs="Arial"/>
                <w:color w:val="auto"/>
              </w:rPr>
            </w:pPr>
            <w:r w:rsidRPr="007E140B">
              <w:rPr>
                <w:rFonts w:cs="Arial"/>
                <w:color w:val="auto"/>
                <w:sz w:val="15"/>
              </w:rPr>
              <w:t>Does greater ESG disclosure resolve rating disagreement, and what consequences follow when rating agencies disagree more strongly?</w:t>
            </w:r>
          </w:p>
        </w:tc>
        <w:tc>
          <w:tcPr>
            <w:tcW w:w="1122" w:type="dxa"/>
            <w:shd w:val="clear" w:color="auto" w:fill="EAF1F7"/>
            <w:tcMar>
              <w:top w:w="22" w:type="dxa"/>
              <w:left w:w="24" w:type="dxa"/>
              <w:bottom w:w="22" w:type="dxa"/>
              <w:right w:w="24" w:type="dxa"/>
            </w:tcMar>
          </w:tcPr>
          <w:p w14:paraId="3AE08EE0" w14:textId="77777777" w:rsidR="004D7A10" w:rsidRPr="007E140B" w:rsidRDefault="004D7A10" w:rsidP="0026770E">
            <w:pPr>
              <w:spacing w:after="0" w:line="240" w:lineRule="auto"/>
              <w:rPr>
                <w:rFonts w:cs="Arial"/>
                <w:color w:val="auto"/>
              </w:rPr>
            </w:pPr>
            <w:r w:rsidRPr="007E140B">
              <w:rPr>
                <w:rFonts w:cs="Arial"/>
                <w:color w:val="auto"/>
                <w:sz w:val="15"/>
              </w:rPr>
              <w:t>Panel data from firms in 69 countries (2004–2016), combining Bloomberg disclosure with ratings from major providers. Uses firm fixed effects and difference-in-differences around mandatory ESG disclosure shocks.</w:t>
            </w:r>
          </w:p>
        </w:tc>
        <w:tc>
          <w:tcPr>
            <w:tcW w:w="1556" w:type="dxa"/>
            <w:shd w:val="clear" w:color="auto" w:fill="EAF1F7"/>
            <w:tcMar>
              <w:top w:w="22" w:type="dxa"/>
              <w:left w:w="24" w:type="dxa"/>
              <w:bottom w:w="22" w:type="dxa"/>
              <w:right w:w="24" w:type="dxa"/>
            </w:tcMar>
          </w:tcPr>
          <w:p w14:paraId="53D6014A" w14:textId="77777777" w:rsidR="004D7A10" w:rsidRPr="007E140B" w:rsidRDefault="004D7A10" w:rsidP="0026770E">
            <w:pPr>
              <w:spacing w:after="0" w:line="240" w:lineRule="auto"/>
              <w:rPr>
                <w:rFonts w:cs="Arial"/>
                <w:color w:val="auto"/>
              </w:rPr>
            </w:pPr>
            <w:r w:rsidRPr="007E140B">
              <w:rPr>
                <w:rFonts w:cs="Arial"/>
                <w:color w:val="auto"/>
                <w:sz w:val="15"/>
              </w:rPr>
              <w:t>More ESG disclosure increases rating disagreement, especially for outcome metrics. Greater disagreement is associated with higher return volatility, larger absolute price moves and a lower likelihood of external financing.</w:t>
            </w:r>
          </w:p>
        </w:tc>
        <w:tc>
          <w:tcPr>
            <w:tcW w:w="1665" w:type="dxa"/>
            <w:shd w:val="clear" w:color="auto" w:fill="EAF1F7"/>
            <w:tcMar>
              <w:top w:w="22" w:type="dxa"/>
              <w:left w:w="24" w:type="dxa"/>
              <w:bottom w:w="22" w:type="dxa"/>
              <w:right w:w="24" w:type="dxa"/>
            </w:tcMar>
          </w:tcPr>
          <w:p w14:paraId="53FC4C86" w14:textId="77777777" w:rsidR="004D7A10" w:rsidRPr="007E140B" w:rsidRDefault="004D7A10" w:rsidP="0026770E">
            <w:pPr>
              <w:spacing w:after="0" w:line="240" w:lineRule="auto"/>
              <w:rPr>
                <w:rFonts w:cs="Arial"/>
                <w:color w:val="auto"/>
              </w:rPr>
            </w:pPr>
            <w:r w:rsidRPr="007E140B">
              <w:rPr>
                <w:rFonts w:cs="Arial"/>
                <w:color w:val="auto"/>
                <w:sz w:val="15"/>
              </w:rPr>
              <w:t>The study shows that additional disclosure can expose more dimensions on which raters make different judgements; transparency therefore does not automatically generate rating convergence.</w:t>
            </w:r>
          </w:p>
        </w:tc>
        <w:tc>
          <w:tcPr>
            <w:tcW w:w="1303" w:type="dxa"/>
            <w:shd w:val="clear" w:color="auto" w:fill="EAF1F7"/>
            <w:tcMar>
              <w:top w:w="22" w:type="dxa"/>
              <w:left w:w="24" w:type="dxa"/>
              <w:bottom w:w="22" w:type="dxa"/>
              <w:right w:w="24" w:type="dxa"/>
            </w:tcMar>
          </w:tcPr>
          <w:p w14:paraId="111085F4"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warning that disclosure volume is not equivalent to performance or consensus. It also strengthens the claim that better underlying definitions and evidence controls matter more than a single score.</w:t>
            </w:r>
          </w:p>
        </w:tc>
        <w:tc>
          <w:tcPr>
            <w:tcW w:w="1230" w:type="dxa"/>
            <w:shd w:val="clear" w:color="auto" w:fill="EAF1F7"/>
            <w:tcMar>
              <w:top w:w="22" w:type="dxa"/>
              <w:left w:w="24" w:type="dxa"/>
              <w:bottom w:w="22" w:type="dxa"/>
              <w:right w:w="24" w:type="dxa"/>
            </w:tcMar>
          </w:tcPr>
          <w:p w14:paraId="41EF89E1" w14:textId="77777777" w:rsidR="004D7A10" w:rsidRPr="007E140B" w:rsidRDefault="00CC58FE" w:rsidP="0026770E">
            <w:pPr>
              <w:spacing w:after="0" w:line="240" w:lineRule="auto"/>
              <w:rPr>
                <w:rFonts w:cs="Arial"/>
                <w:color w:val="auto"/>
              </w:rPr>
            </w:pPr>
            <w:hyperlink r:id="rId64">
              <w:r w:rsidR="004D7A10" w:rsidRPr="007E140B">
                <w:rPr>
                  <w:rFonts w:cs="Arial"/>
                  <w:color w:val="auto"/>
                  <w:sz w:val="13"/>
                  <w:szCs w:val="13"/>
                </w:rPr>
                <w:t>https://doi.org/10.2308/TAR-2019-0506</w:t>
              </w:r>
            </w:hyperlink>
          </w:p>
        </w:tc>
      </w:tr>
      <w:tr w:rsidR="007E140B" w:rsidRPr="007E140B" w14:paraId="178EFABE" w14:textId="77777777" w:rsidTr="0026770E">
        <w:trPr>
          <w:cantSplit/>
          <w:jc w:val="center"/>
        </w:trPr>
        <w:tc>
          <w:tcPr>
            <w:tcW w:w="504" w:type="dxa"/>
            <w:shd w:val="clear" w:color="auto" w:fill="F7FAFC"/>
            <w:tcMar>
              <w:top w:w="22" w:type="dxa"/>
              <w:left w:w="24" w:type="dxa"/>
              <w:bottom w:w="22" w:type="dxa"/>
              <w:right w:w="24" w:type="dxa"/>
            </w:tcMar>
            <w:vAlign w:val="center"/>
          </w:tcPr>
          <w:p w14:paraId="3627BBD4"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9</w:t>
            </w:r>
          </w:p>
        </w:tc>
        <w:tc>
          <w:tcPr>
            <w:tcW w:w="1447" w:type="dxa"/>
            <w:shd w:val="clear" w:color="auto" w:fill="F7FAFC"/>
            <w:tcMar>
              <w:top w:w="22" w:type="dxa"/>
              <w:left w:w="24" w:type="dxa"/>
              <w:bottom w:w="22" w:type="dxa"/>
              <w:right w:w="24" w:type="dxa"/>
            </w:tcMar>
          </w:tcPr>
          <w:p w14:paraId="2D5D96C6" w14:textId="77777777" w:rsidR="004D7A10" w:rsidRPr="007E140B" w:rsidRDefault="004D7A10" w:rsidP="0026770E">
            <w:pPr>
              <w:spacing w:after="0" w:line="240" w:lineRule="auto"/>
              <w:rPr>
                <w:rFonts w:cs="Arial"/>
                <w:color w:val="auto"/>
              </w:rPr>
            </w:pPr>
            <w:r w:rsidRPr="007E140B">
              <w:rPr>
                <w:rFonts w:cs="Arial"/>
                <w:b/>
                <w:color w:val="auto"/>
                <w:sz w:val="15"/>
              </w:rPr>
              <w:t>Mandatory CSR and Sustainability Reporting: Economic Analysis and Literature Review</w:t>
            </w:r>
          </w:p>
        </w:tc>
        <w:tc>
          <w:tcPr>
            <w:tcW w:w="1049" w:type="dxa"/>
            <w:shd w:val="clear" w:color="auto" w:fill="F7FAFC"/>
            <w:tcMar>
              <w:top w:w="22" w:type="dxa"/>
              <w:left w:w="24" w:type="dxa"/>
              <w:bottom w:w="22" w:type="dxa"/>
              <w:right w:w="24" w:type="dxa"/>
            </w:tcMar>
          </w:tcPr>
          <w:p w14:paraId="7A6DECD6" w14:textId="77777777" w:rsidR="004D7A10" w:rsidRPr="007E140B" w:rsidRDefault="004D7A10" w:rsidP="0026770E">
            <w:pPr>
              <w:spacing w:after="0" w:line="240" w:lineRule="auto"/>
              <w:rPr>
                <w:rFonts w:cs="Arial"/>
                <w:color w:val="auto"/>
              </w:rPr>
            </w:pPr>
            <w:r w:rsidRPr="007E140B">
              <w:rPr>
                <w:rFonts w:cs="Arial"/>
                <w:color w:val="auto"/>
                <w:sz w:val="15"/>
              </w:rPr>
              <w:t>Review of Accounting Studies</w:t>
            </w:r>
          </w:p>
        </w:tc>
        <w:tc>
          <w:tcPr>
            <w:tcW w:w="905" w:type="dxa"/>
            <w:shd w:val="clear" w:color="auto" w:fill="F7FAFC"/>
            <w:tcMar>
              <w:top w:w="22" w:type="dxa"/>
              <w:left w:w="24" w:type="dxa"/>
              <w:bottom w:w="22" w:type="dxa"/>
              <w:right w:w="24" w:type="dxa"/>
            </w:tcMar>
          </w:tcPr>
          <w:p w14:paraId="6623D5CF" w14:textId="77777777" w:rsidR="004D7A10" w:rsidRPr="007E140B" w:rsidRDefault="004D7A10" w:rsidP="0026770E">
            <w:pPr>
              <w:spacing w:after="0" w:line="240" w:lineRule="auto"/>
              <w:rPr>
                <w:rFonts w:cs="Arial"/>
                <w:color w:val="auto"/>
              </w:rPr>
            </w:pPr>
            <w:r w:rsidRPr="007E140B">
              <w:rPr>
                <w:rFonts w:cs="Arial"/>
                <w:color w:val="auto"/>
                <w:sz w:val="15"/>
              </w:rPr>
              <w:t xml:space="preserve">Christensen, H.B.; Hail, L.; </w:t>
            </w:r>
            <w:proofErr w:type="spellStart"/>
            <w:r w:rsidRPr="007E140B">
              <w:rPr>
                <w:rFonts w:cs="Arial"/>
                <w:color w:val="auto"/>
                <w:sz w:val="15"/>
              </w:rPr>
              <w:t>Leuz</w:t>
            </w:r>
            <w:proofErr w:type="spellEnd"/>
            <w:r w:rsidRPr="007E140B">
              <w:rPr>
                <w:rFonts w:cs="Arial"/>
                <w:color w:val="auto"/>
                <w:sz w:val="15"/>
              </w:rPr>
              <w:t>, C.</w:t>
            </w:r>
          </w:p>
        </w:tc>
        <w:tc>
          <w:tcPr>
            <w:tcW w:w="648" w:type="dxa"/>
            <w:shd w:val="clear" w:color="auto" w:fill="F7FAFC"/>
            <w:tcMar>
              <w:top w:w="22" w:type="dxa"/>
              <w:left w:w="24" w:type="dxa"/>
              <w:bottom w:w="22" w:type="dxa"/>
              <w:right w:w="24" w:type="dxa"/>
            </w:tcMar>
            <w:vAlign w:val="center"/>
          </w:tcPr>
          <w:p w14:paraId="07CE6103"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136C5868" w14:textId="77777777" w:rsidR="004D7A10" w:rsidRPr="007E140B" w:rsidRDefault="004D7A10" w:rsidP="0026770E">
            <w:pPr>
              <w:spacing w:after="0" w:line="240" w:lineRule="auto"/>
              <w:rPr>
                <w:rFonts w:cs="Arial"/>
                <w:color w:val="auto"/>
              </w:rPr>
            </w:pPr>
            <w:r w:rsidRPr="007E140B">
              <w:rPr>
                <w:rFonts w:cs="Arial"/>
                <w:color w:val="auto"/>
                <w:sz w:val="15"/>
              </w:rPr>
              <w:t>To develop an economic framework and review evidence on mandatory CSR/sustainability reporting and its capital-market, stakeholder and real effects.</w:t>
            </w:r>
          </w:p>
        </w:tc>
        <w:tc>
          <w:tcPr>
            <w:tcW w:w="1375" w:type="dxa"/>
            <w:shd w:val="clear" w:color="auto" w:fill="F7FAFC"/>
            <w:tcMar>
              <w:top w:w="22" w:type="dxa"/>
              <w:left w:w="24" w:type="dxa"/>
              <w:bottom w:w="22" w:type="dxa"/>
              <w:right w:w="24" w:type="dxa"/>
            </w:tcMar>
          </w:tcPr>
          <w:p w14:paraId="3E88369E" w14:textId="77777777" w:rsidR="004D7A10" w:rsidRPr="007E140B" w:rsidRDefault="004D7A10" w:rsidP="0026770E">
            <w:pPr>
              <w:spacing w:after="0" w:line="240" w:lineRule="auto"/>
              <w:rPr>
                <w:rFonts w:cs="Arial"/>
                <w:color w:val="auto"/>
              </w:rPr>
            </w:pPr>
            <w:r w:rsidRPr="007E140B">
              <w:rPr>
                <w:rFonts w:cs="Arial"/>
                <w:color w:val="auto"/>
                <w:sz w:val="15"/>
              </w:rPr>
              <w:t>Integrate findings across accounting, finance, economics and management; explain mechanisms and trade-offs; identify implementation, standard-setting and research challenges.</w:t>
            </w:r>
          </w:p>
        </w:tc>
        <w:tc>
          <w:tcPr>
            <w:tcW w:w="1086" w:type="dxa"/>
            <w:shd w:val="clear" w:color="auto" w:fill="F7FAFC"/>
            <w:tcMar>
              <w:top w:w="22" w:type="dxa"/>
              <w:left w:w="24" w:type="dxa"/>
              <w:bottom w:w="22" w:type="dxa"/>
              <w:right w:w="24" w:type="dxa"/>
            </w:tcMar>
          </w:tcPr>
          <w:p w14:paraId="0AA42504" w14:textId="77777777" w:rsidR="004D7A10" w:rsidRPr="007E140B" w:rsidRDefault="004D7A10" w:rsidP="0026770E">
            <w:pPr>
              <w:spacing w:after="0" w:line="240" w:lineRule="auto"/>
              <w:rPr>
                <w:rFonts w:cs="Arial"/>
                <w:color w:val="auto"/>
              </w:rPr>
            </w:pPr>
            <w:r w:rsidRPr="007E140B">
              <w:rPr>
                <w:rFonts w:cs="Arial"/>
                <w:color w:val="auto"/>
                <w:sz w:val="15"/>
              </w:rPr>
              <w:t>What economic effects can mandatory sustainability reporting produce, through which mechanisms, and what design/enforcement trade-offs shape those effects?</w:t>
            </w:r>
          </w:p>
        </w:tc>
        <w:tc>
          <w:tcPr>
            <w:tcW w:w="1122" w:type="dxa"/>
            <w:shd w:val="clear" w:color="auto" w:fill="F7FAFC"/>
            <w:tcMar>
              <w:top w:w="22" w:type="dxa"/>
              <w:left w:w="24" w:type="dxa"/>
              <w:bottom w:w="22" w:type="dxa"/>
              <w:right w:w="24" w:type="dxa"/>
            </w:tcMar>
          </w:tcPr>
          <w:p w14:paraId="562CC738" w14:textId="77777777" w:rsidR="004D7A10" w:rsidRPr="007E140B" w:rsidRDefault="004D7A10" w:rsidP="0026770E">
            <w:pPr>
              <w:spacing w:after="0" w:line="240" w:lineRule="auto"/>
              <w:rPr>
                <w:rFonts w:cs="Arial"/>
                <w:color w:val="auto"/>
              </w:rPr>
            </w:pPr>
            <w:r w:rsidRPr="007E140B">
              <w:rPr>
                <w:rFonts w:cs="Arial"/>
                <w:color w:val="auto"/>
                <w:sz w:val="15"/>
              </w:rPr>
              <w:t>Economic analysis and interdisciplinary literature review; no single empirical sample.</w:t>
            </w:r>
          </w:p>
        </w:tc>
        <w:tc>
          <w:tcPr>
            <w:tcW w:w="1556" w:type="dxa"/>
            <w:shd w:val="clear" w:color="auto" w:fill="F7FAFC"/>
            <w:tcMar>
              <w:top w:w="22" w:type="dxa"/>
              <w:left w:w="24" w:type="dxa"/>
              <w:bottom w:w="22" w:type="dxa"/>
              <w:right w:w="24" w:type="dxa"/>
            </w:tcMar>
          </w:tcPr>
          <w:p w14:paraId="0EE3951A" w14:textId="77777777" w:rsidR="004D7A10" w:rsidRPr="007E140B" w:rsidRDefault="004D7A10" w:rsidP="0026770E">
            <w:pPr>
              <w:spacing w:after="0" w:line="240" w:lineRule="auto"/>
              <w:rPr>
                <w:rFonts w:cs="Arial"/>
                <w:color w:val="auto"/>
              </w:rPr>
            </w:pPr>
            <w:r w:rsidRPr="007E140B">
              <w:rPr>
                <w:rFonts w:cs="Arial"/>
                <w:color w:val="auto"/>
                <w:sz w:val="15"/>
              </w:rPr>
              <w:t xml:space="preserve">Mandatory reporting can improve information and change corporate/stakeholder </w:t>
            </w:r>
            <w:proofErr w:type="spellStart"/>
            <w:r w:rsidRPr="007E140B">
              <w:rPr>
                <w:rFonts w:cs="Arial"/>
                <w:color w:val="auto"/>
                <w:sz w:val="15"/>
              </w:rPr>
              <w:t>behaviour</w:t>
            </w:r>
            <w:proofErr w:type="spellEnd"/>
            <w:r w:rsidRPr="007E140B">
              <w:rPr>
                <w:rFonts w:cs="Arial"/>
                <w:color w:val="auto"/>
                <w:sz w:val="15"/>
              </w:rPr>
              <w:t>, but effects depend on standards, materiality, comparability, enforcement, incentives and implementation costs. Causal evidence remains uneven.</w:t>
            </w:r>
          </w:p>
        </w:tc>
        <w:tc>
          <w:tcPr>
            <w:tcW w:w="1665" w:type="dxa"/>
            <w:shd w:val="clear" w:color="auto" w:fill="F7FAFC"/>
            <w:tcMar>
              <w:top w:w="22" w:type="dxa"/>
              <w:left w:w="24" w:type="dxa"/>
              <w:bottom w:w="22" w:type="dxa"/>
              <w:right w:w="24" w:type="dxa"/>
            </w:tcMar>
          </w:tcPr>
          <w:p w14:paraId="4BDBAD2F" w14:textId="77777777" w:rsidR="004D7A10" w:rsidRPr="007E140B" w:rsidRDefault="004D7A10" w:rsidP="0026770E">
            <w:pPr>
              <w:spacing w:after="0" w:line="240" w:lineRule="auto"/>
              <w:rPr>
                <w:rFonts w:cs="Arial"/>
                <w:color w:val="auto"/>
              </w:rPr>
            </w:pPr>
            <w:r w:rsidRPr="007E140B">
              <w:rPr>
                <w:rFonts w:cs="Arial"/>
                <w:color w:val="auto"/>
                <w:sz w:val="15"/>
              </w:rPr>
              <w:t>The article treats sustainability reporting as an information and regulation problem with potential market and real effects rather than assuming that disclosure itself improves sustainability outcomes.</w:t>
            </w:r>
          </w:p>
        </w:tc>
        <w:tc>
          <w:tcPr>
            <w:tcW w:w="1303" w:type="dxa"/>
            <w:shd w:val="clear" w:color="auto" w:fill="F7FAFC"/>
            <w:tcMar>
              <w:top w:w="22" w:type="dxa"/>
              <w:left w:w="24" w:type="dxa"/>
              <w:bottom w:w="22" w:type="dxa"/>
              <w:right w:w="24" w:type="dxa"/>
            </w:tcMar>
          </w:tcPr>
          <w:p w14:paraId="458FBA64" w14:textId="77777777" w:rsidR="004D7A10" w:rsidRPr="007E140B" w:rsidRDefault="004D7A10" w:rsidP="0026770E">
            <w:pPr>
              <w:spacing w:after="0" w:line="240" w:lineRule="auto"/>
              <w:rPr>
                <w:rFonts w:cs="Arial"/>
                <w:color w:val="auto"/>
              </w:rPr>
            </w:pPr>
            <w:r w:rsidRPr="007E140B">
              <w:rPr>
                <w:rFonts w:cs="Arial"/>
                <w:color w:val="auto"/>
                <w:sz w:val="15"/>
              </w:rPr>
              <w:t xml:space="preserve">Supports the dissertation’s control-environment argument: targets and disclosures need accountable ownership, reliable data, enforcement and appropriate scope. It also justifies caution about unintended </w:t>
            </w:r>
            <w:proofErr w:type="spellStart"/>
            <w:r w:rsidRPr="007E140B">
              <w:rPr>
                <w:rFonts w:cs="Arial"/>
                <w:color w:val="auto"/>
                <w:sz w:val="15"/>
              </w:rPr>
              <w:t>behavioural</w:t>
            </w:r>
            <w:proofErr w:type="spellEnd"/>
            <w:r w:rsidRPr="007E140B">
              <w:rPr>
                <w:rFonts w:cs="Arial"/>
                <w:color w:val="auto"/>
                <w:sz w:val="15"/>
              </w:rPr>
              <w:t xml:space="preserve"> effects of metrics.</w:t>
            </w:r>
          </w:p>
        </w:tc>
        <w:tc>
          <w:tcPr>
            <w:tcW w:w="1230" w:type="dxa"/>
            <w:shd w:val="clear" w:color="auto" w:fill="F7FAFC"/>
            <w:tcMar>
              <w:top w:w="22" w:type="dxa"/>
              <w:left w:w="24" w:type="dxa"/>
              <w:bottom w:w="22" w:type="dxa"/>
              <w:right w:w="24" w:type="dxa"/>
            </w:tcMar>
          </w:tcPr>
          <w:p w14:paraId="35EE71C2" w14:textId="77777777" w:rsidR="004D7A10" w:rsidRPr="007E140B" w:rsidRDefault="00CC58FE" w:rsidP="0026770E">
            <w:pPr>
              <w:spacing w:after="0" w:line="240" w:lineRule="auto"/>
              <w:rPr>
                <w:rFonts w:cs="Arial"/>
                <w:color w:val="auto"/>
              </w:rPr>
            </w:pPr>
            <w:hyperlink r:id="rId65">
              <w:r w:rsidR="004D7A10" w:rsidRPr="007E140B">
                <w:rPr>
                  <w:rFonts w:cs="Arial"/>
                  <w:color w:val="auto"/>
                  <w:sz w:val="13"/>
                  <w:szCs w:val="13"/>
                </w:rPr>
                <w:t>https://doi.org/10.1007/s11142-021-09609-5</w:t>
              </w:r>
            </w:hyperlink>
          </w:p>
        </w:tc>
      </w:tr>
      <w:tr w:rsidR="007E140B" w:rsidRPr="007E140B" w14:paraId="6C9571F8" w14:textId="77777777" w:rsidTr="0026770E">
        <w:trPr>
          <w:cantSplit/>
          <w:jc w:val="center"/>
        </w:trPr>
        <w:tc>
          <w:tcPr>
            <w:tcW w:w="504" w:type="dxa"/>
            <w:shd w:val="clear" w:color="auto" w:fill="EAF1F7"/>
            <w:tcMar>
              <w:top w:w="22" w:type="dxa"/>
              <w:left w:w="24" w:type="dxa"/>
              <w:bottom w:w="22" w:type="dxa"/>
              <w:right w:w="24" w:type="dxa"/>
            </w:tcMar>
            <w:vAlign w:val="center"/>
          </w:tcPr>
          <w:p w14:paraId="633607A3" w14:textId="77777777" w:rsidR="004D7A10" w:rsidRPr="007E140B" w:rsidRDefault="004D7A10" w:rsidP="0026770E">
            <w:pPr>
              <w:spacing w:after="0" w:line="240" w:lineRule="auto"/>
              <w:jc w:val="center"/>
              <w:rPr>
                <w:rFonts w:cs="Arial"/>
                <w:color w:val="auto"/>
              </w:rPr>
            </w:pPr>
            <w:r w:rsidRPr="007E140B">
              <w:rPr>
                <w:rFonts w:cs="Arial"/>
                <w:b/>
                <w:color w:val="auto"/>
                <w:sz w:val="15"/>
              </w:rPr>
              <w:t>10</w:t>
            </w:r>
          </w:p>
        </w:tc>
        <w:tc>
          <w:tcPr>
            <w:tcW w:w="1447" w:type="dxa"/>
            <w:shd w:val="clear" w:color="auto" w:fill="EAF1F7"/>
            <w:tcMar>
              <w:top w:w="22" w:type="dxa"/>
              <w:left w:w="24" w:type="dxa"/>
              <w:bottom w:w="22" w:type="dxa"/>
              <w:right w:w="24" w:type="dxa"/>
            </w:tcMar>
          </w:tcPr>
          <w:p w14:paraId="2ACFF665" w14:textId="77777777" w:rsidR="004D7A10" w:rsidRPr="007E140B" w:rsidRDefault="004D7A10" w:rsidP="0026770E">
            <w:pPr>
              <w:spacing w:after="0" w:line="240" w:lineRule="auto"/>
              <w:rPr>
                <w:rFonts w:cs="Arial"/>
                <w:color w:val="auto"/>
              </w:rPr>
            </w:pPr>
            <w:r w:rsidRPr="007E140B">
              <w:rPr>
                <w:rFonts w:cs="Arial"/>
                <w:b/>
                <w:color w:val="auto"/>
                <w:sz w:val="15"/>
              </w:rPr>
              <w:t>Concepts and Forms of Greenwashing: A Systematic Review</w:t>
            </w:r>
          </w:p>
        </w:tc>
        <w:tc>
          <w:tcPr>
            <w:tcW w:w="1049" w:type="dxa"/>
            <w:shd w:val="clear" w:color="auto" w:fill="EAF1F7"/>
            <w:tcMar>
              <w:top w:w="22" w:type="dxa"/>
              <w:left w:w="24" w:type="dxa"/>
              <w:bottom w:w="22" w:type="dxa"/>
              <w:right w:w="24" w:type="dxa"/>
            </w:tcMar>
          </w:tcPr>
          <w:p w14:paraId="072C560A" w14:textId="77777777" w:rsidR="004D7A10" w:rsidRPr="007E140B" w:rsidRDefault="004D7A10" w:rsidP="0026770E">
            <w:pPr>
              <w:spacing w:after="0" w:line="240" w:lineRule="auto"/>
              <w:rPr>
                <w:rFonts w:cs="Arial"/>
                <w:color w:val="auto"/>
              </w:rPr>
            </w:pPr>
            <w:r w:rsidRPr="007E140B">
              <w:rPr>
                <w:rFonts w:cs="Arial"/>
                <w:color w:val="auto"/>
                <w:sz w:val="15"/>
              </w:rPr>
              <w:t>Environmental Sciences Europe</w:t>
            </w:r>
          </w:p>
        </w:tc>
        <w:tc>
          <w:tcPr>
            <w:tcW w:w="905" w:type="dxa"/>
            <w:shd w:val="clear" w:color="auto" w:fill="EAF1F7"/>
            <w:tcMar>
              <w:top w:w="22" w:type="dxa"/>
              <w:left w:w="24" w:type="dxa"/>
              <w:bottom w:w="22" w:type="dxa"/>
              <w:right w:w="24" w:type="dxa"/>
            </w:tcMar>
          </w:tcPr>
          <w:p w14:paraId="4AED6CD6" w14:textId="77777777" w:rsidR="004D7A10" w:rsidRPr="007E140B" w:rsidRDefault="004D7A10" w:rsidP="0026770E">
            <w:pPr>
              <w:spacing w:after="0" w:line="240" w:lineRule="auto"/>
              <w:rPr>
                <w:rFonts w:cs="Arial"/>
                <w:color w:val="auto"/>
              </w:rPr>
            </w:pPr>
            <w:r w:rsidRPr="007E140B">
              <w:rPr>
                <w:rFonts w:cs="Arial"/>
                <w:color w:val="auto"/>
                <w:sz w:val="15"/>
              </w:rPr>
              <w:t>de Freitas Netto, S.V.; Sobral, M.F.F.; Ribeiro, A.R.B.; Soares, G.R.L.</w:t>
            </w:r>
          </w:p>
        </w:tc>
        <w:tc>
          <w:tcPr>
            <w:tcW w:w="648" w:type="dxa"/>
            <w:shd w:val="clear" w:color="auto" w:fill="EAF1F7"/>
            <w:tcMar>
              <w:top w:w="22" w:type="dxa"/>
              <w:left w:w="24" w:type="dxa"/>
              <w:bottom w:w="22" w:type="dxa"/>
              <w:right w:w="24" w:type="dxa"/>
            </w:tcMar>
            <w:vAlign w:val="center"/>
          </w:tcPr>
          <w:p w14:paraId="11753838"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EAF1F7"/>
            <w:tcMar>
              <w:top w:w="22" w:type="dxa"/>
              <w:left w:w="24" w:type="dxa"/>
              <w:bottom w:w="22" w:type="dxa"/>
              <w:right w:w="24" w:type="dxa"/>
            </w:tcMar>
          </w:tcPr>
          <w:p w14:paraId="58FA7417" w14:textId="77777777" w:rsidR="004D7A10" w:rsidRPr="007E140B" w:rsidRDefault="004D7A10" w:rsidP="0026770E">
            <w:pPr>
              <w:spacing w:after="0" w:line="240" w:lineRule="auto"/>
              <w:rPr>
                <w:rFonts w:cs="Arial"/>
                <w:color w:val="auto"/>
              </w:rPr>
            </w:pPr>
            <w:r w:rsidRPr="007E140B">
              <w:rPr>
                <w:rFonts w:cs="Arial"/>
                <w:color w:val="auto"/>
                <w:sz w:val="15"/>
              </w:rPr>
              <w:t>To clarify the main concepts and typologies of greenwashing reported in the literature during the preceding decade.</w:t>
            </w:r>
          </w:p>
        </w:tc>
        <w:tc>
          <w:tcPr>
            <w:tcW w:w="1375" w:type="dxa"/>
            <w:shd w:val="clear" w:color="auto" w:fill="EAF1F7"/>
            <w:tcMar>
              <w:top w:w="22" w:type="dxa"/>
              <w:left w:w="24" w:type="dxa"/>
              <w:bottom w:w="22" w:type="dxa"/>
              <w:right w:w="24" w:type="dxa"/>
            </w:tcMar>
          </w:tcPr>
          <w:p w14:paraId="1B447598" w14:textId="77777777" w:rsidR="004D7A10" w:rsidRPr="007E140B" w:rsidRDefault="004D7A10" w:rsidP="0026770E">
            <w:pPr>
              <w:spacing w:after="0" w:line="240" w:lineRule="auto"/>
              <w:rPr>
                <w:rFonts w:cs="Arial"/>
                <w:color w:val="auto"/>
              </w:rPr>
            </w:pPr>
            <w:r w:rsidRPr="007E140B">
              <w:rPr>
                <w:rFonts w:cs="Arial"/>
                <w:color w:val="auto"/>
                <w:sz w:val="15"/>
              </w:rPr>
              <w:t>Systematically identify greenwashing studies; consolidate definitions; classify forms/levels of greenwashing; highlight conceptual gaps.</w:t>
            </w:r>
          </w:p>
        </w:tc>
        <w:tc>
          <w:tcPr>
            <w:tcW w:w="1086" w:type="dxa"/>
            <w:shd w:val="clear" w:color="auto" w:fill="EAF1F7"/>
            <w:tcMar>
              <w:top w:w="22" w:type="dxa"/>
              <w:left w:w="24" w:type="dxa"/>
              <w:bottom w:w="22" w:type="dxa"/>
              <w:right w:w="24" w:type="dxa"/>
            </w:tcMar>
          </w:tcPr>
          <w:p w14:paraId="2C5FF687" w14:textId="77777777" w:rsidR="004D7A10" w:rsidRPr="007E140B" w:rsidRDefault="004D7A10" w:rsidP="0026770E">
            <w:pPr>
              <w:spacing w:after="0" w:line="240" w:lineRule="auto"/>
              <w:rPr>
                <w:rFonts w:cs="Arial"/>
                <w:color w:val="auto"/>
              </w:rPr>
            </w:pPr>
            <w:r w:rsidRPr="007E140B">
              <w:rPr>
                <w:rFonts w:cs="Arial"/>
                <w:color w:val="auto"/>
                <w:sz w:val="15"/>
              </w:rPr>
              <w:t xml:space="preserve">How has greenwashing been defined and </w:t>
            </w:r>
            <w:proofErr w:type="spellStart"/>
            <w:r w:rsidRPr="007E140B">
              <w:rPr>
                <w:rFonts w:cs="Arial"/>
                <w:color w:val="auto"/>
                <w:sz w:val="15"/>
              </w:rPr>
              <w:t>categorised</w:t>
            </w:r>
            <w:proofErr w:type="spellEnd"/>
            <w:r w:rsidRPr="007E140B">
              <w:rPr>
                <w:rFonts w:cs="Arial"/>
                <w:color w:val="auto"/>
                <w:sz w:val="15"/>
              </w:rPr>
              <w:t xml:space="preserve"> in recent research, and what principal forms of greenwashing recur across studies?</w:t>
            </w:r>
          </w:p>
        </w:tc>
        <w:tc>
          <w:tcPr>
            <w:tcW w:w="1122" w:type="dxa"/>
            <w:shd w:val="clear" w:color="auto" w:fill="EAF1F7"/>
            <w:tcMar>
              <w:top w:w="22" w:type="dxa"/>
              <w:left w:w="24" w:type="dxa"/>
              <w:bottom w:w="22" w:type="dxa"/>
              <w:right w:w="24" w:type="dxa"/>
            </w:tcMar>
          </w:tcPr>
          <w:p w14:paraId="78815642" w14:textId="77777777" w:rsidR="004D7A10" w:rsidRPr="007E140B" w:rsidRDefault="004D7A10" w:rsidP="0026770E">
            <w:pPr>
              <w:spacing w:after="0" w:line="240" w:lineRule="auto"/>
              <w:rPr>
                <w:rFonts w:cs="Arial"/>
                <w:color w:val="auto"/>
              </w:rPr>
            </w:pPr>
            <w:r w:rsidRPr="007E140B">
              <w:rPr>
                <w:rFonts w:cs="Arial"/>
                <w:color w:val="auto"/>
                <w:sz w:val="15"/>
              </w:rPr>
              <w:t>Systematic literature review using Scopus and Web of Science. From 263 records, screening and full-text assessment produced 42 studies meeting the review protocol.</w:t>
            </w:r>
          </w:p>
        </w:tc>
        <w:tc>
          <w:tcPr>
            <w:tcW w:w="1556" w:type="dxa"/>
            <w:shd w:val="clear" w:color="auto" w:fill="EAF1F7"/>
            <w:tcMar>
              <w:top w:w="22" w:type="dxa"/>
              <w:left w:w="24" w:type="dxa"/>
              <w:bottom w:w="22" w:type="dxa"/>
              <w:right w:w="24" w:type="dxa"/>
            </w:tcMar>
          </w:tcPr>
          <w:p w14:paraId="14D70B2E" w14:textId="77777777" w:rsidR="004D7A10" w:rsidRPr="007E140B" w:rsidRDefault="004D7A10" w:rsidP="0026770E">
            <w:pPr>
              <w:spacing w:after="0" w:line="240" w:lineRule="auto"/>
              <w:rPr>
                <w:rFonts w:cs="Arial"/>
                <w:color w:val="auto"/>
              </w:rPr>
            </w:pPr>
            <w:r w:rsidRPr="007E140B">
              <w:rPr>
                <w:rFonts w:cs="Arial"/>
                <w:color w:val="auto"/>
                <w:sz w:val="15"/>
              </w:rPr>
              <w:t>Greenwashing takes multiple forms, including selective disclosure, vague/irrelevant claims, misleading labels and product- or firm-level communication that is disconnected from underlying environmental performance.</w:t>
            </w:r>
          </w:p>
        </w:tc>
        <w:tc>
          <w:tcPr>
            <w:tcW w:w="1665" w:type="dxa"/>
            <w:shd w:val="clear" w:color="auto" w:fill="EAF1F7"/>
            <w:tcMar>
              <w:top w:w="22" w:type="dxa"/>
              <w:left w:w="24" w:type="dxa"/>
              <w:bottom w:w="22" w:type="dxa"/>
              <w:right w:w="24" w:type="dxa"/>
            </w:tcMar>
          </w:tcPr>
          <w:p w14:paraId="18D49817" w14:textId="77777777" w:rsidR="004D7A10" w:rsidRPr="007E140B" w:rsidRDefault="004D7A10" w:rsidP="0026770E">
            <w:pPr>
              <w:spacing w:after="0" w:line="240" w:lineRule="auto"/>
              <w:rPr>
                <w:rFonts w:cs="Arial"/>
                <w:color w:val="auto"/>
              </w:rPr>
            </w:pPr>
            <w:r w:rsidRPr="007E140B">
              <w:rPr>
                <w:rFonts w:cs="Arial"/>
                <w:color w:val="auto"/>
                <w:sz w:val="15"/>
              </w:rPr>
              <w:t xml:space="preserve">The review </w:t>
            </w:r>
            <w:proofErr w:type="spellStart"/>
            <w:r w:rsidRPr="007E140B">
              <w:rPr>
                <w:rFonts w:cs="Arial"/>
                <w:color w:val="auto"/>
                <w:sz w:val="15"/>
              </w:rPr>
              <w:t>organises</w:t>
            </w:r>
            <w:proofErr w:type="spellEnd"/>
            <w:r w:rsidRPr="007E140B">
              <w:rPr>
                <w:rFonts w:cs="Arial"/>
                <w:color w:val="auto"/>
                <w:sz w:val="15"/>
              </w:rPr>
              <w:t xml:space="preserve"> a fragmented greenwashing literature into clearer concepts and typologies, showing that misleading sustainability communication can occur at both corporate and product/service levels.</w:t>
            </w:r>
          </w:p>
        </w:tc>
        <w:tc>
          <w:tcPr>
            <w:tcW w:w="1303" w:type="dxa"/>
            <w:shd w:val="clear" w:color="auto" w:fill="EAF1F7"/>
            <w:tcMar>
              <w:top w:w="22" w:type="dxa"/>
              <w:left w:w="24" w:type="dxa"/>
              <w:bottom w:w="22" w:type="dxa"/>
              <w:right w:w="24" w:type="dxa"/>
            </w:tcMar>
          </w:tcPr>
          <w:p w14:paraId="2EDB5C8F" w14:textId="77777777" w:rsidR="004D7A10" w:rsidRPr="007E140B" w:rsidRDefault="004D7A10" w:rsidP="0026770E">
            <w:pPr>
              <w:spacing w:after="0" w:line="240" w:lineRule="auto"/>
              <w:rPr>
                <w:rFonts w:cs="Arial"/>
                <w:color w:val="auto"/>
              </w:rPr>
            </w:pPr>
            <w:r w:rsidRPr="007E140B">
              <w:rPr>
                <w:rFonts w:cs="Arial"/>
                <w:color w:val="auto"/>
                <w:sz w:val="15"/>
              </w:rPr>
              <w:t>Provides the conceptual basis for the dissertation’s greenwashing-risk and claim-level-evidence discussion. It is especially relevant to consumer goods because product claims can create reputational and regulatory exposure.</w:t>
            </w:r>
          </w:p>
        </w:tc>
        <w:tc>
          <w:tcPr>
            <w:tcW w:w="1230" w:type="dxa"/>
            <w:shd w:val="clear" w:color="auto" w:fill="EAF1F7"/>
            <w:tcMar>
              <w:top w:w="22" w:type="dxa"/>
              <w:left w:w="24" w:type="dxa"/>
              <w:bottom w:w="22" w:type="dxa"/>
              <w:right w:w="24" w:type="dxa"/>
            </w:tcMar>
          </w:tcPr>
          <w:p w14:paraId="307AA840" w14:textId="77777777" w:rsidR="004D7A10" w:rsidRPr="007E140B" w:rsidRDefault="00CC58FE" w:rsidP="0026770E">
            <w:pPr>
              <w:spacing w:after="0" w:line="240" w:lineRule="auto"/>
              <w:rPr>
                <w:rFonts w:cs="Arial"/>
                <w:color w:val="auto"/>
              </w:rPr>
            </w:pPr>
            <w:hyperlink r:id="rId66">
              <w:r w:rsidR="004D7A10" w:rsidRPr="007E140B">
                <w:rPr>
                  <w:rFonts w:cs="Arial"/>
                  <w:color w:val="auto"/>
                  <w:sz w:val="13"/>
                  <w:szCs w:val="13"/>
                </w:rPr>
                <w:t>https://doi.org/10.1186/s12302-020-0300-3</w:t>
              </w:r>
            </w:hyperlink>
          </w:p>
        </w:tc>
      </w:tr>
      <w:tr w:rsidR="007E140B" w:rsidRPr="007E140B" w14:paraId="3EC8596F" w14:textId="77777777" w:rsidTr="0026770E">
        <w:trPr>
          <w:cantSplit/>
          <w:jc w:val="center"/>
        </w:trPr>
        <w:tc>
          <w:tcPr>
            <w:tcW w:w="504" w:type="dxa"/>
            <w:shd w:val="clear" w:color="auto" w:fill="F7FAFC"/>
            <w:tcMar>
              <w:top w:w="22" w:type="dxa"/>
              <w:left w:w="24" w:type="dxa"/>
              <w:bottom w:w="22" w:type="dxa"/>
              <w:right w:w="24" w:type="dxa"/>
            </w:tcMar>
            <w:vAlign w:val="center"/>
          </w:tcPr>
          <w:p w14:paraId="3C422550" w14:textId="77777777" w:rsidR="004D7A10" w:rsidRPr="007E140B" w:rsidRDefault="004D7A10" w:rsidP="0026770E">
            <w:pPr>
              <w:spacing w:after="0" w:line="240" w:lineRule="auto"/>
              <w:jc w:val="center"/>
              <w:rPr>
                <w:rFonts w:cs="Arial"/>
                <w:color w:val="auto"/>
              </w:rPr>
            </w:pPr>
            <w:r w:rsidRPr="007E140B">
              <w:rPr>
                <w:rFonts w:cs="Arial"/>
                <w:b/>
                <w:color w:val="auto"/>
                <w:sz w:val="15"/>
              </w:rPr>
              <w:t>11</w:t>
            </w:r>
          </w:p>
        </w:tc>
        <w:tc>
          <w:tcPr>
            <w:tcW w:w="1447" w:type="dxa"/>
            <w:shd w:val="clear" w:color="auto" w:fill="F7FAFC"/>
            <w:tcMar>
              <w:top w:w="22" w:type="dxa"/>
              <w:left w:w="24" w:type="dxa"/>
              <w:bottom w:w="22" w:type="dxa"/>
              <w:right w:w="24" w:type="dxa"/>
            </w:tcMar>
          </w:tcPr>
          <w:p w14:paraId="509E4F65" w14:textId="77777777" w:rsidR="004D7A10" w:rsidRPr="007E140B" w:rsidRDefault="004D7A10" w:rsidP="0026770E">
            <w:pPr>
              <w:spacing w:after="0" w:line="240" w:lineRule="auto"/>
              <w:rPr>
                <w:rFonts w:cs="Arial"/>
                <w:color w:val="auto"/>
              </w:rPr>
            </w:pPr>
            <w:r w:rsidRPr="007E140B">
              <w:rPr>
                <w:rFonts w:cs="Arial"/>
                <w:b/>
                <w:color w:val="auto"/>
                <w:sz w:val="15"/>
              </w:rPr>
              <w:t>Revisiting Knowledge on ESG/CSR and Financial Performance: A Bibliometric and Systematic Review of Moderating Variables</w:t>
            </w:r>
          </w:p>
        </w:tc>
        <w:tc>
          <w:tcPr>
            <w:tcW w:w="1049" w:type="dxa"/>
            <w:shd w:val="clear" w:color="auto" w:fill="F7FAFC"/>
            <w:tcMar>
              <w:top w:w="22" w:type="dxa"/>
              <w:left w:w="24" w:type="dxa"/>
              <w:bottom w:w="22" w:type="dxa"/>
              <w:right w:w="24" w:type="dxa"/>
            </w:tcMar>
          </w:tcPr>
          <w:p w14:paraId="6458ADA8" w14:textId="77777777" w:rsidR="004D7A10" w:rsidRPr="007E140B" w:rsidRDefault="004D7A10" w:rsidP="0026770E">
            <w:pPr>
              <w:spacing w:after="0" w:line="240" w:lineRule="auto"/>
              <w:rPr>
                <w:rFonts w:cs="Arial"/>
                <w:color w:val="auto"/>
              </w:rPr>
            </w:pPr>
            <w:r w:rsidRPr="007E140B">
              <w:rPr>
                <w:rFonts w:cs="Arial"/>
                <w:color w:val="auto"/>
                <w:sz w:val="15"/>
              </w:rPr>
              <w:t>Journal of Innovation &amp; Knowledge</w:t>
            </w:r>
          </w:p>
        </w:tc>
        <w:tc>
          <w:tcPr>
            <w:tcW w:w="905" w:type="dxa"/>
            <w:shd w:val="clear" w:color="auto" w:fill="F7FAFC"/>
            <w:tcMar>
              <w:top w:w="22" w:type="dxa"/>
              <w:left w:w="24" w:type="dxa"/>
              <w:bottom w:w="22" w:type="dxa"/>
              <w:right w:w="24" w:type="dxa"/>
            </w:tcMar>
          </w:tcPr>
          <w:p w14:paraId="390AE950" w14:textId="77777777" w:rsidR="004D7A10" w:rsidRPr="007E140B" w:rsidRDefault="004D7A10" w:rsidP="0026770E">
            <w:pPr>
              <w:spacing w:after="0" w:line="240" w:lineRule="auto"/>
              <w:rPr>
                <w:rFonts w:cs="Arial"/>
                <w:color w:val="auto"/>
              </w:rPr>
            </w:pPr>
            <w:r w:rsidRPr="007E140B">
              <w:rPr>
                <w:rFonts w:cs="Arial"/>
                <w:color w:val="auto"/>
                <w:sz w:val="15"/>
              </w:rPr>
              <w:t>dos Reis Cardillo, M.A.; Basso, L.F.C.</w:t>
            </w:r>
          </w:p>
        </w:tc>
        <w:tc>
          <w:tcPr>
            <w:tcW w:w="648" w:type="dxa"/>
            <w:shd w:val="clear" w:color="auto" w:fill="F7FAFC"/>
            <w:tcMar>
              <w:top w:w="22" w:type="dxa"/>
              <w:left w:w="24" w:type="dxa"/>
              <w:bottom w:w="22" w:type="dxa"/>
              <w:right w:w="24" w:type="dxa"/>
            </w:tcMar>
            <w:vAlign w:val="center"/>
          </w:tcPr>
          <w:p w14:paraId="72A56F63" w14:textId="77777777" w:rsidR="004D7A10" w:rsidRPr="007E140B" w:rsidRDefault="004D7A10" w:rsidP="0026770E">
            <w:pPr>
              <w:spacing w:after="0" w:line="240" w:lineRule="auto"/>
              <w:jc w:val="center"/>
              <w:rPr>
                <w:rFonts w:cs="Arial"/>
                <w:color w:val="auto"/>
              </w:rPr>
            </w:pPr>
            <w:r w:rsidRPr="007E140B">
              <w:rPr>
                <w:rFonts w:cs="Arial"/>
                <w:b/>
                <w:color w:val="auto"/>
                <w:sz w:val="15"/>
              </w:rPr>
              <w:t>2025</w:t>
            </w:r>
          </w:p>
        </w:tc>
        <w:tc>
          <w:tcPr>
            <w:tcW w:w="1230" w:type="dxa"/>
            <w:shd w:val="clear" w:color="auto" w:fill="F7FAFC"/>
            <w:tcMar>
              <w:top w:w="22" w:type="dxa"/>
              <w:left w:w="24" w:type="dxa"/>
              <w:bottom w:w="22" w:type="dxa"/>
              <w:right w:w="24" w:type="dxa"/>
            </w:tcMar>
          </w:tcPr>
          <w:p w14:paraId="4FAF1430" w14:textId="77777777" w:rsidR="004D7A10" w:rsidRPr="007E140B" w:rsidRDefault="004D7A10" w:rsidP="0026770E">
            <w:pPr>
              <w:spacing w:after="0" w:line="240" w:lineRule="auto"/>
              <w:rPr>
                <w:rFonts w:cs="Arial"/>
                <w:color w:val="auto"/>
              </w:rPr>
            </w:pPr>
            <w:r w:rsidRPr="007E140B">
              <w:rPr>
                <w:rFonts w:cs="Arial"/>
                <w:color w:val="auto"/>
                <w:sz w:val="15"/>
              </w:rPr>
              <w:t>To review how moderating variables shape the relationship between ESG/CSR measures and corporate financial performance.</w:t>
            </w:r>
          </w:p>
        </w:tc>
        <w:tc>
          <w:tcPr>
            <w:tcW w:w="1375" w:type="dxa"/>
            <w:shd w:val="clear" w:color="auto" w:fill="F7FAFC"/>
            <w:tcMar>
              <w:top w:w="22" w:type="dxa"/>
              <w:left w:w="24" w:type="dxa"/>
              <w:bottom w:w="22" w:type="dxa"/>
              <w:right w:w="24" w:type="dxa"/>
            </w:tcMar>
          </w:tcPr>
          <w:p w14:paraId="0AA64C95" w14:textId="77777777" w:rsidR="004D7A10" w:rsidRPr="007E140B" w:rsidRDefault="004D7A10" w:rsidP="0026770E">
            <w:pPr>
              <w:spacing w:after="0" w:line="240" w:lineRule="auto"/>
              <w:rPr>
                <w:rFonts w:cs="Arial"/>
                <w:color w:val="auto"/>
              </w:rPr>
            </w:pPr>
            <w:r w:rsidRPr="007E140B">
              <w:rPr>
                <w:rFonts w:cs="Arial"/>
                <w:color w:val="auto"/>
                <w:sz w:val="15"/>
              </w:rPr>
              <w:t>Map recent ESG/CSR–CFP research; identify major moderators, methods and gaps; explain why findings vary across contexts.</w:t>
            </w:r>
          </w:p>
        </w:tc>
        <w:tc>
          <w:tcPr>
            <w:tcW w:w="1086" w:type="dxa"/>
            <w:shd w:val="clear" w:color="auto" w:fill="F7FAFC"/>
            <w:tcMar>
              <w:top w:w="22" w:type="dxa"/>
              <w:left w:w="24" w:type="dxa"/>
              <w:bottom w:w="22" w:type="dxa"/>
              <w:right w:w="24" w:type="dxa"/>
            </w:tcMar>
          </w:tcPr>
          <w:p w14:paraId="28D4AD1F" w14:textId="77777777" w:rsidR="004D7A10" w:rsidRPr="007E140B" w:rsidRDefault="004D7A10" w:rsidP="0026770E">
            <w:pPr>
              <w:spacing w:after="0" w:line="240" w:lineRule="auto"/>
              <w:rPr>
                <w:rFonts w:cs="Arial"/>
                <w:color w:val="auto"/>
              </w:rPr>
            </w:pPr>
            <w:r w:rsidRPr="007E140B">
              <w:rPr>
                <w:rFonts w:cs="Arial"/>
                <w:color w:val="auto"/>
                <w:sz w:val="15"/>
              </w:rPr>
              <w:t>Which moderating variables influence the strength and direction of ESG/CSR relationships with corporate financial performance?</w:t>
            </w:r>
          </w:p>
        </w:tc>
        <w:tc>
          <w:tcPr>
            <w:tcW w:w="1122" w:type="dxa"/>
            <w:shd w:val="clear" w:color="auto" w:fill="F7FAFC"/>
            <w:tcMar>
              <w:top w:w="22" w:type="dxa"/>
              <w:left w:w="24" w:type="dxa"/>
              <w:bottom w:w="22" w:type="dxa"/>
              <w:right w:w="24" w:type="dxa"/>
            </w:tcMar>
          </w:tcPr>
          <w:p w14:paraId="0202528F" w14:textId="77777777" w:rsidR="004D7A10" w:rsidRPr="007E140B" w:rsidRDefault="004D7A10" w:rsidP="0026770E">
            <w:pPr>
              <w:spacing w:after="0" w:line="240" w:lineRule="auto"/>
              <w:rPr>
                <w:rFonts w:cs="Arial"/>
                <w:color w:val="auto"/>
              </w:rPr>
            </w:pPr>
            <w:r w:rsidRPr="007E140B">
              <w:rPr>
                <w:rFonts w:cs="Arial"/>
                <w:color w:val="auto"/>
                <w:sz w:val="15"/>
              </w:rPr>
              <w:t xml:space="preserve">Bibliometric analysis plus systematic review. Web of Science and Scopus records were screened using PRISMA/Rayyan; 108 articles published during 2019–2023 were </w:t>
            </w:r>
            <w:proofErr w:type="spellStart"/>
            <w:r w:rsidRPr="007E140B">
              <w:rPr>
                <w:rFonts w:cs="Arial"/>
                <w:color w:val="auto"/>
                <w:sz w:val="15"/>
              </w:rPr>
              <w:t>analysed</w:t>
            </w:r>
            <w:proofErr w:type="spellEnd"/>
            <w:r w:rsidRPr="007E140B">
              <w:rPr>
                <w:rFonts w:cs="Arial"/>
                <w:color w:val="auto"/>
                <w:sz w:val="15"/>
              </w:rPr>
              <w:t xml:space="preserve"> with bibliometric and coding/frequency methods.</w:t>
            </w:r>
          </w:p>
        </w:tc>
        <w:tc>
          <w:tcPr>
            <w:tcW w:w="1556" w:type="dxa"/>
            <w:shd w:val="clear" w:color="auto" w:fill="F7FAFC"/>
            <w:tcMar>
              <w:top w:w="22" w:type="dxa"/>
              <w:left w:w="24" w:type="dxa"/>
              <w:bottom w:w="22" w:type="dxa"/>
              <w:right w:w="24" w:type="dxa"/>
            </w:tcMar>
          </w:tcPr>
          <w:p w14:paraId="2E25F8B0" w14:textId="77777777" w:rsidR="004D7A10" w:rsidRPr="007E140B" w:rsidRDefault="004D7A10" w:rsidP="0026770E">
            <w:pPr>
              <w:spacing w:after="0" w:line="240" w:lineRule="auto"/>
              <w:rPr>
                <w:rFonts w:cs="Arial"/>
                <w:color w:val="auto"/>
              </w:rPr>
            </w:pPr>
            <w:r w:rsidRPr="007E140B">
              <w:rPr>
                <w:rFonts w:cs="Arial"/>
                <w:color w:val="auto"/>
                <w:sz w:val="15"/>
              </w:rPr>
              <w:t>Governance, culture, technological readiness, market maturity, macroeconomic conditions, industry characteristics, firm strategy and CSR engagement can materially change ESG/CSR–financial-performance relationships. Methods and definitions remain heterogeneous.</w:t>
            </w:r>
          </w:p>
        </w:tc>
        <w:tc>
          <w:tcPr>
            <w:tcW w:w="1665" w:type="dxa"/>
            <w:shd w:val="clear" w:color="auto" w:fill="F7FAFC"/>
            <w:tcMar>
              <w:top w:w="22" w:type="dxa"/>
              <w:left w:w="24" w:type="dxa"/>
              <w:bottom w:w="22" w:type="dxa"/>
              <w:right w:w="24" w:type="dxa"/>
            </w:tcMar>
          </w:tcPr>
          <w:p w14:paraId="01C24F63" w14:textId="77777777" w:rsidR="004D7A10" w:rsidRPr="007E140B" w:rsidRDefault="004D7A10" w:rsidP="0026770E">
            <w:pPr>
              <w:spacing w:after="0" w:line="240" w:lineRule="auto"/>
              <w:rPr>
                <w:rFonts w:cs="Arial"/>
                <w:color w:val="auto"/>
              </w:rPr>
            </w:pPr>
            <w:r w:rsidRPr="007E140B">
              <w:rPr>
                <w:rFonts w:cs="Arial"/>
                <w:color w:val="auto"/>
                <w:sz w:val="15"/>
              </w:rPr>
              <w:t>The review explains inconsistent ESG–financial-performance results by foregrounding moderators and contextual heterogeneity instead of searching for one universal effect.</w:t>
            </w:r>
          </w:p>
        </w:tc>
        <w:tc>
          <w:tcPr>
            <w:tcW w:w="1303" w:type="dxa"/>
            <w:shd w:val="clear" w:color="auto" w:fill="F7FAFC"/>
            <w:tcMar>
              <w:top w:w="22" w:type="dxa"/>
              <w:left w:w="24" w:type="dxa"/>
              <w:bottom w:w="22" w:type="dxa"/>
              <w:right w:w="24" w:type="dxa"/>
            </w:tcMar>
          </w:tcPr>
          <w:p w14:paraId="166C2C1C" w14:textId="77777777" w:rsidR="004D7A10" w:rsidRPr="007E140B" w:rsidRDefault="004D7A10" w:rsidP="0026770E">
            <w:pPr>
              <w:spacing w:after="0" w:line="240" w:lineRule="auto"/>
              <w:rPr>
                <w:rFonts w:cs="Arial"/>
                <w:color w:val="auto"/>
              </w:rPr>
            </w:pPr>
            <w:r w:rsidRPr="007E140B">
              <w:rPr>
                <w:rFonts w:cs="Arial"/>
                <w:color w:val="auto"/>
                <w:sz w:val="15"/>
              </w:rPr>
              <w:t>Strongly aligns with the dissertation’s configurational conclusion. It supports treating category economics, institutional conditions, measurement choices and firm-specific capabilities as boundary conditions rather than noise.</w:t>
            </w:r>
          </w:p>
        </w:tc>
        <w:tc>
          <w:tcPr>
            <w:tcW w:w="1230" w:type="dxa"/>
            <w:shd w:val="clear" w:color="auto" w:fill="F7FAFC"/>
            <w:tcMar>
              <w:top w:w="22" w:type="dxa"/>
              <w:left w:w="24" w:type="dxa"/>
              <w:bottom w:w="22" w:type="dxa"/>
              <w:right w:w="24" w:type="dxa"/>
            </w:tcMar>
          </w:tcPr>
          <w:p w14:paraId="4EE4E8EB" w14:textId="77777777" w:rsidR="004D7A10" w:rsidRPr="007E140B" w:rsidRDefault="00CC58FE" w:rsidP="0026770E">
            <w:pPr>
              <w:spacing w:after="0" w:line="240" w:lineRule="auto"/>
              <w:rPr>
                <w:rFonts w:cs="Arial"/>
                <w:color w:val="auto"/>
              </w:rPr>
            </w:pPr>
            <w:hyperlink r:id="rId67">
              <w:r w:rsidR="004D7A10" w:rsidRPr="007E140B">
                <w:rPr>
                  <w:rFonts w:cs="Arial"/>
                  <w:color w:val="auto"/>
                  <w:sz w:val="13"/>
                  <w:szCs w:val="13"/>
                </w:rPr>
                <w:t>https://doi.org/10.1016/j.jik.2024.100648</w:t>
              </w:r>
            </w:hyperlink>
          </w:p>
        </w:tc>
      </w:tr>
      <w:tr w:rsidR="007E140B" w:rsidRPr="007E140B" w14:paraId="7C7E89D0" w14:textId="77777777" w:rsidTr="0026770E">
        <w:trPr>
          <w:cantSplit/>
          <w:jc w:val="center"/>
        </w:trPr>
        <w:tc>
          <w:tcPr>
            <w:tcW w:w="504" w:type="dxa"/>
            <w:shd w:val="clear" w:color="auto" w:fill="EAF1F7"/>
            <w:tcMar>
              <w:top w:w="22" w:type="dxa"/>
              <w:left w:w="24" w:type="dxa"/>
              <w:bottom w:w="22" w:type="dxa"/>
              <w:right w:w="24" w:type="dxa"/>
            </w:tcMar>
            <w:vAlign w:val="center"/>
          </w:tcPr>
          <w:p w14:paraId="271BDDE7"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12</w:t>
            </w:r>
          </w:p>
        </w:tc>
        <w:tc>
          <w:tcPr>
            <w:tcW w:w="1447" w:type="dxa"/>
            <w:shd w:val="clear" w:color="auto" w:fill="EAF1F7"/>
            <w:tcMar>
              <w:top w:w="22" w:type="dxa"/>
              <w:left w:w="24" w:type="dxa"/>
              <w:bottom w:w="22" w:type="dxa"/>
              <w:right w:w="24" w:type="dxa"/>
            </w:tcMar>
          </w:tcPr>
          <w:p w14:paraId="731CB3F1" w14:textId="77777777" w:rsidR="004D7A10" w:rsidRPr="007E140B" w:rsidRDefault="004D7A10" w:rsidP="0026770E">
            <w:pPr>
              <w:spacing w:after="0" w:line="240" w:lineRule="auto"/>
              <w:rPr>
                <w:rFonts w:cs="Arial"/>
                <w:color w:val="auto"/>
              </w:rPr>
            </w:pPr>
            <w:r w:rsidRPr="007E140B">
              <w:rPr>
                <w:rFonts w:cs="Arial"/>
                <w:b/>
                <w:color w:val="auto"/>
                <w:sz w:val="15"/>
              </w:rPr>
              <w:t>The End of ESG</w:t>
            </w:r>
          </w:p>
        </w:tc>
        <w:tc>
          <w:tcPr>
            <w:tcW w:w="1049" w:type="dxa"/>
            <w:shd w:val="clear" w:color="auto" w:fill="EAF1F7"/>
            <w:tcMar>
              <w:top w:w="22" w:type="dxa"/>
              <w:left w:w="24" w:type="dxa"/>
              <w:bottom w:w="22" w:type="dxa"/>
              <w:right w:w="24" w:type="dxa"/>
            </w:tcMar>
          </w:tcPr>
          <w:p w14:paraId="2F301A44" w14:textId="77777777" w:rsidR="004D7A10" w:rsidRPr="007E140B" w:rsidRDefault="004D7A10" w:rsidP="0026770E">
            <w:pPr>
              <w:spacing w:after="0" w:line="240" w:lineRule="auto"/>
              <w:rPr>
                <w:rFonts w:cs="Arial"/>
                <w:color w:val="auto"/>
              </w:rPr>
            </w:pPr>
            <w:r w:rsidRPr="007E140B">
              <w:rPr>
                <w:rFonts w:cs="Arial"/>
                <w:color w:val="auto"/>
                <w:sz w:val="15"/>
              </w:rPr>
              <w:t>Financial Management</w:t>
            </w:r>
          </w:p>
        </w:tc>
        <w:tc>
          <w:tcPr>
            <w:tcW w:w="905" w:type="dxa"/>
            <w:shd w:val="clear" w:color="auto" w:fill="EAF1F7"/>
            <w:tcMar>
              <w:top w:w="22" w:type="dxa"/>
              <w:left w:w="24" w:type="dxa"/>
              <w:bottom w:w="22" w:type="dxa"/>
              <w:right w:w="24" w:type="dxa"/>
            </w:tcMar>
          </w:tcPr>
          <w:p w14:paraId="636C63F7" w14:textId="77777777" w:rsidR="004D7A10" w:rsidRPr="007E140B" w:rsidRDefault="004D7A10" w:rsidP="0026770E">
            <w:pPr>
              <w:spacing w:after="0" w:line="240" w:lineRule="auto"/>
              <w:rPr>
                <w:rFonts w:cs="Arial"/>
                <w:color w:val="auto"/>
              </w:rPr>
            </w:pPr>
            <w:r w:rsidRPr="007E140B">
              <w:rPr>
                <w:rFonts w:cs="Arial"/>
                <w:color w:val="auto"/>
                <w:sz w:val="15"/>
              </w:rPr>
              <w:t>Edmans, A.</w:t>
            </w:r>
          </w:p>
        </w:tc>
        <w:tc>
          <w:tcPr>
            <w:tcW w:w="648" w:type="dxa"/>
            <w:shd w:val="clear" w:color="auto" w:fill="EAF1F7"/>
            <w:tcMar>
              <w:top w:w="22" w:type="dxa"/>
              <w:left w:w="24" w:type="dxa"/>
              <w:bottom w:w="22" w:type="dxa"/>
              <w:right w:w="24" w:type="dxa"/>
            </w:tcMar>
            <w:vAlign w:val="center"/>
          </w:tcPr>
          <w:p w14:paraId="5043DC96" w14:textId="77777777" w:rsidR="004D7A10" w:rsidRPr="007E140B" w:rsidRDefault="004D7A10" w:rsidP="0026770E">
            <w:pPr>
              <w:spacing w:after="0" w:line="240" w:lineRule="auto"/>
              <w:jc w:val="center"/>
              <w:rPr>
                <w:rFonts w:cs="Arial"/>
                <w:color w:val="auto"/>
              </w:rPr>
            </w:pPr>
            <w:r w:rsidRPr="007E140B">
              <w:rPr>
                <w:rFonts w:cs="Arial"/>
                <w:b/>
                <w:color w:val="auto"/>
                <w:sz w:val="15"/>
              </w:rPr>
              <w:t>2023</w:t>
            </w:r>
          </w:p>
        </w:tc>
        <w:tc>
          <w:tcPr>
            <w:tcW w:w="1230" w:type="dxa"/>
            <w:shd w:val="clear" w:color="auto" w:fill="EAF1F7"/>
            <w:tcMar>
              <w:top w:w="22" w:type="dxa"/>
              <w:left w:w="24" w:type="dxa"/>
              <w:bottom w:w="22" w:type="dxa"/>
              <w:right w:w="24" w:type="dxa"/>
            </w:tcMar>
          </w:tcPr>
          <w:p w14:paraId="567248DF" w14:textId="77777777" w:rsidR="004D7A10" w:rsidRPr="007E140B" w:rsidRDefault="004D7A10" w:rsidP="0026770E">
            <w:pPr>
              <w:spacing w:after="0" w:line="240" w:lineRule="auto"/>
              <w:rPr>
                <w:rFonts w:cs="Arial"/>
                <w:color w:val="auto"/>
              </w:rPr>
            </w:pPr>
            <w:r w:rsidRPr="007E140B">
              <w:rPr>
                <w:rFonts w:cs="Arial"/>
                <w:color w:val="auto"/>
                <w:sz w:val="15"/>
              </w:rPr>
              <w:t>To challenge the treatment of ESG as a separate, special category and reposition material stakeholder issues within ordinary long-term business and investment analysis.</w:t>
            </w:r>
          </w:p>
        </w:tc>
        <w:tc>
          <w:tcPr>
            <w:tcW w:w="1375" w:type="dxa"/>
            <w:shd w:val="clear" w:color="auto" w:fill="EAF1F7"/>
            <w:tcMar>
              <w:top w:w="22" w:type="dxa"/>
              <w:left w:w="24" w:type="dxa"/>
              <w:bottom w:w="22" w:type="dxa"/>
              <w:right w:w="24" w:type="dxa"/>
            </w:tcMar>
          </w:tcPr>
          <w:p w14:paraId="79627FCE" w14:textId="77777777" w:rsidR="004D7A10" w:rsidRPr="007E140B" w:rsidRDefault="004D7A10" w:rsidP="0026770E">
            <w:pPr>
              <w:spacing w:after="0" w:line="240" w:lineRule="auto"/>
              <w:rPr>
                <w:rFonts w:cs="Arial"/>
                <w:color w:val="auto"/>
              </w:rPr>
            </w:pPr>
            <w:r w:rsidRPr="007E140B">
              <w:rPr>
                <w:rFonts w:cs="Arial"/>
                <w:color w:val="auto"/>
                <w:sz w:val="15"/>
              </w:rPr>
              <w:t>Clarify conceptual problems created by the ESG label; distinguish material from immaterial stakeholder issues; argue for integration with mainstream strategy and finance.</w:t>
            </w:r>
          </w:p>
        </w:tc>
        <w:tc>
          <w:tcPr>
            <w:tcW w:w="1086" w:type="dxa"/>
            <w:shd w:val="clear" w:color="auto" w:fill="EAF1F7"/>
            <w:tcMar>
              <w:top w:w="22" w:type="dxa"/>
              <w:left w:w="24" w:type="dxa"/>
              <w:bottom w:w="22" w:type="dxa"/>
              <w:right w:w="24" w:type="dxa"/>
            </w:tcMar>
          </w:tcPr>
          <w:p w14:paraId="52CDF826" w14:textId="77777777" w:rsidR="004D7A10" w:rsidRPr="007E140B" w:rsidRDefault="004D7A10" w:rsidP="0026770E">
            <w:pPr>
              <w:spacing w:after="0" w:line="240" w:lineRule="auto"/>
              <w:rPr>
                <w:rFonts w:cs="Arial"/>
                <w:color w:val="auto"/>
              </w:rPr>
            </w:pPr>
            <w:r w:rsidRPr="007E140B">
              <w:rPr>
                <w:rFonts w:cs="Arial"/>
                <w:color w:val="auto"/>
                <w:sz w:val="15"/>
              </w:rPr>
              <w:t>Should ESG be treated as a distinct objective, or should material environmental and social factors be evaluated like other drivers of long-term value?</w:t>
            </w:r>
          </w:p>
        </w:tc>
        <w:tc>
          <w:tcPr>
            <w:tcW w:w="1122" w:type="dxa"/>
            <w:shd w:val="clear" w:color="auto" w:fill="EAF1F7"/>
            <w:tcMar>
              <w:top w:w="22" w:type="dxa"/>
              <w:left w:w="24" w:type="dxa"/>
              <w:bottom w:w="22" w:type="dxa"/>
              <w:right w:w="24" w:type="dxa"/>
            </w:tcMar>
          </w:tcPr>
          <w:p w14:paraId="42B59C73" w14:textId="77777777" w:rsidR="004D7A10" w:rsidRPr="007E140B" w:rsidRDefault="004D7A10" w:rsidP="0026770E">
            <w:pPr>
              <w:spacing w:after="0" w:line="240" w:lineRule="auto"/>
              <w:rPr>
                <w:rFonts w:cs="Arial"/>
                <w:color w:val="auto"/>
              </w:rPr>
            </w:pPr>
            <w:r w:rsidRPr="007E140B">
              <w:rPr>
                <w:rFonts w:cs="Arial"/>
                <w:color w:val="auto"/>
                <w:sz w:val="15"/>
              </w:rPr>
              <w:t>Conceptual essay grounded in finance, stakeholder and ESG literature; no empirical sample.</w:t>
            </w:r>
          </w:p>
        </w:tc>
        <w:tc>
          <w:tcPr>
            <w:tcW w:w="1556" w:type="dxa"/>
            <w:shd w:val="clear" w:color="auto" w:fill="EAF1F7"/>
            <w:tcMar>
              <w:top w:w="22" w:type="dxa"/>
              <w:left w:w="24" w:type="dxa"/>
              <w:bottom w:w="22" w:type="dxa"/>
              <w:right w:w="24" w:type="dxa"/>
            </w:tcMar>
          </w:tcPr>
          <w:p w14:paraId="4C3FCF07" w14:textId="77777777" w:rsidR="004D7A10" w:rsidRPr="007E140B" w:rsidRDefault="004D7A10" w:rsidP="0026770E">
            <w:pPr>
              <w:spacing w:after="0" w:line="240" w:lineRule="auto"/>
              <w:rPr>
                <w:rFonts w:cs="Arial"/>
                <w:color w:val="auto"/>
              </w:rPr>
            </w:pPr>
            <w:r w:rsidRPr="007E140B">
              <w:rPr>
                <w:rFonts w:cs="Arial"/>
                <w:color w:val="auto"/>
                <w:sz w:val="15"/>
              </w:rPr>
              <w:t xml:space="preserve">ESG matters when specific stakeholder issues are material to long-term value, but the label can encourage box-ticking, </w:t>
            </w:r>
            <w:proofErr w:type="spellStart"/>
            <w:r w:rsidRPr="007E140B">
              <w:rPr>
                <w:rFonts w:cs="Arial"/>
                <w:color w:val="auto"/>
                <w:sz w:val="15"/>
              </w:rPr>
              <w:t>overgeneralisation</w:t>
            </w:r>
            <w:proofErr w:type="spellEnd"/>
            <w:r w:rsidRPr="007E140B">
              <w:rPr>
                <w:rFonts w:cs="Arial"/>
                <w:color w:val="auto"/>
                <w:sz w:val="15"/>
              </w:rPr>
              <w:t xml:space="preserve"> and false separation from core strategy. Material ESG factors should be integrated into normal decision-making.</w:t>
            </w:r>
          </w:p>
        </w:tc>
        <w:tc>
          <w:tcPr>
            <w:tcW w:w="1665" w:type="dxa"/>
            <w:shd w:val="clear" w:color="auto" w:fill="EAF1F7"/>
            <w:tcMar>
              <w:top w:w="22" w:type="dxa"/>
              <w:left w:w="24" w:type="dxa"/>
              <w:bottom w:w="22" w:type="dxa"/>
              <w:right w:w="24" w:type="dxa"/>
            </w:tcMar>
          </w:tcPr>
          <w:p w14:paraId="46F624EC" w14:textId="77777777" w:rsidR="004D7A10" w:rsidRPr="007E140B" w:rsidRDefault="004D7A10" w:rsidP="0026770E">
            <w:pPr>
              <w:spacing w:after="0" w:line="240" w:lineRule="auto"/>
              <w:rPr>
                <w:rFonts w:cs="Arial"/>
                <w:color w:val="auto"/>
              </w:rPr>
            </w:pPr>
            <w:r w:rsidRPr="007E140B">
              <w:rPr>
                <w:rFonts w:cs="Arial"/>
                <w:color w:val="auto"/>
                <w:sz w:val="15"/>
              </w:rPr>
              <w:t>The article argues that ESG should become less of a fashionable standalone label and more of a disciplined way to incorporate financially and socially relevant stakeholder issues into strategy.</w:t>
            </w:r>
          </w:p>
        </w:tc>
        <w:tc>
          <w:tcPr>
            <w:tcW w:w="1303" w:type="dxa"/>
            <w:shd w:val="clear" w:color="auto" w:fill="EAF1F7"/>
            <w:tcMar>
              <w:top w:w="22" w:type="dxa"/>
              <w:left w:w="24" w:type="dxa"/>
              <w:bottom w:w="22" w:type="dxa"/>
              <w:right w:w="24" w:type="dxa"/>
            </w:tcMar>
          </w:tcPr>
          <w:p w14:paraId="6BF3425B" w14:textId="77777777" w:rsidR="004D7A10" w:rsidRPr="007E140B" w:rsidRDefault="004D7A10" w:rsidP="0026770E">
            <w:pPr>
              <w:spacing w:after="0" w:line="240" w:lineRule="auto"/>
              <w:rPr>
                <w:rFonts w:cs="Arial"/>
                <w:color w:val="auto"/>
              </w:rPr>
            </w:pPr>
            <w:r w:rsidRPr="007E140B">
              <w:rPr>
                <w:rFonts w:cs="Arial"/>
                <w:color w:val="auto"/>
                <w:sz w:val="15"/>
              </w:rPr>
              <w:t>Closely matches the dissertation’s central framing that value depends less on the ESG label than on material priorities, governed execution and verified outcomes. It helps justify mechanism-specific rather than score-based analysis.</w:t>
            </w:r>
          </w:p>
        </w:tc>
        <w:tc>
          <w:tcPr>
            <w:tcW w:w="1230" w:type="dxa"/>
            <w:shd w:val="clear" w:color="auto" w:fill="EAF1F7"/>
            <w:tcMar>
              <w:top w:w="22" w:type="dxa"/>
              <w:left w:w="24" w:type="dxa"/>
              <w:bottom w:w="22" w:type="dxa"/>
              <w:right w:w="24" w:type="dxa"/>
            </w:tcMar>
          </w:tcPr>
          <w:p w14:paraId="6E4587FB" w14:textId="77777777" w:rsidR="004D7A10" w:rsidRPr="007E140B" w:rsidRDefault="00CC58FE" w:rsidP="0026770E">
            <w:pPr>
              <w:spacing w:after="0" w:line="240" w:lineRule="auto"/>
              <w:rPr>
                <w:rFonts w:cs="Arial"/>
                <w:color w:val="auto"/>
              </w:rPr>
            </w:pPr>
            <w:hyperlink r:id="rId68">
              <w:r w:rsidR="004D7A10" w:rsidRPr="007E140B">
                <w:rPr>
                  <w:rFonts w:cs="Arial"/>
                  <w:color w:val="auto"/>
                  <w:sz w:val="13"/>
                  <w:szCs w:val="13"/>
                </w:rPr>
                <w:t>https://doi.org/10.1111/fima.12413</w:t>
              </w:r>
            </w:hyperlink>
          </w:p>
        </w:tc>
      </w:tr>
      <w:tr w:rsidR="007E140B" w:rsidRPr="007E140B" w14:paraId="2959DF25" w14:textId="77777777" w:rsidTr="0026770E">
        <w:trPr>
          <w:cantSplit/>
          <w:jc w:val="center"/>
        </w:trPr>
        <w:tc>
          <w:tcPr>
            <w:tcW w:w="504" w:type="dxa"/>
            <w:shd w:val="clear" w:color="auto" w:fill="F7FAFC"/>
            <w:tcMar>
              <w:top w:w="22" w:type="dxa"/>
              <w:left w:w="24" w:type="dxa"/>
              <w:bottom w:w="22" w:type="dxa"/>
              <w:right w:w="24" w:type="dxa"/>
            </w:tcMar>
            <w:vAlign w:val="center"/>
          </w:tcPr>
          <w:p w14:paraId="1D79E47B" w14:textId="77777777" w:rsidR="004D7A10" w:rsidRPr="007E140B" w:rsidRDefault="004D7A10" w:rsidP="0026770E">
            <w:pPr>
              <w:spacing w:after="0" w:line="240" w:lineRule="auto"/>
              <w:jc w:val="center"/>
              <w:rPr>
                <w:rFonts w:cs="Arial"/>
                <w:color w:val="auto"/>
              </w:rPr>
            </w:pPr>
            <w:r w:rsidRPr="007E140B">
              <w:rPr>
                <w:rFonts w:cs="Arial"/>
                <w:b/>
                <w:color w:val="auto"/>
                <w:sz w:val="15"/>
              </w:rPr>
              <w:t>13</w:t>
            </w:r>
          </w:p>
        </w:tc>
        <w:tc>
          <w:tcPr>
            <w:tcW w:w="1447" w:type="dxa"/>
            <w:shd w:val="clear" w:color="auto" w:fill="F7FAFC"/>
            <w:tcMar>
              <w:top w:w="22" w:type="dxa"/>
              <w:left w:w="24" w:type="dxa"/>
              <w:bottom w:w="22" w:type="dxa"/>
              <w:right w:w="24" w:type="dxa"/>
            </w:tcMar>
          </w:tcPr>
          <w:p w14:paraId="683EF628" w14:textId="77777777" w:rsidR="004D7A10" w:rsidRPr="007E140B" w:rsidRDefault="004D7A10" w:rsidP="0026770E">
            <w:pPr>
              <w:spacing w:after="0" w:line="240" w:lineRule="auto"/>
              <w:rPr>
                <w:rFonts w:cs="Arial"/>
                <w:color w:val="auto"/>
              </w:rPr>
            </w:pPr>
            <w:r w:rsidRPr="007E140B">
              <w:rPr>
                <w:rFonts w:cs="Arial"/>
                <w:b/>
                <w:color w:val="auto"/>
                <w:sz w:val="15"/>
              </w:rPr>
              <w:t>Firms’ ESG Reputational Risk and Market Longevity: A Firm-Level Analysis for the United States</w:t>
            </w:r>
          </w:p>
        </w:tc>
        <w:tc>
          <w:tcPr>
            <w:tcW w:w="1049" w:type="dxa"/>
            <w:shd w:val="clear" w:color="auto" w:fill="F7FAFC"/>
            <w:tcMar>
              <w:top w:w="22" w:type="dxa"/>
              <w:left w:w="24" w:type="dxa"/>
              <w:bottom w:w="22" w:type="dxa"/>
              <w:right w:w="24" w:type="dxa"/>
            </w:tcMar>
          </w:tcPr>
          <w:p w14:paraId="52765491" w14:textId="77777777" w:rsidR="004D7A10" w:rsidRPr="007E140B" w:rsidRDefault="004D7A10" w:rsidP="0026770E">
            <w:pPr>
              <w:spacing w:after="0" w:line="240" w:lineRule="auto"/>
              <w:rPr>
                <w:rFonts w:cs="Arial"/>
                <w:color w:val="auto"/>
              </w:rPr>
            </w:pPr>
            <w:r w:rsidRPr="007E140B">
              <w:rPr>
                <w:rFonts w:cs="Arial"/>
                <w:color w:val="auto"/>
                <w:sz w:val="15"/>
              </w:rPr>
              <w:t>Journal of Business Research</w:t>
            </w:r>
          </w:p>
        </w:tc>
        <w:tc>
          <w:tcPr>
            <w:tcW w:w="905" w:type="dxa"/>
            <w:shd w:val="clear" w:color="auto" w:fill="F7FAFC"/>
            <w:tcMar>
              <w:top w:w="22" w:type="dxa"/>
              <w:left w:w="24" w:type="dxa"/>
              <w:bottom w:w="22" w:type="dxa"/>
              <w:right w:w="24" w:type="dxa"/>
            </w:tcMar>
          </w:tcPr>
          <w:p w14:paraId="20971811"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Fafaliou</w:t>
            </w:r>
            <w:proofErr w:type="spellEnd"/>
            <w:r w:rsidRPr="007E140B">
              <w:rPr>
                <w:rFonts w:cs="Arial"/>
                <w:color w:val="auto"/>
                <w:sz w:val="15"/>
              </w:rPr>
              <w:t xml:space="preserve">, I.; Giaka, M.; </w:t>
            </w:r>
            <w:proofErr w:type="spellStart"/>
            <w:r w:rsidRPr="007E140B">
              <w:rPr>
                <w:rFonts w:cs="Arial"/>
                <w:color w:val="auto"/>
                <w:sz w:val="15"/>
              </w:rPr>
              <w:t>Konstantios</w:t>
            </w:r>
            <w:proofErr w:type="spellEnd"/>
            <w:r w:rsidRPr="007E140B">
              <w:rPr>
                <w:rFonts w:cs="Arial"/>
                <w:color w:val="auto"/>
                <w:sz w:val="15"/>
              </w:rPr>
              <w:t xml:space="preserve">, D.; </w:t>
            </w:r>
            <w:proofErr w:type="spellStart"/>
            <w:r w:rsidRPr="007E140B">
              <w:rPr>
                <w:rFonts w:cs="Arial"/>
                <w:color w:val="auto"/>
                <w:sz w:val="15"/>
              </w:rPr>
              <w:t>Polemis</w:t>
            </w:r>
            <w:proofErr w:type="spellEnd"/>
            <w:r w:rsidRPr="007E140B">
              <w:rPr>
                <w:rFonts w:cs="Arial"/>
                <w:color w:val="auto"/>
                <w:sz w:val="15"/>
              </w:rPr>
              <w:t>, M.</w:t>
            </w:r>
          </w:p>
        </w:tc>
        <w:tc>
          <w:tcPr>
            <w:tcW w:w="648" w:type="dxa"/>
            <w:shd w:val="clear" w:color="auto" w:fill="F7FAFC"/>
            <w:tcMar>
              <w:top w:w="22" w:type="dxa"/>
              <w:left w:w="24" w:type="dxa"/>
              <w:bottom w:w="22" w:type="dxa"/>
              <w:right w:w="24" w:type="dxa"/>
            </w:tcMar>
            <w:vAlign w:val="center"/>
          </w:tcPr>
          <w:p w14:paraId="5F831266"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F7FAFC"/>
            <w:tcMar>
              <w:top w:w="22" w:type="dxa"/>
              <w:left w:w="24" w:type="dxa"/>
              <w:bottom w:w="22" w:type="dxa"/>
              <w:right w:w="24" w:type="dxa"/>
            </w:tcMar>
          </w:tcPr>
          <w:p w14:paraId="4265C52C" w14:textId="77777777" w:rsidR="004D7A10" w:rsidRPr="007E140B" w:rsidRDefault="004D7A10" w:rsidP="0026770E">
            <w:pPr>
              <w:spacing w:after="0" w:line="240" w:lineRule="auto"/>
              <w:rPr>
                <w:rFonts w:cs="Arial"/>
                <w:color w:val="auto"/>
              </w:rPr>
            </w:pPr>
            <w:r w:rsidRPr="007E140B">
              <w:rPr>
                <w:rFonts w:cs="Arial"/>
                <w:color w:val="auto"/>
                <w:sz w:val="15"/>
              </w:rPr>
              <w:t>To examine whether ESG reputational risk affects listed firms’ growth opportunities and market longevity.</w:t>
            </w:r>
          </w:p>
        </w:tc>
        <w:tc>
          <w:tcPr>
            <w:tcW w:w="1375" w:type="dxa"/>
            <w:shd w:val="clear" w:color="auto" w:fill="F7FAFC"/>
            <w:tcMar>
              <w:top w:w="22" w:type="dxa"/>
              <w:left w:w="24" w:type="dxa"/>
              <w:bottom w:w="22" w:type="dxa"/>
              <w:right w:w="24" w:type="dxa"/>
            </w:tcMar>
          </w:tcPr>
          <w:p w14:paraId="5549F4F6" w14:textId="77777777" w:rsidR="004D7A10" w:rsidRPr="007E140B" w:rsidRDefault="004D7A10" w:rsidP="0026770E">
            <w:pPr>
              <w:spacing w:after="0" w:line="240" w:lineRule="auto"/>
              <w:rPr>
                <w:rFonts w:cs="Arial"/>
                <w:color w:val="auto"/>
              </w:rPr>
            </w:pPr>
            <w:r w:rsidRPr="007E140B">
              <w:rPr>
                <w:rFonts w:cs="Arial"/>
                <w:color w:val="auto"/>
                <w:sz w:val="15"/>
              </w:rPr>
              <w:t>Quantify the ESG reputational-risk–longevity relationship; investigate financing/growth channels; test robustness using firm-level panel data.</w:t>
            </w:r>
          </w:p>
        </w:tc>
        <w:tc>
          <w:tcPr>
            <w:tcW w:w="1086" w:type="dxa"/>
            <w:shd w:val="clear" w:color="auto" w:fill="F7FAFC"/>
            <w:tcMar>
              <w:top w:w="22" w:type="dxa"/>
              <w:left w:w="24" w:type="dxa"/>
              <w:bottom w:w="22" w:type="dxa"/>
              <w:right w:w="24" w:type="dxa"/>
            </w:tcMar>
          </w:tcPr>
          <w:p w14:paraId="11476241" w14:textId="77777777" w:rsidR="004D7A10" w:rsidRPr="007E140B" w:rsidRDefault="004D7A10" w:rsidP="0026770E">
            <w:pPr>
              <w:spacing w:after="0" w:line="240" w:lineRule="auto"/>
              <w:rPr>
                <w:rFonts w:cs="Arial"/>
                <w:color w:val="auto"/>
              </w:rPr>
            </w:pPr>
            <w:r w:rsidRPr="007E140B">
              <w:rPr>
                <w:rFonts w:cs="Arial"/>
                <w:color w:val="auto"/>
                <w:sz w:val="15"/>
              </w:rPr>
              <w:t>Do firms with high ESG reputational risk face weaker growth opportunities, restricted external financing and shorter market longevity?</w:t>
            </w:r>
          </w:p>
        </w:tc>
        <w:tc>
          <w:tcPr>
            <w:tcW w:w="1122" w:type="dxa"/>
            <w:shd w:val="clear" w:color="auto" w:fill="F7FAFC"/>
            <w:tcMar>
              <w:top w:w="22" w:type="dxa"/>
              <w:left w:w="24" w:type="dxa"/>
              <w:bottom w:w="22" w:type="dxa"/>
              <w:right w:w="24" w:type="dxa"/>
            </w:tcMar>
          </w:tcPr>
          <w:p w14:paraId="7A9105C4" w14:textId="77777777" w:rsidR="004D7A10" w:rsidRPr="007E140B" w:rsidRDefault="004D7A10" w:rsidP="0026770E">
            <w:pPr>
              <w:spacing w:after="0" w:line="240" w:lineRule="auto"/>
              <w:rPr>
                <w:rFonts w:cs="Arial"/>
                <w:color w:val="auto"/>
              </w:rPr>
            </w:pPr>
            <w:r w:rsidRPr="007E140B">
              <w:rPr>
                <w:rFonts w:cs="Arial"/>
                <w:color w:val="auto"/>
                <w:sz w:val="15"/>
              </w:rPr>
              <w:t>Dynamic panel analysis of 1,528 U.S. listed firms from 2007–2019 using CRSP/</w:t>
            </w:r>
            <w:proofErr w:type="spellStart"/>
            <w:r w:rsidRPr="007E140B">
              <w:rPr>
                <w:rFonts w:cs="Arial"/>
                <w:color w:val="auto"/>
                <w:sz w:val="15"/>
              </w:rPr>
              <w:t>Compustat</w:t>
            </w:r>
            <w:proofErr w:type="spellEnd"/>
            <w:r w:rsidRPr="007E140B">
              <w:rPr>
                <w:rFonts w:cs="Arial"/>
                <w:color w:val="auto"/>
                <w:sz w:val="15"/>
              </w:rPr>
              <w:t xml:space="preserve"> financial data and </w:t>
            </w:r>
            <w:proofErr w:type="spellStart"/>
            <w:r w:rsidRPr="007E140B">
              <w:rPr>
                <w:rFonts w:cs="Arial"/>
                <w:color w:val="auto"/>
                <w:sz w:val="15"/>
              </w:rPr>
              <w:t>RepRisk</w:t>
            </w:r>
            <w:proofErr w:type="spellEnd"/>
            <w:r w:rsidRPr="007E140B">
              <w:rPr>
                <w:rFonts w:cs="Arial"/>
                <w:color w:val="auto"/>
                <w:sz w:val="15"/>
              </w:rPr>
              <w:t xml:space="preserve"> ESG information, with robustness checks.</w:t>
            </w:r>
          </w:p>
        </w:tc>
        <w:tc>
          <w:tcPr>
            <w:tcW w:w="1556" w:type="dxa"/>
            <w:shd w:val="clear" w:color="auto" w:fill="F7FAFC"/>
            <w:tcMar>
              <w:top w:w="22" w:type="dxa"/>
              <w:left w:w="24" w:type="dxa"/>
              <w:bottom w:w="22" w:type="dxa"/>
              <w:right w:w="24" w:type="dxa"/>
            </w:tcMar>
          </w:tcPr>
          <w:p w14:paraId="28972C36" w14:textId="77777777" w:rsidR="004D7A10" w:rsidRPr="007E140B" w:rsidRDefault="004D7A10" w:rsidP="0026770E">
            <w:pPr>
              <w:spacing w:after="0" w:line="240" w:lineRule="auto"/>
              <w:rPr>
                <w:rFonts w:cs="Arial"/>
                <w:color w:val="auto"/>
              </w:rPr>
            </w:pPr>
            <w:r w:rsidRPr="007E140B">
              <w:rPr>
                <w:rFonts w:cs="Arial"/>
                <w:color w:val="auto"/>
                <w:sz w:val="15"/>
              </w:rPr>
              <w:t>Higher ESG reputational risk is associated with weaker growth opportunities and reduced market longevity; the results are robust across alternative specifications.</w:t>
            </w:r>
          </w:p>
        </w:tc>
        <w:tc>
          <w:tcPr>
            <w:tcW w:w="1665" w:type="dxa"/>
            <w:shd w:val="clear" w:color="auto" w:fill="F7FAFC"/>
            <w:tcMar>
              <w:top w:w="22" w:type="dxa"/>
              <w:left w:w="24" w:type="dxa"/>
              <w:bottom w:w="22" w:type="dxa"/>
              <w:right w:w="24" w:type="dxa"/>
            </w:tcMar>
          </w:tcPr>
          <w:p w14:paraId="4A87DEC5" w14:textId="77777777" w:rsidR="004D7A10" w:rsidRPr="007E140B" w:rsidRDefault="004D7A10" w:rsidP="0026770E">
            <w:pPr>
              <w:spacing w:after="0" w:line="240" w:lineRule="auto"/>
              <w:rPr>
                <w:rFonts w:cs="Arial"/>
                <w:color w:val="auto"/>
              </w:rPr>
            </w:pPr>
            <w:r w:rsidRPr="007E140B">
              <w:rPr>
                <w:rFonts w:cs="Arial"/>
                <w:color w:val="auto"/>
                <w:sz w:val="15"/>
              </w:rPr>
              <w:t>The study treats ESG reputation as a market-relevant risk signal and links greater reputational risk to constraints on firms’ growth dynamics and persistence in public markets.</w:t>
            </w:r>
          </w:p>
        </w:tc>
        <w:tc>
          <w:tcPr>
            <w:tcW w:w="1303" w:type="dxa"/>
            <w:shd w:val="clear" w:color="auto" w:fill="F7FAFC"/>
            <w:tcMar>
              <w:top w:w="22" w:type="dxa"/>
              <w:left w:w="24" w:type="dxa"/>
              <w:bottom w:w="22" w:type="dxa"/>
              <w:right w:w="24" w:type="dxa"/>
            </w:tcMar>
          </w:tcPr>
          <w:p w14:paraId="597A0C86"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relational pathway and the idea that reputational exposure can have strategic consequences. The dissertation appropriately notes that U.S. market-longevity evidence is not a direct measure of UK consumer trust.</w:t>
            </w:r>
          </w:p>
        </w:tc>
        <w:tc>
          <w:tcPr>
            <w:tcW w:w="1230" w:type="dxa"/>
            <w:shd w:val="clear" w:color="auto" w:fill="F7FAFC"/>
            <w:tcMar>
              <w:top w:w="22" w:type="dxa"/>
              <w:left w:w="24" w:type="dxa"/>
              <w:bottom w:w="22" w:type="dxa"/>
              <w:right w:w="24" w:type="dxa"/>
            </w:tcMar>
          </w:tcPr>
          <w:p w14:paraId="3A3F4C2B" w14:textId="77777777" w:rsidR="004D7A10" w:rsidRPr="007E140B" w:rsidRDefault="00CC58FE" w:rsidP="0026770E">
            <w:pPr>
              <w:spacing w:after="0" w:line="240" w:lineRule="auto"/>
              <w:rPr>
                <w:rFonts w:cs="Arial"/>
                <w:color w:val="auto"/>
              </w:rPr>
            </w:pPr>
            <w:hyperlink r:id="rId69">
              <w:r w:rsidR="004D7A10" w:rsidRPr="007E140B">
                <w:rPr>
                  <w:rFonts w:cs="Arial"/>
                  <w:color w:val="auto"/>
                  <w:sz w:val="13"/>
                  <w:szCs w:val="13"/>
                </w:rPr>
                <w:t>https://doi.org/10.1016/j.jbusres.2022.05.010</w:t>
              </w:r>
            </w:hyperlink>
          </w:p>
        </w:tc>
      </w:tr>
      <w:tr w:rsidR="007E140B" w:rsidRPr="007E140B" w14:paraId="6BA98AD6" w14:textId="77777777" w:rsidTr="0026770E">
        <w:trPr>
          <w:cantSplit/>
          <w:jc w:val="center"/>
        </w:trPr>
        <w:tc>
          <w:tcPr>
            <w:tcW w:w="504" w:type="dxa"/>
            <w:shd w:val="clear" w:color="auto" w:fill="EAF1F7"/>
            <w:tcMar>
              <w:top w:w="22" w:type="dxa"/>
              <w:left w:w="24" w:type="dxa"/>
              <w:bottom w:w="22" w:type="dxa"/>
              <w:right w:w="24" w:type="dxa"/>
            </w:tcMar>
            <w:vAlign w:val="center"/>
          </w:tcPr>
          <w:p w14:paraId="77D259E4" w14:textId="77777777" w:rsidR="004D7A10" w:rsidRPr="007E140B" w:rsidRDefault="004D7A10" w:rsidP="0026770E">
            <w:pPr>
              <w:spacing w:after="0" w:line="240" w:lineRule="auto"/>
              <w:jc w:val="center"/>
              <w:rPr>
                <w:rFonts w:cs="Arial"/>
                <w:color w:val="auto"/>
              </w:rPr>
            </w:pPr>
            <w:r w:rsidRPr="007E140B">
              <w:rPr>
                <w:rFonts w:cs="Arial"/>
                <w:b/>
                <w:color w:val="auto"/>
                <w:sz w:val="15"/>
              </w:rPr>
              <w:t>14</w:t>
            </w:r>
          </w:p>
        </w:tc>
        <w:tc>
          <w:tcPr>
            <w:tcW w:w="1447" w:type="dxa"/>
            <w:shd w:val="clear" w:color="auto" w:fill="EAF1F7"/>
            <w:tcMar>
              <w:top w:w="22" w:type="dxa"/>
              <w:left w:w="24" w:type="dxa"/>
              <w:bottom w:w="22" w:type="dxa"/>
              <w:right w:w="24" w:type="dxa"/>
            </w:tcMar>
          </w:tcPr>
          <w:p w14:paraId="5BCF7CA8" w14:textId="77777777" w:rsidR="004D7A10" w:rsidRPr="007E140B" w:rsidRDefault="004D7A10" w:rsidP="0026770E">
            <w:pPr>
              <w:spacing w:after="0" w:line="240" w:lineRule="auto"/>
              <w:rPr>
                <w:rFonts w:cs="Arial"/>
                <w:color w:val="auto"/>
              </w:rPr>
            </w:pPr>
            <w:r w:rsidRPr="007E140B">
              <w:rPr>
                <w:rFonts w:cs="Arial"/>
                <w:b/>
                <w:color w:val="auto"/>
                <w:sz w:val="15"/>
              </w:rPr>
              <w:t>How Do Corporate Environmental Policy and Corporate Reputation Affect Risk-Adjusted Financial Performance?</w:t>
            </w:r>
          </w:p>
        </w:tc>
        <w:tc>
          <w:tcPr>
            <w:tcW w:w="1049" w:type="dxa"/>
            <w:shd w:val="clear" w:color="auto" w:fill="EAF1F7"/>
            <w:tcMar>
              <w:top w:w="22" w:type="dxa"/>
              <w:left w:w="24" w:type="dxa"/>
              <w:bottom w:w="22" w:type="dxa"/>
              <w:right w:w="24" w:type="dxa"/>
            </w:tcMar>
          </w:tcPr>
          <w:p w14:paraId="41EE2A8C" w14:textId="77777777" w:rsidR="004D7A10" w:rsidRPr="007E140B" w:rsidRDefault="004D7A10" w:rsidP="0026770E">
            <w:pPr>
              <w:spacing w:after="0" w:line="240" w:lineRule="auto"/>
              <w:rPr>
                <w:rFonts w:cs="Arial"/>
                <w:color w:val="auto"/>
              </w:rPr>
            </w:pPr>
            <w:r w:rsidRPr="007E140B">
              <w:rPr>
                <w:rFonts w:cs="Arial"/>
                <w:color w:val="auto"/>
                <w:sz w:val="15"/>
              </w:rPr>
              <w:t>Business Strategy and the Environment</w:t>
            </w:r>
          </w:p>
        </w:tc>
        <w:tc>
          <w:tcPr>
            <w:tcW w:w="905" w:type="dxa"/>
            <w:shd w:val="clear" w:color="auto" w:fill="EAF1F7"/>
            <w:tcMar>
              <w:top w:w="22" w:type="dxa"/>
              <w:left w:w="24" w:type="dxa"/>
              <w:bottom w:w="22" w:type="dxa"/>
              <w:right w:w="24" w:type="dxa"/>
            </w:tcMar>
          </w:tcPr>
          <w:p w14:paraId="68E31DD0" w14:textId="77777777" w:rsidR="004D7A10" w:rsidRPr="007E140B" w:rsidRDefault="004D7A10" w:rsidP="0026770E">
            <w:pPr>
              <w:spacing w:after="0" w:line="240" w:lineRule="auto"/>
              <w:rPr>
                <w:rFonts w:cs="Arial"/>
                <w:color w:val="auto"/>
              </w:rPr>
            </w:pPr>
            <w:r w:rsidRPr="007E140B">
              <w:rPr>
                <w:rFonts w:cs="Arial"/>
                <w:color w:val="auto"/>
                <w:sz w:val="15"/>
              </w:rPr>
              <w:t>Gangi, F.; Daniele, L.M.; Varrone, N.</w:t>
            </w:r>
          </w:p>
        </w:tc>
        <w:tc>
          <w:tcPr>
            <w:tcW w:w="648" w:type="dxa"/>
            <w:shd w:val="clear" w:color="auto" w:fill="EAF1F7"/>
            <w:tcMar>
              <w:top w:w="22" w:type="dxa"/>
              <w:left w:w="24" w:type="dxa"/>
              <w:bottom w:w="22" w:type="dxa"/>
              <w:right w:w="24" w:type="dxa"/>
            </w:tcMar>
            <w:vAlign w:val="center"/>
          </w:tcPr>
          <w:p w14:paraId="6BFBB669"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EAF1F7"/>
            <w:tcMar>
              <w:top w:w="22" w:type="dxa"/>
              <w:left w:w="24" w:type="dxa"/>
              <w:bottom w:w="22" w:type="dxa"/>
              <w:right w:w="24" w:type="dxa"/>
            </w:tcMar>
          </w:tcPr>
          <w:p w14:paraId="3291D208" w14:textId="77777777" w:rsidR="004D7A10" w:rsidRPr="007E140B" w:rsidRDefault="004D7A10" w:rsidP="0026770E">
            <w:pPr>
              <w:spacing w:after="0" w:line="240" w:lineRule="auto"/>
              <w:rPr>
                <w:rFonts w:cs="Arial"/>
                <w:color w:val="auto"/>
              </w:rPr>
            </w:pPr>
            <w:r w:rsidRPr="007E140B">
              <w:rPr>
                <w:rFonts w:cs="Arial"/>
                <w:color w:val="auto"/>
                <w:sz w:val="15"/>
              </w:rPr>
              <w:t>To test whether corporate environmental policy affects corporate reputation and whether reputation, in turn, influences risk-adjusted profitability and financial risk.</w:t>
            </w:r>
          </w:p>
        </w:tc>
        <w:tc>
          <w:tcPr>
            <w:tcW w:w="1375" w:type="dxa"/>
            <w:shd w:val="clear" w:color="auto" w:fill="EAF1F7"/>
            <w:tcMar>
              <w:top w:w="22" w:type="dxa"/>
              <w:left w:w="24" w:type="dxa"/>
              <w:bottom w:w="22" w:type="dxa"/>
              <w:right w:w="24" w:type="dxa"/>
            </w:tcMar>
          </w:tcPr>
          <w:p w14:paraId="1F33485D" w14:textId="77777777" w:rsidR="004D7A10" w:rsidRPr="007E140B" w:rsidRDefault="004D7A10" w:rsidP="0026770E">
            <w:pPr>
              <w:spacing w:after="0" w:line="240" w:lineRule="auto"/>
              <w:rPr>
                <w:rFonts w:cs="Arial"/>
                <w:color w:val="auto"/>
              </w:rPr>
            </w:pPr>
            <w:r w:rsidRPr="007E140B">
              <w:rPr>
                <w:rFonts w:cs="Arial"/>
                <w:color w:val="auto"/>
                <w:sz w:val="15"/>
              </w:rPr>
              <w:t>Examine environmental engagement and green innovation as antecedents of reputation; estimate reputation effects on risk-adjusted profitability and financial-distress risk; address endogeneity.</w:t>
            </w:r>
          </w:p>
        </w:tc>
        <w:tc>
          <w:tcPr>
            <w:tcW w:w="1086" w:type="dxa"/>
            <w:shd w:val="clear" w:color="auto" w:fill="EAF1F7"/>
            <w:tcMar>
              <w:top w:w="22" w:type="dxa"/>
              <w:left w:w="24" w:type="dxa"/>
              <w:bottom w:w="22" w:type="dxa"/>
              <w:right w:w="24" w:type="dxa"/>
            </w:tcMar>
          </w:tcPr>
          <w:p w14:paraId="0D6BC7E4" w14:textId="77777777" w:rsidR="004D7A10" w:rsidRPr="007E140B" w:rsidRDefault="004D7A10" w:rsidP="0026770E">
            <w:pPr>
              <w:spacing w:after="0" w:line="240" w:lineRule="auto"/>
              <w:rPr>
                <w:rFonts w:cs="Arial"/>
                <w:color w:val="auto"/>
              </w:rPr>
            </w:pPr>
            <w:r w:rsidRPr="007E140B">
              <w:rPr>
                <w:rFonts w:cs="Arial"/>
                <w:color w:val="auto"/>
                <w:sz w:val="15"/>
              </w:rPr>
              <w:t>Does environmental responsibility build corporate reputation, and does that reputation improve risk-adjusted financial performance and reduce risk?</w:t>
            </w:r>
          </w:p>
        </w:tc>
        <w:tc>
          <w:tcPr>
            <w:tcW w:w="1122" w:type="dxa"/>
            <w:shd w:val="clear" w:color="auto" w:fill="EAF1F7"/>
            <w:tcMar>
              <w:top w:w="22" w:type="dxa"/>
              <w:left w:w="24" w:type="dxa"/>
              <w:bottom w:w="22" w:type="dxa"/>
              <w:right w:w="24" w:type="dxa"/>
            </w:tcMar>
          </w:tcPr>
          <w:p w14:paraId="7AE040D4" w14:textId="77777777" w:rsidR="004D7A10" w:rsidRPr="007E140B" w:rsidRDefault="004D7A10" w:rsidP="0026770E">
            <w:pPr>
              <w:spacing w:after="0" w:line="240" w:lineRule="auto"/>
              <w:rPr>
                <w:rFonts w:cs="Arial"/>
                <w:color w:val="auto"/>
              </w:rPr>
            </w:pPr>
            <w:r w:rsidRPr="007E140B">
              <w:rPr>
                <w:rFonts w:cs="Arial"/>
                <w:color w:val="auto"/>
                <w:sz w:val="15"/>
              </w:rPr>
              <w:t>Empirical analysis of firms tracked by the Reputation Institute using a multi-equation framework and corrections for endogeneity bias.</w:t>
            </w:r>
          </w:p>
        </w:tc>
        <w:tc>
          <w:tcPr>
            <w:tcW w:w="1556" w:type="dxa"/>
            <w:shd w:val="clear" w:color="auto" w:fill="EAF1F7"/>
            <w:tcMar>
              <w:top w:w="22" w:type="dxa"/>
              <w:left w:w="24" w:type="dxa"/>
              <w:bottom w:w="22" w:type="dxa"/>
              <w:right w:w="24" w:type="dxa"/>
            </w:tcMar>
          </w:tcPr>
          <w:p w14:paraId="0823FE67" w14:textId="77777777" w:rsidR="004D7A10" w:rsidRPr="007E140B" w:rsidRDefault="004D7A10" w:rsidP="0026770E">
            <w:pPr>
              <w:spacing w:after="0" w:line="240" w:lineRule="auto"/>
              <w:rPr>
                <w:rFonts w:cs="Arial"/>
                <w:color w:val="auto"/>
              </w:rPr>
            </w:pPr>
            <w:r w:rsidRPr="007E140B">
              <w:rPr>
                <w:rFonts w:cs="Arial"/>
                <w:color w:val="auto"/>
                <w:sz w:val="15"/>
              </w:rPr>
              <w:t>Environmental engagement and green product innovation positively predict reputation. Reputation positively affects risk-adjusted profitability and the Z-score measure of financial health, acting as an insurance-like competitive asset.</w:t>
            </w:r>
          </w:p>
        </w:tc>
        <w:tc>
          <w:tcPr>
            <w:tcW w:w="1665" w:type="dxa"/>
            <w:shd w:val="clear" w:color="auto" w:fill="EAF1F7"/>
            <w:tcMar>
              <w:top w:w="22" w:type="dxa"/>
              <w:left w:w="24" w:type="dxa"/>
              <w:bottom w:w="22" w:type="dxa"/>
              <w:right w:w="24" w:type="dxa"/>
            </w:tcMar>
          </w:tcPr>
          <w:p w14:paraId="67E372C8" w14:textId="77777777" w:rsidR="004D7A10" w:rsidRPr="007E140B" w:rsidRDefault="004D7A10" w:rsidP="0026770E">
            <w:pPr>
              <w:spacing w:after="0" w:line="240" w:lineRule="auto"/>
              <w:rPr>
                <w:rFonts w:cs="Arial"/>
                <w:color w:val="auto"/>
              </w:rPr>
            </w:pPr>
            <w:r w:rsidRPr="007E140B">
              <w:rPr>
                <w:rFonts w:cs="Arial"/>
                <w:color w:val="auto"/>
                <w:sz w:val="15"/>
              </w:rPr>
              <w:t>The paper provides an explicit mechanism linking environmental practices to financial outcomes through corporate reputation rather than assuming a direct ESG–performance effect.</w:t>
            </w:r>
          </w:p>
        </w:tc>
        <w:tc>
          <w:tcPr>
            <w:tcW w:w="1303" w:type="dxa"/>
            <w:shd w:val="clear" w:color="auto" w:fill="EAF1F7"/>
            <w:tcMar>
              <w:top w:w="22" w:type="dxa"/>
              <w:left w:w="24" w:type="dxa"/>
              <w:bottom w:w="22" w:type="dxa"/>
              <w:right w:w="24" w:type="dxa"/>
            </w:tcMar>
          </w:tcPr>
          <w:p w14:paraId="1BB759CB" w14:textId="77777777" w:rsidR="004D7A10" w:rsidRPr="007E140B" w:rsidRDefault="004D7A10" w:rsidP="0026770E">
            <w:pPr>
              <w:spacing w:after="0" w:line="240" w:lineRule="auto"/>
              <w:rPr>
                <w:rFonts w:cs="Arial"/>
                <w:color w:val="auto"/>
              </w:rPr>
            </w:pPr>
            <w:r w:rsidRPr="007E140B">
              <w:rPr>
                <w:rFonts w:cs="Arial"/>
                <w:color w:val="auto"/>
                <w:sz w:val="15"/>
              </w:rPr>
              <w:t>One of the dissertation’s most relevant sources for the proposed reputation pathway. Its mediation logic is useful, but the dissertation correctly avoids claiming that the same statistically demonstrated mediation exists in the four UK cases.</w:t>
            </w:r>
          </w:p>
        </w:tc>
        <w:tc>
          <w:tcPr>
            <w:tcW w:w="1230" w:type="dxa"/>
            <w:shd w:val="clear" w:color="auto" w:fill="EAF1F7"/>
            <w:tcMar>
              <w:top w:w="22" w:type="dxa"/>
              <w:left w:w="24" w:type="dxa"/>
              <w:bottom w:w="22" w:type="dxa"/>
              <w:right w:w="24" w:type="dxa"/>
            </w:tcMar>
          </w:tcPr>
          <w:p w14:paraId="63FC933E" w14:textId="77777777" w:rsidR="004D7A10" w:rsidRPr="007E140B" w:rsidRDefault="00CC58FE" w:rsidP="0026770E">
            <w:pPr>
              <w:spacing w:after="0" w:line="240" w:lineRule="auto"/>
              <w:rPr>
                <w:rFonts w:cs="Arial"/>
                <w:color w:val="auto"/>
              </w:rPr>
            </w:pPr>
            <w:hyperlink r:id="rId70">
              <w:r w:rsidR="004D7A10" w:rsidRPr="007E140B">
                <w:rPr>
                  <w:rFonts w:cs="Arial"/>
                  <w:color w:val="auto"/>
                  <w:sz w:val="13"/>
                  <w:szCs w:val="13"/>
                </w:rPr>
                <w:t>https://doi.org/10.1002/bse.2482</w:t>
              </w:r>
            </w:hyperlink>
          </w:p>
        </w:tc>
      </w:tr>
      <w:tr w:rsidR="007E140B" w:rsidRPr="007E140B" w14:paraId="5B005BD6" w14:textId="77777777" w:rsidTr="0026770E">
        <w:trPr>
          <w:cantSplit/>
          <w:jc w:val="center"/>
        </w:trPr>
        <w:tc>
          <w:tcPr>
            <w:tcW w:w="504" w:type="dxa"/>
            <w:shd w:val="clear" w:color="auto" w:fill="F7FAFC"/>
            <w:tcMar>
              <w:top w:w="22" w:type="dxa"/>
              <w:left w:w="24" w:type="dxa"/>
              <w:bottom w:w="22" w:type="dxa"/>
              <w:right w:w="24" w:type="dxa"/>
            </w:tcMar>
            <w:vAlign w:val="center"/>
          </w:tcPr>
          <w:p w14:paraId="6240215C"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15</w:t>
            </w:r>
          </w:p>
        </w:tc>
        <w:tc>
          <w:tcPr>
            <w:tcW w:w="1447" w:type="dxa"/>
            <w:shd w:val="clear" w:color="auto" w:fill="F7FAFC"/>
            <w:tcMar>
              <w:top w:w="22" w:type="dxa"/>
              <w:left w:w="24" w:type="dxa"/>
              <w:bottom w:w="22" w:type="dxa"/>
              <w:right w:w="24" w:type="dxa"/>
            </w:tcMar>
          </w:tcPr>
          <w:p w14:paraId="514CBCBC" w14:textId="77777777" w:rsidR="004D7A10" w:rsidRPr="007E140B" w:rsidRDefault="004D7A10" w:rsidP="0026770E">
            <w:pPr>
              <w:spacing w:after="0" w:line="240" w:lineRule="auto"/>
              <w:rPr>
                <w:rFonts w:cs="Arial"/>
                <w:color w:val="auto"/>
              </w:rPr>
            </w:pPr>
            <w:r w:rsidRPr="007E140B">
              <w:rPr>
                <w:rFonts w:cs="Arial"/>
                <w:b/>
                <w:color w:val="auto"/>
                <w:sz w:val="15"/>
              </w:rPr>
              <w:t>The Agency of Greenwashing</w:t>
            </w:r>
          </w:p>
        </w:tc>
        <w:tc>
          <w:tcPr>
            <w:tcW w:w="1049" w:type="dxa"/>
            <w:shd w:val="clear" w:color="auto" w:fill="F7FAFC"/>
            <w:tcMar>
              <w:top w:w="22" w:type="dxa"/>
              <w:left w:w="24" w:type="dxa"/>
              <w:bottom w:w="22" w:type="dxa"/>
              <w:right w:w="24" w:type="dxa"/>
            </w:tcMar>
          </w:tcPr>
          <w:p w14:paraId="07F14ADF" w14:textId="77777777" w:rsidR="004D7A10" w:rsidRPr="007E140B" w:rsidRDefault="004D7A10" w:rsidP="0026770E">
            <w:pPr>
              <w:spacing w:after="0" w:line="240" w:lineRule="auto"/>
              <w:rPr>
                <w:rFonts w:cs="Arial"/>
                <w:color w:val="auto"/>
              </w:rPr>
            </w:pPr>
            <w:r w:rsidRPr="007E140B">
              <w:rPr>
                <w:rFonts w:cs="Arial"/>
                <w:color w:val="auto"/>
                <w:sz w:val="15"/>
              </w:rPr>
              <w:t>Journal of Management and Governance</w:t>
            </w:r>
          </w:p>
        </w:tc>
        <w:tc>
          <w:tcPr>
            <w:tcW w:w="905" w:type="dxa"/>
            <w:shd w:val="clear" w:color="auto" w:fill="F7FAFC"/>
            <w:tcMar>
              <w:top w:w="22" w:type="dxa"/>
              <w:left w:w="24" w:type="dxa"/>
              <w:bottom w:w="22" w:type="dxa"/>
              <w:right w:w="24" w:type="dxa"/>
            </w:tcMar>
          </w:tcPr>
          <w:p w14:paraId="4ED206EE"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Ghitti</w:t>
            </w:r>
            <w:proofErr w:type="spellEnd"/>
            <w:r w:rsidRPr="007E140B">
              <w:rPr>
                <w:rFonts w:cs="Arial"/>
                <w:color w:val="auto"/>
                <w:sz w:val="15"/>
              </w:rPr>
              <w:t xml:space="preserve">, M.; </w:t>
            </w:r>
            <w:proofErr w:type="spellStart"/>
            <w:r w:rsidRPr="007E140B">
              <w:rPr>
                <w:rFonts w:cs="Arial"/>
                <w:color w:val="auto"/>
                <w:sz w:val="15"/>
              </w:rPr>
              <w:t>Gianfrate</w:t>
            </w:r>
            <w:proofErr w:type="spellEnd"/>
            <w:r w:rsidRPr="007E140B">
              <w:rPr>
                <w:rFonts w:cs="Arial"/>
                <w:color w:val="auto"/>
                <w:sz w:val="15"/>
              </w:rPr>
              <w:t>, G.; Palma, L.</w:t>
            </w:r>
          </w:p>
        </w:tc>
        <w:tc>
          <w:tcPr>
            <w:tcW w:w="648" w:type="dxa"/>
            <w:shd w:val="clear" w:color="auto" w:fill="F7FAFC"/>
            <w:tcMar>
              <w:top w:w="22" w:type="dxa"/>
              <w:left w:w="24" w:type="dxa"/>
              <w:bottom w:w="22" w:type="dxa"/>
              <w:right w:w="24" w:type="dxa"/>
            </w:tcMar>
            <w:vAlign w:val="center"/>
          </w:tcPr>
          <w:p w14:paraId="6A60C1F5"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F7FAFC"/>
            <w:tcMar>
              <w:top w:w="22" w:type="dxa"/>
              <w:left w:w="24" w:type="dxa"/>
              <w:bottom w:w="22" w:type="dxa"/>
              <w:right w:w="24" w:type="dxa"/>
            </w:tcMar>
          </w:tcPr>
          <w:p w14:paraId="1CFDCA9E" w14:textId="77777777" w:rsidR="004D7A10" w:rsidRPr="007E140B" w:rsidRDefault="004D7A10" w:rsidP="0026770E">
            <w:pPr>
              <w:spacing w:after="0" w:line="240" w:lineRule="auto"/>
              <w:rPr>
                <w:rFonts w:cs="Arial"/>
                <w:color w:val="auto"/>
              </w:rPr>
            </w:pPr>
            <w:r w:rsidRPr="007E140B">
              <w:rPr>
                <w:rFonts w:cs="Arial"/>
                <w:color w:val="auto"/>
                <w:sz w:val="15"/>
              </w:rPr>
              <w:t>To develop measures of corporate greenwashing and examine how governance structures associated with agency problems relate to greenwashing and firm value.</w:t>
            </w:r>
          </w:p>
        </w:tc>
        <w:tc>
          <w:tcPr>
            <w:tcW w:w="1375" w:type="dxa"/>
            <w:shd w:val="clear" w:color="auto" w:fill="F7FAFC"/>
            <w:tcMar>
              <w:top w:w="22" w:type="dxa"/>
              <w:left w:w="24" w:type="dxa"/>
              <w:bottom w:w="22" w:type="dxa"/>
              <w:right w:w="24" w:type="dxa"/>
            </w:tcMar>
          </w:tcPr>
          <w:p w14:paraId="4F52D77B" w14:textId="77777777" w:rsidR="004D7A10" w:rsidRPr="007E140B" w:rsidRDefault="004D7A10" w:rsidP="0026770E">
            <w:pPr>
              <w:spacing w:after="0" w:line="240" w:lineRule="auto"/>
              <w:rPr>
                <w:rFonts w:cs="Arial"/>
                <w:color w:val="auto"/>
              </w:rPr>
            </w:pPr>
            <w:r w:rsidRPr="007E140B">
              <w:rPr>
                <w:rFonts w:cs="Arial"/>
                <w:color w:val="auto"/>
                <w:sz w:val="15"/>
              </w:rPr>
              <w:t>Construct greenwashing measures; test relationships with board characteristics; assess whether greenwashing is associated with firm valuation.</w:t>
            </w:r>
          </w:p>
        </w:tc>
        <w:tc>
          <w:tcPr>
            <w:tcW w:w="1086" w:type="dxa"/>
            <w:shd w:val="clear" w:color="auto" w:fill="F7FAFC"/>
            <w:tcMar>
              <w:top w:w="22" w:type="dxa"/>
              <w:left w:w="24" w:type="dxa"/>
              <w:bottom w:w="22" w:type="dxa"/>
              <w:right w:w="24" w:type="dxa"/>
            </w:tcMar>
          </w:tcPr>
          <w:p w14:paraId="3821597C" w14:textId="77777777" w:rsidR="004D7A10" w:rsidRPr="007E140B" w:rsidRDefault="004D7A10" w:rsidP="0026770E">
            <w:pPr>
              <w:spacing w:after="0" w:line="240" w:lineRule="auto"/>
              <w:rPr>
                <w:rFonts w:cs="Arial"/>
                <w:color w:val="auto"/>
              </w:rPr>
            </w:pPr>
            <w:r w:rsidRPr="007E140B">
              <w:rPr>
                <w:rFonts w:cs="Arial"/>
                <w:color w:val="auto"/>
                <w:sz w:val="15"/>
              </w:rPr>
              <w:t>Which corporate-governance features are associated with greenwashing, and what is the relationship between greenwashing and firm value?</w:t>
            </w:r>
          </w:p>
        </w:tc>
        <w:tc>
          <w:tcPr>
            <w:tcW w:w="1122" w:type="dxa"/>
            <w:shd w:val="clear" w:color="auto" w:fill="F7FAFC"/>
            <w:tcMar>
              <w:top w:w="22" w:type="dxa"/>
              <w:left w:w="24" w:type="dxa"/>
              <w:bottom w:w="22" w:type="dxa"/>
              <w:right w:w="24" w:type="dxa"/>
            </w:tcMar>
          </w:tcPr>
          <w:p w14:paraId="7272AEAE" w14:textId="77777777" w:rsidR="004D7A10" w:rsidRPr="007E140B" w:rsidRDefault="004D7A10" w:rsidP="0026770E">
            <w:pPr>
              <w:spacing w:after="0" w:line="240" w:lineRule="auto"/>
              <w:rPr>
                <w:rFonts w:cs="Arial"/>
                <w:color w:val="auto"/>
              </w:rPr>
            </w:pPr>
            <w:r w:rsidRPr="007E140B">
              <w:rPr>
                <w:rFonts w:cs="Arial"/>
                <w:color w:val="auto"/>
                <w:sz w:val="15"/>
              </w:rPr>
              <w:t>Empirical governance study using novel firm-level greenwashing measures based on environmental disclosure/performance information and board/governance characteristics.</w:t>
            </w:r>
          </w:p>
        </w:tc>
        <w:tc>
          <w:tcPr>
            <w:tcW w:w="1556" w:type="dxa"/>
            <w:shd w:val="clear" w:color="auto" w:fill="F7FAFC"/>
            <w:tcMar>
              <w:top w:w="22" w:type="dxa"/>
              <w:left w:w="24" w:type="dxa"/>
              <w:bottom w:w="22" w:type="dxa"/>
              <w:right w:w="24" w:type="dxa"/>
            </w:tcMar>
          </w:tcPr>
          <w:p w14:paraId="34A431BD" w14:textId="77777777" w:rsidR="004D7A10" w:rsidRPr="007E140B" w:rsidRDefault="004D7A10" w:rsidP="0026770E">
            <w:pPr>
              <w:spacing w:after="0" w:line="240" w:lineRule="auto"/>
              <w:rPr>
                <w:rFonts w:cs="Arial"/>
                <w:color w:val="auto"/>
              </w:rPr>
            </w:pPr>
            <w:r w:rsidRPr="007E140B">
              <w:rPr>
                <w:rFonts w:cs="Arial"/>
                <w:color w:val="auto"/>
                <w:sz w:val="15"/>
              </w:rPr>
              <w:t>Board characteristics show non-uniform associations with greenwashing; greater board independence is associated with more apparent greenwashing, female-board presence also relates to the greenwashing measure, board-size effects are ambiguous, and greenwashing is associated with lower firm value.</w:t>
            </w:r>
          </w:p>
        </w:tc>
        <w:tc>
          <w:tcPr>
            <w:tcW w:w="1665" w:type="dxa"/>
            <w:shd w:val="clear" w:color="auto" w:fill="F7FAFC"/>
            <w:tcMar>
              <w:top w:w="22" w:type="dxa"/>
              <w:left w:w="24" w:type="dxa"/>
              <w:bottom w:w="22" w:type="dxa"/>
              <w:right w:w="24" w:type="dxa"/>
            </w:tcMar>
          </w:tcPr>
          <w:p w14:paraId="1A14E220" w14:textId="77777777" w:rsidR="004D7A10" w:rsidRPr="007E140B" w:rsidRDefault="004D7A10" w:rsidP="0026770E">
            <w:pPr>
              <w:spacing w:after="0" w:line="240" w:lineRule="auto"/>
              <w:rPr>
                <w:rFonts w:cs="Arial"/>
                <w:color w:val="auto"/>
              </w:rPr>
            </w:pPr>
            <w:r w:rsidRPr="007E140B">
              <w:rPr>
                <w:rFonts w:cs="Arial"/>
                <w:color w:val="auto"/>
                <w:sz w:val="15"/>
              </w:rPr>
              <w:t>The study frames greenwashing as an agency/governance problem rather than only a communications problem and shows that conventional governance attributes do not automatically eliminate it.</w:t>
            </w:r>
          </w:p>
        </w:tc>
        <w:tc>
          <w:tcPr>
            <w:tcW w:w="1303" w:type="dxa"/>
            <w:shd w:val="clear" w:color="auto" w:fill="F7FAFC"/>
            <w:tcMar>
              <w:top w:w="22" w:type="dxa"/>
              <w:left w:w="24" w:type="dxa"/>
              <w:bottom w:w="22" w:type="dxa"/>
              <w:right w:w="24" w:type="dxa"/>
            </w:tcMar>
          </w:tcPr>
          <w:p w14:paraId="2E339D86"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claim-level governance-risk perspective. It is relevant to why board oversight, evidence ownership and controls matter, but the dissertation appropriately treats the paper as theory/empirical context rather than proof of motives in its four cases.</w:t>
            </w:r>
          </w:p>
        </w:tc>
        <w:tc>
          <w:tcPr>
            <w:tcW w:w="1230" w:type="dxa"/>
            <w:shd w:val="clear" w:color="auto" w:fill="F7FAFC"/>
            <w:tcMar>
              <w:top w:w="22" w:type="dxa"/>
              <w:left w:w="24" w:type="dxa"/>
              <w:bottom w:w="22" w:type="dxa"/>
              <w:right w:w="24" w:type="dxa"/>
            </w:tcMar>
          </w:tcPr>
          <w:p w14:paraId="0D2EE47E" w14:textId="77777777" w:rsidR="004D7A10" w:rsidRPr="007E140B" w:rsidRDefault="00CC58FE" w:rsidP="0026770E">
            <w:pPr>
              <w:spacing w:after="0" w:line="240" w:lineRule="auto"/>
              <w:rPr>
                <w:rFonts w:cs="Arial"/>
                <w:color w:val="auto"/>
              </w:rPr>
            </w:pPr>
            <w:hyperlink r:id="rId71">
              <w:r w:rsidR="004D7A10" w:rsidRPr="007E140B">
                <w:rPr>
                  <w:rFonts w:cs="Arial"/>
                  <w:color w:val="auto"/>
                  <w:sz w:val="13"/>
                  <w:szCs w:val="13"/>
                </w:rPr>
                <w:t>https://doi.org/10.1007/s10997-023-09683-8</w:t>
              </w:r>
            </w:hyperlink>
          </w:p>
        </w:tc>
      </w:tr>
      <w:tr w:rsidR="007E140B" w:rsidRPr="007E140B" w14:paraId="3830901E" w14:textId="77777777" w:rsidTr="0026770E">
        <w:trPr>
          <w:cantSplit/>
          <w:jc w:val="center"/>
        </w:trPr>
        <w:tc>
          <w:tcPr>
            <w:tcW w:w="504" w:type="dxa"/>
            <w:shd w:val="clear" w:color="auto" w:fill="EAF1F7"/>
            <w:tcMar>
              <w:top w:w="22" w:type="dxa"/>
              <w:left w:w="24" w:type="dxa"/>
              <w:bottom w:w="22" w:type="dxa"/>
              <w:right w:w="24" w:type="dxa"/>
            </w:tcMar>
            <w:vAlign w:val="center"/>
          </w:tcPr>
          <w:p w14:paraId="37D00512" w14:textId="77777777" w:rsidR="004D7A10" w:rsidRPr="007E140B" w:rsidRDefault="004D7A10" w:rsidP="0026770E">
            <w:pPr>
              <w:spacing w:after="0" w:line="240" w:lineRule="auto"/>
              <w:jc w:val="center"/>
              <w:rPr>
                <w:rFonts w:cs="Arial"/>
                <w:color w:val="auto"/>
              </w:rPr>
            </w:pPr>
            <w:r w:rsidRPr="007E140B">
              <w:rPr>
                <w:rFonts w:cs="Arial"/>
                <w:b/>
                <w:color w:val="auto"/>
                <w:sz w:val="15"/>
              </w:rPr>
              <w:t>16</w:t>
            </w:r>
          </w:p>
        </w:tc>
        <w:tc>
          <w:tcPr>
            <w:tcW w:w="1447" w:type="dxa"/>
            <w:shd w:val="clear" w:color="auto" w:fill="EAF1F7"/>
            <w:tcMar>
              <w:top w:w="22" w:type="dxa"/>
              <w:left w:w="24" w:type="dxa"/>
              <w:bottom w:w="22" w:type="dxa"/>
              <w:right w:w="24" w:type="dxa"/>
            </w:tcMar>
          </w:tcPr>
          <w:p w14:paraId="425F65B2" w14:textId="77777777" w:rsidR="004D7A10" w:rsidRPr="007E140B" w:rsidRDefault="004D7A10" w:rsidP="0026770E">
            <w:pPr>
              <w:spacing w:after="0" w:line="240" w:lineRule="auto"/>
              <w:rPr>
                <w:rFonts w:cs="Arial"/>
                <w:color w:val="auto"/>
              </w:rPr>
            </w:pPr>
            <w:r w:rsidRPr="007E140B">
              <w:rPr>
                <w:rFonts w:cs="Arial"/>
                <w:b/>
                <w:color w:val="auto"/>
                <w:sz w:val="15"/>
              </w:rPr>
              <w:t>Firms and Social Responsibility: A Review of ESG and CSR Research in Corporate Finance</w:t>
            </w:r>
          </w:p>
        </w:tc>
        <w:tc>
          <w:tcPr>
            <w:tcW w:w="1049" w:type="dxa"/>
            <w:shd w:val="clear" w:color="auto" w:fill="EAF1F7"/>
            <w:tcMar>
              <w:top w:w="22" w:type="dxa"/>
              <w:left w:w="24" w:type="dxa"/>
              <w:bottom w:w="22" w:type="dxa"/>
              <w:right w:w="24" w:type="dxa"/>
            </w:tcMar>
          </w:tcPr>
          <w:p w14:paraId="60CD358E" w14:textId="77777777" w:rsidR="004D7A10" w:rsidRPr="007E140B" w:rsidRDefault="004D7A10" w:rsidP="0026770E">
            <w:pPr>
              <w:spacing w:after="0" w:line="240" w:lineRule="auto"/>
              <w:rPr>
                <w:rFonts w:cs="Arial"/>
                <w:color w:val="auto"/>
              </w:rPr>
            </w:pPr>
            <w:r w:rsidRPr="007E140B">
              <w:rPr>
                <w:rFonts w:cs="Arial"/>
                <w:color w:val="auto"/>
                <w:sz w:val="15"/>
              </w:rPr>
              <w:t>Journal of Corporate Finance</w:t>
            </w:r>
          </w:p>
        </w:tc>
        <w:tc>
          <w:tcPr>
            <w:tcW w:w="905" w:type="dxa"/>
            <w:shd w:val="clear" w:color="auto" w:fill="EAF1F7"/>
            <w:tcMar>
              <w:top w:w="22" w:type="dxa"/>
              <w:left w:w="24" w:type="dxa"/>
              <w:bottom w:w="22" w:type="dxa"/>
              <w:right w:w="24" w:type="dxa"/>
            </w:tcMar>
          </w:tcPr>
          <w:p w14:paraId="3B8C64E6" w14:textId="77777777" w:rsidR="004D7A10" w:rsidRPr="007E140B" w:rsidRDefault="004D7A10" w:rsidP="0026770E">
            <w:pPr>
              <w:spacing w:after="0" w:line="240" w:lineRule="auto"/>
              <w:rPr>
                <w:rFonts w:cs="Arial"/>
                <w:color w:val="auto"/>
              </w:rPr>
            </w:pPr>
            <w:r w:rsidRPr="007E140B">
              <w:rPr>
                <w:rFonts w:cs="Arial"/>
                <w:color w:val="auto"/>
                <w:sz w:val="15"/>
              </w:rPr>
              <w:t>Gillan, S.L.; Koch, A.; Starks, L.T.</w:t>
            </w:r>
          </w:p>
        </w:tc>
        <w:tc>
          <w:tcPr>
            <w:tcW w:w="648" w:type="dxa"/>
            <w:shd w:val="clear" w:color="auto" w:fill="EAF1F7"/>
            <w:tcMar>
              <w:top w:w="22" w:type="dxa"/>
              <w:left w:w="24" w:type="dxa"/>
              <w:bottom w:w="22" w:type="dxa"/>
              <w:right w:w="24" w:type="dxa"/>
            </w:tcMar>
            <w:vAlign w:val="center"/>
          </w:tcPr>
          <w:p w14:paraId="14079D01"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EAF1F7"/>
            <w:tcMar>
              <w:top w:w="22" w:type="dxa"/>
              <w:left w:w="24" w:type="dxa"/>
              <w:bottom w:w="22" w:type="dxa"/>
              <w:right w:w="24" w:type="dxa"/>
            </w:tcMar>
          </w:tcPr>
          <w:p w14:paraId="031EF3DA" w14:textId="77777777" w:rsidR="004D7A10" w:rsidRPr="007E140B" w:rsidRDefault="004D7A10" w:rsidP="0026770E">
            <w:pPr>
              <w:spacing w:after="0" w:line="240" w:lineRule="auto"/>
              <w:rPr>
                <w:rFonts w:cs="Arial"/>
                <w:color w:val="auto"/>
              </w:rPr>
            </w:pPr>
            <w:r w:rsidRPr="007E140B">
              <w:rPr>
                <w:rFonts w:cs="Arial"/>
                <w:color w:val="auto"/>
                <w:sz w:val="15"/>
              </w:rPr>
              <w:t>To review financial-economics research on ESG and CSR with emphasis on corporate-finance questions.</w:t>
            </w:r>
          </w:p>
        </w:tc>
        <w:tc>
          <w:tcPr>
            <w:tcW w:w="1375" w:type="dxa"/>
            <w:shd w:val="clear" w:color="auto" w:fill="EAF1F7"/>
            <w:tcMar>
              <w:top w:w="22" w:type="dxa"/>
              <w:left w:w="24" w:type="dxa"/>
              <w:bottom w:w="22" w:type="dxa"/>
              <w:right w:w="24" w:type="dxa"/>
            </w:tcMar>
          </w:tcPr>
          <w:p w14:paraId="557DA66B" w14:textId="77777777" w:rsidR="004D7A10" w:rsidRPr="007E140B" w:rsidRDefault="004D7A10" w:rsidP="0026770E">
            <w:pPr>
              <w:spacing w:after="0" w:line="240" w:lineRule="auto"/>
              <w:rPr>
                <w:rFonts w:cs="Arial"/>
                <w:color w:val="auto"/>
              </w:rPr>
            </w:pPr>
            <w:r w:rsidRPr="007E140B">
              <w:rPr>
                <w:rFonts w:cs="Arial"/>
                <w:color w:val="auto"/>
                <w:sz w:val="15"/>
              </w:rPr>
              <w:t>Synthesize evidence on determinants of firms’ ESG/CSR profiles; review links with ownership, leadership, risk, performance and value; identify unresolved debates and research needs.</w:t>
            </w:r>
          </w:p>
        </w:tc>
        <w:tc>
          <w:tcPr>
            <w:tcW w:w="1086" w:type="dxa"/>
            <w:shd w:val="clear" w:color="auto" w:fill="EAF1F7"/>
            <w:tcMar>
              <w:top w:w="22" w:type="dxa"/>
              <w:left w:w="24" w:type="dxa"/>
              <w:bottom w:w="22" w:type="dxa"/>
              <w:right w:w="24" w:type="dxa"/>
            </w:tcMar>
          </w:tcPr>
          <w:p w14:paraId="506647DD" w14:textId="77777777" w:rsidR="004D7A10" w:rsidRPr="007E140B" w:rsidRDefault="004D7A10" w:rsidP="0026770E">
            <w:pPr>
              <w:spacing w:after="0" w:line="240" w:lineRule="auto"/>
              <w:rPr>
                <w:rFonts w:cs="Arial"/>
                <w:color w:val="auto"/>
              </w:rPr>
            </w:pPr>
            <w:r w:rsidRPr="007E140B">
              <w:rPr>
                <w:rFonts w:cs="Arial"/>
                <w:color w:val="auto"/>
                <w:sz w:val="15"/>
              </w:rPr>
              <w:t>What does corporate-finance research show about the determinants and financial consequences of ESG/CSR, and where do conflicting hypotheses/evidence remain?</w:t>
            </w:r>
          </w:p>
        </w:tc>
        <w:tc>
          <w:tcPr>
            <w:tcW w:w="1122" w:type="dxa"/>
            <w:shd w:val="clear" w:color="auto" w:fill="EAF1F7"/>
            <w:tcMar>
              <w:top w:w="22" w:type="dxa"/>
              <w:left w:w="24" w:type="dxa"/>
              <w:bottom w:w="22" w:type="dxa"/>
              <w:right w:w="24" w:type="dxa"/>
            </w:tcMar>
          </w:tcPr>
          <w:p w14:paraId="7EDFD6D4" w14:textId="77777777" w:rsidR="004D7A10" w:rsidRPr="007E140B" w:rsidRDefault="004D7A10" w:rsidP="0026770E">
            <w:pPr>
              <w:spacing w:after="0" w:line="240" w:lineRule="auto"/>
              <w:rPr>
                <w:rFonts w:cs="Arial"/>
                <w:color w:val="auto"/>
              </w:rPr>
            </w:pPr>
            <w:r w:rsidRPr="007E140B">
              <w:rPr>
                <w:rFonts w:cs="Arial"/>
                <w:color w:val="auto"/>
                <w:sz w:val="15"/>
              </w:rPr>
              <w:t>Narrative/critical review of the financial-economics ESG/CSR literature; no single dataset.</w:t>
            </w:r>
          </w:p>
        </w:tc>
        <w:tc>
          <w:tcPr>
            <w:tcW w:w="1556" w:type="dxa"/>
            <w:shd w:val="clear" w:color="auto" w:fill="EAF1F7"/>
            <w:tcMar>
              <w:top w:w="22" w:type="dxa"/>
              <w:left w:w="24" w:type="dxa"/>
              <w:bottom w:w="22" w:type="dxa"/>
              <w:right w:w="24" w:type="dxa"/>
            </w:tcMar>
          </w:tcPr>
          <w:p w14:paraId="6C417248" w14:textId="77777777" w:rsidR="004D7A10" w:rsidRPr="007E140B" w:rsidRDefault="004D7A10" w:rsidP="0026770E">
            <w:pPr>
              <w:spacing w:after="0" w:line="240" w:lineRule="auto"/>
              <w:rPr>
                <w:rFonts w:cs="Arial"/>
                <w:color w:val="auto"/>
              </w:rPr>
            </w:pPr>
            <w:r w:rsidRPr="007E140B">
              <w:rPr>
                <w:rFonts w:cs="Arial"/>
                <w:color w:val="auto"/>
                <w:sz w:val="15"/>
              </w:rPr>
              <w:t>ESG/CSR profiles are related to firms’ market, leadership and ownership characteristics and are associated with risk, performance and value, but competing theories and conflicting results remain unresolved.</w:t>
            </w:r>
          </w:p>
        </w:tc>
        <w:tc>
          <w:tcPr>
            <w:tcW w:w="1665" w:type="dxa"/>
            <w:shd w:val="clear" w:color="auto" w:fill="EAF1F7"/>
            <w:tcMar>
              <w:top w:w="22" w:type="dxa"/>
              <w:left w:w="24" w:type="dxa"/>
              <w:bottom w:w="22" w:type="dxa"/>
              <w:right w:w="24" w:type="dxa"/>
            </w:tcMar>
          </w:tcPr>
          <w:p w14:paraId="25CA2A52" w14:textId="77777777" w:rsidR="004D7A10" w:rsidRPr="007E140B" w:rsidRDefault="004D7A10" w:rsidP="0026770E">
            <w:pPr>
              <w:spacing w:after="0" w:line="240" w:lineRule="auto"/>
              <w:rPr>
                <w:rFonts w:cs="Arial"/>
                <w:color w:val="auto"/>
              </w:rPr>
            </w:pPr>
            <w:r w:rsidRPr="007E140B">
              <w:rPr>
                <w:rFonts w:cs="Arial"/>
                <w:color w:val="auto"/>
                <w:sz w:val="15"/>
              </w:rPr>
              <w:t xml:space="preserve">The review shows both the breadth of ESG/CSR research and the conceptual/measurement diversity that makes simple </w:t>
            </w:r>
            <w:proofErr w:type="spellStart"/>
            <w:r w:rsidRPr="007E140B">
              <w:rPr>
                <w:rFonts w:cs="Arial"/>
                <w:color w:val="auto"/>
                <w:sz w:val="15"/>
              </w:rPr>
              <w:t>generalisations</w:t>
            </w:r>
            <w:proofErr w:type="spellEnd"/>
            <w:r w:rsidRPr="007E140B">
              <w:rPr>
                <w:rFonts w:cs="Arial"/>
                <w:color w:val="auto"/>
                <w:sz w:val="15"/>
              </w:rPr>
              <w:t xml:space="preserve"> difficult.</w:t>
            </w:r>
          </w:p>
        </w:tc>
        <w:tc>
          <w:tcPr>
            <w:tcW w:w="1303" w:type="dxa"/>
            <w:shd w:val="clear" w:color="auto" w:fill="EAF1F7"/>
            <w:tcMar>
              <w:top w:w="22" w:type="dxa"/>
              <w:left w:w="24" w:type="dxa"/>
              <w:bottom w:w="22" w:type="dxa"/>
              <w:right w:w="24" w:type="dxa"/>
            </w:tcMar>
          </w:tcPr>
          <w:p w14:paraId="57C6507F" w14:textId="77777777" w:rsidR="004D7A10" w:rsidRPr="007E140B" w:rsidRDefault="004D7A10" w:rsidP="0026770E">
            <w:pPr>
              <w:spacing w:after="0" w:line="240" w:lineRule="auto"/>
              <w:rPr>
                <w:rFonts w:cs="Arial"/>
                <w:color w:val="auto"/>
              </w:rPr>
            </w:pPr>
            <w:r w:rsidRPr="007E140B">
              <w:rPr>
                <w:rFonts w:cs="Arial"/>
                <w:color w:val="auto"/>
                <w:sz w:val="15"/>
              </w:rPr>
              <w:t>Provides the dissertation’s broad conceptual foundation for treating ESG as heterogeneous rather than a single construct. It supports separating strategy, processes, outputs and outcomes and maintaining caution around aggregate results.</w:t>
            </w:r>
          </w:p>
        </w:tc>
        <w:tc>
          <w:tcPr>
            <w:tcW w:w="1230" w:type="dxa"/>
            <w:shd w:val="clear" w:color="auto" w:fill="EAF1F7"/>
            <w:tcMar>
              <w:top w:w="22" w:type="dxa"/>
              <w:left w:w="24" w:type="dxa"/>
              <w:bottom w:w="22" w:type="dxa"/>
              <w:right w:w="24" w:type="dxa"/>
            </w:tcMar>
          </w:tcPr>
          <w:p w14:paraId="6E0B07A1" w14:textId="77777777" w:rsidR="004D7A10" w:rsidRPr="007E140B" w:rsidRDefault="00CC58FE" w:rsidP="0026770E">
            <w:pPr>
              <w:spacing w:after="0" w:line="240" w:lineRule="auto"/>
              <w:rPr>
                <w:rFonts w:cs="Arial"/>
                <w:color w:val="auto"/>
              </w:rPr>
            </w:pPr>
            <w:hyperlink r:id="rId72">
              <w:r w:rsidR="004D7A10" w:rsidRPr="007E140B">
                <w:rPr>
                  <w:rFonts w:cs="Arial"/>
                  <w:color w:val="auto"/>
                  <w:sz w:val="13"/>
                  <w:szCs w:val="13"/>
                </w:rPr>
                <w:t>https://doi.org/10.1016/j.jcorpfin.2021.101889</w:t>
              </w:r>
            </w:hyperlink>
          </w:p>
        </w:tc>
      </w:tr>
      <w:tr w:rsidR="007E140B" w:rsidRPr="007E140B" w14:paraId="77B3200C" w14:textId="77777777" w:rsidTr="0026770E">
        <w:trPr>
          <w:cantSplit/>
          <w:jc w:val="center"/>
        </w:trPr>
        <w:tc>
          <w:tcPr>
            <w:tcW w:w="504" w:type="dxa"/>
            <w:shd w:val="clear" w:color="auto" w:fill="F7FAFC"/>
            <w:tcMar>
              <w:top w:w="22" w:type="dxa"/>
              <w:left w:w="24" w:type="dxa"/>
              <w:bottom w:w="22" w:type="dxa"/>
              <w:right w:w="24" w:type="dxa"/>
            </w:tcMar>
            <w:vAlign w:val="center"/>
          </w:tcPr>
          <w:p w14:paraId="3A15A6A4" w14:textId="77777777" w:rsidR="004D7A10" w:rsidRPr="007E140B" w:rsidRDefault="004D7A10" w:rsidP="0026770E">
            <w:pPr>
              <w:spacing w:after="0" w:line="240" w:lineRule="auto"/>
              <w:jc w:val="center"/>
              <w:rPr>
                <w:rFonts w:cs="Arial"/>
                <w:color w:val="auto"/>
              </w:rPr>
            </w:pPr>
            <w:r w:rsidRPr="007E140B">
              <w:rPr>
                <w:rFonts w:cs="Arial"/>
                <w:b/>
                <w:color w:val="auto"/>
                <w:sz w:val="15"/>
              </w:rPr>
              <w:t>17</w:t>
            </w:r>
          </w:p>
        </w:tc>
        <w:tc>
          <w:tcPr>
            <w:tcW w:w="1447" w:type="dxa"/>
            <w:shd w:val="clear" w:color="auto" w:fill="F7FAFC"/>
            <w:tcMar>
              <w:top w:w="22" w:type="dxa"/>
              <w:left w:w="24" w:type="dxa"/>
              <w:bottom w:w="22" w:type="dxa"/>
              <w:right w:w="24" w:type="dxa"/>
            </w:tcMar>
          </w:tcPr>
          <w:p w14:paraId="6BA6AFF3" w14:textId="77777777" w:rsidR="004D7A10" w:rsidRPr="007E140B" w:rsidRDefault="004D7A10" w:rsidP="0026770E">
            <w:pPr>
              <w:spacing w:after="0" w:line="240" w:lineRule="auto"/>
              <w:rPr>
                <w:rFonts w:cs="Arial"/>
                <w:color w:val="auto"/>
              </w:rPr>
            </w:pPr>
            <w:r w:rsidRPr="007E140B">
              <w:rPr>
                <w:rFonts w:cs="Arial"/>
                <w:b/>
                <w:color w:val="auto"/>
                <w:sz w:val="15"/>
              </w:rPr>
              <w:t>Corporate Sustainability: First Evidence on Materiality</w:t>
            </w:r>
          </w:p>
        </w:tc>
        <w:tc>
          <w:tcPr>
            <w:tcW w:w="1049" w:type="dxa"/>
            <w:shd w:val="clear" w:color="auto" w:fill="F7FAFC"/>
            <w:tcMar>
              <w:top w:w="22" w:type="dxa"/>
              <w:left w:w="24" w:type="dxa"/>
              <w:bottom w:w="22" w:type="dxa"/>
              <w:right w:w="24" w:type="dxa"/>
            </w:tcMar>
          </w:tcPr>
          <w:p w14:paraId="74B8FD54" w14:textId="77777777" w:rsidR="004D7A10" w:rsidRPr="007E140B" w:rsidRDefault="004D7A10" w:rsidP="0026770E">
            <w:pPr>
              <w:spacing w:after="0" w:line="240" w:lineRule="auto"/>
              <w:rPr>
                <w:rFonts w:cs="Arial"/>
                <w:color w:val="auto"/>
              </w:rPr>
            </w:pPr>
            <w:r w:rsidRPr="007E140B">
              <w:rPr>
                <w:rFonts w:cs="Arial"/>
                <w:color w:val="auto"/>
                <w:sz w:val="15"/>
              </w:rPr>
              <w:t>The Accounting Review</w:t>
            </w:r>
          </w:p>
        </w:tc>
        <w:tc>
          <w:tcPr>
            <w:tcW w:w="905" w:type="dxa"/>
            <w:shd w:val="clear" w:color="auto" w:fill="F7FAFC"/>
            <w:tcMar>
              <w:top w:w="22" w:type="dxa"/>
              <w:left w:w="24" w:type="dxa"/>
              <w:bottom w:w="22" w:type="dxa"/>
              <w:right w:w="24" w:type="dxa"/>
            </w:tcMar>
          </w:tcPr>
          <w:p w14:paraId="77DB69B0" w14:textId="77777777" w:rsidR="004D7A10" w:rsidRPr="007E140B" w:rsidRDefault="004D7A10" w:rsidP="0026770E">
            <w:pPr>
              <w:spacing w:after="0" w:line="240" w:lineRule="auto"/>
              <w:rPr>
                <w:rFonts w:cs="Arial"/>
                <w:color w:val="auto"/>
              </w:rPr>
            </w:pPr>
            <w:r w:rsidRPr="007E140B">
              <w:rPr>
                <w:rFonts w:cs="Arial"/>
                <w:color w:val="auto"/>
                <w:sz w:val="15"/>
              </w:rPr>
              <w:t>Khan, M.; Serafeim, G.; Yoon, A.</w:t>
            </w:r>
          </w:p>
        </w:tc>
        <w:tc>
          <w:tcPr>
            <w:tcW w:w="648" w:type="dxa"/>
            <w:shd w:val="clear" w:color="auto" w:fill="F7FAFC"/>
            <w:tcMar>
              <w:top w:w="22" w:type="dxa"/>
              <w:left w:w="24" w:type="dxa"/>
              <w:bottom w:w="22" w:type="dxa"/>
              <w:right w:w="24" w:type="dxa"/>
            </w:tcMar>
            <w:vAlign w:val="center"/>
          </w:tcPr>
          <w:p w14:paraId="37726D9D" w14:textId="77777777" w:rsidR="004D7A10" w:rsidRPr="007E140B" w:rsidRDefault="004D7A10" w:rsidP="0026770E">
            <w:pPr>
              <w:spacing w:after="0" w:line="240" w:lineRule="auto"/>
              <w:jc w:val="center"/>
              <w:rPr>
                <w:rFonts w:cs="Arial"/>
                <w:color w:val="auto"/>
              </w:rPr>
            </w:pPr>
            <w:r w:rsidRPr="007E140B">
              <w:rPr>
                <w:rFonts w:cs="Arial"/>
                <w:b/>
                <w:color w:val="auto"/>
                <w:sz w:val="15"/>
              </w:rPr>
              <w:t>2016</w:t>
            </w:r>
          </w:p>
        </w:tc>
        <w:tc>
          <w:tcPr>
            <w:tcW w:w="1230" w:type="dxa"/>
            <w:shd w:val="clear" w:color="auto" w:fill="F7FAFC"/>
            <w:tcMar>
              <w:top w:w="22" w:type="dxa"/>
              <w:left w:w="24" w:type="dxa"/>
              <w:bottom w:w="22" w:type="dxa"/>
              <w:right w:w="24" w:type="dxa"/>
            </w:tcMar>
          </w:tcPr>
          <w:p w14:paraId="3BE3F06F" w14:textId="77777777" w:rsidR="004D7A10" w:rsidRPr="007E140B" w:rsidRDefault="004D7A10" w:rsidP="0026770E">
            <w:pPr>
              <w:spacing w:after="0" w:line="240" w:lineRule="auto"/>
              <w:rPr>
                <w:rFonts w:cs="Arial"/>
                <w:color w:val="auto"/>
              </w:rPr>
            </w:pPr>
            <w:r w:rsidRPr="007E140B">
              <w:rPr>
                <w:rFonts w:cs="Arial"/>
                <w:color w:val="auto"/>
                <w:sz w:val="15"/>
              </w:rPr>
              <w:t>To test whether sustainability performance on financially material issues has different value implications from performance on immaterial issues.</w:t>
            </w:r>
          </w:p>
        </w:tc>
        <w:tc>
          <w:tcPr>
            <w:tcW w:w="1375" w:type="dxa"/>
            <w:shd w:val="clear" w:color="auto" w:fill="F7FAFC"/>
            <w:tcMar>
              <w:top w:w="22" w:type="dxa"/>
              <w:left w:w="24" w:type="dxa"/>
              <w:bottom w:w="22" w:type="dxa"/>
              <w:right w:w="24" w:type="dxa"/>
            </w:tcMar>
          </w:tcPr>
          <w:p w14:paraId="328BA858" w14:textId="77777777" w:rsidR="004D7A10" w:rsidRPr="007E140B" w:rsidRDefault="004D7A10" w:rsidP="0026770E">
            <w:pPr>
              <w:spacing w:after="0" w:line="240" w:lineRule="auto"/>
              <w:rPr>
                <w:rFonts w:cs="Arial"/>
                <w:color w:val="auto"/>
              </w:rPr>
            </w:pPr>
            <w:r w:rsidRPr="007E140B">
              <w:rPr>
                <w:rFonts w:cs="Arial"/>
                <w:color w:val="auto"/>
                <w:sz w:val="15"/>
              </w:rPr>
              <w:t>Map sustainability issues to industry materiality; create firm-level material/immaterial sustainability measures; test future stock and accounting performance.</w:t>
            </w:r>
          </w:p>
        </w:tc>
        <w:tc>
          <w:tcPr>
            <w:tcW w:w="1086" w:type="dxa"/>
            <w:shd w:val="clear" w:color="auto" w:fill="F7FAFC"/>
            <w:tcMar>
              <w:top w:w="22" w:type="dxa"/>
              <w:left w:w="24" w:type="dxa"/>
              <w:bottom w:w="22" w:type="dxa"/>
              <w:right w:w="24" w:type="dxa"/>
            </w:tcMar>
          </w:tcPr>
          <w:p w14:paraId="32C5FF87" w14:textId="77777777" w:rsidR="004D7A10" w:rsidRPr="007E140B" w:rsidRDefault="004D7A10" w:rsidP="0026770E">
            <w:pPr>
              <w:spacing w:after="0" w:line="240" w:lineRule="auto"/>
              <w:rPr>
                <w:rFonts w:cs="Arial"/>
                <w:color w:val="auto"/>
              </w:rPr>
            </w:pPr>
            <w:r w:rsidRPr="007E140B">
              <w:rPr>
                <w:rFonts w:cs="Arial"/>
                <w:color w:val="auto"/>
                <w:sz w:val="15"/>
              </w:rPr>
              <w:t>Do firms that perform well on financially material sustainability issues outperform firms that perform well mainly on immaterial sustainability issues?</w:t>
            </w:r>
          </w:p>
        </w:tc>
        <w:tc>
          <w:tcPr>
            <w:tcW w:w="1122" w:type="dxa"/>
            <w:shd w:val="clear" w:color="auto" w:fill="F7FAFC"/>
            <w:tcMar>
              <w:top w:w="22" w:type="dxa"/>
              <w:left w:w="24" w:type="dxa"/>
              <w:bottom w:w="22" w:type="dxa"/>
              <w:right w:w="24" w:type="dxa"/>
            </w:tcMar>
          </w:tcPr>
          <w:p w14:paraId="70E8A36D" w14:textId="77777777" w:rsidR="004D7A10" w:rsidRPr="007E140B" w:rsidRDefault="004D7A10" w:rsidP="0026770E">
            <w:pPr>
              <w:spacing w:after="0" w:line="240" w:lineRule="auto"/>
              <w:rPr>
                <w:rFonts w:cs="Arial"/>
                <w:color w:val="auto"/>
              </w:rPr>
            </w:pPr>
            <w:r w:rsidRPr="007E140B">
              <w:rPr>
                <w:rFonts w:cs="Arial"/>
                <w:color w:val="auto"/>
                <w:sz w:val="15"/>
              </w:rPr>
              <w:t>The authors hand-map SASB materiality classifications to firm sustainability ratings, then use calendar-time portfolio return regressions and firm-level panel regressions.</w:t>
            </w:r>
          </w:p>
        </w:tc>
        <w:tc>
          <w:tcPr>
            <w:tcW w:w="1556" w:type="dxa"/>
            <w:shd w:val="clear" w:color="auto" w:fill="F7FAFC"/>
            <w:tcMar>
              <w:top w:w="22" w:type="dxa"/>
              <w:left w:w="24" w:type="dxa"/>
              <w:bottom w:w="22" w:type="dxa"/>
              <w:right w:w="24" w:type="dxa"/>
            </w:tcMar>
          </w:tcPr>
          <w:p w14:paraId="27D26E15" w14:textId="77777777" w:rsidR="004D7A10" w:rsidRPr="007E140B" w:rsidRDefault="004D7A10" w:rsidP="0026770E">
            <w:pPr>
              <w:spacing w:after="0" w:line="240" w:lineRule="auto"/>
              <w:rPr>
                <w:rFonts w:cs="Arial"/>
                <w:color w:val="auto"/>
              </w:rPr>
            </w:pPr>
            <w:r w:rsidRPr="007E140B">
              <w:rPr>
                <w:rFonts w:cs="Arial"/>
                <w:color w:val="auto"/>
                <w:sz w:val="15"/>
              </w:rPr>
              <w:t>Strong performance on material sustainability issues is associated with significant future outperformance and improved accounting performance; strong performance on immaterial issues does not show the same significant relationship.</w:t>
            </w:r>
          </w:p>
        </w:tc>
        <w:tc>
          <w:tcPr>
            <w:tcW w:w="1665" w:type="dxa"/>
            <w:shd w:val="clear" w:color="auto" w:fill="F7FAFC"/>
            <w:tcMar>
              <w:top w:w="22" w:type="dxa"/>
              <w:left w:w="24" w:type="dxa"/>
              <w:bottom w:w="22" w:type="dxa"/>
              <w:right w:w="24" w:type="dxa"/>
            </w:tcMar>
          </w:tcPr>
          <w:p w14:paraId="4ED5DB3E" w14:textId="77777777" w:rsidR="004D7A10" w:rsidRPr="007E140B" w:rsidRDefault="004D7A10" w:rsidP="0026770E">
            <w:pPr>
              <w:spacing w:after="0" w:line="240" w:lineRule="auto"/>
              <w:rPr>
                <w:rFonts w:cs="Arial"/>
                <w:color w:val="auto"/>
              </w:rPr>
            </w:pPr>
            <w:r w:rsidRPr="007E140B">
              <w:rPr>
                <w:rFonts w:cs="Arial"/>
                <w:color w:val="auto"/>
                <w:sz w:val="15"/>
              </w:rPr>
              <w:t>The paper provides influential evidence that the business relevance of sustainability depends on issue materiality rather than on undifferentiated sustainability activity.</w:t>
            </w:r>
          </w:p>
        </w:tc>
        <w:tc>
          <w:tcPr>
            <w:tcW w:w="1303" w:type="dxa"/>
            <w:shd w:val="clear" w:color="auto" w:fill="F7FAFC"/>
            <w:tcMar>
              <w:top w:w="22" w:type="dxa"/>
              <w:left w:w="24" w:type="dxa"/>
              <w:bottom w:w="22" w:type="dxa"/>
              <w:right w:w="24" w:type="dxa"/>
            </w:tcMar>
          </w:tcPr>
          <w:p w14:paraId="7D48BB87" w14:textId="77777777" w:rsidR="004D7A10" w:rsidRPr="007E140B" w:rsidRDefault="004D7A10" w:rsidP="0026770E">
            <w:pPr>
              <w:spacing w:after="0" w:line="240" w:lineRule="auto"/>
              <w:rPr>
                <w:rFonts w:cs="Arial"/>
                <w:color w:val="auto"/>
              </w:rPr>
            </w:pPr>
            <w:r w:rsidRPr="007E140B">
              <w:rPr>
                <w:rFonts w:cs="Arial"/>
                <w:color w:val="auto"/>
                <w:sz w:val="15"/>
              </w:rPr>
              <w:t xml:space="preserve">Foundational for the dissertation’s materiality-to-value logic. It justifies </w:t>
            </w:r>
            <w:proofErr w:type="spellStart"/>
            <w:r w:rsidRPr="007E140B">
              <w:rPr>
                <w:rFonts w:cs="Arial"/>
                <w:color w:val="auto"/>
                <w:sz w:val="15"/>
              </w:rPr>
              <w:t>prioritising</w:t>
            </w:r>
            <w:proofErr w:type="spellEnd"/>
            <w:r w:rsidRPr="007E140B">
              <w:rPr>
                <w:rFonts w:cs="Arial"/>
                <w:color w:val="auto"/>
                <w:sz w:val="15"/>
              </w:rPr>
              <w:t xml:space="preserve"> issues tied to revenue, cost, assets and stakeholder dependencies rather than </w:t>
            </w:r>
            <w:proofErr w:type="spellStart"/>
            <w:r w:rsidRPr="007E140B">
              <w:rPr>
                <w:rFonts w:cs="Arial"/>
                <w:color w:val="auto"/>
                <w:sz w:val="15"/>
              </w:rPr>
              <w:t>maximising</w:t>
            </w:r>
            <w:proofErr w:type="spellEnd"/>
            <w:r w:rsidRPr="007E140B">
              <w:rPr>
                <w:rFonts w:cs="Arial"/>
                <w:color w:val="auto"/>
                <w:sz w:val="15"/>
              </w:rPr>
              <w:t xml:space="preserve"> generic ESG activity.</w:t>
            </w:r>
          </w:p>
        </w:tc>
        <w:tc>
          <w:tcPr>
            <w:tcW w:w="1230" w:type="dxa"/>
            <w:shd w:val="clear" w:color="auto" w:fill="F7FAFC"/>
            <w:tcMar>
              <w:top w:w="22" w:type="dxa"/>
              <w:left w:w="24" w:type="dxa"/>
              <w:bottom w:w="22" w:type="dxa"/>
              <w:right w:w="24" w:type="dxa"/>
            </w:tcMar>
          </w:tcPr>
          <w:p w14:paraId="6A4F1A5C" w14:textId="77777777" w:rsidR="004D7A10" w:rsidRPr="007E140B" w:rsidRDefault="00CC58FE" w:rsidP="0026770E">
            <w:pPr>
              <w:spacing w:after="0" w:line="240" w:lineRule="auto"/>
              <w:rPr>
                <w:rFonts w:cs="Arial"/>
                <w:color w:val="auto"/>
              </w:rPr>
            </w:pPr>
            <w:hyperlink r:id="rId73">
              <w:r w:rsidR="004D7A10" w:rsidRPr="007E140B">
                <w:rPr>
                  <w:rFonts w:cs="Arial"/>
                  <w:color w:val="auto"/>
                  <w:sz w:val="13"/>
                  <w:szCs w:val="13"/>
                </w:rPr>
                <w:t>https://doi.org/10.2308/accr-51383</w:t>
              </w:r>
            </w:hyperlink>
          </w:p>
        </w:tc>
      </w:tr>
      <w:tr w:rsidR="007E140B" w:rsidRPr="007E140B" w14:paraId="246FAC4A" w14:textId="77777777" w:rsidTr="0026770E">
        <w:trPr>
          <w:cantSplit/>
          <w:jc w:val="center"/>
        </w:trPr>
        <w:tc>
          <w:tcPr>
            <w:tcW w:w="504" w:type="dxa"/>
            <w:shd w:val="clear" w:color="auto" w:fill="EAF1F7"/>
            <w:tcMar>
              <w:top w:w="22" w:type="dxa"/>
              <w:left w:w="24" w:type="dxa"/>
              <w:bottom w:w="22" w:type="dxa"/>
              <w:right w:w="24" w:type="dxa"/>
            </w:tcMar>
            <w:vAlign w:val="center"/>
          </w:tcPr>
          <w:p w14:paraId="2DE16A64"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18</w:t>
            </w:r>
          </w:p>
        </w:tc>
        <w:tc>
          <w:tcPr>
            <w:tcW w:w="1447" w:type="dxa"/>
            <w:shd w:val="clear" w:color="auto" w:fill="EAF1F7"/>
            <w:tcMar>
              <w:top w:w="22" w:type="dxa"/>
              <w:left w:w="24" w:type="dxa"/>
              <w:bottom w:w="22" w:type="dxa"/>
              <w:right w:w="24" w:type="dxa"/>
            </w:tcMar>
          </w:tcPr>
          <w:p w14:paraId="3BBB45E3" w14:textId="77777777" w:rsidR="004D7A10" w:rsidRPr="007E140B" w:rsidRDefault="004D7A10" w:rsidP="0026770E">
            <w:pPr>
              <w:spacing w:after="0" w:line="240" w:lineRule="auto"/>
              <w:rPr>
                <w:rFonts w:cs="Arial"/>
                <w:color w:val="auto"/>
              </w:rPr>
            </w:pPr>
            <w:r w:rsidRPr="007E140B">
              <w:rPr>
                <w:rFonts w:cs="Arial"/>
                <w:b/>
                <w:color w:val="auto"/>
                <w:sz w:val="15"/>
              </w:rPr>
              <w:t>An Integrative Model of Organizational Trust</w:t>
            </w:r>
          </w:p>
        </w:tc>
        <w:tc>
          <w:tcPr>
            <w:tcW w:w="1049" w:type="dxa"/>
            <w:shd w:val="clear" w:color="auto" w:fill="EAF1F7"/>
            <w:tcMar>
              <w:top w:w="22" w:type="dxa"/>
              <w:left w:w="24" w:type="dxa"/>
              <w:bottom w:w="22" w:type="dxa"/>
              <w:right w:w="24" w:type="dxa"/>
            </w:tcMar>
          </w:tcPr>
          <w:p w14:paraId="1A74DADA" w14:textId="77777777" w:rsidR="004D7A10" w:rsidRPr="007E140B" w:rsidRDefault="004D7A10" w:rsidP="0026770E">
            <w:pPr>
              <w:spacing w:after="0" w:line="240" w:lineRule="auto"/>
              <w:rPr>
                <w:rFonts w:cs="Arial"/>
                <w:color w:val="auto"/>
              </w:rPr>
            </w:pPr>
            <w:r w:rsidRPr="007E140B">
              <w:rPr>
                <w:rFonts w:cs="Arial"/>
                <w:color w:val="auto"/>
                <w:sz w:val="15"/>
              </w:rPr>
              <w:t>Academy of Management Review</w:t>
            </w:r>
          </w:p>
        </w:tc>
        <w:tc>
          <w:tcPr>
            <w:tcW w:w="905" w:type="dxa"/>
            <w:shd w:val="clear" w:color="auto" w:fill="EAF1F7"/>
            <w:tcMar>
              <w:top w:w="22" w:type="dxa"/>
              <w:left w:w="24" w:type="dxa"/>
              <w:bottom w:w="22" w:type="dxa"/>
              <w:right w:w="24" w:type="dxa"/>
            </w:tcMar>
          </w:tcPr>
          <w:p w14:paraId="0FFC9851" w14:textId="77777777" w:rsidR="004D7A10" w:rsidRPr="007E140B" w:rsidRDefault="004D7A10" w:rsidP="0026770E">
            <w:pPr>
              <w:spacing w:after="0" w:line="240" w:lineRule="auto"/>
              <w:rPr>
                <w:rFonts w:cs="Arial"/>
                <w:color w:val="auto"/>
              </w:rPr>
            </w:pPr>
            <w:r w:rsidRPr="007E140B">
              <w:rPr>
                <w:rFonts w:cs="Arial"/>
                <w:color w:val="auto"/>
                <w:sz w:val="15"/>
              </w:rPr>
              <w:t xml:space="preserve">Mayer, R.C.; Davis, J.H.; </w:t>
            </w:r>
            <w:proofErr w:type="spellStart"/>
            <w:r w:rsidRPr="007E140B">
              <w:rPr>
                <w:rFonts w:cs="Arial"/>
                <w:color w:val="auto"/>
                <w:sz w:val="15"/>
              </w:rPr>
              <w:t>Schoorman</w:t>
            </w:r>
            <w:proofErr w:type="spellEnd"/>
            <w:r w:rsidRPr="007E140B">
              <w:rPr>
                <w:rFonts w:cs="Arial"/>
                <w:color w:val="auto"/>
                <w:sz w:val="15"/>
              </w:rPr>
              <w:t>, F.D.</w:t>
            </w:r>
          </w:p>
        </w:tc>
        <w:tc>
          <w:tcPr>
            <w:tcW w:w="648" w:type="dxa"/>
            <w:shd w:val="clear" w:color="auto" w:fill="EAF1F7"/>
            <w:tcMar>
              <w:top w:w="22" w:type="dxa"/>
              <w:left w:w="24" w:type="dxa"/>
              <w:bottom w:w="22" w:type="dxa"/>
              <w:right w:w="24" w:type="dxa"/>
            </w:tcMar>
            <w:vAlign w:val="center"/>
          </w:tcPr>
          <w:p w14:paraId="686C1AF6" w14:textId="77777777" w:rsidR="004D7A10" w:rsidRPr="007E140B" w:rsidRDefault="004D7A10" w:rsidP="0026770E">
            <w:pPr>
              <w:spacing w:after="0" w:line="240" w:lineRule="auto"/>
              <w:jc w:val="center"/>
              <w:rPr>
                <w:rFonts w:cs="Arial"/>
                <w:color w:val="auto"/>
              </w:rPr>
            </w:pPr>
            <w:r w:rsidRPr="007E140B">
              <w:rPr>
                <w:rFonts w:cs="Arial"/>
                <w:b/>
                <w:color w:val="auto"/>
                <w:sz w:val="15"/>
              </w:rPr>
              <w:t>1995</w:t>
            </w:r>
          </w:p>
        </w:tc>
        <w:tc>
          <w:tcPr>
            <w:tcW w:w="1230" w:type="dxa"/>
            <w:shd w:val="clear" w:color="auto" w:fill="EAF1F7"/>
            <w:tcMar>
              <w:top w:w="22" w:type="dxa"/>
              <w:left w:w="24" w:type="dxa"/>
              <w:bottom w:w="22" w:type="dxa"/>
              <w:right w:w="24" w:type="dxa"/>
            </w:tcMar>
          </w:tcPr>
          <w:p w14:paraId="165350C5" w14:textId="77777777" w:rsidR="004D7A10" w:rsidRPr="007E140B" w:rsidRDefault="004D7A10" w:rsidP="0026770E">
            <w:pPr>
              <w:spacing w:after="0" w:line="240" w:lineRule="auto"/>
              <w:rPr>
                <w:rFonts w:cs="Arial"/>
                <w:color w:val="auto"/>
              </w:rPr>
            </w:pPr>
            <w:r w:rsidRPr="007E140B">
              <w:rPr>
                <w:rFonts w:cs="Arial"/>
                <w:color w:val="auto"/>
                <w:sz w:val="15"/>
              </w:rPr>
              <w:t>To integrate fragmented research on trust into a coherent model that distinguishes trust from related constructs and explains its antecedents and outcomes.</w:t>
            </w:r>
          </w:p>
        </w:tc>
        <w:tc>
          <w:tcPr>
            <w:tcW w:w="1375" w:type="dxa"/>
            <w:shd w:val="clear" w:color="auto" w:fill="EAF1F7"/>
            <w:tcMar>
              <w:top w:w="22" w:type="dxa"/>
              <w:left w:w="24" w:type="dxa"/>
              <w:bottom w:w="22" w:type="dxa"/>
              <w:right w:w="24" w:type="dxa"/>
            </w:tcMar>
          </w:tcPr>
          <w:p w14:paraId="154E63A5" w14:textId="77777777" w:rsidR="004D7A10" w:rsidRPr="007E140B" w:rsidRDefault="004D7A10" w:rsidP="0026770E">
            <w:pPr>
              <w:spacing w:after="0" w:line="240" w:lineRule="auto"/>
              <w:rPr>
                <w:rFonts w:cs="Arial"/>
                <w:color w:val="auto"/>
              </w:rPr>
            </w:pPr>
            <w:r w:rsidRPr="007E140B">
              <w:rPr>
                <w:rFonts w:cs="Arial"/>
                <w:color w:val="auto"/>
                <w:sz w:val="15"/>
              </w:rPr>
              <w:t>Define trust; distinguish trustor propensity and trustee characteristics; explain the role of perceived risk; propose research propositions linking trustworthiness to risk-taking in relationships.</w:t>
            </w:r>
          </w:p>
        </w:tc>
        <w:tc>
          <w:tcPr>
            <w:tcW w:w="1086" w:type="dxa"/>
            <w:shd w:val="clear" w:color="auto" w:fill="EAF1F7"/>
            <w:tcMar>
              <w:top w:w="22" w:type="dxa"/>
              <w:left w:w="24" w:type="dxa"/>
              <w:bottom w:w="22" w:type="dxa"/>
              <w:right w:w="24" w:type="dxa"/>
            </w:tcMar>
          </w:tcPr>
          <w:p w14:paraId="7B516EC1" w14:textId="77777777" w:rsidR="004D7A10" w:rsidRPr="007E140B" w:rsidRDefault="004D7A10" w:rsidP="0026770E">
            <w:pPr>
              <w:spacing w:after="0" w:line="240" w:lineRule="auto"/>
              <w:rPr>
                <w:rFonts w:cs="Arial"/>
                <w:color w:val="auto"/>
              </w:rPr>
            </w:pPr>
            <w:r w:rsidRPr="007E140B">
              <w:rPr>
                <w:rFonts w:cs="Arial"/>
                <w:color w:val="auto"/>
                <w:sz w:val="15"/>
              </w:rPr>
              <w:t xml:space="preserve">What factors make a trustee appear trustworthy, and how do those perceptions combine with risk and trustor propensity to produce trust and risk-taking </w:t>
            </w:r>
            <w:proofErr w:type="spellStart"/>
            <w:r w:rsidRPr="007E140B">
              <w:rPr>
                <w:rFonts w:cs="Arial"/>
                <w:color w:val="auto"/>
                <w:sz w:val="15"/>
              </w:rPr>
              <w:t>behaviour</w:t>
            </w:r>
            <w:proofErr w:type="spellEnd"/>
            <w:r w:rsidRPr="007E140B">
              <w:rPr>
                <w:rFonts w:cs="Arial"/>
                <w:color w:val="auto"/>
                <w:sz w:val="15"/>
              </w:rPr>
              <w:t>?</w:t>
            </w:r>
          </w:p>
        </w:tc>
        <w:tc>
          <w:tcPr>
            <w:tcW w:w="1122" w:type="dxa"/>
            <w:shd w:val="clear" w:color="auto" w:fill="EAF1F7"/>
            <w:tcMar>
              <w:top w:w="22" w:type="dxa"/>
              <w:left w:w="24" w:type="dxa"/>
              <w:bottom w:w="22" w:type="dxa"/>
              <w:right w:w="24" w:type="dxa"/>
            </w:tcMar>
          </w:tcPr>
          <w:p w14:paraId="7E12DCB1" w14:textId="77777777" w:rsidR="004D7A10" w:rsidRPr="007E140B" w:rsidRDefault="004D7A10" w:rsidP="0026770E">
            <w:pPr>
              <w:spacing w:after="0" w:line="240" w:lineRule="auto"/>
              <w:rPr>
                <w:rFonts w:cs="Arial"/>
                <w:color w:val="auto"/>
              </w:rPr>
            </w:pPr>
            <w:r w:rsidRPr="007E140B">
              <w:rPr>
                <w:rFonts w:cs="Arial"/>
                <w:color w:val="auto"/>
                <w:sz w:val="15"/>
              </w:rPr>
              <w:t>Multidisciplinary conceptual synthesis and theory development; no empirical sample.</w:t>
            </w:r>
          </w:p>
        </w:tc>
        <w:tc>
          <w:tcPr>
            <w:tcW w:w="1556" w:type="dxa"/>
            <w:shd w:val="clear" w:color="auto" w:fill="EAF1F7"/>
            <w:tcMar>
              <w:top w:w="22" w:type="dxa"/>
              <w:left w:w="24" w:type="dxa"/>
              <w:bottom w:w="22" w:type="dxa"/>
              <w:right w:w="24" w:type="dxa"/>
            </w:tcMar>
          </w:tcPr>
          <w:p w14:paraId="34A978CC" w14:textId="77777777" w:rsidR="004D7A10" w:rsidRPr="007E140B" w:rsidRDefault="004D7A10" w:rsidP="0026770E">
            <w:pPr>
              <w:spacing w:after="0" w:line="240" w:lineRule="auto"/>
              <w:rPr>
                <w:rFonts w:cs="Arial"/>
                <w:color w:val="auto"/>
              </w:rPr>
            </w:pPr>
            <w:r w:rsidRPr="007E140B">
              <w:rPr>
                <w:rFonts w:cs="Arial"/>
                <w:color w:val="auto"/>
                <w:sz w:val="15"/>
              </w:rPr>
              <w:t xml:space="preserve">Perceived ability, benevolence and integrity are central antecedents of trustworthiness; trust also depends on the trustor and perceived risk. The model distinguishes trust from </w:t>
            </w:r>
            <w:proofErr w:type="spellStart"/>
            <w:r w:rsidRPr="007E140B">
              <w:rPr>
                <w:rFonts w:cs="Arial"/>
                <w:color w:val="auto"/>
                <w:sz w:val="15"/>
              </w:rPr>
              <w:t>behaviour</w:t>
            </w:r>
            <w:proofErr w:type="spellEnd"/>
            <w:r w:rsidRPr="007E140B">
              <w:rPr>
                <w:rFonts w:cs="Arial"/>
                <w:color w:val="auto"/>
                <w:sz w:val="15"/>
              </w:rPr>
              <w:t xml:space="preserve"> that involves taking risk.</w:t>
            </w:r>
          </w:p>
        </w:tc>
        <w:tc>
          <w:tcPr>
            <w:tcW w:w="1665" w:type="dxa"/>
            <w:shd w:val="clear" w:color="auto" w:fill="EAF1F7"/>
            <w:tcMar>
              <w:top w:w="22" w:type="dxa"/>
              <w:left w:w="24" w:type="dxa"/>
              <w:bottom w:w="22" w:type="dxa"/>
              <w:right w:w="24" w:type="dxa"/>
            </w:tcMar>
          </w:tcPr>
          <w:p w14:paraId="648C05BF" w14:textId="77777777" w:rsidR="004D7A10" w:rsidRPr="007E140B" w:rsidRDefault="004D7A10" w:rsidP="0026770E">
            <w:pPr>
              <w:spacing w:after="0" w:line="240" w:lineRule="auto"/>
              <w:rPr>
                <w:rFonts w:cs="Arial"/>
                <w:color w:val="auto"/>
              </w:rPr>
            </w:pPr>
            <w:r w:rsidRPr="007E140B">
              <w:rPr>
                <w:rFonts w:cs="Arial"/>
                <w:color w:val="auto"/>
                <w:sz w:val="15"/>
              </w:rPr>
              <w:t xml:space="preserve">The article provides one of the most widely used </w:t>
            </w:r>
            <w:proofErr w:type="spellStart"/>
            <w:r w:rsidRPr="007E140B">
              <w:rPr>
                <w:rFonts w:cs="Arial"/>
                <w:color w:val="auto"/>
                <w:sz w:val="15"/>
              </w:rPr>
              <w:t>organisational</w:t>
            </w:r>
            <w:proofErr w:type="spellEnd"/>
            <w:r w:rsidRPr="007E140B">
              <w:rPr>
                <w:rFonts w:cs="Arial"/>
                <w:color w:val="auto"/>
                <w:sz w:val="15"/>
              </w:rPr>
              <w:t xml:space="preserve"> models of trust and explains why competence, goodwill and integrity can affect stakeholder willingness to accept vulnerability.</w:t>
            </w:r>
          </w:p>
        </w:tc>
        <w:tc>
          <w:tcPr>
            <w:tcW w:w="1303" w:type="dxa"/>
            <w:shd w:val="clear" w:color="auto" w:fill="EAF1F7"/>
            <w:tcMar>
              <w:top w:w="22" w:type="dxa"/>
              <w:left w:w="24" w:type="dxa"/>
              <w:bottom w:w="22" w:type="dxa"/>
              <w:right w:w="24" w:type="dxa"/>
            </w:tcMar>
          </w:tcPr>
          <w:p w14:paraId="6AC54FD8" w14:textId="77777777" w:rsidR="004D7A10" w:rsidRPr="007E140B" w:rsidRDefault="004D7A10" w:rsidP="0026770E">
            <w:pPr>
              <w:spacing w:after="0" w:line="240" w:lineRule="auto"/>
              <w:rPr>
                <w:rFonts w:cs="Arial"/>
                <w:color w:val="auto"/>
              </w:rPr>
            </w:pPr>
            <w:r w:rsidRPr="007E140B">
              <w:rPr>
                <w:rFonts w:cs="Arial"/>
                <w:color w:val="auto"/>
                <w:sz w:val="15"/>
              </w:rPr>
              <w:t xml:space="preserve">Useful for </w:t>
            </w:r>
            <w:proofErr w:type="spellStart"/>
            <w:r w:rsidRPr="007E140B">
              <w:rPr>
                <w:rFonts w:cs="Arial"/>
                <w:color w:val="auto"/>
                <w:sz w:val="15"/>
              </w:rPr>
              <w:t>operationalising</w:t>
            </w:r>
            <w:proofErr w:type="spellEnd"/>
            <w:r w:rsidRPr="007E140B">
              <w:rPr>
                <w:rFonts w:cs="Arial"/>
                <w:color w:val="auto"/>
                <w:sz w:val="15"/>
              </w:rPr>
              <w:t xml:space="preserve"> the dissertation’s stakeholder-trust mechanism: delivery can signal ability, claim–outcome consistency can signal integrity, and distribution of benefits/costs can affect perceived benevolence.</w:t>
            </w:r>
          </w:p>
        </w:tc>
        <w:tc>
          <w:tcPr>
            <w:tcW w:w="1230" w:type="dxa"/>
            <w:shd w:val="clear" w:color="auto" w:fill="EAF1F7"/>
            <w:tcMar>
              <w:top w:w="22" w:type="dxa"/>
              <w:left w:w="24" w:type="dxa"/>
              <w:bottom w:w="22" w:type="dxa"/>
              <w:right w:w="24" w:type="dxa"/>
            </w:tcMar>
          </w:tcPr>
          <w:p w14:paraId="2E94FB0B" w14:textId="77777777" w:rsidR="004D7A10" w:rsidRPr="007E140B" w:rsidRDefault="00CC58FE" w:rsidP="0026770E">
            <w:pPr>
              <w:spacing w:after="0" w:line="240" w:lineRule="auto"/>
              <w:rPr>
                <w:rFonts w:cs="Arial"/>
                <w:color w:val="auto"/>
              </w:rPr>
            </w:pPr>
            <w:hyperlink r:id="rId74">
              <w:r w:rsidR="004D7A10" w:rsidRPr="007E140B">
                <w:rPr>
                  <w:rFonts w:cs="Arial"/>
                  <w:color w:val="auto"/>
                  <w:sz w:val="13"/>
                  <w:szCs w:val="13"/>
                </w:rPr>
                <w:t>https://doi.org/10.5465/amr.1995.9508080335</w:t>
              </w:r>
            </w:hyperlink>
          </w:p>
        </w:tc>
      </w:tr>
      <w:tr w:rsidR="007E140B" w:rsidRPr="007E140B" w14:paraId="53688102" w14:textId="77777777" w:rsidTr="0026770E">
        <w:trPr>
          <w:cantSplit/>
          <w:jc w:val="center"/>
        </w:trPr>
        <w:tc>
          <w:tcPr>
            <w:tcW w:w="504" w:type="dxa"/>
            <w:shd w:val="clear" w:color="auto" w:fill="F7FAFC"/>
            <w:tcMar>
              <w:top w:w="22" w:type="dxa"/>
              <w:left w:w="24" w:type="dxa"/>
              <w:bottom w:w="22" w:type="dxa"/>
              <w:right w:w="24" w:type="dxa"/>
            </w:tcMar>
            <w:vAlign w:val="center"/>
          </w:tcPr>
          <w:p w14:paraId="6B315DCF" w14:textId="77777777" w:rsidR="004D7A10" w:rsidRPr="007E140B" w:rsidRDefault="004D7A10" w:rsidP="0026770E">
            <w:pPr>
              <w:spacing w:after="0" w:line="240" w:lineRule="auto"/>
              <w:jc w:val="center"/>
              <w:rPr>
                <w:rFonts w:cs="Arial"/>
                <w:color w:val="auto"/>
              </w:rPr>
            </w:pPr>
            <w:r w:rsidRPr="007E140B">
              <w:rPr>
                <w:rFonts w:cs="Arial"/>
                <w:b/>
                <w:color w:val="auto"/>
                <w:sz w:val="15"/>
              </w:rPr>
              <w:t>19</w:t>
            </w:r>
          </w:p>
        </w:tc>
        <w:tc>
          <w:tcPr>
            <w:tcW w:w="1447" w:type="dxa"/>
            <w:shd w:val="clear" w:color="auto" w:fill="F7FAFC"/>
            <w:tcMar>
              <w:top w:w="22" w:type="dxa"/>
              <w:left w:w="24" w:type="dxa"/>
              <w:bottom w:w="22" w:type="dxa"/>
              <w:right w:w="24" w:type="dxa"/>
            </w:tcMar>
          </w:tcPr>
          <w:p w14:paraId="5FE8C09D" w14:textId="77777777" w:rsidR="004D7A10" w:rsidRPr="007E140B" w:rsidRDefault="004D7A10" w:rsidP="0026770E">
            <w:pPr>
              <w:spacing w:after="0" w:line="240" w:lineRule="auto"/>
              <w:rPr>
                <w:rFonts w:cs="Arial"/>
                <w:color w:val="auto"/>
              </w:rPr>
            </w:pPr>
            <w:r w:rsidRPr="007E140B">
              <w:rPr>
                <w:rFonts w:cs="Arial"/>
                <w:b/>
                <w:color w:val="auto"/>
                <w:sz w:val="15"/>
              </w:rPr>
              <w:t>ESG Performance, Investor Attention, and Company Reputation: Threshold Model Analysis Based on Panel Data from Listed Companies in China</w:t>
            </w:r>
          </w:p>
        </w:tc>
        <w:tc>
          <w:tcPr>
            <w:tcW w:w="1049" w:type="dxa"/>
            <w:shd w:val="clear" w:color="auto" w:fill="F7FAFC"/>
            <w:tcMar>
              <w:top w:w="22" w:type="dxa"/>
              <w:left w:w="24" w:type="dxa"/>
              <w:bottom w:w="22" w:type="dxa"/>
              <w:right w:w="24" w:type="dxa"/>
            </w:tcMar>
          </w:tcPr>
          <w:p w14:paraId="7F322EF5"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Heliyon</w:t>
            </w:r>
            <w:proofErr w:type="spellEnd"/>
          </w:p>
        </w:tc>
        <w:tc>
          <w:tcPr>
            <w:tcW w:w="905" w:type="dxa"/>
            <w:shd w:val="clear" w:color="auto" w:fill="F7FAFC"/>
            <w:tcMar>
              <w:top w:w="22" w:type="dxa"/>
              <w:left w:w="24" w:type="dxa"/>
              <w:bottom w:w="22" w:type="dxa"/>
              <w:right w:w="24" w:type="dxa"/>
            </w:tcMar>
          </w:tcPr>
          <w:p w14:paraId="43406ABC" w14:textId="77777777" w:rsidR="004D7A10" w:rsidRPr="007E140B" w:rsidRDefault="004D7A10" w:rsidP="0026770E">
            <w:pPr>
              <w:spacing w:after="0" w:line="240" w:lineRule="auto"/>
              <w:rPr>
                <w:rFonts w:cs="Arial"/>
                <w:color w:val="auto"/>
              </w:rPr>
            </w:pPr>
            <w:r w:rsidRPr="007E140B">
              <w:rPr>
                <w:rFonts w:cs="Arial"/>
                <w:color w:val="auto"/>
                <w:sz w:val="15"/>
              </w:rPr>
              <w:t xml:space="preserve">Meng, T.; Dato Haji Yahya, M.H.; </w:t>
            </w:r>
            <w:proofErr w:type="spellStart"/>
            <w:r w:rsidRPr="007E140B">
              <w:rPr>
                <w:rFonts w:cs="Arial"/>
                <w:color w:val="auto"/>
                <w:sz w:val="15"/>
              </w:rPr>
              <w:t>Ashhari</w:t>
            </w:r>
            <w:proofErr w:type="spellEnd"/>
            <w:r w:rsidRPr="007E140B">
              <w:rPr>
                <w:rFonts w:cs="Arial"/>
                <w:color w:val="auto"/>
                <w:sz w:val="15"/>
              </w:rPr>
              <w:t>, Z.M.; Yu, D.</w:t>
            </w:r>
          </w:p>
        </w:tc>
        <w:tc>
          <w:tcPr>
            <w:tcW w:w="648" w:type="dxa"/>
            <w:shd w:val="clear" w:color="auto" w:fill="F7FAFC"/>
            <w:tcMar>
              <w:top w:w="22" w:type="dxa"/>
              <w:left w:w="24" w:type="dxa"/>
              <w:bottom w:w="22" w:type="dxa"/>
              <w:right w:w="24" w:type="dxa"/>
            </w:tcMar>
            <w:vAlign w:val="center"/>
          </w:tcPr>
          <w:p w14:paraId="194B8059" w14:textId="77777777" w:rsidR="004D7A10" w:rsidRPr="007E140B" w:rsidRDefault="004D7A10" w:rsidP="0026770E">
            <w:pPr>
              <w:spacing w:after="0" w:line="240" w:lineRule="auto"/>
              <w:jc w:val="center"/>
              <w:rPr>
                <w:rFonts w:cs="Arial"/>
                <w:color w:val="auto"/>
              </w:rPr>
            </w:pPr>
            <w:r w:rsidRPr="007E140B">
              <w:rPr>
                <w:rFonts w:cs="Arial"/>
                <w:b/>
                <w:color w:val="auto"/>
                <w:sz w:val="15"/>
              </w:rPr>
              <w:t>2023</w:t>
            </w:r>
          </w:p>
        </w:tc>
        <w:tc>
          <w:tcPr>
            <w:tcW w:w="1230" w:type="dxa"/>
            <w:shd w:val="clear" w:color="auto" w:fill="F7FAFC"/>
            <w:tcMar>
              <w:top w:w="22" w:type="dxa"/>
              <w:left w:w="24" w:type="dxa"/>
              <w:bottom w:w="22" w:type="dxa"/>
              <w:right w:w="24" w:type="dxa"/>
            </w:tcMar>
          </w:tcPr>
          <w:p w14:paraId="008785D7" w14:textId="77777777" w:rsidR="004D7A10" w:rsidRPr="007E140B" w:rsidRDefault="004D7A10" w:rsidP="0026770E">
            <w:pPr>
              <w:spacing w:after="0" w:line="240" w:lineRule="auto"/>
              <w:rPr>
                <w:rFonts w:cs="Arial"/>
                <w:color w:val="auto"/>
              </w:rPr>
            </w:pPr>
            <w:r w:rsidRPr="007E140B">
              <w:rPr>
                <w:rFonts w:cs="Arial"/>
                <w:color w:val="auto"/>
                <w:sz w:val="15"/>
              </w:rPr>
              <w:t>To test how ESG performance affects company reputation in China and whether investor attention mediates and nonlinearly conditions the relationship.</w:t>
            </w:r>
          </w:p>
        </w:tc>
        <w:tc>
          <w:tcPr>
            <w:tcW w:w="1375" w:type="dxa"/>
            <w:shd w:val="clear" w:color="auto" w:fill="F7FAFC"/>
            <w:tcMar>
              <w:top w:w="22" w:type="dxa"/>
              <w:left w:w="24" w:type="dxa"/>
              <w:bottom w:w="22" w:type="dxa"/>
              <w:right w:w="24" w:type="dxa"/>
            </w:tcMar>
          </w:tcPr>
          <w:p w14:paraId="6A2642B9" w14:textId="77777777" w:rsidR="004D7A10" w:rsidRPr="007E140B" w:rsidRDefault="004D7A10" w:rsidP="0026770E">
            <w:pPr>
              <w:spacing w:after="0" w:line="240" w:lineRule="auto"/>
              <w:rPr>
                <w:rFonts w:cs="Arial"/>
                <w:color w:val="auto"/>
              </w:rPr>
            </w:pPr>
            <w:r w:rsidRPr="007E140B">
              <w:rPr>
                <w:rFonts w:cs="Arial"/>
                <w:color w:val="auto"/>
                <w:sz w:val="15"/>
              </w:rPr>
              <w:t>Estimate ESG–reputation effects; test investor-attention mediation; test ESG and investor-attention threshold effects; examine ownership heterogeneity.</w:t>
            </w:r>
          </w:p>
        </w:tc>
        <w:tc>
          <w:tcPr>
            <w:tcW w:w="1086" w:type="dxa"/>
            <w:shd w:val="clear" w:color="auto" w:fill="F7FAFC"/>
            <w:tcMar>
              <w:top w:w="22" w:type="dxa"/>
              <w:left w:w="24" w:type="dxa"/>
              <w:bottom w:w="22" w:type="dxa"/>
              <w:right w:w="24" w:type="dxa"/>
            </w:tcMar>
          </w:tcPr>
          <w:p w14:paraId="58DAA732" w14:textId="77777777" w:rsidR="004D7A10" w:rsidRPr="007E140B" w:rsidRDefault="004D7A10" w:rsidP="0026770E">
            <w:pPr>
              <w:spacing w:after="0" w:line="240" w:lineRule="auto"/>
              <w:rPr>
                <w:rFonts w:cs="Arial"/>
                <w:color w:val="auto"/>
              </w:rPr>
            </w:pPr>
            <w:r w:rsidRPr="007E140B">
              <w:rPr>
                <w:rFonts w:cs="Arial"/>
                <w:color w:val="auto"/>
                <w:sz w:val="15"/>
              </w:rPr>
              <w:t>Does ESG performance improve company reputation, does investor attention mediate the relationship, and does the effect change at different attention/ESG thresholds?</w:t>
            </w:r>
          </w:p>
        </w:tc>
        <w:tc>
          <w:tcPr>
            <w:tcW w:w="1122" w:type="dxa"/>
            <w:shd w:val="clear" w:color="auto" w:fill="F7FAFC"/>
            <w:tcMar>
              <w:top w:w="22" w:type="dxa"/>
              <w:left w:w="24" w:type="dxa"/>
              <w:bottom w:w="22" w:type="dxa"/>
              <w:right w:w="24" w:type="dxa"/>
            </w:tcMar>
          </w:tcPr>
          <w:p w14:paraId="574D155C" w14:textId="77777777" w:rsidR="004D7A10" w:rsidRPr="007E140B" w:rsidRDefault="004D7A10" w:rsidP="0026770E">
            <w:pPr>
              <w:spacing w:after="0" w:line="240" w:lineRule="auto"/>
              <w:rPr>
                <w:rFonts w:cs="Arial"/>
                <w:color w:val="auto"/>
              </w:rPr>
            </w:pPr>
            <w:r w:rsidRPr="007E140B">
              <w:rPr>
                <w:rFonts w:cs="Arial"/>
                <w:color w:val="auto"/>
                <w:sz w:val="15"/>
              </w:rPr>
              <w:t>Panel data on Chinese listed firms, 2011–2021. Uses two-way fixed-effects regressions, mediation tests (including Sobel/Bootstrap) and threshold models.</w:t>
            </w:r>
          </w:p>
        </w:tc>
        <w:tc>
          <w:tcPr>
            <w:tcW w:w="1556" w:type="dxa"/>
            <w:shd w:val="clear" w:color="auto" w:fill="F7FAFC"/>
            <w:tcMar>
              <w:top w:w="22" w:type="dxa"/>
              <w:left w:w="24" w:type="dxa"/>
              <w:bottom w:w="22" w:type="dxa"/>
              <w:right w:w="24" w:type="dxa"/>
            </w:tcMar>
          </w:tcPr>
          <w:p w14:paraId="43394F5A" w14:textId="77777777" w:rsidR="004D7A10" w:rsidRPr="007E140B" w:rsidRDefault="004D7A10" w:rsidP="0026770E">
            <w:pPr>
              <w:spacing w:after="0" w:line="240" w:lineRule="auto"/>
              <w:rPr>
                <w:rFonts w:cs="Arial"/>
                <w:color w:val="auto"/>
              </w:rPr>
            </w:pPr>
            <w:r w:rsidRPr="007E140B">
              <w:rPr>
                <w:rFonts w:cs="Arial"/>
                <w:color w:val="auto"/>
                <w:sz w:val="15"/>
              </w:rPr>
              <w:t>ESG performance is positively related to reputation. Investor attention mediates the relationship, especially among non-state-owned firms. The ESG–reputation effect strengthens nonlinearly after ESG/attention thresholds are crossed.</w:t>
            </w:r>
          </w:p>
        </w:tc>
        <w:tc>
          <w:tcPr>
            <w:tcW w:w="1665" w:type="dxa"/>
            <w:shd w:val="clear" w:color="auto" w:fill="F7FAFC"/>
            <w:tcMar>
              <w:top w:w="22" w:type="dxa"/>
              <w:left w:w="24" w:type="dxa"/>
              <w:bottom w:w="22" w:type="dxa"/>
              <w:right w:w="24" w:type="dxa"/>
            </w:tcMar>
          </w:tcPr>
          <w:p w14:paraId="08A5FCE0" w14:textId="77777777" w:rsidR="004D7A10" w:rsidRPr="007E140B" w:rsidRDefault="004D7A10" w:rsidP="0026770E">
            <w:pPr>
              <w:spacing w:after="0" w:line="240" w:lineRule="auto"/>
              <w:rPr>
                <w:rFonts w:cs="Arial"/>
                <w:color w:val="auto"/>
              </w:rPr>
            </w:pPr>
            <w:r w:rsidRPr="007E140B">
              <w:rPr>
                <w:rFonts w:cs="Arial"/>
                <w:color w:val="auto"/>
                <w:sz w:val="15"/>
              </w:rPr>
              <w:t>The study presents a reputation mechanism in which ESG can attract investor attention, which then amplifies reputational effects; the strength of the relationship varies by ownership and attention level.</w:t>
            </w:r>
          </w:p>
        </w:tc>
        <w:tc>
          <w:tcPr>
            <w:tcW w:w="1303" w:type="dxa"/>
            <w:shd w:val="clear" w:color="auto" w:fill="F7FAFC"/>
            <w:tcMar>
              <w:top w:w="22" w:type="dxa"/>
              <w:left w:w="24" w:type="dxa"/>
              <w:bottom w:w="22" w:type="dxa"/>
              <w:right w:w="24" w:type="dxa"/>
            </w:tcMar>
          </w:tcPr>
          <w:p w14:paraId="62E2D44C" w14:textId="77777777" w:rsidR="004D7A10" w:rsidRPr="007E140B" w:rsidRDefault="004D7A10" w:rsidP="0026770E">
            <w:pPr>
              <w:spacing w:after="0" w:line="240" w:lineRule="auto"/>
              <w:rPr>
                <w:rFonts w:cs="Arial"/>
                <w:color w:val="auto"/>
              </w:rPr>
            </w:pPr>
            <w:r w:rsidRPr="007E140B">
              <w:rPr>
                <w:rFonts w:cs="Arial"/>
                <w:color w:val="auto"/>
                <w:sz w:val="15"/>
              </w:rPr>
              <w:t>Relevant to the dissertation’s conditional reputation pathway, but the dissertation properly notes that investor-focused Chinese reputation metrics are not equivalent to stakeholder-specific reputation in UK consumer goods.</w:t>
            </w:r>
          </w:p>
        </w:tc>
        <w:tc>
          <w:tcPr>
            <w:tcW w:w="1230" w:type="dxa"/>
            <w:shd w:val="clear" w:color="auto" w:fill="F7FAFC"/>
            <w:tcMar>
              <w:top w:w="22" w:type="dxa"/>
              <w:left w:w="24" w:type="dxa"/>
              <w:bottom w:w="22" w:type="dxa"/>
              <w:right w:w="24" w:type="dxa"/>
            </w:tcMar>
          </w:tcPr>
          <w:p w14:paraId="32F746EB" w14:textId="77777777" w:rsidR="004D7A10" w:rsidRPr="007E140B" w:rsidRDefault="00CC58FE" w:rsidP="0026770E">
            <w:pPr>
              <w:spacing w:after="0" w:line="240" w:lineRule="auto"/>
              <w:rPr>
                <w:rFonts w:cs="Arial"/>
                <w:color w:val="auto"/>
              </w:rPr>
            </w:pPr>
            <w:hyperlink r:id="rId75">
              <w:r w:rsidR="004D7A10" w:rsidRPr="007E140B">
                <w:rPr>
                  <w:rFonts w:cs="Arial"/>
                  <w:color w:val="auto"/>
                  <w:sz w:val="13"/>
                  <w:szCs w:val="13"/>
                </w:rPr>
                <w:t>https://doi.org/10.1016/j.heliyon.2023.e20974</w:t>
              </w:r>
            </w:hyperlink>
          </w:p>
        </w:tc>
      </w:tr>
      <w:tr w:rsidR="007E140B" w:rsidRPr="007E140B" w14:paraId="7330EBB5" w14:textId="77777777" w:rsidTr="0026770E">
        <w:trPr>
          <w:cantSplit/>
          <w:jc w:val="center"/>
        </w:trPr>
        <w:tc>
          <w:tcPr>
            <w:tcW w:w="504" w:type="dxa"/>
            <w:shd w:val="clear" w:color="auto" w:fill="EAF1F7"/>
            <w:tcMar>
              <w:top w:w="22" w:type="dxa"/>
              <w:left w:w="24" w:type="dxa"/>
              <w:bottom w:w="22" w:type="dxa"/>
              <w:right w:w="24" w:type="dxa"/>
            </w:tcMar>
            <w:vAlign w:val="center"/>
          </w:tcPr>
          <w:p w14:paraId="6B2A092F" w14:textId="77777777" w:rsidR="004D7A10" w:rsidRPr="007E140B" w:rsidRDefault="004D7A10" w:rsidP="0026770E">
            <w:pPr>
              <w:spacing w:after="0" w:line="240" w:lineRule="auto"/>
              <w:jc w:val="center"/>
              <w:rPr>
                <w:rFonts w:cs="Arial"/>
                <w:color w:val="auto"/>
              </w:rPr>
            </w:pPr>
            <w:r w:rsidRPr="007E140B">
              <w:rPr>
                <w:rFonts w:cs="Arial"/>
                <w:b/>
                <w:color w:val="auto"/>
                <w:sz w:val="15"/>
              </w:rPr>
              <w:t>20</w:t>
            </w:r>
          </w:p>
        </w:tc>
        <w:tc>
          <w:tcPr>
            <w:tcW w:w="1447" w:type="dxa"/>
            <w:shd w:val="clear" w:color="auto" w:fill="EAF1F7"/>
            <w:tcMar>
              <w:top w:w="22" w:type="dxa"/>
              <w:left w:w="24" w:type="dxa"/>
              <w:bottom w:w="22" w:type="dxa"/>
              <w:right w:w="24" w:type="dxa"/>
            </w:tcMar>
          </w:tcPr>
          <w:p w14:paraId="46AF39A6" w14:textId="77777777" w:rsidR="004D7A10" w:rsidRPr="007E140B" w:rsidRDefault="004D7A10" w:rsidP="0026770E">
            <w:pPr>
              <w:spacing w:after="0" w:line="240" w:lineRule="auto"/>
              <w:rPr>
                <w:rFonts w:cs="Arial"/>
                <w:color w:val="auto"/>
              </w:rPr>
            </w:pPr>
            <w:r w:rsidRPr="007E140B">
              <w:rPr>
                <w:rFonts w:cs="Arial"/>
                <w:b/>
                <w:color w:val="auto"/>
                <w:sz w:val="15"/>
              </w:rPr>
              <w:t>Greenwashing in Marketing: A Systematic Literature Review and Bibliometric Analysis</w:t>
            </w:r>
          </w:p>
        </w:tc>
        <w:tc>
          <w:tcPr>
            <w:tcW w:w="1049" w:type="dxa"/>
            <w:shd w:val="clear" w:color="auto" w:fill="EAF1F7"/>
            <w:tcMar>
              <w:top w:w="22" w:type="dxa"/>
              <w:left w:w="24" w:type="dxa"/>
              <w:bottom w:w="22" w:type="dxa"/>
              <w:right w:w="24" w:type="dxa"/>
            </w:tcMar>
          </w:tcPr>
          <w:p w14:paraId="4B436C99" w14:textId="77777777" w:rsidR="004D7A10" w:rsidRPr="007E140B" w:rsidRDefault="004D7A10" w:rsidP="0026770E">
            <w:pPr>
              <w:spacing w:after="0" w:line="240" w:lineRule="auto"/>
              <w:rPr>
                <w:rFonts w:cs="Arial"/>
                <w:color w:val="auto"/>
              </w:rPr>
            </w:pPr>
            <w:r w:rsidRPr="007E140B">
              <w:rPr>
                <w:rFonts w:cs="Arial"/>
                <w:color w:val="auto"/>
                <w:sz w:val="15"/>
              </w:rPr>
              <w:t>International Review on Public and Nonprofit Marketing</w:t>
            </w:r>
          </w:p>
        </w:tc>
        <w:tc>
          <w:tcPr>
            <w:tcW w:w="905" w:type="dxa"/>
            <w:shd w:val="clear" w:color="auto" w:fill="EAF1F7"/>
            <w:tcMar>
              <w:top w:w="22" w:type="dxa"/>
              <w:left w:w="24" w:type="dxa"/>
              <w:bottom w:w="22" w:type="dxa"/>
              <w:right w:w="24" w:type="dxa"/>
            </w:tcMar>
          </w:tcPr>
          <w:p w14:paraId="74A9F482"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Persakis</w:t>
            </w:r>
            <w:proofErr w:type="spellEnd"/>
            <w:r w:rsidRPr="007E140B">
              <w:rPr>
                <w:rFonts w:cs="Arial"/>
                <w:color w:val="auto"/>
                <w:sz w:val="15"/>
              </w:rPr>
              <w:t xml:space="preserve">, A.; Nikolopoulos, T.; </w:t>
            </w:r>
            <w:proofErr w:type="spellStart"/>
            <w:r w:rsidRPr="007E140B">
              <w:rPr>
                <w:rFonts w:cs="Arial"/>
                <w:color w:val="auto"/>
                <w:sz w:val="15"/>
              </w:rPr>
              <w:t>Negkakis</w:t>
            </w:r>
            <w:proofErr w:type="spellEnd"/>
            <w:r w:rsidRPr="007E140B">
              <w:rPr>
                <w:rFonts w:cs="Arial"/>
                <w:color w:val="auto"/>
                <w:sz w:val="15"/>
              </w:rPr>
              <w:t>, I.C.; Pavlopoulos, A.</w:t>
            </w:r>
          </w:p>
        </w:tc>
        <w:tc>
          <w:tcPr>
            <w:tcW w:w="648" w:type="dxa"/>
            <w:shd w:val="clear" w:color="auto" w:fill="EAF1F7"/>
            <w:tcMar>
              <w:top w:w="22" w:type="dxa"/>
              <w:left w:w="24" w:type="dxa"/>
              <w:bottom w:w="22" w:type="dxa"/>
              <w:right w:w="24" w:type="dxa"/>
            </w:tcMar>
            <w:vAlign w:val="center"/>
          </w:tcPr>
          <w:p w14:paraId="371611A5" w14:textId="77777777" w:rsidR="004D7A10" w:rsidRPr="007E140B" w:rsidRDefault="004D7A10" w:rsidP="0026770E">
            <w:pPr>
              <w:spacing w:after="0" w:line="240" w:lineRule="auto"/>
              <w:jc w:val="center"/>
              <w:rPr>
                <w:rFonts w:cs="Arial"/>
                <w:color w:val="auto"/>
              </w:rPr>
            </w:pPr>
            <w:r w:rsidRPr="007E140B">
              <w:rPr>
                <w:rFonts w:cs="Arial"/>
                <w:b/>
                <w:color w:val="auto"/>
                <w:sz w:val="15"/>
              </w:rPr>
              <w:t>2025</w:t>
            </w:r>
          </w:p>
        </w:tc>
        <w:tc>
          <w:tcPr>
            <w:tcW w:w="1230" w:type="dxa"/>
            <w:shd w:val="clear" w:color="auto" w:fill="EAF1F7"/>
            <w:tcMar>
              <w:top w:w="22" w:type="dxa"/>
              <w:left w:w="24" w:type="dxa"/>
              <w:bottom w:w="22" w:type="dxa"/>
              <w:right w:w="24" w:type="dxa"/>
            </w:tcMar>
          </w:tcPr>
          <w:p w14:paraId="64AFA880" w14:textId="77777777" w:rsidR="004D7A10" w:rsidRPr="007E140B" w:rsidRDefault="004D7A10" w:rsidP="0026770E">
            <w:pPr>
              <w:spacing w:after="0" w:line="240" w:lineRule="auto"/>
              <w:rPr>
                <w:rFonts w:cs="Arial"/>
                <w:color w:val="auto"/>
              </w:rPr>
            </w:pPr>
            <w:r w:rsidRPr="007E140B">
              <w:rPr>
                <w:rFonts w:cs="Arial"/>
                <w:color w:val="auto"/>
                <w:sz w:val="15"/>
              </w:rPr>
              <w:t>To provide a comprehensive map of greenwashing research in marketing and identify its main themes, influential studies and emerging research directions.</w:t>
            </w:r>
          </w:p>
        </w:tc>
        <w:tc>
          <w:tcPr>
            <w:tcW w:w="1375" w:type="dxa"/>
            <w:shd w:val="clear" w:color="auto" w:fill="EAF1F7"/>
            <w:tcMar>
              <w:top w:w="22" w:type="dxa"/>
              <w:left w:w="24" w:type="dxa"/>
              <w:bottom w:w="22" w:type="dxa"/>
              <w:right w:w="24" w:type="dxa"/>
            </w:tcMar>
          </w:tcPr>
          <w:p w14:paraId="41E0343B" w14:textId="77777777" w:rsidR="004D7A10" w:rsidRPr="007E140B" w:rsidRDefault="004D7A10" w:rsidP="0026770E">
            <w:pPr>
              <w:spacing w:after="0" w:line="240" w:lineRule="auto"/>
              <w:rPr>
                <w:rFonts w:cs="Arial"/>
                <w:color w:val="auto"/>
              </w:rPr>
            </w:pPr>
            <w:r w:rsidRPr="007E140B">
              <w:rPr>
                <w:rFonts w:cs="Arial"/>
                <w:color w:val="auto"/>
                <w:sz w:val="15"/>
              </w:rPr>
              <w:t xml:space="preserve">Systematically review peer-reviewed greenwashing/marketing research; conduct bibliometric mapping; </w:t>
            </w:r>
            <w:proofErr w:type="spellStart"/>
            <w:r w:rsidRPr="007E140B">
              <w:rPr>
                <w:rFonts w:cs="Arial"/>
                <w:color w:val="auto"/>
                <w:sz w:val="15"/>
              </w:rPr>
              <w:t>analyse</w:t>
            </w:r>
            <w:proofErr w:type="spellEnd"/>
            <w:r w:rsidRPr="007E140B">
              <w:rPr>
                <w:rFonts w:cs="Arial"/>
                <w:color w:val="auto"/>
                <w:sz w:val="15"/>
              </w:rPr>
              <w:t xml:space="preserve"> impacts on trust, brand perceptions and transparency; identify gaps.</w:t>
            </w:r>
          </w:p>
        </w:tc>
        <w:tc>
          <w:tcPr>
            <w:tcW w:w="1086" w:type="dxa"/>
            <w:shd w:val="clear" w:color="auto" w:fill="EAF1F7"/>
            <w:tcMar>
              <w:top w:w="22" w:type="dxa"/>
              <w:left w:w="24" w:type="dxa"/>
              <w:bottom w:w="22" w:type="dxa"/>
              <w:right w:w="24" w:type="dxa"/>
            </w:tcMar>
          </w:tcPr>
          <w:p w14:paraId="51408D54" w14:textId="77777777" w:rsidR="004D7A10" w:rsidRPr="007E140B" w:rsidRDefault="004D7A10" w:rsidP="0026770E">
            <w:pPr>
              <w:spacing w:after="0" w:line="240" w:lineRule="auto"/>
              <w:rPr>
                <w:rFonts w:cs="Arial"/>
                <w:color w:val="auto"/>
              </w:rPr>
            </w:pPr>
            <w:r w:rsidRPr="007E140B">
              <w:rPr>
                <w:rFonts w:cs="Arial"/>
                <w:color w:val="auto"/>
                <w:sz w:val="15"/>
              </w:rPr>
              <w:t>How has marketing-related greenwashing research developed, what themes and actors dominate it, and what effects/gaps are most important for future study?</w:t>
            </w:r>
          </w:p>
        </w:tc>
        <w:tc>
          <w:tcPr>
            <w:tcW w:w="1122" w:type="dxa"/>
            <w:shd w:val="clear" w:color="auto" w:fill="EAF1F7"/>
            <w:tcMar>
              <w:top w:w="22" w:type="dxa"/>
              <w:left w:w="24" w:type="dxa"/>
              <w:bottom w:w="22" w:type="dxa"/>
              <w:right w:w="24" w:type="dxa"/>
            </w:tcMar>
          </w:tcPr>
          <w:p w14:paraId="347ABDD0" w14:textId="77777777" w:rsidR="004D7A10" w:rsidRPr="007E140B" w:rsidRDefault="004D7A10" w:rsidP="0026770E">
            <w:pPr>
              <w:spacing w:after="0" w:line="240" w:lineRule="auto"/>
              <w:rPr>
                <w:rFonts w:cs="Arial"/>
                <w:color w:val="auto"/>
              </w:rPr>
            </w:pPr>
            <w:r w:rsidRPr="007E140B">
              <w:rPr>
                <w:rFonts w:cs="Arial"/>
                <w:color w:val="auto"/>
                <w:sz w:val="15"/>
              </w:rPr>
              <w:t>Systematic literature review plus bibliometric analysis of 419 peer-reviewed articles published between 2004 and 2024.</w:t>
            </w:r>
          </w:p>
        </w:tc>
        <w:tc>
          <w:tcPr>
            <w:tcW w:w="1556" w:type="dxa"/>
            <w:shd w:val="clear" w:color="auto" w:fill="EAF1F7"/>
            <w:tcMar>
              <w:top w:w="22" w:type="dxa"/>
              <w:left w:w="24" w:type="dxa"/>
              <w:bottom w:w="22" w:type="dxa"/>
              <w:right w:w="24" w:type="dxa"/>
            </w:tcMar>
          </w:tcPr>
          <w:p w14:paraId="63D0966C" w14:textId="77777777" w:rsidR="004D7A10" w:rsidRPr="007E140B" w:rsidRDefault="004D7A10" w:rsidP="0026770E">
            <w:pPr>
              <w:spacing w:after="0" w:line="240" w:lineRule="auto"/>
              <w:rPr>
                <w:rFonts w:cs="Arial"/>
                <w:color w:val="auto"/>
              </w:rPr>
            </w:pPr>
            <w:r w:rsidRPr="007E140B">
              <w:rPr>
                <w:rFonts w:cs="Arial"/>
                <w:color w:val="auto"/>
                <w:sz w:val="15"/>
              </w:rPr>
              <w:t>Greenwashing research has expanded rapidly and links deceptive/exaggerated environmental claims to consumer trust, brand perceptions and corporate transparency. The field remains fragmented and calls for stronger verification and measurement.</w:t>
            </w:r>
          </w:p>
        </w:tc>
        <w:tc>
          <w:tcPr>
            <w:tcW w:w="1665" w:type="dxa"/>
            <w:shd w:val="clear" w:color="auto" w:fill="EAF1F7"/>
            <w:tcMar>
              <w:top w:w="22" w:type="dxa"/>
              <w:left w:w="24" w:type="dxa"/>
              <w:bottom w:w="22" w:type="dxa"/>
              <w:right w:w="24" w:type="dxa"/>
            </w:tcMar>
          </w:tcPr>
          <w:p w14:paraId="5427A079" w14:textId="77777777" w:rsidR="004D7A10" w:rsidRPr="007E140B" w:rsidRDefault="004D7A10" w:rsidP="0026770E">
            <w:pPr>
              <w:spacing w:after="0" w:line="240" w:lineRule="auto"/>
              <w:rPr>
                <w:rFonts w:cs="Arial"/>
                <w:color w:val="auto"/>
              </w:rPr>
            </w:pPr>
            <w:r w:rsidRPr="007E140B">
              <w:rPr>
                <w:rFonts w:cs="Arial"/>
                <w:color w:val="auto"/>
                <w:sz w:val="15"/>
              </w:rPr>
              <w:t>The review maps two decades of marketing greenwashing scholarship and shows how information asymmetry and questionable claim credibility shape stakeholder responses.</w:t>
            </w:r>
          </w:p>
        </w:tc>
        <w:tc>
          <w:tcPr>
            <w:tcW w:w="1303" w:type="dxa"/>
            <w:shd w:val="clear" w:color="auto" w:fill="EAF1F7"/>
            <w:tcMar>
              <w:top w:w="22" w:type="dxa"/>
              <w:left w:w="24" w:type="dxa"/>
              <w:bottom w:w="22" w:type="dxa"/>
              <w:right w:w="24" w:type="dxa"/>
            </w:tcMar>
          </w:tcPr>
          <w:p w14:paraId="0F4429BC"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emphasis on claim substantiation, information asymmetry and verification. Particularly useful for explaining why more communication can increase exposure if evidence quality does not improve.</w:t>
            </w:r>
          </w:p>
        </w:tc>
        <w:tc>
          <w:tcPr>
            <w:tcW w:w="1230" w:type="dxa"/>
            <w:shd w:val="clear" w:color="auto" w:fill="EAF1F7"/>
            <w:tcMar>
              <w:top w:w="22" w:type="dxa"/>
              <w:left w:w="24" w:type="dxa"/>
              <w:bottom w:w="22" w:type="dxa"/>
              <w:right w:w="24" w:type="dxa"/>
            </w:tcMar>
          </w:tcPr>
          <w:p w14:paraId="4501DABA" w14:textId="77777777" w:rsidR="004D7A10" w:rsidRPr="007E140B" w:rsidRDefault="00CC58FE" w:rsidP="0026770E">
            <w:pPr>
              <w:spacing w:after="0" w:line="240" w:lineRule="auto"/>
              <w:rPr>
                <w:rFonts w:cs="Arial"/>
                <w:color w:val="auto"/>
              </w:rPr>
            </w:pPr>
            <w:hyperlink r:id="rId76">
              <w:r w:rsidR="004D7A10" w:rsidRPr="007E140B">
                <w:rPr>
                  <w:rFonts w:cs="Arial"/>
                  <w:color w:val="auto"/>
                  <w:sz w:val="13"/>
                  <w:szCs w:val="13"/>
                </w:rPr>
                <w:t>https://doi.org/10.1007/s12208-025-00452-x</w:t>
              </w:r>
            </w:hyperlink>
          </w:p>
        </w:tc>
      </w:tr>
      <w:tr w:rsidR="007E140B" w:rsidRPr="007E140B" w14:paraId="7F123790" w14:textId="77777777" w:rsidTr="0026770E">
        <w:trPr>
          <w:cantSplit/>
          <w:jc w:val="center"/>
        </w:trPr>
        <w:tc>
          <w:tcPr>
            <w:tcW w:w="504" w:type="dxa"/>
            <w:shd w:val="clear" w:color="auto" w:fill="F7FAFC"/>
            <w:tcMar>
              <w:top w:w="22" w:type="dxa"/>
              <w:left w:w="24" w:type="dxa"/>
              <w:bottom w:w="22" w:type="dxa"/>
              <w:right w:w="24" w:type="dxa"/>
            </w:tcMar>
            <w:vAlign w:val="center"/>
          </w:tcPr>
          <w:p w14:paraId="36CF6C4D"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21</w:t>
            </w:r>
          </w:p>
        </w:tc>
        <w:tc>
          <w:tcPr>
            <w:tcW w:w="1447" w:type="dxa"/>
            <w:shd w:val="clear" w:color="auto" w:fill="F7FAFC"/>
            <w:tcMar>
              <w:top w:w="22" w:type="dxa"/>
              <w:left w:w="24" w:type="dxa"/>
              <w:bottom w:w="22" w:type="dxa"/>
              <w:right w:w="24" w:type="dxa"/>
            </w:tcMar>
          </w:tcPr>
          <w:p w14:paraId="4E7A8F07" w14:textId="77777777" w:rsidR="004D7A10" w:rsidRPr="007E140B" w:rsidRDefault="004D7A10" w:rsidP="0026770E">
            <w:pPr>
              <w:spacing w:after="0" w:line="240" w:lineRule="auto"/>
              <w:rPr>
                <w:rFonts w:cs="Arial"/>
                <w:color w:val="auto"/>
              </w:rPr>
            </w:pPr>
            <w:r w:rsidRPr="007E140B">
              <w:rPr>
                <w:rFonts w:cs="Arial"/>
                <w:b/>
                <w:color w:val="auto"/>
                <w:sz w:val="15"/>
              </w:rPr>
              <w:t>Sustainable Investing in Equilibrium</w:t>
            </w:r>
          </w:p>
        </w:tc>
        <w:tc>
          <w:tcPr>
            <w:tcW w:w="1049" w:type="dxa"/>
            <w:shd w:val="clear" w:color="auto" w:fill="F7FAFC"/>
            <w:tcMar>
              <w:top w:w="22" w:type="dxa"/>
              <w:left w:w="24" w:type="dxa"/>
              <w:bottom w:w="22" w:type="dxa"/>
              <w:right w:w="24" w:type="dxa"/>
            </w:tcMar>
          </w:tcPr>
          <w:p w14:paraId="4ECDDD34" w14:textId="77777777" w:rsidR="004D7A10" w:rsidRPr="007E140B" w:rsidRDefault="004D7A10" w:rsidP="0026770E">
            <w:pPr>
              <w:spacing w:after="0" w:line="240" w:lineRule="auto"/>
              <w:rPr>
                <w:rFonts w:cs="Arial"/>
                <w:color w:val="auto"/>
              </w:rPr>
            </w:pPr>
            <w:r w:rsidRPr="007E140B">
              <w:rPr>
                <w:rFonts w:cs="Arial"/>
                <w:color w:val="auto"/>
                <w:sz w:val="15"/>
              </w:rPr>
              <w:t>Journal of Financial Economics</w:t>
            </w:r>
          </w:p>
        </w:tc>
        <w:tc>
          <w:tcPr>
            <w:tcW w:w="905" w:type="dxa"/>
            <w:shd w:val="clear" w:color="auto" w:fill="F7FAFC"/>
            <w:tcMar>
              <w:top w:w="22" w:type="dxa"/>
              <w:left w:w="24" w:type="dxa"/>
              <w:bottom w:w="22" w:type="dxa"/>
              <w:right w:w="24" w:type="dxa"/>
            </w:tcMar>
          </w:tcPr>
          <w:p w14:paraId="4AABEFAD"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Pástor</w:t>
            </w:r>
            <w:proofErr w:type="spellEnd"/>
            <w:r w:rsidRPr="007E140B">
              <w:rPr>
                <w:rFonts w:cs="Arial"/>
                <w:color w:val="auto"/>
                <w:sz w:val="15"/>
              </w:rPr>
              <w:t>, Ľ.; Stambaugh, R.F.; Taylor, L.A.</w:t>
            </w:r>
          </w:p>
        </w:tc>
        <w:tc>
          <w:tcPr>
            <w:tcW w:w="648" w:type="dxa"/>
            <w:shd w:val="clear" w:color="auto" w:fill="F7FAFC"/>
            <w:tcMar>
              <w:top w:w="22" w:type="dxa"/>
              <w:left w:w="24" w:type="dxa"/>
              <w:bottom w:w="22" w:type="dxa"/>
              <w:right w:w="24" w:type="dxa"/>
            </w:tcMar>
            <w:vAlign w:val="center"/>
          </w:tcPr>
          <w:p w14:paraId="4116AD3E"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1E0104DC" w14:textId="77777777" w:rsidR="004D7A10" w:rsidRPr="007E140B" w:rsidRDefault="004D7A10" w:rsidP="0026770E">
            <w:pPr>
              <w:spacing w:after="0" w:line="240" w:lineRule="auto"/>
              <w:rPr>
                <w:rFonts w:cs="Arial"/>
                <w:color w:val="auto"/>
              </w:rPr>
            </w:pPr>
            <w:r w:rsidRPr="007E140B">
              <w:rPr>
                <w:rFonts w:cs="Arial"/>
                <w:color w:val="auto"/>
                <w:sz w:val="15"/>
              </w:rPr>
              <w:t xml:space="preserve">To model how investor ESG preferences and climate risk affect asset prices, expected returns, </w:t>
            </w:r>
            <w:proofErr w:type="spellStart"/>
            <w:r w:rsidRPr="007E140B">
              <w:rPr>
                <w:rFonts w:cs="Arial"/>
                <w:color w:val="auto"/>
                <w:sz w:val="15"/>
              </w:rPr>
              <w:t>realised</w:t>
            </w:r>
            <w:proofErr w:type="spellEnd"/>
            <w:r w:rsidRPr="007E140B">
              <w:rPr>
                <w:rFonts w:cs="Arial"/>
                <w:color w:val="auto"/>
                <w:sz w:val="15"/>
              </w:rPr>
              <w:t xml:space="preserve"> returns and real investment in equilibrium.</w:t>
            </w:r>
          </w:p>
        </w:tc>
        <w:tc>
          <w:tcPr>
            <w:tcW w:w="1375" w:type="dxa"/>
            <w:shd w:val="clear" w:color="auto" w:fill="F7FAFC"/>
            <w:tcMar>
              <w:top w:w="22" w:type="dxa"/>
              <w:left w:w="24" w:type="dxa"/>
              <w:bottom w:w="22" w:type="dxa"/>
              <w:right w:w="24" w:type="dxa"/>
            </w:tcMar>
          </w:tcPr>
          <w:p w14:paraId="28241D87" w14:textId="77777777" w:rsidR="004D7A10" w:rsidRPr="007E140B" w:rsidRDefault="004D7A10" w:rsidP="0026770E">
            <w:pPr>
              <w:spacing w:after="0" w:line="240" w:lineRule="auto"/>
              <w:rPr>
                <w:rFonts w:cs="Arial"/>
                <w:color w:val="auto"/>
              </w:rPr>
            </w:pPr>
            <w:r w:rsidRPr="007E140B">
              <w:rPr>
                <w:rFonts w:cs="Arial"/>
                <w:color w:val="auto"/>
                <w:sz w:val="15"/>
              </w:rPr>
              <w:t xml:space="preserve">Develop an equilibrium sustainable-investing model; derive expected-return implications for green and brown assets; </w:t>
            </w:r>
            <w:proofErr w:type="spellStart"/>
            <w:r w:rsidRPr="007E140B">
              <w:rPr>
                <w:rFonts w:cs="Arial"/>
                <w:color w:val="auto"/>
                <w:sz w:val="15"/>
              </w:rPr>
              <w:t>analyse</w:t>
            </w:r>
            <w:proofErr w:type="spellEnd"/>
            <w:r w:rsidRPr="007E140B">
              <w:rPr>
                <w:rFonts w:cs="Arial"/>
                <w:color w:val="auto"/>
                <w:sz w:val="15"/>
              </w:rPr>
              <w:t xml:space="preserve"> ESG preference shocks and the size/impact of the ESG investment industry.</w:t>
            </w:r>
          </w:p>
        </w:tc>
        <w:tc>
          <w:tcPr>
            <w:tcW w:w="1086" w:type="dxa"/>
            <w:shd w:val="clear" w:color="auto" w:fill="F7FAFC"/>
            <w:tcMar>
              <w:top w:w="22" w:type="dxa"/>
              <w:left w:w="24" w:type="dxa"/>
              <w:bottom w:w="22" w:type="dxa"/>
              <w:right w:w="24" w:type="dxa"/>
            </w:tcMar>
          </w:tcPr>
          <w:p w14:paraId="0C8D80F7" w14:textId="77777777" w:rsidR="004D7A10" w:rsidRPr="007E140B" w:rsidRDefault="004D7A10" w:rsidP="0026770E">
            <w:pPr>
              <w:spacing w:after="0" w:line="240" w:lineRule="auto"/>
              <w:rPr>
                <w:rFonts w:cs="Arial"/>
                <w:color w:val="auto"/>
              </w:rPr>
            </w:pPr>
            <w:r w:rsidRPr="007E140B">
              <w:rPr>
                <w:rFonts w:cs="Arial"/>
                <w:color w:val="auto"/>
                <w:sz w:val="15"/>
              </w:rPr>
              <w:t xml:space="preserve">How do investor preferences for green assets and climate-risk hedging affect expected returns, </w:t>
            </w:r>
            <w:proofErr w:type="spellStart"/>
            <w:r w:rsidRPr="007E140B">
              <w:rPr>
                <w:rFonts w:cs="Arial"/>
                <w:color w:val="auto"/>
                <w:sz w:val="15"/>
              </w:rPr>
              <w:t>realised</w:t>
            </w:r>
            <w:proofErr w:type="spellEnd"/>
            <w:r w:rsidRPr="007E140B">
              <w:rPr>
                <w:rFonts w:cs="Arial"/>
                <w:color w:val="auto"/>
                <w:sz w:val="15"/>
              </w:rPr>
              <w:t xml:space="preserve"> performance, asset pricing and corporate investment?</w:t>
            </w:r>
          </w:p>
        </w:tc>
        <w:tc>
          <w:tcPr>
            <w:tcW w:w="1122" w:type="dxa"/>
            <w:shd w:val="clear" w:color="auto" w:fill="F7FAFC"/>
            <w:tcMar>
              <w:top w:w="22" w:type="dxa"/>
              <w:left w:w="24" w:type="dxa"/>
              <w:bottom w:w="22" w:type="dxa"/>
              <w:right w:w="24" w:type="dxa"/>
            </w:tcMar>
          </w:tcPr>
          <w:p w14:paraId="2B992AB2" w14:textId="77777777" w:rsidR="004D7A10" w:rsidRPr="007E140B" w:rsidRDefault="004D7A10" w:rsidP="0026770E">
            <w:pPr>
              <w:spacing w:after="0" w:line="240" w:lineRule="auto"/>
              <w:rPr>
                <w:rFonts w:cs="Arial"/>
                <w:color w:val="auto"/>
              </w:rPr>
            </w:pPr>
            <w:r w:rsidRPr="007E140B">
              <w:rPr>
                <w:rFonts w:cs="Arial"/>
                <w:color w:val="auto"/>
                <w:sz w:val="15"/>
              </w:rPr>
              <w:t>Theoretical equilibrium asset-pricing model with an ESG factor and market factor; no firm-level causal field experiment.</w:t>
            </w:r>
          </w:p>
        </w:tc>
        <w:tc>
          <w:tcPr>
            <w:tcW w:w="1556" w:type="dxa"/>
            <w:shd w:val="clear" w:color="auto" w:fill="F7FAFC"/>
            <w:tcMar>
              <w:top w:w="22" w:type="dxa"/>
              <w:left w:w="24" w:type="dxa"/>
              <w:bottom w:w="22" w:type="dxa"/>
              <w:right w:w="24" w:type="dxa"/>
            </w:tcMar>
          </w:tcPr>
          <w:p w14:paraId="2E07B386" w14:textId="77777777" w:rsidR="004D7A10" w:rsidRPr="007E140B" w:rsidRDefault="004D7A10" w:rsidP="0026770E">
            <w:pPr>
              <w:spacing w:after="0" w:line="240" w:lineRule="auto"/>
              <w:rPr>
                <w:rFonts w:cs="Arial"/>
                <w:color w:val="auto"/>
              </w:rPr>
            </w:pPr>
            <w:r w:rsidRPr="007E140B">
              <w:rPr>
                <w:rFonts w:cs="Arial"/>
                <w:color w:val="auto"/>
                <w:sz w:val="15"/>
              </w:rPr>
              <w:t>Green assets have lower expected returns because investors value holding them and they hedge climate risk, but they can outperform after positive ESG-preference shocks. Sustainable investing can shift real investment toward greener firms.</w:t>
            </w:r>
          </w:p>
        </w:tc>
        <w:tc>
          <w:tcPr>
            <w:tcW w:w="1665" w:type="dxa"/>
            <w:shd w:val="clear" w:color="auto" w:fill="F7FAFC"/>
            <w:tcMar>
              <w:top w:w="22" w:type="dxa"/>
              <w:left w:w="24" w:type="dxa"/>
              <w:bottom w:w="22" w:type="dxa"/>
              <w:right w:w="24" w:type="dxa"/>
            </w:tcMar>
          </w:tcPr>
          <w:p w14:paraId="787EF2BE" w14:textId="77777777" w:rsidR="004D7A10" w:rsidRPr="007E140B" w:rsidRDefault="004D7A10" w:rsidP="0026770E">
            <w:pPr>
              <w:spacing w:after="0" w:line="240" w:lineRule="auto"/>
              <w:rPr>
                <w:rFonts w:cs="Arial"/>
                <w:color w:val="auto"/>
              </w:rPr>
            </w:pPr>
            <w:r w:rsidRPr="007E140B">
              <w:rPr>
                <w:rFonts w:cs="Arial"/>
                <w:color w:val="auto"/>
                <w:sz w:val="15"/>
              </w:rPr>
              <w:t xml:space="preserve">The article separates expected returns from </w:t>
            </w:r>
            <w:proofErr w:type="spellStart"/>
            <w:r w:rsidRPr="007E140B">
              <w:rPr>
                <w:rFonts w:cs="Arial"/>
                <w:color w:val="auto"/>
                <w:sz w:val="15"/>
              </w:rPr>
              <w:t>realised</w:t>
            </w:r>
            <w:proofErr w:type="spellEnd"/>
            <w:r w:rsidRPr="007E140B">
              <w:rPr>
                <w:rFonts w:cs="Arial"/>
                <w:color w:val="auto"/>
                <w:sz w:val="15"/>
              </w:rPr>
              <w:t xml:space="preserve"> returns and shows that stakeholder/investor preferences can affect prices without implying superior operating performance.</w:t>
            </w:r>
          </w:p>
        </w:tc>
        <w:tc>
          <w:tcPr>
            <w:tcW w:w="1303" w:type="dxa"/>
            <w:shd w:val="clear" w:color="auto" w:fill="F7FAFC"/>
            <w:tcMar>
              <w:top w:w="22" w:type="dxa"/>
              <w:left w:w="24" w:type="dxa"/>
              <w:bottom w:w="22" w:type="dxa"/>
              <w:right w:w="24" w:type="dxa"/>
            </w:tcMar>
          </w:tcPr>
          <w:p w14:paraId="393365C6" w14:textId="77777777" w:rsidR="004D7A10" w:rsidRPr="007E140B" w:rsidRDefault="004D7A10" w:rsidP="0026770E">
            <w:pPr>
              <w:spacing w:after="0" w:line="240" w:lineRule="auto"/>
              <w:rPr>
                <w:rFonts w:cs="Arial"/>
                <w:color w:val="auto"/>
              </w:rPr>
            </w:pPr>
            <w:r w:rsidRPr="007E140B">
              <w:rPr>
                <w:rFonts w:cs="Arial"/>
                <w:color w:val="auto"/>
                <w:sz w:val="15"/>
              </w:rPr>
              <w:t>The dissertation uses this correctly as capital-market context rather than direct evidence of operational advantage. It helps distinguish valuation effects driven by preferences from productivity, innovation or margin mechanisms.</w:t>
            </w:r>
          </w:p>
        </w:tc>
        <w:tc>
          <w:tcPr>
            <w:tcW w:w="1230" w:type="dxa"/>
            <w:shd w:val="clear" w:color="auto" w:fill="F7FAFC"/>
            <w:tcMar>
              <w:top w:w="22" w:type="dxa"/>
              <w:left w:w="24" w:type="dxa"/>
              <w:bottom w:w="22" w:type="dxa"/>
              <w:right w:w="24" w:type="dxa"/>
            </w:tcMar>
          </w:tcPr>
          <w:p w14:paraId="03D4356D" w14:textId="77777777" w:rsidR="004D7A10" w:rsidRPr="007E140B" w:rsidRDefault="00CC58FE" w:rsidP="0026770E">
            <w:pPr>
              <w:spacing w:after="0" w:line="240" w:lineRule="auto"/>
              <w:rPr>
                <w:rFonts w:cs="Arial"/>
                <w:color w:val="auto"/>
              </w:rPr>
            </w:pPr>
            <w:hyperlink r:id="rId77">
              <w:r w:rsidR="004D7A10" w:rsidRPr="007E140B">
                <w:rPr>
                  <w:rFonts w:cs="Arial"/>
                  <w:color w:val="auto"/>
                  <w:sz w:val="13"/>
                  <w:szCs w:val="13"/>
                </w:rPr>
                <w:t>https://doi.org/10.1016/j.jfineco.2020.12.011</w:t>
              </w:r>
            </w:hyperlink>
          </w:p>
        </w:tc>
      </w:tr>
      <w:tr w:rsidR="007E140B" w:rsidRPr="007E140B" w14:paraId="7F5AFBE4" w14:textId="77777777" w:rsidTr="0026770E">
        <w:trPr>
          <w:cantSplit/>
          <w:jc w:val="center"/>
        </w:trPr>
        <w:tc>
          <w:tcPr>
            <w:tcW w:w="504" w:type="dxa"/>
            <w:shd w:val="clear" w:color="auto" w:fill="EAF1F7"/>
            <w:tcMar>
              <w:top w:w="22" w:type="dxa"/>
              <w:left w:w="24" w:type="dxa"/>
              <w:bottom w:w="22" w:type="dxa"/>
              <w:right w:w="24" w:type="dxa"/>
            </w:tcMar>
            <w:vAlign w:val="center"/>
          </w:tcPr>
          <w:p w14:paraId="78EA8C84" w14:textId="77777777" w:rsidR="004D7A10" w:rsidRPr="007E140B" w:rsidRDefault="004D7A10" w:rsidP="0026770E">
            <w:pPr>
              <w:spacing w:after="0" w:line="240" w:lineRule="auto"/>
              <w:jc w:val="center"/>
              <w:rPr>
                <w:rFonts w:cs="Arial"/>
                <w:color w:val="auto"/>
              </w:rPr>
            </w:pPr>
            <w:r w:rsidRPr="007E140B">
              <w:rPr>
                <w:rFonts w:cs="Arial"/>
                <w:b/>
                <w:color w:val="auto"/>
                <w:sz w:val="15"/>
              </w:rPr>
              <w:t>22</w:t>
            </w:r>
          </w:p>
        </w:tc>
        <w:tc>
          <w:tcPr>
            <w:tcW w:w="1447" w:type="dxa"/>
            <w:shd w:val="clear" w:color="auto" w:fill="EAF1F7"/>
            <w:tcMar>
              <w:top w:w="22" w:type="dxa"/>
              <w:left w:w="24" w:type="dxa"/>
              <w:bottom w:w="22" w:type="dxa"/>
              <w:right w:w="24" w:type="dxa"/>
            </w:tcMar>
          </w:tcPr>
          <w:p w14:paraId="591D91DF" w14:textId="77777777" w:rsidR="004D7A10" w:rsidRPr="007E140B" w:rsidRDefault="004D7A10" w:rsidP="0026770E">
            <w:pPr>
              <w:spacing w:after="0" w:line="240" w:lineRule="auto"/>
              <w:rPr>
                <w:rFonts w:cs="Arial"/>
                <w:color w:val="auto"/>
              </w:rPr>
            </w:pPr>
            <w:r w:rsidRPr="007E140B">
              <w:rPr>
                <w:rFonts w:cs="Arial"/>
                <w:b/>
                <w:color w:val="auto"/>
                <w:sz w:val="15"/>
              </w:rPr>
              <w:t>A Systematic Literature Review on Greenwashing and Its Relationship to Stakeholders: State of Art and Future Research Agenda</w:t>
            </w:r>
          </w:p>
        </w:tc>
        <w:tc>
          <w:tcPr>
            <w:tcW w:w="1049" w:type="dxa"/>
            <w:shd w:val="clear" w:color="auto" w:fill="EAF1F7"/>
            <w:tcMar>
              <w:top w:w="22" w:type="dxa"/>
              <w:left w:w="24" w:type="dxa"/>
              <w:bottom w:w="22" w:type="dxa"/>
              <w:right w:w="24" w:type="dxa"/>
            </w:tcMar>
          </w:tcPr>
          <w:p w14:paraId="5E7203D5" w14:textId="77777777" w:rsidR="004D7A10" w:rsidRPr="007E140B" w:rsidRDefault="004D7A10" w:rsidP="0026770E">
            <w:pPr>
              <w:spacing w:after="0" w:line="240" w:lineRule="auto"/>
              <w:rPr>
                <w:rFonts w:cs="Arial"/>
                <w:color w:val="auto"/>
              </w:rPr>
            </w:pPr>
            <w:r w:rsidRPr="007E140B">
              <w:rPr>
                <w:rFonts w:cs="Arial"/>
                <w:color w:val="auto"/>
                <w:sz w:val="15"/>
              </w:rPr>
              <w:t>Management Review Quarterly</w:t>
            </w:r>
          </w:p>
        </w:tc>
        <w:tc>
          <w:tcPr>
            <w:tcW w:w="905" w:type="dxa"/>
            <w:shd w:val="clear" w:color="auto" w:fill="EAF1F7"/>
            <w:tcMar>
              <w:top w:w="22" w:type="dxa"/>
              <w:left w:w="24" w:type="dxa"/>
              <w:bottom w:w="22" w:type="dxa"/>
              <w:right w:w="24" w:type="dxa"/>
            </w:tcMar>
          </w:tcPr>
          <w:p w14:paraId="5709EAD4" w14:textId="77777777" w:rsidR="004D7A10" w:rsidRPr="007E140B" w:rsidRDefault="004D7A10" w:rsidP="0026770E">
            <w:pPr>
              <w:spacing w:after="0" w:line="240" w:lineRule="auto"/>
              <w:rPr>
                <w:rFonts w:cs="Arial"/>
                <w:color w:val="auto"/>
              </w:rPr>
            </w:pPr>
            <w:r w:rsidRPr="007E140B">
              <w:rPr>
                <w:rFonts w:cs="Arial"/>
                <w:color w:val="auto"/>
                <w:sz w:val="15"/>
              </w:rPr>
              <w:t>Santos, C.; Coelho, A.; Marques, A.</w:t>
            </w:r>
          </w:p>
        </w:tc>
        <w:tc>
          <w:tcPr>
            <w:tcW w:w="648" w:type="dxa"/>
            <w:shd w:val="clear" w:color="auto" w:fill="EAF1F7"/>
            <w:tcMar>
              <w:top w:w="22" w:type="dxa"/>
              <w:left w:w="24" w:type="dxa"/>
              <w:bottom w:w="22" w:type="dxa"/>
              <w:right w:w="24" w:type="dxa"/>
            </w:tcMar>
            <w:vAlign w:val="center"/>
          </w:tcPr>
          <w:p w14:paraId="3282A8CC"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59927585" w14:textId="77777777" w:rsidR="004D7A10" w:rsidRPr="007E140B" w:rsidRDefault="004D7A10" w:rsidP="0026770E">
            <w:pPr>
              <w:spacing w:after="0" w:line="240" w:lineRule="auto"/>
              <w:rPr>
                <w:rFonts w:cs="Arial"/>
                <w:color w:val="auto"/>
              </w:rPr>
            </w:pPr>
            <w:r w:rsidRPr="007E140B">
              <w:rPr>
                <w:rFonts w:cs="Arial"/>
                <w:color w:val="auto"/>
                <w:sz w:val="15"/>
              </w:rPr>
              <w:t xml:space="preserve">To </w:t>
            </w:r>
            <w:proofErr w:type="spellStart"/>
            <w:r w:rsidRPr="007E140B">
              <w:rPr>
                <w:rFonts w:cs="Arial"/>
                <w:color w:val="auto"/>
                <w:sz w:val="15"/>
              </w:rPr>
              <w:t>synthesise</w:t>
            </w:r>
            <w:proofErr w:type="spellEnd"/>
            <w:r w:rsidRPr="007E140B">
              <w:rPr>
                <w:rFonts w:cs="Arial"/>
                <w:color w:val="auto"/>
                <w:sz w:val="15"/>
              </w:rPr>
              <w:t xml:space="preserve"> the evolution of greenwashing research with special attention to its relationships with stakeholders.</w:t>
            </w:r>
          </w:p>
        </w:tc>
        <w:tc>
          <w:tcPr>
            <w:tcW w:w="1375" w:type="dxa"/>
            <w:shd w:val="clear" w:color="auto" w:fill="EAF1F7"/>
            <w:tcMar>
              <w:top w:w="22" w:type="dxa"/>
              <w:left w:w="24" w:type="dxa"/>
              <w:bottom w:w="22" w:type="dxa"/>
              <w:right w:w="24" w:type="dxa"/>
            </w:tcMar>
          </w:tcPr>
          <w:p w14:paraId="62B3603B" w14:textId="77777777" w:rsidR="004D7A10" w:rsidRPr="007E140B" w:rsidRDefault="004D7A10" w:rsidP="0026770E">
            <w:pPr>
              <w:spacing w:after="0" w:line="240" w:lineRule="auto"/>
              <w:rPr>
                <w:rFonts w:cs="Arial"/>
                <w:color w:val="auto"/>
              </w:rPr>
            </w:pPr>
            <w:r w:rsidRPr="007E140B">
              <w:rPr>
                <w:rFonts w:cs="Arial"/>
                <w:color w:val="auto"/>
                <w:sz w:val="15"/>
              </w:rPr>
              <w:t xml:space="preserve">Map influential greenwashing research; </w:t>
            </w:r>
            <w:proofErr w:type="spellStart"/>
            <w:r w:rsidRPr="007E140B">
              <w:rPr>
                <w:rFonts w:cs="Arial"/>
                <w:color w:val="auto"/>
                <w:sz w:val="15"/>
              </w:rPr>
              <w:t>analyse</w:t>
            </w:r>
            <w:proofErr w:type="spellEnd"/>
            <w:r w:rsidRPr="007E140B">
              <w:rPr>
                <w:rFonts w:cs="Arial"/>
                <w:color w:val="auto"/>
                <w:sz w:val="15"/>
              </w:rPr>
              <w:t xml:space="preserve"> stakeholder-related themes; identify gaps and future research opportunities.</w:t>
            </w:r>
          </w:p>
        </w:tc>
        <w:tc>
          <w:tcPr>
            <w:tcW w:w="1086" w:type="dxa"/>
            <w:shd w:val="clear" w:color="auto" w:fill="EAF1F7"/>
            <w:tcMar>
              <w:top w:w="22" w:type="dxa"/>
              <w:left w:w="24" w:type="dxa"/>
              <w:bottom w:w="22" w:type="dxa"/>
              <w:right w:w="24" w:type="dxa"/>
            </w:tcMar>
          </w:tcPr>
          <w:p w14:paraId="167FAD60" w14:textId="77777777" w:rsidR="004D7A10" w:rsidRPr="007E140B" w:rsidRDefault="004D7A10" w:rsidP="0026770E">
            <w:pPr>
              <w:spacing w:after="0" w:line="240" w:lineRule="auto"/>
              <w:rPr>
                <w:rFonts w:cs="Arial"/>
                <w:color w:val="auto"/>
              </w:rPr>
            </w:pPr>
            <w:r w:rsidRPr="007E140B">
              <w:rPr>
                <w:rFonts w:cs="Arial"/>
                <w:color w:val="auto"/>
                <w:sz w:val="15"/>
              </w:rPr>
              <w:t>What is the state of greenwashing research, how does greenwashing affect different stakeholders, and which gaps should future research address?</w:t>
            </w:r>
          </w:p>
        </w:tc>
        <w:tc>
          <w:tcPr>
            <w:tcW w:w="1122" w:type="dxa"/>
            <w:shd w:val="clear" w:color="auto" w:fill="EAF1F7"/>
            <w:tcMar>
              <w:top w:w="22" w:type="dxa"/>
              <w:left w:w="24" w:type="dxa"/>
              <w:bottom w:w="22" w:type="dxa"/>
              <w:right w:w="24" w:type="dxa"/>
            </w:tcMar>
          </w:tcPr>
          <w:p w14:paraId="3B2AEB9B" w14:textId="77777777" w:rsidR="004D7A10" w:rsidRPr="007E140B" w:rsidRDefault="004D7A10" w:rsidP="0026770E">
            <w:pPr>
              <w:spacing w:after="0" w:line="240" w:lineRule="auto"/>
              <w:rPr>
                <w:rFonts w:cs="Arial"/>
                <w:color w:val="auto"/>
              </w:rPr>
            </w:pPr>
            <w:r w:rsidRPr="007E140B">
              <w:rPr>
                <w:rFonts w:cs="Arial"/>
                <w:color w:val="auto"/>
                <w:sz w:val="15"/>
              </w:rPr>
              <w:t xml:space="preserve">Bibliometric analysis and literature review of 310 Web of Science documents published up to 2021, using </w:t>
            </w:r>
            <w:proofErr w:type="spellStart"/>
            <w:r w:rsidRPr="007E140B">
              <w:rPr>
                <w:rFonts w:cs="Arial"/>
                <w:color w:val="auto"/>
                <w:sz w:val="15"/>
              </w:rPr>
              <w:t>VOSviewer</w:t>
            </w:r>
            <w:proofErr w:type="spellEnd"/>
            <w:r w:rsidRPr="007E140B">
              <w:rPr>
                <w:rFonts w:cs="Arial"/>
                <w:color w:val="auto"/>
                <w:sz w:val="15"/>
              </w:rPr>
              <w:t xml:space="preserve"> to map authors, journals, institutions and keyword networks.</w:t>
            </w:r>
          </w:p>
        </w:tc>
        <w:tc>
          <w:tcPr>
            <w:tcW w:w="1556" w:type="dxa"/>
            <w:shd w:val="clear" w:color="auto" w:fill="EAF1F7"/>
            <w:tcMar>
              <w:top w:w="22" w:type="dxa"/>
              <w:left w:w="24" w:type="dxa"/>
              <w:bottom w:w="22" w:type="dxa"/>
              <w:right w:w="24" w:type="dxa"/>
            </w:tcMar>
          </w:tcPr>
          <w:p w14:paraId="789D67D5" w14:textId="77777777" w:rsidR="004D7A10" w:rsidRPr="007E140B" w:rsidRDefault="004D7A10" w:rsidP="0026770E">
            <w:pPr>
              <w:spacing w:after="0" w:line="240" w:lineRule="auto"/>
              <w:rPr>
                <w:rFonts w:cs="Arial"/>
                <w:color w:val="auto"/>
              </w:rPr>
            </w:pPr>
            <w:r w:rsidRPr="007E140B">
              <w:rPr>
                <w:rFonts w:cs="Arial"/>
                <w:color w:val="auto"/>
                <w:sz w:val="15"/>
              </w:rPr>
              <w:t>Research increasingly examines effects on branding, consumer attitudes/purchase intentions, B2B relationships and greenwashing taxonomies. Stakeholder consequences and more precise classifications remain important gaps.</w:t>
            </w:r>
          </w:p>
        </w:tc>
        <w:tc>
          <w:tcPr>
            <w:tcW w:w="1665" w:type="dxa"/>
            <w:shd w:val="clear" w:color="auto" w:fill="EAF1F7"/>
            <w:tcMar>
              <w:top w:w="22" w:type="dxa"/>
              <w:left w:w="24" w:type="dxa"/>
              <w:bottom w:w="22" w:type="dxa"/>
              <w:right w:w="24" w:type="dxa"/>
            </w:tcMar>
          </w:tcPr>
          <w:p w14:paraId="49A53E01" w14:textId="77777777" w:rsidR="004D7A10" w:rsidRPr="007E140B" w:rsidRDefault="004D7A10" w:rsidP="0026770E">
            <w:pPr>
              <w:spacing w:after="0" w:line="240" w:lineRule="auto"/>
              <w:rPr>
                <w:rFonts w:cs="Arial"/>
                <w:color w:val="auto"/>
              </w:rPr>
            </w:pPr>
            <w:r w:rsidRPr="007E140B">
              <w:rPr>
                <w:rFonts w:cs="Arial"/>
                <w:color w:val="auto"/>
                <w:sz w:val="15"/>
              </w:rPr>
              <w:t xml:space="preserve">The review places stakeholders at the </w:t>
            </w:r>
            <w:proofErr w:type="spellStart"/>
            <w:r w:rsidRPr="007E140B">
              <w:rPr>
                <w:rFonts w:cs="Arial"/>
                <w:color w:val="auto"/>
                <w:sz w:val="15"/>
              </w:rPr>
              <w:t>centre</w:t>
            </w:r>
            <w:proofErr w:type="spellEnd"/>
            <w:r w:rsidRPr="007E140B">
              <w:rPr>
                <w:rFonts w:cs="Arial"/>
                <w:color w:val="auto"/>
                <w:sz w:val="15"/>
              </w:rPr>
              <w:t xml:space="preserve"> of greenwashing research and shows that misleading sustainability claims can influence multiple relational outcomes, not only consumer perceptions.</w:t>
            </w:r>
          </w:p>
        </w:tc>
        <w:tc>
          <w:tcPr>
            <w:tcW w:w="1303" w:type="dxa"/>
            <w:shd w:val="clear" w:color="auto" w:fill="EAF1F7"/>
            <w:tcMar>
              <w:top w:w="22" w:type="dxa"/>
              <w:left w:w="24" w:type="dxa"/>
              <w:bottom w:w="22" w:type="dxa"/>
              <w:right w:w="24" w:type="dxa"/>
            </w:tcMar>
          </w:tcPr>
          <w:p w14:paraId="63488E4B"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legitimacy/stakeholder framing and the need for stakeholder-specific reputation measures. It also reinforces the value of claim-level verification and clear greenwashing taxonomy.</w:t>
            </w:r>
          </w:p>
        </w:tc>
        <w:tc>
          <w:tcPr>
            <w:tcW w:w="1230" w:type="dxa"/>
            <w:shd w:val="clear" w:color="auto" w:fill="EAF1F7"/>
            <w:tcMar>
              <w:top w:w="22" w:type="dxa"/>
              <w:left w:w="24" w:type="dxa"/>
              <w:bottom w:w="22" w:type="dxa"/>
              <w:right w:w="24" w:type="dxa"/>
            </w:tcMar>
          </w:tcPr>
          <w:p w14:paraId="7187BC98" w14:textId="77777777" w:rsidR="004D7A10" w:rsidRPr="007E140B" w:rsidRDefault="00CC58FE" w:rsidP="0026770E">
            <w:pPr>
              <w:spacing w:after="0" w:line="240" w:lineRule="auto"/>
              <w:rPr>
                <w:rFonts w:cs="Arial"/>
                <w:color w:val="auto"/>
              </w:rPr>
            </w:pPr>
            <w:hyperlink r:id="rId78">
              <w:r w:rsidR="004D7A10" w:rsidRPr="007E140B">
                <w:rPr>
                  <w:rFonts w:cs="Arial"/>
                  <w:color w:val="auto"/>
                  <w:sz w:val="13"/>
                  <w:szCs w:val="13"/>
                </w:rPr>
                <w:t>https://doi.org/10.1007/s11301-023-00337-5</w:t>
              </w:r>
            </w:hyperlink>
          </w:p>
        </w:tc>
      </w:tr>
      <w:tr w:rsidR="007E140B" w:rsidRPr="007E140B" w14:paraId="43DCB0AC" w14:textId="77777777" w:rsidTr="0026770E">
        <w:trPr>
          <w:cantSplit/>
          <w:jc w:val="center"/>
        </w:trPr>
        <w:tc>
          <w:tcPr>
            <w:tcW w:w="504" w:type="dxa"/>
            <w:shd w:val="clear" w:color="auto" w:fill="F7FAFC"/>
            <w:tcMar>
              <w:top w:w="22" w:type="dxa"/>
              <w:left w:w="24" w:type="dxa"/>
              <w:bottom w:w="22" w:type="dxa"/>
              <w:right w:w="24" w:type="dxa"/>
            </w:tcMar>
            <w:vAlign w:val="center"/>
          </w:tcPr>
          <w:p w14:paraId="607E5096" w14:textId="77777777" w:rsidR="004D7A10" w:rsidRPr="007E140B" w:rsidRDefault="004D7A10" w:rsidP="0026770E">
            <w:pPr>
              <w:spacing w:after="0" w:line="240" w:lineRule="auto"/>
              <w:jc w:val="center"/>
              <w:rPr>
                <w:rFonts w:cs="Arial"/>
                <w:color w:val="auto"/>
              </w:rPr>
            </w:pPr>
            <w:r w:rsidRPr="007E140B">
              <w:rPr>
                <w:rFonts w:cs="Arial"/>
                <w:b/>
                <w:color w:val="auto"/>
                <w:sz w:val="15"/>
              </w:rPr>
              <w:t>23</w:t>
            </w:r>
          </w:p>
        </w:tc>
        <w:tc>
          <w:tcPr>
            <w:tcW w:w="1447" w:type="dxa"/>
            <w:shd w:val="clear" w:color="auto" w:fill="F7FAFC"/>
            <w:tcMar>
              <w:top w:w="22" w:type="dxa"/>
              <w:left w:w="24" w:type="dxa"/>
              <w:bottom w:w="22" w:type="dxa"/>
              <w:right w:w="24" w:type="dxa"/>
            </w:tcMar>
          </w:tcPr>
          <w:p w14:paraId="68E686F2" w14:textId="77777777" w:rsidR="004D7A10" w:rsidRPr="007E140B" w:rsidRDefault="004D7A10" w:rsidP="0026770E">
            <w:pPr>
              <w:spacing w:after="0" w:line="240" w:lineRule="auto"/>
              <w:rPr>
                <w:rFonts w:cs="Arial"/>
                <w:color w:val="auto"/>
              </w:rPr>
            </w:pPr>
            <w:r w:rsidRPr="007E140B">
              <w:rPr>
                <w:rFonts w:cs="Arial"/>
                <w:b/>
                <w:color w:val="auto"/>
                <w:sz w:val="15"/>
              </w:rPr>
              <w:t>Managing Legitimacy: Strategic and Institutional Approaches</w:t>
            </w:r>
          </w:p>
        </w:tc>
        <w:tc>
          <w:tcPr>
            <w:tcW w:w="1049" w:type="dxa"/>
            <w:shd w:val="clear" w:color="auto" w:fill="F7FAFC"/>
            <w:tcMar>
              <w:top w:w="22" w:type="dxa"/>
              <w:left w:w="24" w:type="dxa"/>
              <w:bottom w:w="22" w:type="dxa"/>
              <w:right w:w="24" w:type="dxa"/>
            </w:tcMar>
          </w:tcPr>
          <w:p w14:paraId="6ED3E6CD" w14:textId="77777777" w:rsidR="004D7A10" w:rsidRPr="007E140B" w:rsidRDefault="004D7A10" w:rsidP="0026770E">
            <w:pPr>
              <w:spacing w:after="0" w:line="240" w:lineRule="auto"/>
              <w:rPr>
                <w:rFonts w:cs="Arial"/>
                <w:color w:val="auto"/>
              </w:rPr>
            </w:pPr>
            <w:r w:rsidRPr="007E140B">
              <w:rPr>
                <w:rFonts w:cs="Arial"/>
                <w:color w:val="auto"/>
                <w:sz w:val="15"/>
              </w:rPr>
              <w:t>Academy of Management Review</w:t>
            </w:r>
          </w:p>
        </w:tc>
        <w:tc>
          <w:tcPr>
            <w:tcW w:w="905" w:type="dxa"/>
            <w:shd w:val="clear" w:color="auto" w:fill="F7FAFC"/>
            <w:tcMar>
              <w:top w:w="22" w:type="dxa"/>
              <w:left w:w="24" w:type="dxa"/>
              <w:bottom w:w="22" w:type="dxa"/>
              <w:right w:w="24" w:type="dxa"/>
            </w:tcMar>
          </w:tcPr>
          <w:p w14:paraId="524A2E19" w14:textId="77777777" w:rsidR="004D7A10" w:rsidRPr="007E140B" w:rsidRDefault="004D7A10" w:rsidP="0026770E">
            <w:pPr>
              <w:spacing w:after="0" w:line="240" w:lineRule="auto"/>
              <w:rPr>
                <w:rFonts w:cs="Arial"/>
                <w:color w:val="auto"/>
              </w:rPr>
            </w:pPr>
            <w:r w:rsidRPr="007E140B">
              <w:rPr>
                <w:rFonts w:cs="Arial"/>
                <w:color w:val="auto"/>
                <w:sz w:val="15"/>
              </w:rPr>
              <w:t>Suchman, M.C.</w:t>
            </w:r>
          </w:p>
        </w:tc>
        <w:tc>
          <w:tcPr>
            <w:tcW w:w="648" w:type="dxa"/>
            <w:shd w:val="clear" w:color="auto" w:fill="F7FAFC"/>
            <w:tcMar>
              <w:top w:w="22" w:type="dxa"/>
              <w:left w:w="24" w:type="dxa"/>
              <w:bottom w:w="22" w:type="dxa"/>
              <w:right w:w="24" w:type="dxa"/>
            </w:tcMar>
            <w:vAlign w:val="center"/>
          </w:tcPr>
          <w:p w14:paraId="02D75704" w14:textId="77777777" w:rsidR="004D7A10" w:rsidRPr="007E140B" w:rsidRDefault="004D7A10" w:rsidP="0026770E">
            <w:pPr>
              <w:spacing w:after="0" w:line="240" w:lineRule="auto"/>
              <w:jc w:val="center"/>
              <w:rPr>
                <w:rFonts w:cs="Arial"/>
                <w:color w:val="auto"/>
              </w:rPr>
            </w:pPr>
            <w:r w:rsidRPr="007E140B">
              <w:rPr>
                <w:rFonts w:cs="Arial"/>
                <w:b/>
                <w:color w:val="auto"/>
                <w:sz w:val="15"/>
              </w:rPr>
              <w:t>1995</w:t>
            </w:r>
          </w:p>
        </w:tc>
        <w:tc>
          <w:tcPr>
            <w:tcW w:w="1230" w:type="dxa"/>
            <w:shd w:val="clear" w:color="auto" w:fill="F7FAFC"/>
            <w:tcMar>
              <w:top w:w="22" w:type="dxa"/>
              <w:left w:w="24" w:type="dxa"/>
              <w:bottom w:w="22" w:type="dxa"/>
              <w:right w:w="24" w:type="dxa"/>
            </w:tcMar>
          </w:tcPr>
          <w:p w14:paraId="1A31F771" w14:textId="77777777" w:rsidR="004D7A10" w:rsidRPr="007E140B" w:rsidRDefault="004D7A10" w:rsidP="0026770E">
            <w:pPr>
              <w:spacing w:after="0" w:line="240" w:lineRule="auto"/>
              <w:rPr>
                <w:rFonts w:cs="Arial"/>
                <w:color w:val="auto"/>
              </w:rPr>
            </w:pPr>
            <w:r w:rsidRPr="007E140B">
              <w:rPr>
                <w:rFonts w:cs="Arial"/>
                <w:color w:val="auto"/>
                <w:sz w:val="15"/>
              </w:rPr>
              <w:t xml:space="preserve">To </w:t>
            </w:r>
            <w:proofErr w:type="spellStart"/>
            <w:r w:rsidRPr="007E140B">
              <w:rPr>
                <w:rFonts w:cs="Arial"/>
                <w:color w:val="auto"/>
                <w:sz w:val="15"/>
              </w:rPr>
              <w:t>synthesise</w:t>
            </w:r>
            <w:proofErr w:type="spellEnd"/>
            <w:r w:rsidRPr="007E140B">
              <w:rPr>
                <w:rFonts w:cs="Arial"/>
                <w:color w:val="auto"/>
                <w:sz w:val="15"/>
              </w:rPr>
              <w:t xml:space="preserve"> strategic and institutional perspectives on </w:t>
            </w:r>
            <w:proofErr w:type="spellStart"/>
            <w:r w:rsidRPr="007E140B">
              <w:rPr>
                <w:rFonts w:cs="Arial"/>
                <w:color w:val="auto"/>
                <w:sz w:val="15"/>
              </w:rPr>
              <w:t>organisational</w:t>
            </w:r>
            <w:proofErr w:type="spellEnd"/>
            <w:r w:rsidRPr="007E140B">
              <w:rPr>
                <w:rFonts w:cs="Arial"/>
                <w:color w:val="auto"/>
                <w:sz w:val="15"/>
              </w:rPr>
              <w:t xml:space="preserve"> legitimacy and develop a framework for understanding how legitimacy is gained, maintained and repaired.</w:t>
            </w:r>
          </w:p>
        </w:tc>
        <w:tc>
          <w:tcPr>
            <w:tcW w:w="1375" w:type="dxa"/>
            <w:shd w:val="clear" w:color="auto" w:fill="F7FAFC"/>
            <w:tcMar>
              <w:top w:w="22" w:type="dxa"/>
              <w:left w:w="24" w:type="dxa"/>
              <w:bottom w:w="22" w:type="dxa"/>
              <w:right w:w="24" w:type="dxa"/>
            </w:tcMar>
          </w:tcPr>
          <w:p w14:paraId="09EE6C5E" w14:textId="77777777" w:rsidR="004D7A10" w:rsidRPr="007E140B" w:rsidRDefault="004D7A10" w:rsidP="0026770E">
            <w:pPr>
              <w:spacing w:after="0" w:line="240" w:lineRule="auto"/>
              <w:rPr>
                <w:rFonts w:cs="Arial"/>
                <w:color w:val="auto"/>
              </w:rPr>
            </w:pPr>
            <w:r w:rsidRPr="007E140B">
              <w:rPr>
                <w:rFonts w:cs="Arial"/>
                <w:color w:val="auto"/>
                <w:sz w:val="15"/>
              </w:rPr>
              <w:t>Define legitimacy; distinguish pragmatic, moral and cognitive forms; compare strategic/institutional approaches; identify legitimacy-management strategies and limitations.</w:t>
            </w:r>
          </w:p>
        </w:tc>
        <w:tc>
          <w:tcPr>
            <w:tcW w:w="1086" w:type="dxa"/>
            <w:shd w:val="clear" w:color="auto" w:fill="F7FAFC"/>
            <w:tcMar>
              <w:top w:w="22" w:type="dxa"/>
              <w:left w:w="24" w:type="dxa"/>
              <w:bottom w:w="22" w:type="dxa"/>
              <w:right w:w="24" w:type="dxa"/>
            </w:tcMar>
          </w:tcPr>
          <w:p w14:paraId="1AC0131D" w14:textId="77777777" w:rsidR="004D7A10" w:rsidRPr="007E140B" w:rsidRDefault="004D7A10" w:rsidP="0026770E">
            <w:pPr>
              <w:spacing w:after="0" w:line="240" w:lineRule="auto"/>
              <w:rPr>
                <w:rFonts w:cs="Arial"/>
                <w:color w:val="auto"/>
              </w:rPr>
            </w:pPr>
            <w:r w:rsidRPr="007E140B">
              <w:rPr>
                <w:rFonts w:cs="Arial"/>
                <w:color w:val="auto"/>
                <w:sz w:val="15"/>
              </w:rPr>
              <w:t xml:space="preserve">What forms of </w:t>
            </w:r>
            <w:proofErr w:type="spellStart"/>
            <w:r w:rsidRPr="007E140B">
              <w:rPr>
                <w:rFonts w:cs="Arial"/>
                <w:color w:val="auto"/>
                <w:sz w:val="15"/>
              </w:rPr>
              <w:t>organisational</w:t>
            </w:r>
            <w:proofErr w:type="spellEnd"/>
            <w:r w:rsidRPr="007E140B">
              <w:rPr>
                <w:rFonts w:cs="Arial"/>
                <w:color w:val="auto"/>
                <w:sz w:val="15"/>
              </w:rPr>
              <w:t xml:space="preserve"> legitimacy exist, and how can </w:t>
            </w:r>
            <w:proofErr w:type="spellStart"/>
            <w:r w:rsidRPr="007E140B">
              <w:rPr>
                <w:rFonts w:cs="Arial"/>
                <w:color w:val="auto"/>
                <w:sz w:val="15"/>
              </w:rPr>
              <w:t>organisations</w:t>
            </w:r>
            <w:proofErr w:type="spellEnd"/>
            <w:r w:rsidRPr="007E140B">
              <w:rPr>
                <w:rFonts w:cs="Arial"/>
                <w:color w:val="auto"/>
                <w:sz w:val="15"/>
              </w:rPr>
              <w:t xml:space="preserve"> gain, maintain and repair legitimacy under different strategic and institutional conditions?</w:t>
            </w:r>
          </w:p>
        </w:tc>
        <w:tc>
          <w:tcPr>
            <w:tcW w:w="1122" w:type="dxa"/>
            <w:shd w:val="clear" w:color="auto" w:fill="F7FAFC"/>
            <w:tcMar>
              <w:top w:w="22" w:type="dxa"/>
              <w:left w:w="24" w:type="dxa"/>
              <w:bottom w:w="22" w:type="dxa"/>
              <w:right w:w="24" w:type="dxa"/>
            </w:tcMar>
          </w:tcPr>
          <w:p w14:paraId="55AA0584" w14:textId="77777777" w:rsidR="004D7A10" w:rsidRPr="007E140B" w:rsidRDefault="004D7A10" w:rsidP="0026770E">
            <w:pPr>
              <w:spacing w:after="0" w:line="240" w:lineRule="auto"/>
              <w:rPr>
                <w:rFonts w:cs="Arial"/>
                <w:color w:val="auto"/>
              </w:rPr>
            </w:pPr>
            <w:r w:rsidRPr="007E140B">
              <w:rPr>
                <w:rFonts w:cs="Arial"/>
                <w:color w:val="auto"/>
                <w:sz w:val="15"/>
              </w:rPr>
              <w:t xml:space="preserve">Conceptual synthesis of a broad </w:t>
            </w:r>
            <w:proofErr w:type="spellStart"/>
            <w:r w:rsidRPr="007E140B">
              <w:rPr>
                <w:rFonts w:cs="Arial"/>
                <w:color w:val="auto"/>
                <w:sz w:val="15"/>
              </w:rPr>
              <w:t>organisational</w:t>
            </w:r>
            <w:proofErr w:type="spellEnd"/>
            <w:r w:rsidRPr="007E140B">
              <w:rPr>
                <w:rFonts w:cs="Arial"/>
                <w:color w:val="auto"/>
                <w:sz w:val="15"/>
              </w:rPr>
              <w:t>-legitimacy literature; no empirical sample.</w:t>
            </w:r>
          </w:p>
        </w:tc>
        <w:tc>
          <w:tcPr>
            <w:tcW w:w="1556" w:type="dxa"/>
            <w:shd w:val="clear" w:color="auto" w:fill="F7FAFC"/>
            <w:tcMar>
              <w:top w:w="22" w:type="dxa"/>
              <w:left w:w="24" w:type="dxa"/>
              <w:bottom w:w="22" w:type="dxa"/>
              <w:right w:w="24" w:type="dxa"/>
            </w:tcMar>
          </w:tcPr>
          <w:p w14:paraId="76A28BD1" w14:textId="77777777" w:rsidR="004D7A10" w:rsidRPr="007E140B" w:rsidRDefault="004D7A10" w:rsidP="0026770E">
            <w:pPr>
              <w:spacing w:after="0" w:line="240" w:lineRule="auto"/>
              <w:rPr>
                <w:rFonts w:cs="Arial"/>
                <w:color w:val="auto"/>
              </w:rPr>
            </w:pPr>
            <w:r w:rsidRPr="007E140B">
              <w:rPr>
                <w:rFonts w:cs="Arial"/>
                <w:color w:val="auto"/>
                <w:sz w:val="15"/>
              </w:rPr>
              <w:t xml:space="preserve">Legitimacy can be pragmatic, moral or cognitive, and </w:t>
            </w:r>
            <w:proofErr w:type="spellStart"/>
            <w:r w:rsidRPr="007E140B">
              <w:rPr>
                <w:rFonts w:cs="Arial"/>
                <w:color w:val="auto"/>
                <w:sz w:val="15"/>
              </w:rPr>
              <w:t>organisations</w:t>
            </w:r>
            <w:proofErr w:type="spellEnd"/>
            <w:r w:rsidRPr="007E140B">
              <w:rPr>
                <w:rFonts w:cs="Arial"/>
                <w:color w:val="auto"/>
                <w:sz w:val="15"/>
              </w:rPr>
              <w:t xml:space="preserve"> use different strategies to build, maintain or repair it. Instrumental legitimacy management has limitations and can conflict with deeper institutional pressures.</w:t>
            </w:r>
          </w:p>
        </w:tc>
        <w:tc>
          <w:tcPr>
            <w:tcW w:w="1665" w:type="dxa"/>
            <w:shd w:val="clear" w:color="auto" w:fill="F7FAFC"/>
            <w:tcMar>
              <w:top w:w="22" w:type="dxa"/>
              <w:left w:w="24" w:type="dxa"/>
              <w:bottom w:w="22" w:type="dxa"/>
              <w:right w:w="24" w:type="dxa"/>
            </w:tcMar>
          </w:tcPr>
          <w:p w14:paraId="54DABC39" w14:textId="77777777" w:rsidR="004D7A10" w:rsidRPr="007E140B" w:rsidRDefault="004D7A10" w:rsidP="0026770E">
            <w:pPr>
              <w:spacing w:after="0" w:line="240" w:lineRule="auto"/>
              <w:rPr>
                <w:rFonts w:cs="Arial"/>
                <w:color w:val="auto"/>
              </w:rPr>
            </w:pPr>
            <w:r w:rsidRPr="007E140B">
              <w:rPr>
                <w:rFonts w:cs="Arial"/>
                <w:color w:val="auto"/>
                <w:sz w:val="15"/>
              </w:rPr>
              <w:t xml:space="preserve">The article provides a foundational legitimacy framework explaining how stakeholder acceptance depends on social norms, audience judgements and the perceived appropriateness of </w:t>
            </w:r>
            <w:proofErr w:type="spellStart"/>
            <w:r w:rsidRPr="007E140B">
              <w:rPr>
                <w:rFonts w:cs="Arial"/>
                <w:color w:val="auto"/>
                <w:sz w:val="15"/>
              </w:rPr>
              <w:t>organisational</w:t>
            </w:r>
            <w:proofErr w:type="spellEnd"/>
            <w:r w:rsidRPr="007E140B">
              <w:rPr>
                <w:rFonts w:cs="Arial"/>
                <w:color w:val="auto"/>
                <w:sz w:val="15"/>
              </w:rPr>
              <w:t xml:space="preserve"> actions.</w:t>
            </w:r>
          </w:p>
        </w:tc>
        <w:tc>
          <w:tcPr>
            <w:tcW w:w="1303" w:type="dxa"/>
            <w:shd w:val="clear" w:color="auto" w:fill="F7FAFC"/>
            <w:tcMar>
              <w:top w:w="22" w:type="dxa"/>
              <w:left w:w="24" w:type="dxa"/>
              <w:bottom w:w="22" w:type="dxa"/>
              <w:right w:w="24" w:type="dxa"/>
            </w:tcMar>
          </w:tcPr>
          <w:p w14:paraId="6673B4BD" w14:textId="77777777" w:rsidR="004D7A10" w:rsidRPr="007E140B" w:rsidRDefault="004D7A10" w:rsidP="0026770E">
            <w:pPr>
              <w:spacing w:after="0" w:line="240" w:lineRule="auto"/>
              <w:rPr>
                <w:rFonts w:cs="Arial"/>
                <w:color w:val="auto"/>
              </w:rPr>
            </w:pPr>
            <w:r w:rsidRPr="007E140B">
              <w:rPr>
                <w:rFonts w:cs="Arial"/>
                <w:color w:val="auto"/>
                <w:sz w:val="15"/>
              </w:rPr>
              <w:t xml:space="preserve">A core theoretical source for the dissertation’s </w:t>
            </w:r>
            <w:proofErr w:type="spellStart"/>
            <w:r w:rsidRPr="007E140B">
              <w:rPr>
                <w:rFonts w:cs="Arial"/>
                <w:color w:val="auto"/>
                <w:sz w:val="15"/>
              </w:rPr>
              <w:t>signalling</w:t>
            </w:r>
            <w:proofErr w:type="spellEnd"/>
            <w:r w:rsidRPr="007E140B">
              <w:rPr>
                <w:rFonts w:cs="Arial"/>
                <w:color w:val="auto"/>
                <w:sz w:val="15"/>
              </w:rPr>
              <w:t>/legitimacy pathway. It helps explain why verified actions can strengthen acceptance while contradictions between claims and delivery can trigger scrutiny and repair needs.</w:t>
            </w:r>
          </w:p>
        </w:tc>
        <w:tc>
          <w:tcPr>
            <w:tcW w:w="1230" w:type="dxa"/>
            <w:shd w:val="clear" w:color="auto" w:fill="F7FAFC"/>
            <w:tcMar>
              <w:top w:w="22" w:type="dxa"/>
              <w:left w:w="24" w:type="dxa"/>
              <w:bottom w:w="22" w:type="dxa"/>
              <w:right w:w="24" w:type="dxa"/>
            </w:tcMar>
          </w:tcPr>
          <w:p w14:paraId="7FE9B549" w14:textId="77777777" w:rsidR="004D7A10" w:rsidRPr="007E140B" w:rsidRDefault="00CC58FE" w:rsidP="0026770E">
            <w:pPr>
              <w:spacing w:after="0" w:line="240" w:lineRule="auto"/>
              <w:rPr>
                <w:rFonts w:cs="Arial"/>
                <w:color w:val="auto"/>
              </w:rPr>
            </w:pPr>
            <w:hyperlink r:id="rId79">
              <w:r w:rsidR="004D7A10" w:rsidRPr="007E140B">
                <w:rPr>
                  <w:rFonts w:cs="Arial"/>
                  <w:color w:val="auto"/>
                  <w:sz w:val="13"/>
                  <w:szCs w:val="13"/>
                </w:rPr>
                <w:t>https://doi.org/10.5465/amr.1995.9508080331</w:t>
              </w:r>
            </w:hyperlink>
          </w:p>
        </w:tc>
      </w:tr>
      <w:tr w:rsidR="007E140B" w:rsidRPr="007E140B" w14:paraId="2A328D82" w14:textId="77777777" w:rsidTr="0026770E">
        <w:trPr>
          <w:cantSplit/>
          <w:jc w:val="center"/>
        </w:trPr>
        <w:tc>
          <w:tcPr>
            <w:tcW w:w="504" w:type="dxa"/>
            <w:shd w:val="clear" w:color="auto" w:fill="EAF1F7"/>
            <w:tcMar>
              <w:top w:w="22" w:type="dxa"/>
              <w:left w:w="24" w:type="dxa"/>
              <w:bottom w:w="22" w:type="dxa"/>
              <w:right w:w="24" w:type="dxa"/>
            </w:tcMar>
            <w:vAlign w:val="center"/>
          </w:tcPr>
          <w:p w14:paraId="047299C5"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24</w:t>
            </w:r>
          </w:p>
        </w:tc>
        <w:tc>
          <w:tcPr>
            <w:tcW w:w="1447" w:type="dxa"/>
            <w:shd w:val="clear" w:color="auto" w:fill="EAF1F7"/>
            <w:tcMar>
              <w:top w:w="22" w:type="dxa"/>
              <w:left w:w="24" w:type="dxa"/>
              <w:bottom w:w="22" w:type="dxa"/>
              <w:right w:w="24" w:type="dxa"/>
            </w:tcMar>
          </w:tcPr>
          <w:p w14:paraId="3B81C188" w14:textId="77777777" w:rsidR="004D7A10" w:rsidRPr="007E140B" w:rsidRDefault="004D7A10" w:rsidP="0026770E">
            <w:pPr>
              <w:spacing w:after="0" w:line="240" w:lineRule="auto"/>
              <w:rPr>
                <w:rFonts w:cs="Arial"/>
                <w:color w:val="auto"/>
              </w:rPr>
            </w:pPr>
            <w:r w:rsidRPr="007E140B">
              <w:rPr>
                <w:rFonts w:cs="Arial"/>
                <w:b/>
                <w:color w:val="auto"/>
                <w:sz w:val="15"/>
              </w:rPr>
              <w:t>ESG Ratings and Green Innovation: A U-Shaped Journey Towards Sustainable Development</w:t>
            </w:r>
          </w:p>
        </w:tc>
        <w:tc>
          <w:tcPr>
            <w:tcW w:w="1049" w:type="dxa"/>
            <w:shd w:val="clear" w:color="auto" w:fill="EAF1F7"/>
            <w:tcMar>
              <w:top w:w="22" w:type="dxa"/>
              <w:left w:w="24" w:type="dxa"/>
              <w:bottom w:w="22" w:type="dxa"/>
              <w:right w:w="24" w:type="dxa"/>
            </w:tcMar>
          </w:tcPr>
          <w:p w14:paraId="7BEA4343" w14:textId="77777777" w:rsidR="004D7A10" w:rsidRPr="007E140B" w:rsidRDefault="004D7A10" w:rsidP="0026770E">
            <w:pPr>
              <w:spacing w:after="0" w:line="240" w:lineRule="auto"/>
              <w:rPr>
                <w:rFonts w:cs="Arial"/>
                <w:color w:val="auto"/>
              </w:rPr>
            </w:pPr>
            <w:r w:rsidRPr="007E140B">
              <w:rPr>
                <w:rFonts w:cs="Arial"/>
                <w:color w:val="auto"/>
                <w:sz w:val="15"/>
              </w:rPr>
              <w:t>Business Strategy and the Environment</w:t>
            </w:r>
          </w:p>
        </w:tc>
        <w:tc>
          <w:tcPr>
            <w:tcW w:w="905" w:type="dxa"/>
            <w:shd w:val="clear" w:color="auto" w:fill="EAF1F7"/>
            <w:tcMar>
              <w:top w:w="22" w:type="dxa"/>
              <w:left w:w="24" w:type="dxa"/>
              <w:bottom w:w="22" w:type="dxa"/>
              <w:right w:w="24" w:type="dxa"/>
            </w:tcMar>
          </w:tcPr>
          <w:p w14:paraId="65235EC5" w14:textId="77777777" w:rsidR="004D7A10" w:rsidRPr="007E140B" w:rsidRDefault="004D7A10" w:rsidP="0026770E">
            <w:pPr>
              <w:spacing w:after="0" w:line="240" w:lineRule="auto"/>
              <w:rPr>
                <w:rFonts w:cs="Arial"/>
                <w:color w:val="auto"/>
              </w:rPr>
            </w:pPr>
            <w:r w:rsidRPr="007E140B">
              <w:rPr>
                <w:rFonts w:cs="Arial"/>
                <w:color w:val="auto"/>
                <w:sz w:val="15"/>
              </w:rPr>
              <w:t xml:space="preserve">Yang, C.; Zhu, C.; </w:t>
            </w:r>
            <w:proofErr w:type="spellStart"/>
            <w:r w:rsidRPr="007E140B">
              <w:rPr>
                <w:rFonts w:cs="Arial"/>
                <w:color w:val="auto"/>
                <w:sz w:val="15"/>
              </w:rPr>
              <w:t>Albitar</w:t>
            </w:r>
            <w:proofErr w:type="spellEnd"/>
            <w:r w:rsidRPr="007E140B">
              <w:rPr>
                <w:rFonts w:cs="Arial"/>
                <w:color w:val="auto"/>
                <w:sz w:val="15"/>
              </w:rPr>
              <w:t>, K.</w:t>
            </w:r>
          </w:p>
        </w:tc>
        <w:tc>
          <w:tcPr>
            <w:tcW w:w="648" w:type="dxa"/>
            <w:shd w:val="clear" w:color="auto" w:fill="EAF1F7"/>
            <w:tcMar>
              <w:top w:w="22" w:type="dxa"/>
              <w:left w:w="24" w:type="dxa"/>
              <w:bottom w:w="22" w:type="dxa"/>
              <w:right w:w="24" w:type="dxa"/>
            </w:tcMar>
            <w:vAlign w:val="center"/>
          </w:tcPr>
          <w:p w14:paraId="18F7881B"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6B2D33CC" w14:textId="77777777" w:rsidR="004D7A10" w:rsidRPr="007E140B" w:rsidRDefault="004D7A10" w:rsidP="0026770E">
            <w:pPr>
              <w:spacing w:after="0" w:line="240" w:lineRule="auto"/>
              <w:rPr>
                <w:rFonts w:cs="Arial"/>
                <w:color w:val="auto"/>
              </w:rPr>
            </w:pPr>
            <w:r w:rsidRPr="007E140B">
              <w:rPr>
                <w:rFonts w:cs="Arial"/>
                <w:color w:val="auto"/>
                <w:sz w:val="15"/>
              </w:rPr>
              <w:t>To examine the relationship between corporate ESG ratings and green innovation and determine whether the association is nonlinear.</w:t>
            </w:r>
          </w:p>
        </w:tc>
        <w:tc>
          <w:tcPr>
            <w:tcW w:w="1375" w:type="dxa"/>
            <w:shd w:val="clear" w:color="auto" w:fill="EAF1F7"/>
            <w:tcMar>
              <w:top w:w="22" w:type="dxa"/>
              <w:left w:w="24" w:type="dxa"/>
              <w:bottom w:w="22" w:type="dxa"/>
              <w:right w:w="24" w:type="dxa"/>
            </w:tcMar>
          </w:tcPr>
          <w:p w14:paraId="4028F798" w14:textId="77777777" w:rsidR="004D7A10" w:rsidRPr="007E140B" w:rsidRDefault="004D7A10" w:rsidP="0026770E">
            <w:pPr>
              <w:spacing w:after="0" w:line="240" w:lineRule="auto"/>
              <w:rPr>
                <w:rFonts w:cs="Arial"/>
                <w:color w:val="auto"/>
              </w:rPr>
            </w:pPr>
            <w:r w:rsidRPr="007E140B">
              <w:rPr>
                <w:rFonts w:cs="Arial"/>
                <w:color w:val="auto"/>
                <w:sz w:val="15"/>
              </w:rPr>
              <w:t xml:space="preserve">Test the shape of the ESG–green-innovation relationship; examine different green-patent types; </w:t>
            </w:r>
            <w:proofErr w:type="spellStart"/>
            <w:r w:rsidRPr="007E140B">
              <w:rPr>
                <w:rFonts w:cs="Arial"/>
                <w:color w:val="auto"/>
                <w:sz w:val="15"/>
              </w:rPr>
              <w:t>analyse</w:t>
            </w:r>
            <w:proofErr w:type="spellEnd"/>
            <w:r w:rsidRPr="007E140B">
              <w:rPr>
                <w:rFonts w:cs="Arial"/>
                <w:color w:val="auto"/>
                <w:sz w:val="15"/>
              </w:rPr>
              <w:t xml:space="preserve"> roles of profitability, operational risk, collaboration, subsidies and executive compensation.</w:t>
            </w:r>
          </w:p>
        </w:tc>
        <w:tc>
          <w:tcPr>
            <w:tcW w:w="1086" w:type="dxa"/>
            <w:shd w:val="clear" w:color="auto" w:fill="EAF1F7"/>
            <w:tcMar>
              <w:top w:w="22" w:type="dxa"/>
              <w:left w:w="24" w:type="dxa"/>
              <w:bottom w:w="22" w:type="dxa"/>
              <w:right w:w="24" w:type="dxa"/>
            </w:tcMar>
          </w:tcPr>
          <w:p w14:paraId="7EAF5E01" w14:textId="77777777" w:rsidR="004D7A10" w:rsidRPr="007E140B" w:rsidRDefault="004D7A10" w:rsidP="0026770E">
            <w:pPr>
              <w:spacing w:after="0" w:line="240" w:lineRule="auto"/>
              <w:rPr>
                <w:rFonts w:cs="Arial"/>
                <w:color w:val="auto"/>
              </w:rPr>
            </w:pPr>
            <w:r w:rsidRPr="007E140B">
              <w:rPr>
                <w:rFonts w:cs="Arial"/>
                <w:color w:val="auto"/>
                <w:sz w:val="15"/>
              </w:rPr>
              <w:t>How do ESG ratings affect corporate green innovation, and does the effect vary across ESG levels, patent types and firm conditions?</w:t>
            </w:r>
          </w:p>
        </w:tc>
        <w:tc>
          <w:tcPr>
            <w:tcW w:w="1122" w:type="dxa"/>
            <w:shd w:val="clear" w:color="auto" w:fill="EAF1F7"/>
            <w:tcMar>
              <w:top w:w="22" w:type="dxa"/>
              <w:left w:w="24" w:type="dxa"/>
              <w:bottom w:w="22" w:type="dxa"/>
              <w:right w:w="24" w:type="dxa"/>
            </w:tcMar>
          </w:tcPr>
          <w:p w14:paraId="28B639C3" w14:textId="77777777" w:rsidR="004D7A10" w:rsidRPr="007E140B" w:rsidRDefault="004D7A10" w:rsidP="0026770E">
            <w:pPr>
              <w:spacing w:after="0" w:line="240" w:lineRule="auto"/>
              <w:rPr>
                <w:rFonts w:cs="Arial"/>
                <w:color w:val="auto"/>
              </w:rPr>
            </w:pPr>
            <w:r w:rsidRPr="007E140B">
              <w:rPr>
                <w:rFonts w:cs="Arial"/>
                <w:color w:val="auto"/>
                <w:sz w:val="15"/>
              </w:rPr>
              <w:t>Panel study of Chinese A-share listed firms, 2011–2022. Bloomberg ESG ratings are combined with matched green patent data and CSMAR firm information; regression analyses test nonlinear relationships and heterogeneity.</w:t>
            </w:r>
          </w:p>
        </w:tc>
        <w:tc>
          <w:tcPr>
            <w:tcW w:w="1556" w:type="dxa"/>
            <w:shd w:val="clear" w:color="auto" w:fill="EAF1F7"/>
            <w:tcMar>
              <w:top w:w="22" w:type="dxa"/>
              <w:left w:w="24" w:type="dxa"/>
              <w:bottom w:w="22" w:type="dxa"/>
              <w:right w:w="24" w:type="dxa"/>
            </w:tcMar>
          </w:tcPr>
          <w:p w14:paraId="71D2A8CE" w14:textId="77777777" w:rsidR="004D7A10" w:rsidRPr="007E140B" w:rsidRDefault="004D7A10" w:rsidP="0026770E">
            <w:pPr>
              <w:spacing w:after="0" w:line="240" w:lineRule="auto"/>
              <w:rPr>
                <w:rFonts w:cs="Arial"/>
                <w:color w:val="auto"/>
              </w:rPr>
            </w:pPr>
            <w:r w:rsidRPr="007E140B">
              <w:rPr>
                <w:rFonts w:cs="Arial"/>
                <w:color w:val="auto"/>
                <w:sz w:val="15"/>
              </w:rPr>
              <w:t xml:space="preserve">A U-shaped ESG–green-innovation relationship is identified. At lower ESG levels, firms may </w:t>
            </w:r>
            <w:proofErr w:type="spellStart"/>
            <w:r w:rsidRPr="007E140B">
              <w:rPr>
                <w:rFonts w:cs="Arial"/>
                <w:color w:val="auto"/>
                <w:sz w:val="15"/>
              </w:rPr>
              <w:t>prioritise</w:t>
            </w:r>
            <w:proofErr w:type="spellEnd"/>
            <w:r w:rsidRPr="007E140B">
              <w:rPr>
                <w:rFonts w:cs="Arial"/>
                <w:color w:val="auto"/>
                <w:sz w:val="15"/>
              </w:rPr>
              <w:t xml:space="preserve"> governance/operations over green innovation; after ESG improves, green innovation becomes more prominent. Effects vary with profitability, risk and innovation type.</w:t>
            </w:r>
          </w:p>
        </w:tc>
        <w:tc>
          <w:tcPr>
            <w:tcW w:w="1665" w:type="dxa"/>
            <w:shd w:val="clear" w:color="auto" w:fill="EAF1F7"/>
            <w:tcMar>
              <w:top w:w="22" w:type="dxa"/>
              <w:left w:w="24" w:type="dxa"/>
              <w:bottom w:w="22" w:type="dxa"/>
              <w:right w:w="24" w:type="dxa"/>
            </w:tcMar>
          </w:tcPr>
          <w:p w14:paraId="39A2E52A" w14:textId="77777777" w:rsidR="004D7A10" w:rsidRPr="007E140B" w:rsidRDefault="004D7A10" w:rsidP="0026770E">
            <w:pPr>
              <w:spacing w:after="0" w:line="240" w:lineRule="auto"/>
              <w:rPr>
                <w:rFonts w:cs="Arial"/>
                <w:color w:val="auto"/>
              </w:rPr>
            </w:pPr>
            <w:r w:rsidRPr="007E140B">
              <w:rPr>
                <w:rFonts w:cs="Arial"/>
                <w:color w:val="auto"/>
                <w:sz w:val="15"/>
              </w:rPr>
              <w:t>The study rejects a simple monotonic assumption and shows that the innovation consequences of ESG ratings can change across firms’ ESG position and operating conditions.</w:t>
            </w:r>
          </w:p>
        </w:tc>
        <w:tc>
          <w:tcPr>
            <w:tcW w:w="1303" w:type="dxa"/>
            <w:shd w:val="clear" w:color="auto" w:fill="EAF1F7"/>
            <w:tcMar>
              <w:top w:w="22" w:type="dxa"/>
              <w:left w:w="24" w:type="dxa"/>
              <w:bottom w:w="22" w:type="dxa"/>
              <w:right w:w="24" w:type="dxa"/>
            </w:tcMar>
          </w:tcPr>
          <w:p w14:paraId="393E5FB0" w14:textId="77777777" w:rsidR="004D7A10" w:rsidRPr="007E140B" w:rsidRDefault="004D7A10" w:rsidP="0026770E">
            <w:pPr>
              <w:spacing w:after="0" w:line="240" w:lineRule="auto"/>
              <w:rPr>
                <w:rFonts w:cs="Arial"/>
                <w:color w:val="auto"/>
              </w:rPr>
            </w:pPr>
            <w:r w:rsidRPr="007E140B">
              <w:rPr>
                <w:rFonts w:cs="Arial"/>
                <w:color w:val="auto"/>
                <w:sz w:val="15"/>
              </w:rPr>
              <w:t>Useful evidence for the dissertation’s conditional innovation pathway. It supports avoiding a simple “more ESG = more innovation” rule and highlights the role of firm context and nonlinear effects.</w:t>
            </w:r>
          </w:p>
        </w:tc>
        <w:tc>
          <w:tcPr>
            <w:tcW w:w="1230" w:type="dxa"/>
            <w:shd w:val="clear" w:color="auto" w:fill="EAF1F7"/>
            <w:tcMar>
              <w:top w:w="22" w:type="dxa"/>
              <w:left w:w="24" w:type="dxa"/>
              <w:bottom w:w="22" w:type="dxa"/>
              <w:right w:w="24" w:type="dxa"/>
            </w:tcMar>
          </w:tcPr>
          <w:p w14:paraId="28E9BE34" w14:textId="77777777" w:rsidR="004D7A10" w:rsidRPr="007E140B" w:rsidRDefault="00CC58FE" w:rsidP="0026770E">
            <w:pPr>
              <w:spacing w:after="0" w:line="240" w:lineRule="auto"/>
              <w:rPr>
                <w:rFonts w:cs="Arial"/>
                <w:color w:val="auto"/>
              </w:rPr>
            </w:pPr>
            <w:hyperlink r:id="rId80">
              <w:r w:rsidR="004D7A10" w:rsidRPr="007E140B">
                <w:rPr>
                  <w:rFonts w:cs="Arial"/>
                  <w:color w:val="auto"/>
                  <w:sz w:val="13"/>
                  <w:szCs w:val="13"/>
                </w:rPr>
                <w:t>https://doi.org/10.1002/bse.3692</w:t>
              </w:r>
            </w:hyperlink>
          </w:p>
        </w:tc>
      </w:tr>
      <w:tr w:rsidR="007E140B" w:rsidRPr="007E140B" w14:paraId="6D182BF2" w14:textId="77777777" w:rsidTr="0026770E">
        <w:trPr>
          <w:cantSplit/>
          <w:jc w:val="center"/>
        </w:trPr>
        <w:tc>
          <w:tcPr>
            <w:tcW w:w="504" w:type="dxa"/>
            <w:shd w:val="clear" w:color="auto" w:fill="F7FAFC"/>
            <w:tcMar>
              <w:top w:w="22" w:type="dxa"/>
              <w:left w:w="24" w:type="dxa"/>
              <w:bottom w:w="22" w:type="dxa"/>
              <w:right w:w="24" w:type="dxa"/>
            </w:tcMar>
            <w:vAlign w:val="center"/>
          </w:tcPr>
          <w:p w14:paraId="706B8C0A" w14:textId="77777777" w:rsidR="004D7A10" w:rsidRPr="007E140B" w:rsidRDefault="004D7A10" w:rsidP="0026770E">
            <w:pPr>
              <w:spacing w:after="0" w:line="240" w:lineRule="auto"/>
              <w:jc w:val="center"/>
              <w:rPr>
                <w:rFonts w:cs="Arial"/>
                <w:color w:val="auto"/>
              </w:rPr>
            </w:pPr>
            <w:r w:rsidRPr="007E140B">
              <w:rPr>
                <w:rFonts w:cs="Arial"/>
                <w:b/>
                <w:color w:val="auto"/>
                <w:sz w:val="15"/>
              </w:rPr>
              <w:t>25</w:t>
            </w:r>
          </w:p>
        </w:tc>
        <w:tc>
          <w:tcPr>
            <w:tcW w:w="1447" w:type="dxa"/>
            <w:shd w:val="clear" w:color="auto" w:fill="F7FAFC"/>
            <w:tcMar>
              <w:top w:w="22" w:type="dxa"/>
              <w:left w:w="24" w:type="dxa"/>
              <w:bottom w:w="22" w:type="dxa"/>
              <w:right w:w="24" w:type="dxa"/>
            </w:tcMar>
          </w:tcPr>
          <w:p w14:paraId="68E85756" w14:textId="77777777" w:rsidR="004D7A10" w:rsidRPr="007E140B" w:rsidRDefault="004D7A10" w:rsidP="0026770E">
            <w:pPr>
              <w:spacing w:after="0" w:line="240" w:lineRule="auto"/>
              <w:rPr>
                <w:rFonts w:cs="Arial"/>
                <w:color w:val="auto"/>
              </w:rPr>
            </w:pPr>
            <w:r w:rsidRPr="007E140B">
              <w:rPr>
                <w:rFonts w:cs="Arial"/>
                <w:b/>
                <w:color w:val="auto"/>
                <w:sz w:val="15"/>
              </w:rPr>
              <w:t>Greenwashing in Environmental, Social and Governance Disclosures</w:t>
            </w:r>
          </w:p>
        </w:tc>
        <w:tc>
          <w:tcPr>
            <w:tcW w:w="1049" w:type="dxa"/>
            <w:shd w:val="clear" w:color="auto" w:fill="F7FAFC"/>
            <w:tcMar>
              <w:top w:w="22" w:type="dxa"/>
              <w:left w:w="24" w:type="dxa"/>
              <w:bottom w:w="22" w:type="dxa"/>
              <w:right w:w="24" w:type="dxa"/>
            </w:tcMar>
          </w:tcPr>
          <w:p w14:paraId="346B7A40" w14:textId="77777777" w:rsidR="004D7A10" w:rsidRPr="007E140B" w:rsidRDefault="004D7A10" w:rsidP="0026770E">
            <w:pPr>
              <w:spacing w:after="0" w:line="240" w:lineRule="auto"/>
              <w:rPr>
                <w:rFonts w:cs="Arial"/>
                <w:color w:val="auto"/>
              </w:rPr>
            </w:pPr>
            <w:r w:rsidRPr="007E140B">
              <w:rPr>
                <w:rFonts w:cs="Arial"/>
                <w:color w:val="auto"/>
                <w:sz w:val="15"/>
              </w:rPr>
              <w:t>Research in International Business and Finance</w:t>
            </w:r>
          </w:p>
        </w:tc>
        <w:tc>
          <w:tcPr>
            <w:tcW w:w="905" w:type="dxa"/>
            <w:shd w:val="clear" w:color="auto" w:fill="F7FAFC"/>
            <w:tcMar>
              <w:top w:w="22" w:type="dxa"/>
              <w:left w:w="24" w:type="dxa"/>
              <w:bottom w:w="22" w:type="dxa"/>
              <w:right w:w="24" w:type="dxa"/>
            </w:tcMar>
          </w:tcPr>
          <w:p w14:paraId="1A3DB455" w14:textId="77777777" w:rsidR="004D7A10" w:rsidRPr="007E140B" w:rsidRDefault="004D7A10" w:rsidP="0026770E">
            <w:pPr>
              <w:spacing w:after="0" w:line="240" w:lineRule="auto"/>
              <w:rPr>
                <w:rFonts w:cs="Arial"/>
                <w:color w:val="auto"/>
              </w:rPr>
            </w:pPr>
            <w:r w:rsidRPr="007E140B">
              <w:rPr>
                <w:rFonts w:cs="Arial"/>
                <w:color w:val="auto"/>
                <w:sz w:val="15"/>
              </w:rPr>
              <w:t>Yu, E.P.; Luu, B.V.; Chen, C.H.</w:t>
            </w:r>
          </w:p>
        </w:tc>
        <w:tc>
          <w:tcPr>
            <w:tcW w:w="648" w:type="dxa"/>
            <w:shd w:val="clear" w:color="auto" w:fill="F7FAFC"/>
            <w:tcMar>
              <w:top w:w="22" w:type="dxa"/>
              <w:left w:w="24" w:type="dxa"/>
              <w:bottom w:w="22" w:type="dxa"/>
              <w:right w:w="24" w:type="dxa"/>
            </w:tcMar>
            <w:vAlign w:val="center"/>
          </w:tcPr>
          <w:p w14:paraId="4C3BD481"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F7FAFC"/>
            <w:tcMar>
              <w:top w:w="22" w:type="dxa"/>
              <w:left w:w="24" w:type="dxa"/>
              <w:bottom w:w="22" w:type="dxa"/>
              <w:right w:w="24" w:type="dxa"/>
            </w:tcMar>
          </w:tcPr>
          <w:p w14:paraId="2E543879" w14:textId="77777777" w:rsidR="004D7A10" w:rsidRPr="007E140B" w:rsidRDefault="004D7A10" w:rsidP="0026770E">
            <w:pPr>
              <w:spacing w:after="0" w:line="240" w:lineRule="auto"/>
              <w:rPr>
                <w:rFonts w:cs="Arial"/>
                <w:color w:val="auto"/>
              </w:rPr>
            </w:pPr>
            <w:r w:rsidRPr="007E140B">
              <w:rPr>
                <w:rFonts w:cs="Arial"/>
                <w:color w:val="auto"/>
                <w:sz w:val="15"/>
              </w:rPr>
              <w:t>To identify and measure ESG greenwashing and examine the firm and country characteristics associated with it.</w:t>
            </w:r>
          </w:p>
        </w:tc>
        <w:tc>
          <w:tcPr>
            <w:tcW w:w="1375" w:type="dxa"/>
            <w:shd w:val="clear" w:color="auto" w:fill="F7FAFC"/>
            <w:tcMar>
              <w:top w:w="22" w:type="dxa"/>
              <w:left w:w="24" w:type="dxa"/>
              <w:bottom w:w="22" w:type="dxa"/>
              <w:right w:w="24" w:type="dxa"/>
            </w:tcMar>
          </w:tcPr>
          <w:p w14:paraId="70074B1A" w14:textId="77777777" w:rsidR="004D7A10" w:rsidRPr="007E140B" w:rsidRDefault="004D7A10" w:rsidP="0026770E">
            <w:pPr>
              <w:spacing w:after="0" w:line="240" w:lineRule="auto"/>
              <w:rPr>
                <w:rFonts w:cs="Arial"/>
                <w:color w:val="auto"/>
              </w:rPr>
            </w:pPr>
            <w:r w:rsidRPr="007E140B">
              <w:rPr>
                <w:rFonts w:cs="Arial"/>
                <w:color w:val="auto"/>
                <w:sz w:val="15"/>
              </w:rPr>
              <w:t>Construct a peer-relative greenwashing score comparing ESG disclosure with ESG performance; identify large-cap firms exhibiting greenwashing; test governance and cross-listing determinants.</w:t>
            </w:r>
          </w:p>
        </w:tc>
        <w:tc>
          <w:tcPr>
            <w:tcW w:w="1086" w:type="dxa"/>
            <w:shd w:val="clear" w:color="auto" w:fill="F7FAFC"/>
            <w:tcMar>
              <w:top w:w="22" w:type="dxa"/>
              <w:left w:w="24" w:type="dxa"/>
              <w:bottom w:w="22" w:type="dxa"/>
              <w:right w:w="24" w:type="dxa"/>
            </w:tcMar>
          </w:tcPr>
          <w:p w14:paraId="62D919C8" w14:textId="77777777" w:rsidR="004D7A10" w:rsidRPr="007E140B" w:rsidRDefault="004D7A10" w:rsidP="0026770E">
            <w:pPr>
              <w:spacing w:after="0" w:line="240" w:lineRule="auto"/>
              <w:rPr>
                <w:rFonts w:cs="Arial"/>
                <w:color w:val="auto"/>
              </w:rPr>
            </w:pPr>
            <w:r w:rsidRPr="007E140B">
              <w:rPr>
                <w:rFonts w:cs="Arial"/>
                <w:color w:val="auto"/>
                <w:sz w:val="15"/>
              </w:rPr>
              <w:t xml:space="preserve">Which firms engage in ESG greenwashing, and what firm-level governance or country-level characteristics are associated with that </w:t>
            </w:r>
            <w:proofErr w:type="spellStart"/>
            <w:r w:rsidRPr="007E140B">
              <w:rPr>
                <w:rFonts w:cs="Arial"/>
                <w:color w:val="auto"/>
                <w:sz w:val="15"/>
              </w:rPr>
              <w:t>behaviour</w:t>
            </w:r>
            <w:proofErr w:type="spellEnd"/>
            <w:r w:rsidRPr="007E140B">
              <w:rPr>
                <w:rFonts w:cs="Arial"/>
                <w:color w:val="auto"/>
                <w:sz w:val="15"/>
              </w:rPr>
              <w:t>?</w:t>
            </w:r>
          </w:p>
        </w:tc>
        <w:tc>
          <w:tcPr>
            <w:tcW w:w="1122" w:type="dxa"/>
            <w:shd w:val="clear" w:color="auto" w:fill="F7FAFC"/>
            <w:tcMar>
              <w:top w:w="22" w:type="dxa"/>
              <w:left w:w="24" w:type="dxa"/>
              <w:bottom w:w="22" w:type="dxa"/>
              <w:right w:w="24" w:type="dxa"/>
            </w:tcMar>
          </w:tcPr>
          <w:p w14:paraId="3DBEF8E1" w14:textId="77777777" w:rsidR="004D7A10" w:rsidRPr="007E140B" w:rsidRDefault="004D7A10" w:rsidP="0026770E">
            <w:pPr>
              <w:spacing w:after="0" w:line="240" w:lineRule="auto"/>
              <w:rPr>
                <w:rFonts w:cs="Arial"/>
                <w:color w:val="auto"/>
              </w:rPr>
            </w:pPr>
            <w:r w:rsidRPr="007E140B">
              <w:rPr>
                <w:rFonts w:cs="Arial"/>
                <w:color w:val="auto"/>
                <w:sz w:val="15"/>
              </w:rPr>
              <w:t>International panel of 1,925 large-cap firms from 47 countries/territories in the MSCI All Country World Index, 2012–2016. The study creates a peer-relative greenwashing score and estimates determinant models.</w:t>
            </w:r>
          </w:p>
        </w:tc>
        <w:tc>
          <w:tcPr>
            <w:tcW w:w="1556" w:type="dxa"/>
            <w:shd w:val="clear" w:color="auto" w:fill="F7FAFC"/>
            <w:tcMar>
              <w:top w:w="22" w:type="dxa"/>
              <w:left w:w="24" w:type="dxa"/>
              <w:bottom w:w="22" w:type="dxa"/>
              <w:right w:w="24" w:type="dxa"/>
            </w:tcMar>
          </w:tcPr>
          <w:p w14:paraId="625EA6CE" w14:textId="77777777" w:rsidR="004D7A10" w:rsidRPr="007E140B" w:rsidRDefault="004D7A10" w:rsidP="0026770E">
            <w:pPr>
              <w:spacing w:after="0" w:line="240" w:lineRule="auto"/>
              <w:rPr>
                <w:rFonts w:cs="Arial"/>
                <w:color w:val="auto"/>
              </w:rPr>
            </w:pPr>
            <w:r w:rsidRPr="007E140B">
              <w:rPr>
                <w:rFonts w:cs="Arial"/>
                <w:color w:val="auto"/>
                <w:sz w:val="15"/>
              </w:rPr>
              <w:t xml:space="preserve">Greenwashing is </w:t>
            </w:r>
            <w:proofErr w:type="spellStart"/>
            <w:r w:rsidRPr="007E140B">
              <w:rPr>
                <w:rFonts w:cs="Arial"/>
                <w:color w:val="auto"/>
                <w:sz w:val="15"/>
              </w:rPr>
              <w:t>characterised</w:t>
            </w:r>
            <w:proofErr w:type="spellEnd"/>
            <w:r w:rsidRPr="007E140B">
              <w:rPr>
                <w:rFonts w:cs="Arial"/>
                <w:color w:val="auto"/>
                <w:sz w:val="15"/>
              </w:rPr>
              <w:t xml:space="preserve"> by high ESG disclosure combined with weak ESG performance. Firm-level governance factors are more important deterrents than country factors, and cross-listing is associated with less greenwashing.</w:t>
            </w:r>
          </w:p>
        </w:tc>
        <w:tc>
          <w:tcPr>
            <w:tcW w:w="1665" w:type="dxa"/>
            <w:shd w:val="clear" w:color="auto" w:fill="F7FAFC"/>
            <w:tcMar>
              <w:top w:w="22" w:type="dxa"/>
              <w:left w:w="24" w:type="dxa"/>
              <w:bottom w:w="22" w:type="dxa"/>
              <w:right w:w="24" w:type="dxa"/>
            </w:tcMar>
          </w:tcPr>
          <w:p w14:paraId="64320938" w14:textId="77777777" w:rsidR="004D7A10" w:rsidRPr="007E140B" w:rsidRDefault="004D7A10" w:rsidP="0026770E">
            <w:pPr>
              <w:spacing w:after="0" w:line="240" w:lineRule="auto"/>
              <w:rPr>
                <w:rFonts w:cs="Arial"/>
                <w:color w:val="auto"/>
              </w:rPr>
            </w:pPr>
            <w:r w:rsidRPr="007E140B">
              <w:rPr>
                <w:rFonts w:cs="Arial"/>
                <w:color w:val="auto"/>
                <w:sz w:val="15"/>
              </w:rPr>
              <w:t xml:space="preserve">The paper </w:t>
            </w:r>
            <w:proofErr w:type="spellStart"/>
            <w:r w:rsidRPr="007E140B">
              <w:rPr>
                <w:rFonts w:cs="Arial"/>
                <w:color w:val="auto"/>
                <w:sz w:val="15"/>
              </w:rPr>
              <w:t>operationalises</w:t>
            </w:r>
            <w:proofErr w:type="spellEnd"/>
            <w:r w:rsidRPr="007E140B">
              <w:rPr>
                <w:rFonts w:cs="Arial"/>
                <w:color w:val="auto"/>
                <w:sz w:val="15"/>
              </w:rPr>
              <w:t xml:space="preserve"> greenwashing as a disclosure–performance gap and shows that high disclosure volume can coexist with poor underlying ESG outcomes.</w:t>
            </w:r>
          </w:p>
        </w:tc>
        <w:tc>
          <w:tcPr>
            <w:tcW w:w="1303" w:type="dxa"/>
            <w:shd w:val="clear" w:color="auto" w:fill="F7FAFC"/>
            <w:tcMar>
              <w:top w:w="22" w:type="dxa"/>
              <w:left w:w="24" w:type="dxa"/>
              <w:bottom w:w="22" w:type="dxa"/>
              <w:right w:w="24" w:type="dxa"/>
            </w:tcMar>
          </w:tcPr>
          <w:p w14:paraId="6E98A81F" w14:textId="77777777" w:rsidR="004D7A10" w:rsidRPr="007E140B" w:rsidRDefault="004D7A10" w:rsidP="0026770E">
            <w:pPr>
              <w:spacing w:after="0" w:line="240" w:lineRule="auto"/>
              <w:rPr>
                <w:rFonts w:cs="Arial"/>
                <w:color w:val="auto"/>
              </w:rPr>
            </w:pPr>
            <w:r w:rsidRPr="007E140B">
              <w:rPr>
                <w:rFonts w:cs="Arial"/>
                <w:color w:val="auto"/>
                <w:sz w:val="15"/>
              </w:rPr>
              <w:t>Directly reinforces the dissertation’s distinction between reporting and performance. It supports claim-level evidence control and the argument that communication without corresponding outcomes can heighten reputational risk.</w:t>
            </w:r>
          </w:p>
        </w:tc>
        <w:tc>
          <w:tcPr>
            <w:tcW w:w="1230" w:type="dxa"/>
            <w:shd w:val="clear" w:color="auto" w:fill="F7FAFC"/>
            <w:tcMar>
              <w:top w:w="22" w:type="dxa"/>
              <w:left w:w="24" w:type="dxa"/>
              <w:bottom w:w="22" w:type="dxa"/>
              <w:right w:w="24" w:type="dxa"/>
            </w:tcMar>
          </w:tcPr>
          <w:p w14:paraId="717693FC" w14:textId="77777777" w:rsidR="004D7A10" w:rsidRPr="007E140B" w:rsidRDefault="00CC58FE" w:rsidP="0026770E">
            <w:pPr>
              <w:spacing w:after="0" w:line="240" w:lineRule="auto"/>
              <w:rPr>
                <w:rFonts w:cs="Arial"/>
                <w:color w:val="auto"/>
              </w:rPr>
            </w:pPr>
            <w:hyperlink r:id="rId81">
              <w:r w:rsidR="004D7A10" w:rsidRPr="007E140B">
                <w:rPr>
                  <w:rFonts w:cs="Arial"/>
                  <w:color w:val="auto"/>
                  <w:sz w:val="13"/>
                  <w:szCs w:val="13"/>
                </w:rPr>
                <w:t>https://doi.org/10.1016/j.ribaf.2020.101192</w:t>
              </w:r>
            </w:hyperlink>
          </w:p>
        </w:tc>
      </w:tr>
      <w:tr w:rsidR="007E140B" w:rsidRPr="007E140B" w14:paraId="001AE8BE" w14:textId="77777777" w:rsidTr="0026770E">
        <w:trPr>
          <w:cantSplit/>
          <w:jc w:val="center"/>
        </w:trPr>
        <w:tc>
          <w:tcPr>
            <w:tcW w:w="504" w:type="dxa"/>
            <w:shd w:val="clear" w:color="auto" w:fill="EAF1F7"/>
            <w:tcMar>
              <w:top w:w="22" w:type="dxa"/>
              <w:left w:w="24" w:type="dxa"/>
              <w:bottom w:w="22" w:type="dxa"/>
              <w:right w:w="24" w:type="dxa"/>
            </w:tcMar>
            <w:vAlign w:val="center"/>
          </w:tcPr>
          <w:p w14:paraId="535AD76D" w14:textId="77777777" w:rsidR="004D7A10" w:rsidRPr="007E140B" w:rsidRDefault="004D7A10" w:rsidP="0026770E">
            <w:pPr>
              <w:spacing w:after="0" w:line="240" w:lineRule="auto"/>
              <w:jc w:val="center"/>
              <w:rPr>
                <w:rFonts w:cs="Arial"/>
                <w:color w:val="auto"/>
              </w:rPr>
            </w:pPr>
            <w:r w:rsidRPr="007E140B">
              <w:rPr>
                <w:rFonts w:cs="Arial"/>
                <w:b/>
                <w:color w:val="auto"/>
                <w:sz w:val="15"/>
              </w:rPr>
              <w:t>26</w:t>
            </w:r>
          </w:p>
        </w:tc>
        <w:tc>
          <w:tcPr>
            <w:tcW w:w="1447" w:type="dxa"/>
            <w:shd w:val="clear" w:color="auto" w:fill="EAF1F7"/>
            <w:tcMar>
              <w:top w:w="22" w:type="dxa"/>
              <w:left w:w="24" w:type="dxa"/>
              <w:bottom w:w="22" w:type="dxa"/>
              <w:right w:w="24" w:type="dxa"/>
            </w:tcMar>
          </w:tcPr>
          <w:p w14:paraId="5F075BD2" w14:textId="77777777" w:rsidR="004D7A10" w:rsidRPr="007E140B" w:rsidRDefault="004D7A10" w:rsidP="0026770E">
            <w:pPr>
              <w:spacing w:after="0" w:line="240" w:lineRule="auto"/>
              <w:rPr>
                <w:rFonts w:cs="Arial"/>
                <w:color w:val="auto"/>
              </w:rPr>
            </w:pPr>
            <w:r w:rsidRPr="007E140B">
              <w:rPr>
                <w:rFonts w:cs="Arial"/>
                <w:b/>
                <w:color w:val="auto"/>
                <w:sz w:val="15"/>
              </w:rPr>
              <w:t xml:space="preserve">The Sustainable Consumer: Understanding Consumer Attitudes to Sustainability and Sustainable </w:t>
            </w:r>
            <w:proofErr w:type="spellStart"/>
            <w:r w:rsidRPr="007E140B">
              <w:rPr>
                <w:rFonts w:cs="Arial"/>
                <w:b/>
                <w:color w:val="auto"/>
                <w:sz w:val="15"/>
              </w:rPr>
              <w:t>Behaviours</w:t>
            </w:r>
            <w:proofErr w:type="spellEnd"/>
          </w:p>
        </w:tc>
        <w:tc>
          <w:tcPr>
            <w:tcW w:w="1049" w:type="dxa"/>
            <w:shd w:val="clear" w:color="auto" w:fill="EAF1F7"/>
            <w:tcMar>
              <w:top w:w="22" w:type="dxa"/>
              <w:left w:w="24" w:type="dxa"/>
              <w:bottom w:w="22" w:type="dxa"/>
              <w:right w:w="24" w:type="dxa"/>
            </w:tcMar>
          </w:tcPr>
          <w:p w14:paraId="385A5E5B" w14:textId="77777777" w:rsidR="004D7A10" w:rsidRPr="007E140B" w:rsidRDefault="004D7A10" w:rsidP="0026770E">
            <w:pPr>
              <w:spacing w:after="0" w:line="240" w:lineRule="auto"/>
              <w:rPr>
                <w:rFonts w:cs="Arial"/>
                <w:color w:val="auto"/>
              </w:rPr>
            </w:pPr>
            <w:r w:rsidRPr="007E140B">
              <w:rPr>
                <w:rFonts w:cs="Arial"/>
                <w:color w:val="auto"/>
                <w:sz w:val="15"/>
              </w:rPr>
              <w:t>Deloitte UK (consumer research report)</w:t>
            </w:r>
          </w:p>
        </w:tc>
        <w:tc>
          <w:tcPr>
            <w:tcW w:w="905" w:type="dxa"/>
            <w:shd w:val="clear" w:color="auto" w:fill="EAF1F7"/>
            <w:tcMar>
              <w:top w:w="22" w:type="dxa"/>
              <w:left w:w="24" w:type="dxa"/>
              <w:bottom w:w="22" w:type="dxa"/>
              <w:right w:w="24" w:type="dxa"/>
            </w:tcMar>
          </w:tcPr>
          <w:p w14:paraId="7DE2A571" w14:textId="77777777" w:rsidR="004D7A10" w:rsidRPr="007E140B" w:rsidRDefault="004D7A10" w:rsidP="0026770E">
            <w:pPr>
              <w:spacing w:after="0" w:line="240" w:lineRule="auto"/>
              <w:rPr>
                <w:rFonts w:cs="Arial"/>
                <w:color w:val="auto"/>
              </w:rPr>
            </w:pPr>
            <w:r w:rsidRPr="007E140B">
              <w:rPr>
                <w:rFonts w:cs="Arial"/>
                <w:color w:val="auto"/>
                <w:sz w:val="15"/>
              </w:rPr>
              <w:t xml:space="preserve">Fenech, C.; Walton, B.; </w:t>
            </w:r>
            <w:proofErr w:type="spellStart"/>
            <w:r w:rsidRPr="007E140B">
              <w:rPr>
                <w:rFonts w:cs="Arial"/>
                <w:color w:val="auto"/>
                <w:sz w:val="15"/>
              </w:rPr>
              <w:t>Majury</w:t>
            </w:r>
            <w:proofErr w:type="spellEnd"/>
            <w:r w:rsidRPr="007E140B">
              <w:rPr>
                <w:rFonts w:cs="Arial"/>
                <w:color w:val="auto"/>
                <w:sz w:val="15"/>
              </w:rPr>
              <w:t>, A. / Deloitte</w:t>
            </w:r>
          </w:p>
        </w:tc>
        <w:tc>
          <w:tcPr>
            <w:tcW w:w="648" w:type="dxa"/>
            <w:shd w:val="clear" w:color="auto" w:fill="EAF1F7"/>
            <w:tcMar>
              <w:top w:w="22" w:type="dxa"/>
              <w:left w:w="24" w:type="dxa"/>
              <w:bottom w:w="22" w:type="dxa"/>
              <w:right w:w="24" w:type="dxa"/>
            </w:tcMar>
            <w:vAlign w:val="center"/>
          </w:tcPr>
          <w:p w14:paraId="7AF1DED4"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2BFE51BE" w14:textId="77777777" w:rsidR="004D7A10" w:rsidRPr="007E140B" w:rsidRDefault="004D7A10" w:rsidP="0026770E">
            <w:pPr>
              <w:spacing w:after="0" w:line="240" w:lineRule="auto"/>
              <w:rPr>
                <w:rFonts w:cs="Arial"/>
                <w:color w:val="auto"/>
              </w:rPr>
            </w:pPr>
            <w:r w:rsidRPr="007E140B">
              <w:rPr>
                <w:rFonts w:cs="Arial"/>
                <w:color w:val="auto"/>
                <w:sz w:val="15"/>
              </w:rPr>
              <w:t xml:space="preserve">To understand UK consumers’ attitudes to sustainability, sustainable </w:t>
            </w:r>
            <w:proofErr w:type="spellStart"/>
            <w:r w:rsidRPr="007E140B">
              <w:rPr>
                <w:rFonts w:cs="Arial"/>
                <w:color w:val="auto"/>
                <w:sz w:val="15"/>
              </w:rPr>
              <w:t>behaviours</w:t>
            </w:r>
            <w:proofErr w:type="spellEnd"/>
            <w:r w:rsidRPr="007E140B">
              <w:rPr>
                <w:rFonts w:cs="Arial"/>
                <w:color w:val="auto"/>
                <w:sz w:val="15"/>
              </w:rPr>
              <w:t xml:space="preserve"> and barriers to adopting more sustainable lifestyles.</w:t>
            </w:r>
          </w:p>
        </w:tc>
        <w:tc>
          <w:tcPr>
            <w:tcW w:w="1375" w:type="dxa"/>
            <w:shd w:val="clear" w:color="auto" w:fill="EAF1F7"/>
            <w:tcMar>
              <w:top w:w="22" w:type="dxa"/>
              <w:left w:w="24" w:type="dxa"/>
              <w:bottom w:w="22" w:type="dxa"/>
              <w:right w:w="24" w:type="dxa"/>
            </w:tcMar>
          </w:tcPr>
          <w:p w14:paraId="5692C10F" w14:textId="77777777" w:rsidR="004D7A10" w:rsidRPr="007E140B" w:rsidRDefault="004D7A10" w:rsidP="0026770E">
            <w:pPr>
              <w:spacing w:after="0" w:line="240" w:lineRule="auto"/>
              <w:rPr>
                <w:rFonts w:cs="Arial"/>
                <w:color w:val="auto"/>
              </w:rPr>
            </w:pPr>
            <w:r w:rsidRPr="007E140B">
              <w:rPr>
                <w:rFonts w:cs="Arial"/>
                <w:color w:val="auto"/>
                <w:sz w:val="15"/>
              </w:rPr>
              <w:t xml:space="preserve">Track consumer attitudes over time; identify valued sustainable/ethical practices; measure barriers such as cost, information gaps, </w:t>
            </w:r>
            <w:proofErr w:type="spellStart"/>
            <w:r w:rsidRPr="007E140B">
              <w:rPr>
                <w:rFonts w:cs="Arial"/>
                <w:color w:val="auto"/>
                <w:sz w:val="15"/>
              </w:rPr>
              <w:t>scepticism</w:t>
            </w:r>
            <w:proofErr w:type="spellEnd"/>
            <w:r w:rsidRPr="007E140B">
              <w:rPr>
                <w:rFonts w:cs="Arial"/>
                <w:color w:val="auto"/>
                <w:sz w:val="15"/>
              </w:rPr>
              <w:t xml:space="preserve"> and convenience.</w:t>
            </w:r>
          </w:p>
        </w:tc>
        <w:tc>
          <w:tcPr>
            <w:tcW w:w="1086" w:type="dxa"/>
            <w:shd w:val="clear" w:color="auto" w:fill="EAF1F7"/>
            <w:tcMar>
              <w:top w:w="22" w:type="dxa"/>
              <w:left w:w="24" w:type="dxa"/>
              <w:bottom w:w="22" w:type="dxa"/>
              <w:right w:w="24" w:type="dxa"/>
            </w:tcMar>
          </w:tcPr>
          <w:p w14:paraId="570550E3" w14:textId="77777777" w:rsidR="004D7A10" w:rsidRPr="007E140B" w:rsidRDefault="004D7A10" w:rsidP="0026770E">
            <w:pPr>
              <w:spacing w:after="0" w:line="240" w:lineRule="auto"/>
              <w:rPr>
                <w:rFonts w:cs="Arial"/>
                <w:color w:val="auto"/>
              </w:rPr>
            </w:pPr>
            <w:r w:rsidRPr="007E140B">
              <w:rPr>
                <w:rFonts w:cs="Arial"/>
                <w:color w:val="auto"/>
                <w:sz w:val="15"/>
              </w:rPr>
              <w:t xml:space="preserve">What sustainability practices do UK consumers value, and what prevents them from adopting more sustainable </w:t>
            </w:r>
            <w:proofErr w:type="spellStart"/>
            <w:r w:rsidRPr="007E140B">
              <w:rPr>
                <w:rFonts w:cs="Arial"/>
                <w:color w:val="auto"/>
                <w:sz w:val="15"/>
              </w:rPr>
              <w:t>behaviours</w:t>
            </w:r>
            <w:proofErr w:type="spellEnd"/>
            <w:r w:rsidRPr="007E140B">
              <w:rPr>
                <w:rFonts w:cs="Arial"/>
                <w:color w:val="auto"/>
                <w:sz w:val="15"/>
              </w:rPr>
              <w:t>?</w:t>
            </w:r>
          </w:p>
        </w:tc>
        <w:tc>
          <w:tcPr>
            <w:tcW w:w="1122" w:type="dxa"/>
            <w:shd w:val="clear" w:color="auto" w:fill="EAF1F7"/>
            <w:tcMar>
              <w:top w:w="22" w:type="dxa"/>
              <w:left w:w="24" w:type="dxa"/>
              <w:bottom w:w="22" w:type="dxa"/>
              <w:right w:w="24" w:type="dxa"/>
            </w:tcMar>
          </w:tcPr>
          <w:p w14:paraId="01FCF8A6" w14:textId="77777777" w:rsidR="004D7A10" w:rsidRPr="007E140B" w:rsidRDefault="004D7A10" w:rsidP="0026770E">
            <w:pPr>
              <w:spacing w:after="0" w:line="240" w:lineRule="auto"/>
              <w:rPr>
                <w:rFonts w:cs="Arial"/>
                <w:color w:val="auto"/>
              </w:rPr>
            </w:pPr>
            <w:r w:rsidRPr="007E140B">
              <w:rPr>
                <w:rFonts w:cs="Arial"/>
                <w:color w:val="auto"/>
                <w:sz w:val="15"/>
              </w:rPr>
              <w:t>Online survey conducted by YouGov for Deloitte with a nationally representative sample of more than 2,000 UK adults aged 18+, 18–19 July 2024.</w:t>
            </w:r>
          </w:p>
        </w:tc>
        <w:tc>
          <w:tcPr>
            <w:tcW w:w="1556" w:type="dxa"/>
            <w:shd w:val="clear" w:color="auto" w:fill="EAF1F7"/>
            <w:tcMar>
              <w:top w:w="22" w:type="dxa"/>
              <w:left w:w="24" w:type="dxa"/>
              <w:bottom w:w="22" w:type="dxa"/>
              <w:right w:w="24" w:type="dxa"/>
            </w:tcMar>
          </w:tcPr>
          <w:p w14:paraId="60DBA629" w14:textId="77777777" w:rsidR="004D7A10" w:rsidRPr="007E140B" w:rsidRDefault="004D7A10" w:rsidP="0026770E">
            <w:pPr>
              <w:spacing w:after="0" w:line="240" w:lineRule="auto"/>
              <w:rPr>
                <w:rFonts w:cs="Arial"/>
                <w:color w:val="auto"/>
              </w:rPr>
            </w:pPr>
            <w:r w:rsidRPr="007E140B">
              <w:rPr>
                <w:rFonts w:cs="Arial"/>
                <w:color w:val="auto"/>
                <w:sz w:val="15"/>
              </w:rPr>
              <w:t xml:space="preserve">Affordability remains a major barrier; respondents also report information gaps, </w:t>
            </w:r>
            <w:proofErr w:type="spellStart"/>
            <w:r w:rsidRPr="007E140B">
              <w:rPr>
                <w:rFonts w:cs="Arial"/>
                <w:color w:val="auto"/>
                <w:sz w:val="15"/>
              </w:rPr>
              <w:t>scepticism</w:t>
            </w:r>
            <w:proofErr w:type="spellEnd"/>
            <w:r w:rsidRPr="007E140B">
              <w:rPr>
                <w:rFonts w:cs="Arial"/>
                <w:color w:val="auto"/>
                <w:sz w:val="15"/>
              </w:rPr>
              <w:t xml:space="preserve"> and fatigue. Sustainable packaging/products and waste reduction are among highly valued company practices.</w:t>
            </w:r>
          </w:p>
        </w:tc>
        <w:tc>
          <w:tcPr>
            <w:tcW w:w="1665" w:type="dxa"/>
            <w:shd w:val="clear" w:color="auto" w:fill="EAF1F7"/>
            <w:tcMar>
              <w:top w:w="22" w:type="dxa"/>
              <w:left w:w="24" w:type="dxa"/>
              <w:bottom w:w="22" w:type="dxa"/>
              <w:right w:w="24" w:type="dxa"/>
            </w:tcMar>
          </w:tcPr>
          <w:p w14:paraId="65825307" w14:textId="77777777" w:rsidR="004D7A10" w:rsidRPr="007E140B" w:rsidRDefault="004D7A10" w:rsidP="0026770E">
            <w:pPr>
              <w:spacing w:after="0" w:line="240" w:lineRule="auto"/>
              <w:rPr>
                <w:rFonts w:cs="Arial"/>
                <w:color w:val="auto"/>
              </w:rPr>
            </w:pPr>
            <w:r w:rsidRPr="007E140B">
              <w:rPr>
                <w:rFonts w:cs="Arial"/>
                <w:color w:val="auto"/>
                <w:sz w:val="15"/>
              </w:rPr>
              <w:t>The report shows that pro-sustainability attitudes coexist with strong cost and confidence constraints, making consumer response to sustainability conditional rather than automatic.</w:t>
            </w:r>
          </w:p>
        </w:tc>
        <w:tc>
          <w:tcPr>
            <w:tcW w:w="1303" w:type="dxa"/>
            <w:shd w:val="clear" w:color="auto" w:fill="EAF1F7"/>
            <w:tcMar>
              <w:top w:w="22" w:type="dxa"/>
              <w:left w:w="24" w:type="dxa"/>
              <w:bottom w:w="22" w:type="dxa"/>
              <w:right w:w="24" w:type="dxa"/>
            </w:tcMar>
          </w:tcPr>
          <w:p w14:paraId="53B8261C" w14:textId="77777777" w:rsidR="004D7A10" w:rsidRPr="007E140B" w:rsidRDefault="004D7A10" w:rsidP="0026770E">
            <w:pPr>
              <w:spacing w:after="0" w:line="240" w:lineRule="auto"/>
              <w:rPr>
                <w:rFonts w:cs="Arial"/>
                <w:color w:val="auto"/>
              </w:rPr>
            </w:pPr>
            <w:r w:rsidRPr="007E140B">
              <w:rPr>
                <w:rFonts w:cs="Arial"/>
                <w:color w:val="auto"/>
                <w:sz w:val="15"/>
              </w:rPr>
              <w:t xml:space="preserve">Directly supports the dissertation’s affordability/category-fit boundary condition. Because the evidence is self-reported survey data, the dissertation correctly avoids treating it as </w:t>
            </w:r>
            <w:proofErr w:type="spellStart"/>
            <w:r w:rsidRPr="007E140B">
              <w:rPr>
                <w:rFonts w:cs="Arial"/>
                <w:color w:val="auto"/>
                <w:sz w:val="15"/>
              </w:rPr>
              <w:t>realised</w:t>
            </w:r>
            <w:proofErr w:type="spellEnd"/>
            <w:r w:rsidRPr="007E140B">
              <w:rPr>
                <w:rFonts w:cs="Arial"/>
                <w:color w:val="auto"/>
                <w:sz w:val="15"/>
              </w:rPr>
              <w:t xml:space="preserve"> purchasing </w:t>
            </w:r>
            <w:proofErr w:type="spellStart"/>
            <w:r w:rsidRPr="007E140B">
              <w:rPr>
                <w:rFonts w:cs="Arial"/>
                <w:color w:val="auto"/>
                <w:sz w:val="15"/>
              </w:rPr>
              <w:t>behaviour</w:t>
            </w:r>
            <w:proofErr w:type="spellEnd"/>
            <w:r w:rsidRPr="007E140B">
              <w:rPr>
                <w:rFonts w:cs="Arial"/>
                <w:color w:val="auto"/>
                <w:sz w:val="15"/>
              </w:rPr>
              <w:t>.</w:t>
            </w:r>
          </w:p>
        </w:tc>
        <w:tc>
          <w:tcPr>
            <w:tcW w:w="1230" w:type="dxa"/>
            <w:shd w:val="clear" w:color="auto" w:fill="EAF1F7"/>
            <w:tcMar>
              <w:top w:w="22" w:type="dxa"/>
              <w:left w:w="24" w:type="dxa"/>
              <w:bottom w:w="22" w:type="dxa"/>
              <w:right w:w="24" w:type="dxa"/>
            </w:tcMar>
          </w:tcPr>
          <w:p w14:paraId="5A9ACF98" w14:textId="77777777" w:rsidR="004D7A10" w:rsidRPr="007E140B" w:rsidRDefault="00CC58FE" w:rsidP="0026770E">
            <w:pPr>
              <w:spacing w:after="0" w:line="240" w:lineRule="auto"/>
              <w:rPr>
                <w:rFonts w:cs="Arial"/>
                <w:color w:val="auto"/>
              </w:rPr>
            </w:pPr>
            <w:hyperlink r:id="rId82">
              <w:r w:rsidR="004D7A10" w:rsidRPr="007E140B">
                <w:rPr>
                  <w:rFonts w:cs="Arial"/>
                  <w:color w:val="auto"/>
                  <w:sz w:val="13"/>
                  <w:szCs w:val="13"/>
                </w:rPr>
                <w:t>https://www.deloitte.com/uk/en/Industries/consumer/perspectives/the-sustainable-consumer.html</w:t>
              </w:r>
            </w:hyperlink>
          </w:p>
        </w:tc>
      </w:tr>
      <w:tr w:rsidR="007E140B" w:rsidRPr="007E140B" w14:paraId="48BC2D6E" w14:textId="77777777" w:rsidTr="0026770E">
        <w:trPr>
          <w:cantSplit/>
          <w:jc w:val="center"/>
        </w:trPr>
        <w:tc>
          <w:tcPr>
            <w:tcW w:w="504" w:type="dxa"/>
            <w:shd w:val="clear" w:color="auto" w:fill="F7FAFC"/>
            <w:tcMar>
              <w:top w:w="22" w:type="dxa"/>
              <w:left w:w="24" w:type="dxa"/>
              <w:bottom w:w="22" w:type="dxa"/>
              <w:right w:w="24" w:type="dxa"/>
            </w:tcMar>
            <w:vAlign w:val="center"/>
          </w:tcPr>
          <w:p w14:paraId="235F716E"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27</w:t>
            </w:r>
          </w:p>
        </w:tc>
        <w:tc>
          <w:tcPr>
            <w:tcW w:w="1447" w:type="dxa"/>
            <w:shd w:val="clear" w:color="auto" w:fill="F7FAFC"/>
            <w:tcMar>
              <w:top w:w="22" w:type="dxa"/>
              <w:left w:w="24" w:type="dxa"/>
              <w:bottom w:w="22" w:type="dxa"/>
              <w:right w:w="24" w:type="dxa"/>
            </w:tcMar>
          </w:tcPr>
          <w:p w14:paraId="1F8F497A" w14:textId="77777777" w:rsidR="004D7A10" w:rsidRPr="007E140B" w:rsidRDefault="004D7A10" w:rsidP="0026770E">
            <w:pPr>
              <w:spacing w:after="0" w:line="240" w:lineRule="auto"/>
              <w:rPr>
                <w:rFonts w:cs="Arial"/>
                <w:color w:val="auto"/>
              </w:rPr>
            </w:pPr>
            <w:r w:rsidRPr="007E140B">
              <w:rPr>
                <w:rFonts w:cs="Arial"/>
                <w:b/>
                <w:color w:val="auto"/>
                <w:sz w:val="15"/>
              </w:rPr>
              <w:t>Gender Equality Report &amp; Ranking 2024: Developed Markets Edition</w:t>
            </w:r>
          </w:p>
        </w:tc>
        <w:tc>
          <w:tcPr>
            <w:tcW w:w="1049" w:type="dxa"/>
            <w:shd w:val="clear" w:color="auto" w:fill="F7FAFC"/>
            <w:tcMar>
              <w:top w:w="22" w:type="dxa"/>
              <w:left w:w="24" w:type="dxa"/>
              <w:bottom w:w="22" w:type="dxa"/>
              <w:right w:w="24" w:type="dxa"/>
            </w:tcMar>
          </w:tcPr>
          <w:p w14:paraId="57029E3E"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Equileap</w:t>
            </w:r>
            <w:proofErr w:type="spellEnd"/>
            <w:r w:rsidRPr="007E140B">
              <w:rPr>
                <w:rFonts w:cs="Arial"/>
                <w:color w:val="auto"/>
                <w:sz w:val="15"/>
              </w:rPr>
              <w:t xml:space="preserve"> (independent benchmark report)</w:t>
            </w:r>
          </w:p>
        </w:tc>
        <w:tc>
          <w:tcPr>
            <w:tcW w:w="905" w:type="dxa"/>
            <w:shd w:val="clear" w:color="auto" w:fill="F7FAFC"/>
            <w:tcMar>
              <w:top w:w="22" w:type="dxa"/>
              <w:left w:w="24" w:type="dxa"/>
              <w:bottom w:w="22" w:type="dxa"/>
              <w:right w:w="24" w:type="dxa"/>
            </w:tcMar>
          </w:tcPr>
          <w:p w14:paraId="1A7D90F5"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Equileap</w:t>
            </w:r>
            <w:proofErr w:type="spellEnd"/>
          </w:p>
        </w:tc>
        <w:tc>
          <w:tcPr>
            <w:tcW w:w="648" w:type="dxa"/>
            <w:shd w:val="clear" w:color="auto" w:fill="F7FAFC"/>
            <w:tcMar>
              <w:top w:w="22" w:type="dxa"/>
              <w:left w:w="24" w:type="dxa"/>
              <w:bottom w:w="22" w:type="dxa"/>
              <w:right w:w="24" w:type="dxa"/>
            </w:tcMar>
            <w:vAlign w:val="center"/>
          </w:tcPr>
          <w:p w14:paraId="5E2ED813"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F7FAFC"/>
            <w:tcMar>
              <w:top w:w="22" w:type="dxa"/>
              <w:left w:w="24" w:type="dxa"/>
              <w:bottom w:w="22" w:type="dxa"/>
              <w:right w:w="24" w:type="dxa"/>
            </w:tcMar>
          </w:tcPr>
          <w:p w14:paraId="46243F46" w14:textId="77777777" w:rsidR="004D7A10" w:rsidRPr="007E140B" w:rsidRDefault="004D7A10" w:rsidP="0026770E">
            <w:pPr>
              <w:spacing w:after="0" w:line="240" w:lineRule="auto"/>
              <w:rPr>
                <w:rFonts w:cs="Arial"/>
                <w:color w:val="auto"/>
              </w:rPr>
            </w:pPr>
            <w:r w:rsidRPr="007E140B">
              <w:rPr>
                <w:rFonts w:cs="Arial"/>
                <w:color w:val="auto"/>
                <w:sz w:val="15"/>
              </w:rPr>
              <w:t>To assess and compare workplace gender equality among large companies in developed markets using a consistent gender-equality scorecard.</w:t>
            </w:r>
          </w:p>
        </w:tc>
        <w:tc>
          <w:tcPr>
            <w:tcW w:w="1375" w:type="dxa"/>
            <w:shd w:val="clear" w:color="auto" w:fill="F7FAFC"/>
            <w:tcMar>
              <w:top w:w="22" w:type="dxa"/>
              <w:left w:w="24" w:type="dxa"/>
              <w:bottom w:w="22" w:type="dxa"/>
              <w:right w:w="24" w:type="dxa"/>
            </w:tcMar>
          </w:tcPr>
          <w:p w14:paraId="779C2942" w14:textId="77777777" w:rsidR="004D7A10" w:rsidRPr="007E140B" w:rsidRDefault="004D7A10" w:rsidP="0026770E">
            <w:pPr>
              <w:spacing w:after="0" w:line="240" w:lineRule="auto"/>
              <w:rPr>
                <w:rFonts w:cs="Arial"/>
                <w:color w:val="auto"/>
              </w:rPr>
            </w:pPr>
            <w:r w:rsidRPr="007E140B">
              <w:rPr>
                <w:rFonts w:cs="Arial"/>
                <w:color w:val="auto"/>
                <w:sz w:val="15"/>
              </w:rPr>
              <w:t>Score companies across leadership/workforce representation, pay and work-life balance, policies and transparency; identify leading firms, countries and sectors.</w:t>
            </w:r>
          </w:p>
        </w:tc>
        <w:tc>
          <w:tcPr>
            <w:tcW w:w="1086" w:type="dxa"/>
            <w:shd w:val="clear" w:color="auto" w:fill="F7FAFC"/>
            <w:tcMar>
              <w:top w:w="22" w:type="dxa"/>
              <w:left w:w="24" w:type="dxa"/>
              <w:bottom w:w="22" w:type="dxa"/>
              <w:right w:w="24" w:type="dxa"/>
            </w:tcMar>
          </w:tcPr>
          <w:p w14:paraId="3CE7B819" w14:textId="77777777" w:rsidR="004D7A10" w:rsidRPr="007E140B" w:rsidRDefault="004D7A10" w:rsidP="0026770E">
            <w:pPr>
              <w:spacing w:after="0" w:line="240" w:lineRule="auto"/>
              <w:rPr>
                <w:rFonts w:cs="Arial"/>
                <w:color w:val="auto"/>
              </w:rPr>
            </w:pPr>
            <w:r w:rsidRPr="007E140B">
              <w:rPr>
                <w:rFonts w:cs="Arial"/>
                <w:color w:val="auto"/>
                <w:sz w:val="15"/>
              </w:rPr>
              <w:t>How do major developed-market companies compare on measurable gender-equality practices and outcomes?</w:t>
            </w:r>
          </w:p>
        </w:tc>
        <w:tc>
          <w:tcPr>
            <w:tcW w:w="1122" w:type="dxa"/>
            <w:shd w:val="clear" w:color="auto" w:fill="F7FAFC"/>
            <w:tcMar>
              <w:top w:w="22" w:type="dxa"/>
              <w:left w:w="24" w:type="dxa"/>
              <w:bottom w:w="22" w:type="dxa"/>
              <w:right w:w="24" w:type="dxa"/>
            </w:tcMar>
          </w:tcPr>
          <w:p w14:paraId="208E58F2" w14:textId="77777777" w:rsidR="004D7A10" w:rsidRPr="007E140B" w:rsidRDefault="004D7A10" w:rsidP="0026770E">
            <w:pPr>
              <w:spacing w:after="0" w:line="240" w:lineRule="auto"/>
              <w:rPr>
                <w:rFonts w:cs="Arial"/>
                <w:color w:val="auto"/>
              </w:rPr>
            </w:pPr>
            <w:r w:rsidRPr="007E140B">
              <w:rPr>
                <w:rFonts w:cs="Arial"/>
                <w:color w:val="auto"/>
                <w:sz w:val="15"/>
              </w:rPr>
              <w:t xml:space="preserve">Independent benchmark using the </w:t>
            </w:r>
            <w:proofErr w:type="spellStart"/>
            <w:r w:rsidRPr="007E140B">
              <w:rPr>
                <w:rFonts w:cs="Arial"/>
                <w:color w:val="auto"/>
                <w:sz w:val="15"/>
              </w:rPr>
              <w:t>Equileap</w:t>
            </w:r>
            <w:proofErr w:type="spellEnd"/>
            <w:r w:rsidRPr="007E140B">
              <w:rPr>
                <w:rFonts w:cs="Arial"/>
                <w:color w:val="auto"/>
                <w:sz w:val="15"/>
              </w:rPr>
              <w:t xml:space="preserve"> Gender Equality Scorecard, inspired by UN Women’s Empowerment Principles, with weighted indicators across leadership, compensation/work-life balance and policies. The 2024 edition covers thousands of developed-market companies.</w:t>
            </w:r>
          </w:p>
        </w:tc>
        <w:tc>
          <w:tcPr>
            <w:tcW w:w="1556" w:type="dxa"/>
            <w:shd w:val="clear" w:color="auto" w:fill="F7FAFC"/>
            <w:tcMar>
              <w:top w:w="22" w:type="dxa"/>
              <w:left w:w="24" w:type="dxa"/>
              <w:bottom w:w="22" w:type="dxa"/>
              <w:right w:w="24" w:type="dxa"/>
            </w:tcMar>
          </w:tcPr>
          <w:p w14:paraId="0FF708CB" w14:textId="77777777" w:rsidR="004D7A10" w:rsidRPr="007E140B" w:rsidRDefault="004D7A10" w:rsidP="0026770E">
            <w:pPr>
              <w:spacing w:after="0" w:line="240" w:lineRule="auto"/>
              <w:rPr>
                <w:rFonts w:cs="Arial"/>
                <w:color w:val="auto"/>
              </w:rPr>
            </w:pPr>
            <w:r w:rsidRPr="007E140B">
              <w:rPr>
                <w:rFonts w:cs="Arial"/>
                <w:color w:val="auto"/>
                <w:sz w:val="15"/>
              </w:rPr>
              <w:t xml:space="preserve">The benchmark documents persistent leadership and pay gaps and ranks companies/countries on issue-specific gender equality. Only a small share of firms </w:t>
            </w:r>
            <w:proofErr w:type="gramStart"/>
            <w:r w:rsidRPr="007E140B">
              <w:rPr>
                <w:rFonts w:cs="Arial"/>
                <w:color w:val="auto"/>
                <w:sz w:val="15"/>
              </w:rPr>
              <w:t>achieve</w:t>
            </w:r>
            <w:proofErr w:type="gramEnd"/>
            <w:r w:rsidRPr="007E140B">
              <w:rPr>
                <w:rFonts w:cs="Arial"/>
                <w:color w:val="auto"/>
                <w:sz w:val="15"/>
              </w:rPr>
              <w:t xml:space="preserve"> balanced representation across all </w:t>
            </w:r>
            <w:proofErr w:type="spellStart"/>
            <w:r w:rsidRPr="007E140B">
              <w:rPr>
                <w:rFonts w:cs="Arial"/>
                <w:color w:val="auto"/>
                <w:sz w:val="15"/>
              </w:rPr>
              <w:t>organisational</w:t>
            </w:r>
            <w:proofErr w:type="spellEnd"/>
            <w:r w:rsidRPr="007E140B">
              <w:rPr>
                <w:rFonts w:cs="Arial"/>
                <w:color w:val="auto"/>
                <w:sz w:val="15"/>
              </w:rPr>
              <w:t xml:space="preserve"> levels.</w:t>
            </w:r>
          </w:p>
        </w:tc>
        <w:tc>
          <w:tcPr>
            <w:tcW w:w="1665" w:type="dxa"/>
            <w:shd w:val="clear" w:color="auto" w:fill="F7FAFC"/>
            <w:tcMar>
              <w:top w:w="22" w:type="dxa"/>
              <w:left w:w="24" w:type="dxa"/>
              <w:bottom w:w="22" w:type="dxa"/>
              <w:right w:w="24" w:type="dxa"/>
            </w:tcMar>
          </w:tcPr>
          <w:p w14:paraId="13191529"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Equileap</w:t>
            </w:r>
            <w:proofErr w:type="spellEnd"/>
            <w:r w:rsidRPr="007E140B">
              <w:rPr>
                <w:rFonts w:cs="Arial"/>
                <w:color w:val="auto"/>
                <w:sz w:val="15"/>
              </w:rPr>
              <w:t xml:space="preserve"> provides an external, method-disclosed comparison of corporate gender-equality performance rather than relying on company narrative alone.</w:t>
            </w:r>
          </w:p>
        </w:tc>
        <w:tc>
          <w:tcPr>
            <w:tcW w:w="1303" w:type="dxa"/>
            <w:shd w:val="clear" w:color="auto" w:fill="F7FAFC"/>
            <w:tcMar>
              <w:top w:w="22" w:type="dxa"/>
              <w:left w:w="24" w:type="dxa"/>
              <w:bottom w:w="22" w:type="dxa"/>
              <w:right w:w="24" w:type="dxa"/>
            </w:tcMar>
          </w:tcPr>
          <w:p w14:paraId="444D8F53" w14:textId="77777777" w:rsidR="004D7A10" w:rsidRPr="007E140B" w:rsidRDefault="004D7A10" w:rsidP="0026770E">
            <w:pPr>
              <w:spacing w:after="0" w:line="240" w:lineRule="auto"/>
              <w:rPr>
                <w:rFonts w:cs="Arial"/>
                <w:color w:val="auto"/>
              </w:rPr>
            </w:pPr>
            <w:r w:rsidRPr="007E140B">
              <w:rPr>
                <w:rFonts w:cs="Arial"/>
                <w:color w:val="auto"/>
                <w:sz w:val="15"/>
              </w:rPr>
              <w:t>In the dissertation it is appropriately used as an independent, issue-specific signal for Diageo—not as a complete corporate-reputation measure. It strengthens triangulation while preserving construct boundaries.</w:t>
            </w:r>
          </w:p>
        </w:tc>
        <w:tc>
          <w:tcPr>
            <w:tcW w:w="1230" w:type="dxa"/>
            <w:shd w:val="clear" w:color="auto" w:fill="F7FAFC"/>
            <w:tcMar>
              <w:top w:w="22" w:type="dxa"/>
              <w:left w:w="24" w:type="dxa"/>
              <w:bottom w:w="22" w:type="dxa"/>
              <w:right w:w="24" w:type="dxa"/>
            </w:tcMar>
          </w:tcPr>
          <w:p w14:paraId="6E803D4A" w14:textId="77777777" w:rsidR="004D7A10" w:rsidRPr="007E140B" w:rsidRDefault="00CC58FE" w:rsidP="0026770E">
            <w:pPr>
              <w:spacing w:after="0" w:line="240" w:lineRule="auto"/>
              <w:rPr>
                <w:rFonts w:cs="Arial"/>
                <w:color w:val="auto"/>
              </w:rPr>
            </w:pPr>
            <w:hyperlink r:id="rId83">
              <w:r w:rsidR="004D7A10" w:rsidRPr="007E140B">
                <w:rPr>
                  <w:rFonts w:cs="Arial"/>
                  <w:color w:val="auto"/>
                  <w:sz w:val="13"/>
                  <w:szCs w:val="13"/>
                </w:rPr>
                <w:t>https://equileap.com/wp-content/uploads/2024/02/Equileap_2024_Gender_Equality_Report_Developed_Markets.pdf</w:t>
              </w:r>
            </w:hyperlink>
          </w:p>
        </w:tc>
      </w:tr>
      <w:tr w:rsidR="007E140B" w:rsidRPr="007E140B" w14:paraId="7E7FBFFA" w14:textId="77777777" w:rsidTr="0026770E">
        <w:trPr>
          <w:cantSplit/>
          <w:jc w:val="center"/>
        </w:trPr>
        <w:tc>
          <w:tcPr>
            <w:tcW w:w="504" w:type="dxa"/>
            <w:shd w:val="clear" w:color="auto" w:fill="EAF1F7"/>
            <w:tcMar>
              <w:top w:w="22" w:type="dxa"/>
              <w:left w:w="24" w:type="dxa"/>
              <w:bottom w:w="22" w:type="dxa"/>
              <w:right w:w="24" w:type="dxa"/>
            </w:tcMar>
            <w:vAlign w:val="center"/>
          </w:tcPr>
          <w:p w14:paraId="76279E03" w14:textId="77777777" w:rsidR="004D7A10" w:rsidRPr="007E140B" w:rsidRDefault="004D7A10" w:rsidP="0026770E">
            <w:pPr>
              <w:spacing w:after="0" w:line="240" w:lineRule="auto"/>
              <w:jc w:val="center"/>
              <w:rPr>
                <w:rFonts w:cs="Arial"/>
                <w:color w:val="auto"/>
              </w:rPr>
            </w:pPr>
            <w:r w:rsidRPr="007E140B">
              <w:rPr>
                <w:rFonts w:cs="Arial"/>
                <w:b/>
                <w:color w:val="auto"/>
                <w:sz w:val="15"/>
              </w:rPr>
              <w:t>28</w:t>
            </w:r>
          </w:p>
        </w:tc>
        <w:tc>
          <w:tcPr>
            <w:tcW w:w="1447" w:type="dxa"/>
            <w:shd w:val="clear" w:color="auto" w:fill="EAF1F7"/>
            <w:tcMar>
              <w:top w:w="22" w:type="dxa"/>
              <w:left w:w="24" w:type="dxa"/>
              <w:bottom w:w="22" w:type="dxa"/>
              <w:right w:w="24" w:type="dxa"/>
            </w:tcMar>
          </w:tcPr>
          <w:p w14:paraId="68E5DD1D" w14:textId="77777777" w:rsidR="004D7A10" w:rsidRPr="007E140B" w:rsidRDefault="004D7A10" w:rsidP="0026770E">
            <w:pPr>
              <w:spacing w:after="0" w:line="240" w:lineRule="auto"/>
              <w:rPr>
                <w:rFonts w:cs="Arial"/>
                <w:color w:val="auto"/>
              </w:rPr>
            </w:pPr>
            <w:r w:rsidRPr="007E140B">
              <w:rPr>
                <w:rFonts w:cs="Arial"/>
                <w:b/>
                <w:color w:val="auto"/>
                <w:sz w:val="15"/>
              </w:rPr>
              <w:t>2023 Apparel &amp; Footwear Benchmark Findings Report</w:t>
            </w:r>
          </w:p>
        </w:tc>
        <w:tc>
          <w:tcPr>
            <w:tcW w:w="1049" w:type="dxa"/>
            <w:shd w:val="clear" w:color="auto" w:fill="EAF1F7"/>
            <w:tcMar>
              <w:top w:w="22" w:type="dxa"/>
              <w:left w:w="24" w:type="dxa"/>
              <w:bottom w:w="22" w:type="dxa"/>
              <w:right w:w="24" w:type="dxa"/>
            </w:tcMar>
          </w:tcPr>
          <w:p w14:paraId="55607D79"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KnowTheChain</w:t>
            </w:r>
            <w:proofErr w:type="spellEnd"/>
            <w:r w:rsidRPr="007E140B">
              <w:rPr>
                <w:rFonts w:cs="Arial"/>
                <w:color w:val="auto"/>
                <w:sz w:val="15"/>
              </w:rPr>
              <w:t xml:space="preserve"> (benchmark research report)</w:t>
            </w:r>
          </w:p>
        </w:tc>
        <w:tc>
          <w:tcPr>
            <w:tcW w:w="905" w:type="dxa"/>
            <w:shd w:val="clear" w:color="auto" w:fill="EAF1F7"/>
            <w:tcMar>
              <w:top w:w="22" w:type="dxa"/>
              <w:left w:w="24" w:type="dxa"/>
              <w:bottom w:w="22" w:type="dxa"/>
              <w:right w:w="24" w:type="dxa"/>
            </w:tcMar>
          </w:tcPr>
          <w:p w14:paraId="71BA5FEC"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KnowTheChain</w:t>
            </w:r>
            <w:proofErr w:type="spellEnd"/>
          </w:p>
        </w:tc>
        <w:tc>
          <w:tcPr>
            <w:tcW w:w="648" w:type="dxa"/>
            <w:shd w:val="clear" w:color="auto" w:fill="EAF1F7"/>
            <w:tcMar>
              <w:top w:w="22" w:type="dxa"/>
              <w:left w:w="24" w:type="dxa"/>
              <w:bottom w:w="22" w:type="dxa"/>
              <w:right w:w="24" w:type="dxa"/>
            </w:tcMar>
            <w:vAlign w:val="center"/>
          </w:tcPr>
          <w:p w14:paraId="15FEE031"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6DEB6A3A" w14:textId="77777777" w:rsidR="004D7A10" w:rsidRPr="007E140B" w:rsidRDefault="004D7A10" w:rsidP="0026770E">
            <w:pPr>
              <w:spacing w:after="0" w:line="240" w:lineRule="auto"/>
              <w:rPr>
                <w:rFonts w:cs="Arial"/>
                <w:color w:val="auto"/>
              </w:rPr>
            </w:pPr>
            <w:r w:rsidRPr="007E140B">
              <w:rPr>
                <w:rFonts w:cs="Arial"/>
                <w:color w:val="auto"/>
                <w:sz w:val="15"/>
              </w:rPr>
              <w:t>To benchmark apparel and footwear companies’ publicly disclosed efforts to address forced-</w:t>
            </w:r>
            <w:proofErr w:type="spellStart"/>
            <w:r w:rsidRPr="007E140B">
              <w:rPr>
                <w:rFonts w:cs="Arial"/>
                <w:color w:val="auto"/>
                <w:sz w:val="15"/>
              </w:rPr>
              <w:t>labour</w:t>
            </w:r>
            <w:proofErr w:type="spellEnd"/>
            <w:r w:rsidRPr="007E140B">
              <w:rPr>
                <w:rFonts w:cs="Arial"/>
                <w:color w:val="auto"/>
                <w:sz w:val="15"/>
              </w:rPr>
              <w:t xml:space="preserve"> risks in upstream supply chains.</w:t>
            </w:r>
          </w:p>
        </w:tc>
        <w:tc>
          <w:tcPr>
            <w:tcW w:w="1375" w:type="dxa"/>
            <w:shd w:val="clear" w:color="auto" w:fill="EAF1F7"/>
            <w:tcMar>
              <w:top w:w="22" w:type="dxa"/>
              <w:left w:w="24" w:type="dxa"/>
              <w:bottom w:w="22" w:type="dxa"/>
              <w:right w:w="24" w:type="dxa"/>
            </w:tcMar>
          </w:tcPr>
          <w:p w14:paraId="7B571646" w14:textId="77777777" w:rsidR="004D7A10" w:rsidRPr="007E140B" w:rsidRDefault="004D7A10" w:rsidP="0026770E">
            <w:pPr>
              <w:spacing w:after="0" w:line="240" w:lineRule="auto"/>
              <w:rPr>
                <w:rFonts w:cs="Arial"/>
                <w:color w:val="auto"/>
              </w:rPr>
            </w:pPr>
            <w:r w:rsidRPr="007E140B">
              <w:rPr>
                <w:rFonts w:cs="Arial"/>
                <w:color w:val="auto"/>
                <w:sz w:val="15"/>
              </w:rPr>
              <w:t xml:space="preserve">Assess policy commitments, due diligence and remedy; compare companies using a transparent methodology grounded in UN Guiding Principles and ILO </w:t>
            </w:r>
            <w:proofErr w:type="spellStart"/>
            <w:r w:rsidRPr="007E140B">
              <w:rPr>
                <w:rFonts w:cs="Arial"/>
                <w:color w:val="auto"/>
                <w:sz w:val="15"/>
              </w:rPr>
              <w:t>labour</w:t>
            </w:r>
            <w:proofErr w:type="spellEnd"/>
            <w:r w:rsidRPr="007E140B">
              <w:rPr>
                <w:rFonts w:cs="Arial"/>
                <w:color w:val="auto"/>
                <w:sz w:val="15"/>
              </w:rPr>
              <w:t xml:space="preserve"> standards; identify sector gaps and good practice.</w:t>
            </w:r>
          </w:p>
        </w:tc>
        <w:tc>
          <w:tcPr>
            <w:tcW w:w="1086" w:type="dxa"/>
            <w:shd w:val="clear" w:color="auto" w:fill="EAF1F7"/>
            <w:tcMar>
              <w:top w:w="22" w:type="dxa"/>
              <w:left w:w="24" w:type="dxa"/>
              <w:bottom w:w="22" w:type="dxa"/>
              <w:right w:w="24" w:type="dxa"/>
            </w:tcMar>
          </w:tcPr>
          <w:p w14:paraId="56FE6826" w14:textId="77777777" w:rsidR="004D7A10" w:rsidRPr="007E140B" w:rsidRDefault="004D7A10" w:rsidP="0026770E">
            <w:pPr>
              <w:spacing w:after="0" w:line="240" w:lineRule="auto"/>
              <w:rPr>
                <w:rFonts w:cs="Arial"/>
                <w:color w:val="auto"/>
              </w:rPr>
            </w:pPr>
            <w:r w:rsidRPr="007E140B">
              <w:rPr>
                <w:rFonts w:cs="Arial"/>
                <w:color w:val="auto"/>
                <w:sz w:val="15"/>
              </w:rPr>
              <w:t xml:space="preserve">How effectively do major apparel and footwear companies publicly demonstrate systems to prevent and address forced </w:t>
            </w:r>
            <w:proofErr w:type="spellStart"/>
            <w:r w:rsidRPr="007E140B">
              <w:rPr>
                <w:rFonts w:cs="Arial"/>
                <w:color w:val="auto"/>
                <w:sz w:val="15"/>
              </w:rPr>
              <w:t>labour</w:t>
            </w:r>
            <w:proofErr w:type="spellEnd"/>
            <w:r w:rsidRPr="007E140B">
              <w:rPr>
                <w:rFonts w:cs="Arial"/>
                <w:color w:val="auto"/>
                <w:sz w:val="15"/>
              </w:rPr>
              <w:t xml:space="preserve"> in their supply chains?</w:t>
            </w:r>
          </w:p>
        </w:tc>
        <w:tc>
          <w:tcPr>
            <w:tcW w:w="1122" w:type="dxa"/>
            <w:shd w:val="clear" w:color="auto" w:fill="EAF1F7"/>
            <w:tcMar>
              <w:top w:w="22" w:type="dxa"/>
              <w:left w:w="24" w:type="dxa"/>
              <w:bottom w:w="22" w:type="dxa"/>
              <w:right w:w="24" w:type="dxa"/>
            </w:tcMar>
          </w:tcPr>
          <w:p w14:paraId="78EE6938" w14:textId="77777777" w:rsidR="004D7A10" w:rsidRPr="007E140B" w:rsidRDefault="004D7A10" w:rsidP="0026770E">
            <w:pPr>
              <w:spacing w:after="0" w:line="240" w:lineRule="auto"/>
              <w:rPr>
                <w:rFonts w:cs="Arial"/>
                <w:color w:val="auto"/>
              </w:rPr>
            </w:pPr>
            <w:r w:rsidRPr="007E140B">
              <w:rPr>
                <w:rFonts w:cs="Arial"/>
                <w:color w:val="auto"/>
                <w:sz w:val="15"/>
              </w:rPr>
              <w:t xml:space="preserve">Benchmark analysis of English-language public disclosures against a structured methodology based on UNGPs, ILO core </w:t>
            </w:r>
            <w:proofErr w:type="spellStart"/>
            <w:r w:rsidRPr="007E140B">
              <w:rPr>
                <w:rFonts w:cs="Arial"/>
                <w:color w:val="auto"/>
                <w:sz w:val="15"/>
              </w:rPr>
              <w:t>labour</w:t>
            </w:r>
            <w:proofErr w:type="spellEnd"/>
            <w:r w:rsidRPr="007E140B">
              <w:rPr>
                <w:rFonts w:cs="Arial"/>
                <w:color w:val="auto"/>
                <w:sz w:val="15"/>
              </w:rPr>
              <w:t xml:space="preserve"> standards and related due-diligence frameworks.</w:t>
            </w:r>
          </w:p>
        </w:tc>
        <w:tc>
          <w:tcPr>
            <w:tcW w:w="1556" w:type="dxa"/>
            <w:shd w:val="clear" w:color="auto" w:fill="EAF1F7"/>
            <w:tcMar>
              <w:top w:w="22" w:type="dxa"/>
              <w:left w:w="24" w:type="dxa"/>
              <w:bottom w:w="22" w:type="dxa"/>
              <w:right w:w="24" w:type="dxa"/>
            </w:tcMar>
          </w:tcPr>
          <w:p w14:paraId="6D478D5D" w14:textId="77777777" w:rsidR="004D7A10" w:rsidRPr="007E140B" w:rsidRDefault="004D7A10" w:rsidP="0026770E">
            <w:pPr>
              <w:spacing w:after="0" w:line="240" w:lineRule="auto"/>
              <w:rPr>
                <w:rFonts w:cs="Arial"/>
                <w:color w:val="auto"/>
              </w:rPr>
            </w:pPr>
            <w:r w:rsidRPr="007E140B">
              <w:rPr>
                <w:rFonts w:cs="Arial"/>
                <w:color w:val="auto"/>
                <w:sz w:val="15"/>
              </w:rPr>
              <w:t>The benchmark identifies substantial variation and continuing gaps in forced-</w:t>
            </w:r>
            <w:proofErr w:type="spellStart"/>
            <w:r w:rsidRPr="007E140B">
              <w:rPr>
                <w:rFonts w:cs="Arial"/>
                <w:color w:val="auto"/>
                <w:sz w:val="15"/>
              </w:rPr>
              <w:t>labour</w:t>
            </w:r>
            <w:proofErr w:type="spellEnd"/>
            <w:r w:rsidRPr="007E140B">
              <w:rPr>
                <w:rFonts w:cs="Arial"/>
                <w:color w:val="auto"/>
                <w:sz w:val="15"/>
              </w:rPr>
              <w:t xml:space="preserve"> risk management, worker-</w:t>
            </w:r>
            <w:proofErr w:type="spellStart"/>
            <w:r w:rsidRPr="007E140B">
              <w:rPr>
                <w:rFonts w:cs="Arial"/>
                <w:color w:val="auto"/>
                <w:sz w:val="15"/>
              </w:rPr>
              <w:t>centred</w:t>
            </w:r>
            <w:proofErr w:type="spellEnd"/>
            <w:r w:rsidRPr="007E140B">
              <w:rPr>
                <w:rFonts w:cs="Arial"/>
                <w:color w:val="auto"/>
                <w:sz w:val="15"/>
              </w:rPr>
              <w:t xml:space="preserve"> due diligence and remedy across the sector.</w:t>
            </w:r>
          </w:p>
        </w:tc>
        <w:tc>
          <w:tcPr>
            <w:tcW w:w="1665" w:type="dxa"/>
            <w:shd w:val="clear" w:color="auto" w:fill="EAF1F7"/>
            <w:tcMar>
              <w:top w:w="22" w:type="dxa"/>
              <w:left w:w="24" w:type="dxa"/>
              <w:bottom w:w="22" w:type="dxa"/>
              <w:right w:w="24" w:type="dxa"/>
            </w:tcMar>
          </w:tcPr>
          <w:p w14:paraId="6D072B15" w14:textId="77777777" w:rsidR="004D7A10" w:rsidRPr="007E140B" w:rsidRDefault="004D7A10" w:rsidP="0026770E">
            <w:pPr>
              <w:spacing w:after="0" w:line="240" w:lineRule="auto"/>
              <w:rPr>
                <w:rFonts w:cs="Arial"/>
                <w:color w:val="auto"/>
              </w:rPr>
            </w:pPr>
            <w:proofErr w:type="spellStart"/>
            <w:r w:rsidRPr="007E140B">
              <w:rPr>
                <w:rFonts w:cs="Arial"/>
                <w:color w:val="auto"/>
                <w:sz w:val="15"/>
              </w:rPr>
              <w:t>KnowTheChain</w:t>
            </w:r>
            <w:proofErr w:type="spellEnd"/>
            <w:r w:rsidRPr="007E140B">
              <w:rPr>
                <w:rFonts w:cs="Arial"/>
                <w:color w:val="auto"/>
                <w:sz w:val="15"/>
              </w:rPr>
              <w:t xml:space="preserve"> evaluates disclosed supply-chain forced-</w:t>
            </w:r>
            <w:proofErr w:type="spellStart"/>
            <w:r w:rsidRPr="007E140B">
              <w:rPr>
                <w:rFonts w:cs="Arial"/>
                <w:color w:val="auto"/>
                <w:sz w:val="15"/>
              </w:rPr>
              <w:t>labour</w:t>
            </w:r>
            <w:proofErr w:type="spellEnd"/>
            <w:r w:rsidRPr="007E140B">
              <w:rPr>
                <w:rFonts w:cs="Arial"/>
                <w:color w:val="auto"/>
                <w:sz w:val="15"/>
              </w:rPr>
              <w:t xml:space="preserve"> controls and practices, providing independent context for assessing corporate due-diligence systems.</w:t>
            </w:r>
          </w:p>
        </w:tc>
        <w:tc>
          <w:tcPr>
            <w:tcW w:w="1303" w:type="dxa"/>
            <w:shd w:val="clear" w:color="auto" w:fill="EAF1F7"/>
            <w:tcMar>
              <w:top w:w="22" w:type="dxa"/>
              <w:left w:w="24" w:type="dxa"/>
              <w:bottom w:w="22" w:type="dxa"/>
              <w:right w:w="24" w:type="dxa"/>
            </w:tcMar>
          </w:tcPr>
          <w:p w14:paraId="470CC009" w14:textId="77777777" w:rsidR="004D7A10" w:rsidRPr="007E140B" w:rsidRDefault="004D7A10" w:rsidP="0026770E">
            <w:pPr>
              <w:spacing w:after="0" w:line="240" w:lineRule="auto"/>
              <w:rPr>
                <w:rFonts w:cs="Arial"/>
                <w:color w:val="auto"/>
              </w:rPr>
            </w:pPr>
            <w:r w:rsidRPr="007E140B">
              <w:rPr>
                <w:rFonts w:cs="Arial"/>
                <w:color w:val="auto"/>
                <w:sz w:val="15"/>
              </w:rPr>
              <w:t>The dissertation uses this carefully as external forced-</w:t>
            </w:r>
            <w:proofErr w:type="spellStart"/>
            <w:r w:rsidRPr="007E140B">
              <w:rPr>
                <w:rFonts w:cs="Arial"/>
                <w:color w:val="auto"/>
                <w:sz w:val="15"/>
              </w:rPr>
              <w:t>labour</w:t>
            </w:r>
            <w:proofErr w:type="spellEnd"/>
            <w:r w:rsidRPr="007E140B">
              <w:rPr>
                <w:rFonts w:cs="Arial"/>
                <w:color w:val="auto"/>
                <w:sz w:val="15"/>
              </w:rPr>
              <w:t xml:space="preserve"> due-diligence context for Primark/ABF. It is not a child-</w:t>
            </w:r>
            <w:proofErr w:type="spellStart"/>
            <w:r w:rsidRPr="007E140B">
              <w:rPr>
                <w:rFonts w:cs="Arial"/>
                <w:color w:val="auto"/>
                <w:sz w:val="15"/>
              </w:rPr>
              <w:t>labour</w:t>
            </w:r>
            <w:proofErr w:type="spellEnd"/>
            <w:r w:rsidRPr="007E140B">
              <w:rPr>
                <w:rFonts w:cs="Arial"/>
                <w:color w:val="auto"/>
                <w:sz w:val="15"/>
              </w:rPr>
              <w:t>-only benchmark and should not be treated as a standalone verdict on overall reputation.</w:t>
            </w:r>
          </w:p>
        </w:tc>
        <w:tc>
          <w:tcPr>
            <w:tcW w:w="1230" w:type="dxa"/>
            <w:shd w:val="clear" w:color="auto" w:fill="EAF1F7"/>
            <w:tcMar>
              <w:top w:w="22" w:type="dxa"/>
              <w:left w:w="24" w:type="dxa"/>
              <w:bottom w:w="22" w:type="dxa"/>
              <w:right w:w="24" w:type="dxa"/>
            </w:tcMar>
          </w:tcPr>
          <w:p w14:paraId="4F2FF967" w14:textId="77777777" w:rsidR="004D7A10" w:rsidRPr="007E140B" w:rsidRDefault="00CC58FE" w:rsidP="0026770E">
            <w:pPr>
              <w:spacing w:after="0" w:line="240" w:lineRule="auto"/>
              <w:rPr>
                <w:rFonts w:cs="Arial"/>
                <w:color w:val="auto"/>
              </w:rPr>
            </w:pPr>
            <w:hyperlink r:id="rId84">
              <w:r w:rsidR="004D7A10" w:rsidRPr="007E140B">
                <w:rPr>
                  <w:rFonts w:cs="Arial"/>
                  <w:color w:val="auto"/>
                  <w:sz w:val="13"/>
                  <w:szCs w:val="13"/>
                </w:rPr>
                <w:t>https://www.business-humanrights.org/en/from-us/briefings/2023-knowthechain-apparel-footwear-benchmark/</w:t>
              </w:r>
            </w:hyperlink>
          </w:p>
        </w:tc>
      </w:tr>
      <w:tr w:rsidR="007E140B" w:rsidRPr="007E140B" w14:paraId="63CA6086" w14:textId="77777777" w:rsidTr="0026770E">
        <w:trPr>
          <w:cantSplit/>
          <w:jc w:val="center"/>
        </w:trPr>
        <w:tc>
          <w:tcPr>
            <w:tcW w:w="504" w:type="dxa"/>
            <w:shd w:val="clear" w:color="auto" w:fill="F7FAFC"/>
            <w:tcMar>
              <w:top w:w="22" w:type="dxa"/>
              <w:left w:w="24" w:type="dxa"/>
              <w:bottom w:w="22" w:type="dxa"/>
              <w:right w:w="24" w:type="dxa"/>
            </w:tcMar>
            <w:vAlign w:val="center"/>
          </w:tcPr>
          <w:p w14:paraId="05F4D8AE"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29</w:t>
            </w:r>
          </w:p>
        </w:tc>
        <w:tc>
          <w:tcPr>
            <w:tcW w:w="1447" w:type="dxa"/>
            <w:shd w:val="clear" w:color="auto" w:fill="F7FAFC"/>
            <w:tcMar>
              <w:top w:w="22" w:type="dxa"/>
              <w:left w:w="24" w:type="dxa"/>
              <w:bottom w:w="22" w:type="dxa"/>
              <w:right w:w="24" w:type="dxa"/>
            </w:tcMar>
          </w:tcPr>
          <w:p w14:paraId="1D292C42" w14:textId="77777777" w:rsidR="004D7A10" w:rsidRPr="007E140B" w:rsidRDefault="004D7A10" w:rsidP="0026770E">
            <w:pPr>
              <w:spacing w:after="0" w:line="240" w:lineRule="auto"/>
              <w:rPr>
                <w:rFonts w:cs="Arial"/>
                <w:color w:val="auto"/>
              </w:rPr>
            </w:pPr>
            <w:r w:rsidRPr="007E140B">
              <w:rPr>
                <w:rFonts w:cs="Arial"/>
                <w:b/>
                <w:color w:val="auto"/>
                <w:sz w:val="15"/>
              </w:rPr>
              <w:t>Consumers Care About Sustainability—and Back It Up with Their Wallets</w:t>
            </w:r>
          </w:p>
        </w:tc>
        <w:tc>
          <w:tcPr>
            <w:tcW w:w="1049" w:type="dxa"/>
            <w:shd w:val="clear" w:color="auto" w:fill="F7FAFC"/>
            <w:tcMar>
              <w:top w:w="22" w:type="dxa"/>
              <w:left w:w="24" w:type="dxa"/>
              <w:bottom w:w="22" w:type="dxa"/>
              <w:right w:w="24" w:type="dxa"/>
            </w:tcMar>
          </w:tcPr>
          <w:p w14:paraId="4F93976C" w14:textId="77777777" w:rsidR="004D7A10" w:rsidRPr="007E140B" w:rsidRDefault="004D7A10" w:rsidP="0026770E">
            <w:pPr>
              <w:spacing w:after="0" w:line="240" w:lineRule="auto"/>
              <w:rPr>
                <w:rFonts w:cs="Arial"/>
                <w:color w:val="auto"/>
              </w:rPr>
            </w:pPr>
            <w:r w:rsidRPr="007E140B">
              <w:rPr>
                <w:rFonts w:cs="Arial"/>
                <w:color w:val="auto"/>
                <w:sz w:val="15"/>
              </w:rPr>
              <w:t xml:space="preserve">McKinsey &amp; Company / </w:t>
            </w:r>
            <w:proofErr w:type="spellStart"/>
            <w:r w:rsidRPr="007E140B">
              <w:rPr>
                <w:rFonts w:cs="Arial"/>
                <w:color w:val="auto"/>
                <w:sz w:val="15"/>
              </w:rPr>
              <w:t>NielsenIQ</w:t>
            </w:r>
            <w:proofErr w:type="spellEnd"/>
            <w:r w:rsidRPr="007E140B">
              <w:rPr>
                <w:rFonts w:cs="Arial"/>
                <w:color w:val="auto"/>
                <w:sz w:val="15"/>
              </w:rPr>
              <w:t xml:space="preserve"> (observational consumer study)</w:t>
            </w:r>
          </w:p>
        </w:tc>
        <w:tc>
          <w:tcPr>
            <w:tcW w:w="905" w:type="dxa"/>
            <w:shd w:val="clear" w:color="auto" w:fill="F7FAFC"/>
            <w:tcMar>
              <w:top w:w="22" w:type="dxa"/>
              <w:left w:w="24" w:type="dxa"/>
              <w:bottom w:w="22" w:type="dxa"/>
              <w:right w:w="24" w:type="dxa"/>
            </w:tcMar>
          </w:tcPr>
          <w:p w14:paraId="6C24F3F5" w14:textId="77777777" w:rsidR="004D7A10" w:rsidRPr="007E140B" w:rsidRDefault="004D7A10" w:rsidP="0026770E">
            <w:pPr>
              <w:spacing w:after="0" w:line="240" w:lineRule="auto"/>
              <w:rPr>
                <w:rFonts w:cs="Arial"/>
                <w:color w:val="auto"/>
              </w:rPr>
            </w:pPr>
            <w:r w:rsidRPr="007E140B">
              <w:rPr>
                <w:rFonts w:cs="Arial"/>
                <w:color w:val="auto"/>
                <w:sz w:val="15"/>
              </w:rPr>
              <w:t>Frey, S.; Bar Am, J.; Doshi, V.; Malik, A.; Noble, S.</w:t>
            </w:r>
          </w:p>
        </w:tc>
        <w:tc>
          <w:tcPr>
            <w:tcW w:w="648" w:type="dxa"/>
            <w:shd w:val="clear" w:color="auto" w:fill="F7FAFC"/>
            <w:tcMar>
              <w:top w:w="22" w:type="dxa"/>
              <w:left w:w="24" w:type="dxa"/>
              <w:bottom w:w="22" w:type="dxa"/>
              <w:right w:w="24" w:type="dxa"/>
            </w:tcMar>
            <w:vAlign w:val="center"/>
          </w:tcPr>
          <w:p w14:paraId="60AFE328" w14:textId="77777777" w:rsidR="004D7A10" w:rsidRPr="007E140B" w:rsidRDefault="004D7A10" w:rsidP="0026770E">
            <w:pPr>
              <w:spacing w:after="0" w:line="240" w:lineRule="auto"/>
              <w:jc w:val="center"/>
              <w:rPr>
                <w:rFonts w:cs="Arial"/>
                <w:color w:val="auto"/>
              </w:rPr>
            </w:pPr>
            <w:r w:rsidRPr="007E140B">
              <w:rPr>
                <w:rFonts w:cs="Arial"/>
                <w:b/>
                <w:color w:val="auto"/>
                <w:sz w:val="15"/>
              </w:rPr>
              <w:t>2023</w:t>
            </w:r>
          </w:p>
        </w:tc>
        <w:tc>
          <w:tcPr>
            <w:tcW w:w="1230" w:type="dxa"/>
            <w:shd w:val="clear" w:color="auto" w:fill="F7FAFC"/>
            <w:tcMar>
              <w:top w:w="22" w:type="dxa"/>
              <w:left w:w="24" w:type="dxa"/>
              <w:bottom w:w="22" w:type="dxa"/>
              <w:right w:w="24" w:type="dxa"/>
            </w:tcMar>
          </w:tcPr>
          <w:p w14:paraId="56AA57C3" w14:textId="77777777" w:rsidR="004D7A10" w:rsidRPr="007E140B" w:rsidRDefault="004D7A10" w:rsidP="0026770E">
            <w:pPr>
              <w:spacing w:after="0" w:line="240" w:lineRule="auto"/>
              <w:rPr>
                <w:rFonts w:cs="Arial"/>
                <w:color w:val="auto"/>
              </w:rPr>
            </w:pPr>
            <w:r w:rsidRPr="007E140B">
              <w:rPr>
                <w:rFonts w:cs="Arial"/>
                <w:color w:val="auto"/>
                <w:sz w:val="15"/>
              </w:rPr>
              <w:t>To examine whether actual U.S. consumer spending differs between CPG products with and without environmental/social/ESG-related claims.</w:t>
            </w:r>
          </w:p>
        </w:tc>
        <w:tc>
          <w:tcPr>
            <w:tcW w:w="1375" w:type="dxa"/>
            <w:shd w:val="clear" w:color="auto" w:fill="F7FAFC"/>
            <w:tcMar>
              <w:top w:w="22" w:type="dxa"/>
              <w:left w:w="24" w:type="dxa"/>
              <w:bottom w:w="22" w:type="dxa"/>
              <w:right w:w="24" w:type="dxa"/>
            </w:tcMar>
          </w:tcPr>
          <w:p w14:paraId="5FF5B2B3" w14:textId="77777777" w:rsidR="004D7A10" w:rsidRPr="007E140B" w:rsidRDefault="004D7A10" w:rsidP="0026770E">
            <w:pPr>
              <w:spacing w:after="0" w:line="240" w:lineRule="auto"/>
              <w:rPr>
                <w:rFonts w:cs="Arial"/>
                <w:color w:val="auto"/>
              </w:rPr>
            </w:pPr>
            <w:r w:rsidRPr="007E140B">
              <w:rPr>
                <w:rFonts w:cs="Arial"/>
                <w:color w:val="auto"/>
                <w:sz w:val="15"/>
              </w:rPr>
              <w:t xml:space="preserve">Compare sales growth for claiming and non-claiming products; examine brand size, price tier, claim type and number of claims; supplement product data with household-panel purchasing </w:t>
            </w:r>
            <w:proofErr w:type="spellStart"/>
            <w:r w:rsidRPr="007E140B">
              <w:rPr>
                <w:rFonts w:cs="Arial"/>
                <w:color w:val="auto"/>
                <w:sz w:val="15"/>
              </w:rPr>
              <w:t>behaviour</w:t>
            </w:r>
            <w:proofErr w:type="spellEnd"/>
            <w:r w:rsidRPr="007E140B">
              <w:rPr>
                <w:rFonts w:cs="Arial"/>
                <w:color w:val="auto"/>
                <w:sz w:val="15"/>
              </w:rPr>
              <w:t>.</w:t>
            </w:r>
          </w:p>
        </w:tc>
        <w:tc>
          <w:tcPr>
            <w:tcW w:w="1086" w:type="dxa"/>
            <w:shd w:val="clear" w:color="auto" w:fill="F7FAFC"/>
            <w:tcMar>
              <w:top w:w="22" w:type="dxa"/>
              <w:left w:w="24" w:type="dxa"/>
              <w:bottom w:w="22" w:type="dxa"/>
              <w:right w:w="24" w:type="dxa"/>
            </w:tcMar>
          </w:tcPr>
          <w:p w14:paraId="6FD55537" w14:textId="77777777" w:rsidR="004D7A10" w:rsidRPr="007E140B" w:rsidRDefault="004D7A10" w:rsidP="0026770E">
            <w:pPr>
              <w:spacing w:after="0" w:line="240" w:lineRule="auto"/>
              <w:rPr>
                <w:rFonts w:cs="Arial"/>
                <w:color w:val="auto"/>
              </w:rPr>
            </w:pPr>
            <w:r w:rsidRPr="007E140B">
              <w:rPr>
                <w:rFonts w:cs="Arial"/>
                <w:color w:val="auto"/>
                <w:sz w:val="15"/>
              </w:rPr>
              <w:t>Are products carrying ESG-related claims associated with stronger actual sales growth, and how does the relationship vary by category, brand and claim characteristics?</w:t>
            </w:r>
          </w:p>
        </w:tc>
        <w:tc>
          <w:tcPr>
            <w:tcW w:w="1122" w:type="dxa"/>
            <w:shd w:val="clear" w:color="auto" w:fill="F7FAFC"/>
            <w:tcMar>
              <w:top w:w="22" w:type="dxa"/>
              <w:left w:w="24" w:type="dxa"/>
              <w:bottom w:w="22" w:type="dxa"/>
              <w:right w:w="24" w:type="dxa"/>
            </w:tcMar>
          </w:tcPr>
          <w:p w14:paraId="6633172A" w14:textId="77777777" w:rsidR="004D7A10" w:rsidRPr="007E140B" w:rsidRDefault="004D7A10" w:rsidP="0026770E">
            <w:pPr>
              <w:spacing w:after="0" w:line="240" w:lineRule="auto"/>
              <w:rPr>
                <w:rFonts w:cs="Arial"/>
                <w:color w:val="auto"/>
              </w:rPr>
            </w:pPr>
            <w:r w:rsidRPr="007E140B">
              <w:rPr>
                <w:rFonts w:cs="Arial"/>
                <w:color w:val="auto"/>
                <w:sz w:val="15"/>
              </w:rPr>
              <w:t>Observational analysis of five years of U.S. sales data (2017–June 2022): 600,000 SKUs, about $400bn annual retail revenue, 44,000 brands and 32 categories, plus a 100,000+ household panel. Controls include brand size, price tier and product age.</w:t>
            </w:r>
          </w:p>
        </w:tc>
        <w:tc>
          <w:tcPr>
            <w:tcW w:w="1556" w:type="dxa"/>
            <w:shd w:val="clear" w:color="auto" w:fill="F7FAFC"/>
            <w:tcMar>
              <w:top w:w="22" w:type="dxa"/>
              <w:left w:w="24" w:type="dxa"/>
              <w:bottom w:w="22" w:type="dxa"/>
              <w:right w:w="24" w:type="dxa"/>
            </w:tcMar>
          </w:tcPr>
          <w:p w14:paraId="510C8D95" w14:textId="77777777" w:rsidR="004D7A10" w:rsidRPr="007E140B" w:rsidRDefault="004D7A10" w:rsidP="0026770E">
            <w:pPr>
              <w:spacing w:after="0" w:line="240" w:lineRule="auto"/>
              <w:rPr>
                <w:rFonts w:cs="Arial"/>
                <w:color w:val="auto"/>
              </w:rPr>
            </w:pPr>
            <w:r w:rsidRPr="007E140B">
              <w:rPr>
                <w:rFonts w:cs="Arial"/>
                <w:color w:val="auto"/>
                <w:sz w:val="15"/>
              </w:rPr>
              <w:t>Products with ESG-related claims averaged 28% cumulative growth versus 20% for products without claims and had about a 1.7 percentage-point CAGR advantage. Effects vary substantially by category and claim type.</w:t>
            </w:r>
          </w:p>
        </w:tc>
        <w:tc>
          <w:tcPr>
            <w:tcW w:w="1665" w:type="dxa"/>
            <w:shd w:val="clear" w:color="auto" w:fill="F7FAFC"/>
            <w:tcMar>
              <w:top w:w="22" w:type="dxa"/>
              <w:left w:w="24" w:type="dxa"/>
              <w:bottom w:w="22" w:type="dxa"/>
              <w:right w:w="24" w:type="dxa"/>
            </w:tcMar>
          </w:tcPr>
          <w:p w14:paraId="69A07979" w14:textId="77777777" w:rsidR="004D7A10" w:rsidRPr="007E140B" w:rsidRDefault="004D7A10" w:rsidP="0026770E">
            <w:pPr>
              <w:spacing w:after="0" w:line="240" w:lineRule="auto"/>
              <w:rPr>
                <w:rFonts w:cs="Arial"/>
                <w:color w:val="auto"/>
              </w:rPr>
            </w:pPr>
            <w:r w:rsidRPr="007E140B">
              <w:rPr>
                <w:rFonts w:cs="Arial"/>
                <w:color w:val="auto"/>
                <w:sz w:val="15"/>
              </w:rPr>
              <w:t>The study finds a broad correlation between ESG-related product claims and stronger sales growth, but explicitly states that it does not establish causality or independently verify the claims.</w:t>
            </w:r>
          </w:p>
        </w:tc>
        <w:tc>
          <w:tcPr>
            <w:tcW w:w="1303" w:type="dxa"/>
            <w:shd w:val="clear" w:color="auto" w:fill="F7FAFC"/>
            <w:tcMar>
              <w:top w:w="22" w:type="dxa"/>
              <w:left w:w="24" w:type="dxa"/>
              <w:bottom w:w="22" w:type="dxa"/>
              <w:right w:w="24" w:type="dxa"/>
            </w:tcMar>
          </w:tcPr>
          <w:p w14:paraId="4C6109D2" w14:textId="77777777" w:rsidR="004D7A10" w:rsidRPr="007E140B" w:rsidRDefault="004D7A10" w:rsidP="0026770E">
            <w:pPr>
              <w:spacing w:after="0" w:line="240" w:lineRule="auto"/>
              <w:rPr>
                <w:rFonts w:cs="Arial"/>
                <w:color w:val="auto"/>
              </w:rPr>
            </w:pPr>
            <w:r w:rsidRPr="007E140B">
              <w:rPr>
                <w:rFonts w:cs="Arial"/>
                <w:color w:val="auto"/>
                <w:sz w:val="15"/>
              </w:rPr>
              <w:t>Highly relevant to the dissertation’s consumer-response discussion. Its limitations are crucial: U.S. context, observational design and unverified claims mean it supports a conditional demand mechanism, not a causal willingness-to-pay rule.</w:t>
            </w:r>
          </w:p>
        </w:tc>
        <w:tc>
          <w:tcPr>
            <w:tcW w:w="1230" w:type="dxa"/>
            <w:shd w:val="clear" w:color="auto" w:fill="F7FAFC"/>
            <w:tcMar>
              <w:top w:w="22" w:type="dxa"/>
              <w:left w:w="24" w:type="dxa"/>
              <w:bottom w:w="22" w:type="dxa"/>
              <w:right w:w="24" w:type="dxa"/>
            </w:tcMar>
          </w:tcPr>
          <w:p w14:paraId="41C2A896" w14:textId="77777777" w:rsidR="004D7A10" w:rsidRPr="007E140B" w:rsidRDefault="00CC58FE" w:rsidP="0026770E">
            <w:pPr>
              <w:spacing w:after="0" w:line="240" w:lineRule="auto"/>
              <w:rPr>
                <w:rFonts w:cs="Arial"/>
                <w:color w:val="auto"/>
              </w:rPr>
            </w:pPr>
            <w:hyperlink r:id="rId85">
              <w:r w:rsidR="004D7A10" w:rsidRPr="007E140B">
                <w:rPr>
                  <w:rFonts w:cs="Arial"/>
                  <w:color w:val="auto"/>
                  <w:sz w:val="13"/>
                  <w:szCs w:val="13"/>
                </w:rPr>
                <w:t>https://www.mckinsey.com/industries/consumer-packaged-goods/our-insights/consumers-care-about-sustainability-and-back-it-up-with-their-wallets</w:t>
              </w:r>
            </w:hyperlink>
          </w:p>
        </w:tc>
      </w:tr>
      <w:tr w:rsidR="007E140B" w:rsidRPr="007E140B" w14:paraId="7696B042" w14:textId="77777777" w:rsidTr="0026770E">
        <w:trPr>
          <w:cantSplit/>
          <w:jc w:val="center"/>
        </w:trPr>
        <w:tc>
          <w:tcPr>
            <w:tcW w:w="504" w:type="dxa"/>
            <w:shd w:val="clear" w:color="auto" w:fill="EAF1F7"/>
            <w:tcMar>
              <w:top w:w="22" w:type="dxa"/>
              <w:left w:w="24" w:type="dxa"/>
              <w:bottom w:w="22" w:type="dxa"/>
              <w:right w:w="24" w:type="dxa"/>
            </w:tcMar>
            <w:vAlign w:val="center"/>
          </w:tcPr>
          <w:p w14:paraId="65E5F34E" w14:textId="77777777" w:rsidR="004D7A10" w:rsidRPr="007E140B" w:rsidRDefault="004D7A10" w:rsidP="0026770E">
            <w:pPr>
              <w:spacing w:after="0" w:line="240" w:lineRule="auto"/>
              <w:jc w:val="center"/>
              <w:rPr>
                <w:rFonts w:cs="Arial"/>
                <w:color w:val="auto"/>
              </w:rPr>
            </w:pPr>
            <w:r w:rsidRPr="007E140B">
              <w:rPr>
                <w:rFonts w:cs="Arial"/>
                <w:b/>
                <w:color w:val="auto"/>
                <w:sz w:val="15"/>
              </w:rPr>
              <w:t>30</w:t>
            </w:r>
          </w:p>
        </w:tc>
        <w:tc>
          <w:tcPr>
            <w:tcW w:w="1447" w:type="dxa"/>
            <w:shd w:val="clear" w:color="auto" w:fill="EAF1F7"/>
            <w:tcMar>
              <w:top w:w="22" w:type="dxa"/>
              <w:left w:w="24" w:type="dxa"/>
              <w:bottom w:w="22" w:type="dxa"/>
              <w:right w:w="24" w:type="dxa"/>
            </w:tcMar>
          </w:tcPr>
          <w:p w14:paraId="41B3F67D" w14:textId="77777777" w:rsidR="004D7A10" w:rsidRPr="007E140B" w:rsidRDefault="004D7A10" w:rsidP="0026770E">
            <w:pPr>
              <w:spacing w:after="0" w:line="240" w:lineRule="auto"/>
              <w:rPr>
                <w:rFonts w:cs="Arial"/>
                <w:color w:val="auto"/>
              </w:rPr>
            </w:pPr>
            <w:r w:rsidRPr="007E140B">
              <w:rPr>
                <w:rFonts w:cs="Arial"/>
                <w:b/>
                <w:color w:val="auto"/>
                <w:sz w:val="15"/>
              </w:rPr>
              <w:t>Voice of the Consumer Survey 2024: Shrinking the Consumer Trust Deficit</w:t>
            </w:r>
          </w:p>
        </w:tc>
        <w:tc>
          <w:tcPr>
            <w:tcW w:w="1049" w:type="dxa"/>
            <w:shd w:val="clear" w:color="auto" w:fill="EAF1F7"/>
            <w:tcMar>
              <w:top w:w="22" w:type="dxa"/>
              <w:left w:w="24" w:type="dxa"/>
              <w:bottom w:w="22" w:type="dxa"/>
              <w:right w:w="24" w:type="dxa"/>
            </w:tcMar>
          </w:tcPr>
          <w:p w14:paraId="3003FC9E" w14:textId="77777777" w:rsidR="004D7A10" w:rsidRPr="007E140B" w:rsidRDefault="004D7A10" w:rsidP="0026770E">
            <w:pPr>
              <w:spacing w:after="0" w:line="240" w:lineRule="auto"/>
              <w:rPr>
                <w:rFonts w:cs="Arial"/>
                <w:color w:val="auto"/>
              </w:rPr>
            </w:pPr>
            <w:r w:rsidRPr="007E140B">
              <w:rPr>
                <w:rFonts w:cs="Arial"/>
                <w:color w:val="auto"/>
                <w:sz w:val="15"/>
              </w:rPr>
              <w:t>PwC (global consumer survey report)</w:t>
            </w:r>
          </w:p>
        </w:tc>
        <w:tc>
          <w:tcPr>
            <w:tcW w:w="905" w:type="dxa"/>
            <w:shd w:val="clear" w:color="auto" w:fill="EAF1F7"/>
            <w:tcMar>
              <w:top w:w="22" w:type="dxa"/>
              <w:left w:w="24" w:type="dxa"/>
              <w:bottom w:w="22" w:type="dxa"/>
              <w:right w:w="24" w:type="dxa"/>
            </w:tcMar>
          </w:tcPr>
          <w:p w14:paraId="23FEFFC2" w14:textId="77777777" w:rsidR="004D7A10" w:rsidRPr="007E140B" w:rsidRDefault="004D7A10" w:rsidP="0026770E">
            <w:pPr>
              <w:spacing w:after="0" w:line="240" w:lineRule="auto"/>
              <w:rPr>
                <w:rFonts w:cs="Arial"/>
                <w:color w:val="auto"/>
              </w:rPr>
            </w:pPr>
            <w:r w:rsidRPr="007E140B">
              <w:rPr>
                <w:rFonts w:cs="Arial"/>
                <w:color w:val="auto"/>
                <w:sz w:val="15"/>
              </w:rPr>
              <w:t>PwC</w:t>
            </w:r>
          </w:p>
        </w:tc>
        <w:tc>
          <w:tcPr>
            <w:tcW w:w="648" w:type="dxa"/>
            <w:shd w:val="clear" w:color="auto" w:fill="EAF1F7"/>
            <w:tcMar>
              <w:top w:w="22" w:type="dxa"/>
              <w:left w:w="24" w:type="dxa"/>
              <w:bottom w:w="22" w:type="dxa"/>
              <w:right w:w="24" w:type="dxa"/>
            </w:tcMar>
            <w:vAlign w:val="center"/>
          </w:tcPr>
          <w:p w14:paraId="08A67E76"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764E2531" w14:textId="77777777" w:rsidR="004D7A10" w:rsidRPr="007E140B" w:rsidRDefault="004D7A10" w:rsidP="0026770E">
            <w:pPr>
              <w:spacing w:after="0" w:line="240" w:lineRule="auto"/>
              <w:rPr>
                <w:rFonts w:cs="Arial"/>
                <w:color w:val="auto"/>
              </w:rPr>
            </w:pPr>
            <w:r w:rsidRPr="007E140B">
              <w:rPr>
                <w:rFonts w:cs="Arial"/>
                <w:color w:val="auto"/>
                <w:sz w:val="15"/>
              </w:rPr>
              <w:t xml:space="preserve">To understand changing consumer priorities, trust, sustainability preferences, cost pressures and digital purchasing </w:t>
            </w:r>
            <w:proofErr w:type="spellStart"/>
            <w:r w:rsidRPr="007E140B">
              <w:rPr>
                <w:rFonts w:cs="Arial"/>
                <w:color w:val="auto"/>
                <w:sz w:val="15"/>
              </w:rPr>
              <w:t>behaviour</w:t>
            </w:r>
            <w:proofErr w:type="spellEnd"/>
            <w:r w:rsidRPr="007E140B">
              <w:rPr>
                <w:rFonts w:cs="Arial"/>
                <w:color w:val="auto"/>
                <w:sz w:val="15"/>
              </w:rPr>
              <w:t xml:space="preserve"> across global markets.</w:t>
            </w:r>
          </w:p>
        </w:tc>
        <w:tc>
          <w:tcPr>
            <w:tcW w:w="1375" w:type="dxa"/>
            <w:shd w:val="clear" w:color="auto" w:fill="EAF1F7"/>
            <w:tcMar>
              <w:top w:w="22" w:type="dxa"/>
              <w:left w:w="24" w:type="dxa"/>
              <w:bottom w:w="22" w:type="dxa"/>
              <w:right w:w="24" w:type="dxa"/>
            </w:tcMar>
          </w:tcPr>
          <w:p w14:paraId="2EF5CF13" w14:textId="77777777" w:rsidR="004D7A10" w:rsidRPr="007E140B" w:rsidRDefault="004D7A10" w:rsidP="0026770E">
            <w:pPr>
              <w:spacing w:after="0" w:line="240" w:lineRule="auto"/>
              <w:rPr>
                <w:rFonts w:cs="Arial"/>
                <w:color w:val="auto"/>
              </w:rPr>
            </w:pPr>
            <w:r w:rsidRPr="007E140B">
              <w:rPr>
                <w:rFonts w:cs="Arial"/>
                <w:color w:val="auto"/>
                <w:sz w:val="15"/>
              </w:rPr>
              <w:t>Measure perceived cost-of-living pressure; quantify stated willingness to pay for sustainably produced/sourced goods; explore how consumers judge sustainability and trust companies/technology.</w:t>
            </w:r>
          </w:p>
        </w:tc>
        <w:tc>
          <w:tcPr>
            <w:tcW w:w="1086" w:type="dxa"/>
            <w:shd w:val="clear" w:color="auto" w:fill="EAF1F7"/>
            <w:tcMar>
              <w:top w:w="22" w:type="dxa"/>
              <w:left w:w="24" w:type="dxa"/>
              <w:bottom w:w="22" w:type="dxa"/>
              <w:right w:w="24" w:type="dxa"/>
            </w:tcMar>
          </w:tcPr>
          <w:p w14:paraId="2715D290" w14:textId="77777777" w:rsidR="004D7A10" w:rsidRPr="007E140B" w:rsidRDefault="004D7A10" w:rsidP="0026770E">
            <w:pPr>
              <w:spacing w:after="0" w:line="240" w:lineRule="auto"/>
              <w:rPr>
                <w:rFonts w:cs="Arial"/>
                <w:color w:val="auto"/>
              </w:rPr>
            </w:pPr>
            <w:r w:rsidRPr="007E140B">
              <w:rPr>
                <w:rFonts w:cs="Arial"/>
                <w:color w:val="auto"/>
                <w:sz w:val="15"/>
              </w:rPr>
              <w:t>How are sustainability, inflation, trust and digital channels shaping consumers’ stated preferences and purchasing intentions?</w:t>
            </w:r>
          </w:p>
        </w:tc>
        <w:tc>
          <w:tcPr>
            <w:tcW w:w="1122" w:type="dxa"/>
            <w:shd w:val="clear" w:color="auto" w:fill="EAF1F7"/>
            <w:tcMar>
              <w:top w:w="22" w:type="dxa"/>
              <w:left w:w="24" w:type="dxa"/>
              <w:bottom w:w="22" w:type="dxa"/>
              <w:right w:w="24" w:type="dxa"/>
            </w:tcMar>
          </w:tcPr>
          <w:p w14:paraId="0B3B9CCE" w14:textId="77777777" w:rsidR="004D7A10" w:rsidRPr="007E140B" w:rsidRDefault="004D7A10" w:rsidP="0026770E">
            <w:pPr>
              <w:spacing w:after="0" w:line="240" w:lineRule="auto"/>
              <w:rPr>
                <w:rFonts w:cs="Arial"/>
                <w:color w:val="auto"/>
              </w:rPr>
            </w:pPr>
            <w:r w:rsidRPr="007E140B">
              <w:rPr>
                <w:rFonts w:cs="Arial"/>
                <w:color w:val="auto"/>
                <w:sz w:val="15"/>
              </w:rPr>
              <w:t>Global consumer survey of more than 20,000 respondents across 31 countries and territories.</w:t>
            </w:r>
          </w:p>
        </w:tc>
        <w:tc>
          <w:tcPr>
            <w:tcW w:w="1556" w:type="dxa"/>
            <w:shd w:val="clear" w:color="auto" w:fill="EAF1F7"/>
            <w:tcMar>
              <w:top w:w="22" w:type="dxa"/>
              <w:left w:w="24" w:type="dxa"/>
              <w:bottom w:w="22" w:type="dxa"/>
              <w:right w:w="24" w:type="dxa"/>
            </w:tcMar>
          </w:tcPr>
          <w:p w14:paraId="08FB510C" w14:textId="77777777" w:rsidR="004D7A10" w:rsidRPr="007E140B" w:rsidRDefault="004D7A10" w:rsidP="0026770E">
            <w:pPr>
              <w:spacing w:after="0" w:line="240" w:lineRule="auto"/>
              <w:rPr>
                <w:rFonts w:cs="Arial"/>
                <w:color w:val="auto"/>
              </w:rPr>
            </w:pPr>
            <w:r w:rsidRPr="007E140B">
              <w:rPr>
                <w:rFonts w:cs="Arial"/>
                <w:color w:val="auto"/>
                <w:sz w:val="15"/>
              </w:rPr>
              <w:t>Many consumers state willingness to pay more for sustainably produced/sourced goods (average stated premium about 9.7%), while inflation and grocery costs remain major concerns. PwC cautions that stated willingness may not translate into actual spend.</w:t>
            </w:r>
          </w:p>
        </w:tc>
        <w:tc>
          <w:tcPr>
            <w:tcW w:w="1665" w:type="dxa"/>
            <w:shd w:val="clear" w:color="auto" w:fill="EAF1F7"/>
            <w:tcMar>
              <w:top w:w="22" w:type="dxa"/>
              <w:left w:w="24" w:type="dxa"/>
              <w:bottom w:w="22" w:type="dxa"/>
              <w:right w:w="24" w:type="dxa"/>
            </w:tcMar>
          </w:tcPr>
          <w:p w14:paraId="2C60F468" w14:textId="77777777" w:rsidR="004D7A10" w:rsidRPr="007E140B" w:rsidRDefault="004D7A10" w:rsidP="0026770E">
            <w:pPr>
              <w:spacing w:after="0" w:line="240" w:lineRule="auto"/>
              <w:rPr>
                <w:rFonts w:cs="Arial"/>
                <w:color w:val="auto"/>
              </w:rPr>
            </w:pPr>
            <w:r w:rsidRPr="007E140B">
              <w:rPr>
                <w:rFonts w:cs="Arial"/>
                <w:color w:val="auto"/>
                <w:sz w:val="15"/>
              </w:rPr>
              <w:t xml:space="preserve">The report shows simultaneous sustainability concern and cost pressure, highlighting the gap that can exist between stated preferences and </w:t>
            </w:r>
            <w:proofErr w:type="spellStart"/>
            <w:r w:rsidRPr="007E140B">
              <w:rPr>
                <w:rFonts w:cs="Arial"/>
                <w:color w:val="auto"/>
                <w:sz w:val="15"/>
              </w:rPr>
              <w:t>realised</w:t>
            </w:r>
            <w:proofErr w:type="spellEnd"/>
            <w:r w:rsidRPr="007E140B">
              <w:rPr>
                <w:rFonts w:cs="Arial"/>
                <w:color w:val="auto"/>
                <w:sz w:val="15"/>
              </w:rPr>
              <w:t xml:space="preserve"> purchasing </w:t>
            </w:r>
            <w:proofErr w:type="spellStart"/>
            <w:r w:rsidRPr="007E140B">
              <w:rPr>
                <w:rFonts w:cs="Arial"/>
                <w:color w:val="auto"/>
                <w:sz w:val="15"/>
              </w:rPr>
              <w:t>behaviour</w:t>
            </w:r>
            <w:proofErr w:type="spellEnd"/>
            <w:r w:rsidRPr="007E140B">
              <w:rPr>
                <w:rFonts w:cs="Arial"/>
                <w:color w:val="auto"/>
                <w:sz w:val="15"/>
              </w:rPr>
              <w:t>.</w:t>
            </w:r>
          </w:p>
        </w:tc>
        <w:tc>
          <w:tcPr>
            <w:tcW w:w="1303" w:type="dxa"/>
            <w:shd w:val="clear" w:color="auto" w:fill="EAF1F7"/>
            <w:tcMar>
              <w:top w:w="22" w:type="dxa"/>
              <w:left w:w="24" w:type="dxa"/>
              <w:bottom w:w="22" w:type="dxa"/>
              <w:right w:w="24" w:type="dxa"/>
            </w:tcMar>
          </w:tcPr>
          <w:p w14:paraId="1E8CF25B"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affordability and consumer-salience conditions. It is appropriately treated as stated-attitude evidence, not proof that UK consumers actually pay a sustainability premium.</w:t>
            </w:r>
          </w:p>
        </w:tc>
        <w:tc>
          <w:tcPr>
            <w:tcW w:w="1230" w:type="dxa"/>
            <w:shd w:val="clear" w:color="auto" w:fill="EAF1F7"/>
            <w:tcMar>
              <w:top w:w="22" w:type="dxa"/>
              <w:left w:w="24" w:type="dxa"/>
              <w:bottom w:w="22" w:type="dxa"/>
              <w:right w:w="24" w:type="dxa"/>
            </w:tcMar>
          </w:tcPr>
          <w:p w14:paraId="203A45DB" w14:textId="77777777" w:rsidR="004D7A10" w:rsidRPr="007E140B" w:rsidRDefault="00CC58FE" w:rsidP="0026770E">
            <w:pPr>
              <w:spacing w:after="0" w:line="240" w:lineRule="auto"/>
              <w:rPr>
                <w:rFonts w:cs="Arial"/>
                <w:color w:val="auto"/>
              </w:rPr>
            </w:pPr>
            <w:hyperlink r:id="rId86">
              <w:r w:rsidR="004D7A10" w:rsidRPr="007E140B">
                <w:rPr>
                  <w:rFonts w:cs="Arial"/>
                  <w:color w:val="auto"/>
                  <w:sz w:val="13"/>
                  <w:szCs w:val="13"/>
                </w:rPr>
                <w:t>https://www.pwc.com/gx/en/issues/c-suite-insights/voice-of-the-consumer-survey/2024.html</w:t>
              </w:r>
            </w:hyperlink>
          </w:p>
        </w:tc>
      </w:tr>
      <w:tr w:rsidR="007E140B" w:rsidRPr="007E140B" w14:paraId="6C3A750B" w14:textId="77777777" w:rsidTr="0026770E">
        <w:trPr>
          <w:cantSplit/>
          <w:jc w:val="center"/>
        </w:trPr>
        <w:tc>
          <w:tcPr>
            <w:tcW w:w="504" w:type="dxa"/>
            <w:shd w:val="clear" w:color="auto" w:fill="F7FAFC"/>
            <w:tcMar>
              <w:top w:w="22" w:type="dxa"/>
              <w:left w:w="24" w:type="dxa"/>
              <w:bottom w:w="22" w:type="dxa"/>
              <w:right w:w="24" w:type="dxa"/>
            </w:tcMar>
            <w:vAlign w:val="center"/>
          </w:tcPr>
          <w:p w14:paraId="0DF4BBAE" w14:textId="77777777" w:rsidR="004D7A10" w:rsidRPr="007E140B" w:rsidRDefault="004D7A10" w:rsidP="0026770E">
            <w:pPr>
              <w:spacing w:after="0" w:line="240" w:lineRule="auto"/>
              <w:jc w:val="center"/>
              <w:rPr>
                <w:rFonts w:cs="Arial"/>
                <w:color w:val="auto"/>
              </w:rPr>
            </w:pPr>
            <w:r w:rsidRPr="007E140B">
              <w:rPr>
                <w:rFonts w:cs="Arial"/>
                <w:b/>
                <w:color w:val="auto"/>
                <w:sz w:val="15"/>
              </w:rPr>
              <w:t>31</w:t>
            </w:r>
          </w:p>
        </w:tc>
        <w:tc>
          <w:tcPr>
            <w:tcW w:w="1447" w:type="dxa"/>
            <w:shd w:val="clear" w:color="auto" w:fill="F7FAFC"/>
            <w:tcMar>
              <w:top w:w="22" w:type="dxa"/>
              <w:left w:w="24" w:type="dxa"/>
              <w:bottom w:w="22" w:type="dxa"/>
              <w:right w:w="24" w:type="dxa"/>
            </w:tcMar>
          </w:tcPr>
          <w:p w14:paraId="00D0C4AD" w14:textId="77777777" w:rsidR="004D7A10" w:rsidRPr="007E140B" w:rsidRDefault="004D7A10" w:rsidP="0026770E">
            <w:pPr>
              <w:spacing w:after="0" w:line="240" w:lineRule="auto"/>
              <w:rPr>
                <w:rFonts w:cs="Arial"/>
                <w:color w:val="auto"/>
              </w:rPr>
            </w:pPr>
            <w:r w:rsidRPr="007E140B">
              <w:rPr>
                <w:rFonts w:cs="Arial"/>
                <w:b/>
                <w:color w:val="auto"/>
                <w:sz w:val="15"/>
              </w:rPr>
              <w:t>ESG and Financial Performance: Uncovering the Relationship by Aggregating Evidence from 1,000 Plus Studies Published between 2015–2020</w:t>
            </w:r>
          </w:p>
        </w:tc>
        <w:tc>
          <w:tcPr>
            <w:tcW w:w="1049" w:type="dxa"/>
            <w:shd w:val="clear" w:color="auto" w:fill="F7FAFC"/>
            <w:tcMar>
              <w:top w:w="22" w:type="dxa"/>
              <w:left w:w="24" w:type="dxa"/>
              <w:bottom w:w="22" w:type="dxa"/>
              <w:right w:w="24" w:type="dxa"/>
            </w:tcMar>
          </w:tcPr>
          <w:p w14:paraId="6415D8BE" w14:textId="77777777" w:rsidR="004D7A10" w:rsidRPr="007E140B" w:rsidRDefault="004D7A10" w:rsidP="0026770E">
            <w:pPr>
              <w:spacing w:after="0" w:line="240" w:lineRule="auto"/>
              <w:rPr>
                <w:rFonts w:cs="Arial"/>
                <w:color w:val="auto"/>
              </w:rPr>
            </w:pPr>
            <w:r w:rsidRPr="007E140B">
              <w:rPr>
                <w:rFonts w:cs="Arial"/>
                <w:color w:val="auto"/>
                <w:sz w:val="15"/>
              </w:rPr>
              <w:t>NYU Stern Center for Sustainable Business / Rockefeller Asset Management</w:t>
            </w:r>
          </w:p>
        </w:tc>
        <w:tc>
          <w:tcPr>
            <w:tcW w:w="905" w:type="dxa"/>
            <w:shd w:val="clear" w:color="auto" w:fill="F7FAFC"/>
            <w:tcMar>
              <w:top w:w="22" w:type="dxa"/>
              <w:left w:w="24" w:type="dxa"/>
              <w:bottom w:w="22" w:type="dxa"/>
              <w:right w:w="24" w:type="dxa"/>
            </w:tcMar>
          </w:tcPr>
          <w:p w14:paraId="3528DE32" w14:textId="77777777" w:rsidR="004D7A10" w:rsidRPr="007E140B" w:rsidRDefault="004D7A10" w:rsidP="0026770E">
            <w:pPr>
              <w:spacing w:after="0" w:line="240" w:lineRule="auto"/>
              <w:rPr>
                <w:rFonts w:cs="Arial"/>
                <w:color w:val="auto"/>
              </w:rPr>
            </w:pPr>
            <w:r w:rsidRPr="007E140B">
              <w:rPr>
                <w:rFonts w:cs="Arial"/>
                <w:color w:val="auto"/>
                <w:sz w:val="15"/>
              </w:rPr>
              <w:t>Whelan, T.; Atz, U.; Van Holt, T.; Clark, C.</w:t>
            </w:r>
          </w:p>
        </w:tc>
        <w:tc>
          <w:tcPr>
            <w:tcW w:w="648" w:type="dxa"/>
            <w:shd w:val="clear" w:color="auto" w:fill="F7FAFC"/>
            <w:tcMar>
              <w:top w:w="22" w:type="dxa"/>
              <w:left w:w="24" w:type="dxa"/>
              <w:bottom w:w="22" w:type="dxa"/>
              <w:right w:w="24" w:type="dxa"/>
            </w:tcMar>
            <w:vAlign w:val="center"/>
          </w:tcPr>
          <w:p w14:paraId="7BE0FC0D"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01328167" w14:textId="77777777" w:rsidR="004D7A10" w:rsidRPr="007E140B" w:rsidRDefault="004D7A10" w:rsidP="0026770E">
            <w:pPr>
              <w:spacing w:after="0" w:line="240" w:lineRule="auto"/>
              <w:rPr>
                <w:rFonts w:cs="Arial"/>
                <w:color w:val="auto"/>
              </w:rPr>
            </w:pPr>
            <w:r w:rsidRPr="007E140B">
              <w:rPr>
                <w:rFonts w:cs="Arial"/>
                <w:color w:val="auto"/>
                <w:sz w:val="15"/>
              </w:rPr>
              <w:t xml:space="preserve">To update the </w:t>
            </w:r>
            <w:proofErr w:type="gramStart"/>
            <w:r w:rsidRPr="007E140B">
              <w:rPr>
                <w:rFonts w:cs="Arial"/>
                <w:color w:val="auto"/>
                <w:sz w:val="15"/>
              </w:rPr>
              <w:t>evidence</w:t>
            </w:r>
            <w:proofErr w:type="gramEnd"/>
            <w:r w:rsidRPr="007E140B">
              <w:rPr>
                <w:rFonts w:cs="Arial"/>
                <w:color w:val="auto"/>
                <w:sz w:val="15"/>
              </w:rPr>
              <w:t xml:space="preserve"> base on the relationship between ESG and financial performance by aggregating more than 1,000 studies published from 2015–2020.</w:t>
            </w:r>
          </w:p>
        </w:tc>
        <w:tc>
          <w:tcPr>
            <w:tcW w:w="1375" w:type="dxa"/>
            <w:shd w:val="clear" w:color="auto" w:fill="F7FAFC"/>
            <w:tcMar>
              <w:top w:w="22" w:type="dxa"/>
              <w:left w:w="24" w:type="dxa"/>
              <w:bottom w:w="22" w:type="dxa"/>
              <w:right w:w="24" w:type="dxa"/>
            </w:tcMar>
          </w:tcPr>
          <w:p w14:paraId="099AF781" w14:textId="77777777" w:rsidR="004D7A10" w:rsidRPr="007E140B" w:rsidRDefault="004D7A10" w:rsidP="0026770E">
            <w:pPr>
              <w:spacing w:after="0" w:line="240" w:lineRule="auto"/>
              <w:rPr>
                <w:rFonts w:cs="Arial"/>
                <w:color w:val="auto"/>
              </w:rPr>
            </w:pPr>
            <w:r w:rsidRPr="007E140B">
              <w:rPr>
                <w:rFonts w:cs="Arial"/>
                <w:color w:val="auto"/>
                <w:sz w:val="15"/>
              </w:rPr>
              <w:t xml:space="preserve">Separate corporate operational studies from investment studies; </w:t>
            </w:r>
            <w:proofErr w:type="spellStart"/>
            <w:r w:rsidRPr="007E140B">
              <w:rPr>
                <w:rFonts w:cs="Arial"/>
                <w:color w:val="auto"/>
                <w:sz w:val="15"/>
              </w:rPr>
              <w:t>summarise</w:t>
            </w:r>
            <w:proofErr w:type="spellEnd"/>
            <w:r w:rsidRPr="007E140B">
              <w:rPr>
                <w:rFonts w:cs="Arial"/>
                <w:color w:val="auto"/>
                <w:sz w:val="15"/>
              </w:rPr>
              <w:t xml:space="preserve"> positive/neutral/mixed/negative findings; identify conditions and themes associated with stronger results.</w:t>
            </w:r>
          </w:p>
        </w:tc>
        <w:tc>
          <w:tcPr>
            <w:tcW w:w="1086" w:type="dxa"/>
            <w:shd w:val="clear" w:color="auto" w:fill="F7FAFC"/>
            <w:tcMar>
              <w:top w:w="22" w:type="dxa"/>
              <w:left w:w="24" w:type="dxa"/>
              <w:bottom w:w="22" w:type="dxa"/>
              <w:right w:w="24" w:type="dxa"/>
            </w:tcMar>
          </w:tcPr>
          <w:p w14:paraId="1915D45A" w14:textId="77777777" w:rsidR="004D7A10" w:rsidRPr="007E140B" w:rsidRDefault="004D7A10" w:rsidP="0026770E">
            <w:pPr>
              <w:spacing w:after="0" w:line="240" w:lineRule="auto"/>
              <w:rPr>
                <w:rFonts w:cs="Arial"/>
                <w:color w:val="auto"/>
              </w:rPr>
            </w:pPr>
            <w:r w:rsidRPr="007E140B">
              <w:rPr>
                <w:rFonts w:cs="Arial"/>
                <w:color w:val="auto"/>
                <w:sz w:val="15"/>
              </w:rPr>
              <w:t>Across the recent empirical literature, how often is ESG associated with positive, neutral or negative financial performance, and what patterns explain the differences?</w:t>
            </w:r>
          </w:p>
        </w:tc>
        <w:tc>
          <w:tcPr>
            <w:tcW w:w="1122" w:type="dxa"/>
            <w:shd w:val="clear" w:color="auto" w:fill="F7FAFC"/>
            <w:tcMar>
              <w:top w:w="22" w:type="dxa"/>
              <w:left w:w="24" w:type="dxa"/>
              <w:bottom w:w="22" w:type="dxa"/>
              <w:right w:w="24" w:type="dxa"/>
            </w:tcMar>
          </w:tcPr>
          <w:p w14:paraId="7580406B" w14:textId="77777777" w:rsidR="004D7A10" w:rsidRPr="007E140B" w:rsidRDefault="004D7A10" w:rsidP="0026770E">
            <w:pPr>
              <w:spacing w:after="0" w:line="240" w:lineRule="auto"/>
              <w:rPr>
                <w:rFonts w:cs="Arial"/>
                <w:color w:val="auto"/>
              </w:rPr>
            </w:pPr>
            <w:r w:rsidRPr="007E140B">
              <w:rPr>
                <w:rFonts w:cs="Arial"/>
                <w:color w:val="auto"/>
                <w:sz w:val="15"/>
              </w:rPr>
              <w:t>Meta-review/aggregation of 1,000+ research papers published between 2015 and 2020, classified by study type and financial-performance outcome.</w:t>
            </w:r>
          </w:p>
        </w:tc>
        <w:tc>
          <w:tcPr>
            <w:tcW w:w="1556" w:type="dxa"/>
            <w:shd w:val="clear" w:color="auto" w:fill="F7FAFC"/>
            <w:tcMar>
              <w:top w:w="22" w:type="dxa"/>
              <w:left w:w="24" w:type="dxa"/>
              <w:bottom w:w="22" w:type="dxa"/>
              <w:right w:w="24" w:type="dxa"/>
            </w:tcMar>
          </w:tcPr>
          <w:p w14:paraId="54344883" w14:textId="77777777" w:rsidR="004D7A10" w:rsidRPr="007E140B" w:rsidRDefault="004D7A10" w:rsidP="0026770E">
            <w:pPr>
              <w:spacing w:after="0" w:line="240" w:lineRule="auto"/>
              <w:rPr>
                <w:rFonts w:cs="Arial"/>
                <w:color w:val="auto"/>
              </w:rPr>
            </w:pPr>
            <w:r w:rsidRPr="007E140B">
              <w:rPr>
                <w:rFonts w:cs="Arial"/>
                <w:color w:val="auto"/>
                <w:sz w:val="15"/>
              </w:rPr>
              <w:t>For corporate studies, 58% report a positive relationship, 13% neutral, 21% mixed and 8% negative; investment studies are more mixed. Overall, positive/neutral results substantially outnumber negative findings, especially for operational/corporate performance and longer horizons.</w:t>
            </w:r>
          </w:p>
        </w:tc>
        <w:tc>
          <w:tcPr>
            <w:tcW w:w="1665" w:type="dxa"/>
            <w:shd w:val="clear" w:color="auto" w:fill="F7FAFC"/>
            <w:tcMar>
              <w:top w:w="22" w:type="dxa"/>
              <w:left w:w="24" w:type="dxa"/>
              <w:bottom w:w="22" w:type="dxa"/>
              <w:right w:w="24" w:type="dxa"/>
            </w:tcMar>
          </w:tcPr>
          <w:p w14:paraId="74CEA094" w14:textId="77777777" w:rsidR="004D7A10" w:rsidRPr="007E140B" w:rsidRDefault="004D7A10" w:rsidP="0026770E">
            <w:pPr>
              <w:spacing w:after="0" w:line="240" w:lineRule="auto"/>
              <w:rPr>
                <w:rFonts w:cs="Arial"/>
                <w:color w:val="auto"/>
              </w:rPr>
            </w:pPr>
            <w:r w:rsidRPr="007E140B">
              <w:rPr>
                <w:rFonts w:cs="Arial"/>
                <w:color w:val="auto"/>
                <w:sz w:val="15"/>
              </w:rPr>
              <w:t>The report concludes that the modern ESG–financial-performance literature is generally supportive but heterogeneous, with stronger evidence in corporate operational studies than in investment portfolios.</w:t>
            </w:r>
          </w:p>
        </w:tc>
        <w:tc>
          <w:tcPr>
            <w:tcW w:w="1303" w:type="dxa"/>
            <w:shd w:val="clear" w:color="auto" w:fill="F7FAFC"/>
            <w:tcMar>
              <w:top w:w="22" w:type="dxa"/>
              <w:left w:w="24" w:type="dxa"/>
              <w:bottom w:w="22" w:type="dxa"/>
              <w:right w:w="24" w:type="dxa"/>
            </w:tcMar>
          </w:tcPr>
          <w:p w14:paraId="35F3498C" w14:textId="77777777" w:rsidR="004D7A10" w:rsidRPr="007E140B" w:rsidRDefault="004D7A10" w:rsidP="0026770E">
            <w:pPr>
              <w:spacing w:after="0" w:line="240" w:lineRule="auto"/>
              <w:rPr>
                <w:rFonts w:cs="Arial"/>
                <w:color w:val="auto"/>
              </w:rPr>
            </w:pPr>
            <w:r w:rsidRPr="007E140B">
              <w:rPr>
                <w:rFonts w:cs="Arial"/>
                <w:color w:val="auto"/>
                <w:sz w:val="15"/>
              </w:rPr>
              <w:t>Useful high-level synthesis for the dissertation’s “business case is often positive but not universal” position. It also supports distinguishing performance from disclosure and avoiding one-to-one causal claims from aggregate evidence.</w:t>
            </w:r>
          </w:p>
        </w:tc>
        <w:tc>
          <w:tcPr>
            <w:tcW w:w="1230" w:type="dxa"/>
            <w:shd w:val="clear" w:color="auto" w:fill="F7FAFC"/>
            <w:tcMar>
              <w:top w:w="22" w:type="dxa"/>
              <w:left w:w="24" w:type="dxa"/>
              <w:bottom w:w="22" w:type="dxa"/>
              <w:right w:w="24" w:type="dxa"/>
            </w:tcMar>
          </w:tcPr>
          <w:p w14:paraId="51595C65" w14:textId="77777777" w:rsidR="004D7A10" w:rsidRPr="007E140B" w:rsidRDefault="00CC58FE" w:rsidP="0026770E">
            <w:pPr>
              <w:spacing w:after="0" w:line="240" w:lineRule="auto"/>
              <w:rPr>
                <w:rFonts w:cs="Arial"/>
                <w:color w:val="auto"/>
              </w:rPr>
            </w:pPr>
            <w:hyperlink r:id="rId87">
              <w:r w:rsidR="004D7A10" w:rsidRPr="007E140B">
                <w:rPr>
                  <w:rFonts w:cs="Arial"/>
                  <w:color w:val="auto"/>
                  <w:sz w:val="13"/>
                  <w:szCs w:val="13"/>
                </w:rPr>
                <w:t>https://www.stern.nyu.edu/sites/default/files/assets/documents/NYU-RAM_ESG-Paper_2021.pdf</w:t>
              </w:r>
            </w:hyperlink>
          </w:p>
        </w:tc>
      </w:tr>
    </w:tbl>
    <w:p w14:paraId="19A9057C" w14:textId="77777777" w:rsidR="009F43AA" w:rsidRPr="009F43AA" w:rsidRDefault="009F43AA" w:rsidP="009F43AA"/>
    <w:sectPr w:rsidR="009F43AA" w:rsidRPr="009F43AA" w:rsidSect="004D7A10">
      <w:headerReference w:type="default" r:id="rId88"/>
      <w:pgSz w:w="15840" w:h="12240" w:orient="landscape"/>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F648F" w14:textId="77777777" w:rsidR="00CC58FE" w:rsidRDefault="00CC58FE">
      <w:pPr>
        <w:spacing w:after="0" w:line="240" w:lineRule="auto"/>
      </w:pPr>
      <w:r>
        <w:separator/>
      </w:r>
    </w:p>
  </w:endnote>
  <w:endnote w:type="continuationSeparator" w:id="0">
    <w:p w14:paraId="2D43C663" w14:textId="77777777" w:rsidR="00CC58FE" w:rsidRDefault="00CC5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1987B" w14:textId="77777777" w:rsidR="004B4463" w:rsidRDefault="004B44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130074"/>
      <w:docPartObj>
        <w:docPartGallery w:val="Page Numbers (Bottom of Page)"/>
        <w:docPartUnique/>
      </w:docPartObj>
    </w:sdtPr>
    <w:sdtEndPr/>
    <w:sdtContent>
      <w:p w14:paraId="20EE38B8" w14:textId="77777777" w:rsidR="004B4463" w:rsidRDefault="00F763E6">
        <w:pPr>
          <w:pStyle w:val="Footer"/>
          <w:jc w:val="right"/>
        </w:pPr>
        <w:r>
          <w:t xml:space="preserve">Page | </w:t>
        </w:r>
        <w:r>
          <w:fldChar w:fldCharType="begin"/>
        </w:r>
        <w:r>
          <w:instrText xml:space="preserve"> PAGE </w:instrText>
        </w:r>
        <w:r>
          <w:fldChar w:fldCharType="separate"/>
        </w:r>
        <w:r>
          <w:t>iv</w:t>
        </w:r>
        <w:r>
          <w:fldChar w:fldCharType="end"/>
        </w:r>
        <w:r>
          <w:t xml:space="preserve"> </w:t>
        </w:r>
      </w:p>
    </w:sdtContent>
  </w:sdt>
  <w:p w14:paraId="6E02A79C" w14:textId="77777777" w:rsidR="004B4463" w:rsidRDefault="004B44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191610"/>
      <w:docPartObj>
        <w:docPartGallery w:val="Page Numbers (Bottom of Page)"/>
        <w:docPartUnique/>
      </w:docPartObj>
    </w:sdtPr>
    <w:sdtEndPr/>
    <w:sdtContent>
      <w:p w14:paraId="480EAFD9" w14:textId="77777777" w:rsidR="004B4463" w:rsidRDefault="00F763E6">
        <w:pPr>
          <w:pStyle w:val="Footer"/>
          <w:jc w:val="right"/>
        </w:pPr>
        <w:r>
          <w:t xml:space="preserve">Page | </w:t>
        </w:r>
        <w:r>
          <w:fldChar w:fldCharType="begin"/>
        </w:r>
        <w:r>
          <w:instrText xml:space="preserve"> PAGE </w:instrText>
        </w:r>
        <w:r>
          <w:fldChar w:fldCharType="separate"/>
        </w:r>
        <w:r>
          <w:t>iv</w:t>
        </w:r>
        <w:r>
          <w:fldChar w:fldCharType="end"/>
        </w:r>
        <w:r>
          <w:t xml:space="preserve"> </w:t>
        </w:r>
      </w:p>
    </w:sdtContent>
  </w:sdt>
  <w:p w14:paraId="767CFC28" w14:textId="77777777" w:rsidR="004B4463" w:rsidRDefault="004B44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031C4" w14:textId="77777777" w:rsidR="004B4463" w:rsidRDefault="004B446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887702"/>
      <w:docPartObj>
        <w:docPartGallery w:val="Page Numbers (Bottom of Page)"/>
        <w:docPartUnique/>
      </w:docPartObj>
    </w:sdtPr>
    <w:sdtEndPr/>
    <w:sdtContent>
      <w:p w14:paraId="49946B8F" w14:textId="77777777" w:rsidR="004B4463" w:rsidRDefault="00F763E6">
        <w:pPr>
          <w:pStyle w:val="Footer"/>
          <w:jc w:val="right"/>
        </w:pPr>
        <w:r>
          <w:t xml:space="preserve">Page | </w:t>
        </w:r>
        <w:r>
          <w:fldChar w:fldCharType="begin"/>
        </w:r>
        <w:r>
          <w:instrText xml:space="preserve"> PAGE </w:instrText>
        </w:r>
        <w:r>
          <w:fldChar w:fldCharType="separate"/>
        </w:r>
        <w:r>
          <w:t>ix</w:t>
        </w:r>
        <w:r>
          <w:fldChar w:fldCharType="end"/>
        </w:r>
        <w:r>
          <w:t xml:space="preserve"> </w:t>
        </w:r>
      </w:p>
    </w:sdtContent>
  </w:sdt>
  <w:p w14:paraId="5DEF388B" w14:textId="77777777" w:rsidR="004B4463" w:rsidRDefault="004B446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918320"/>
      <w:docPartObj>
        <w:docPartGallery w:val="Page Numbers (Bottom of Page)"/>
        <w:docPartUnique/>
      </w:docPartObj>
    </w:sdtPr>
    <w:sdtEndPr/>
    <w:sdtContent>
      <w:p w14:paraId="20232B91" w14:textId="77777777" w:rsidR="004B4463" w:rsidRDefault="00F763E6">
        <w:pPr>
          <w:pStyle w:val="Footer"/>
          <w:jc w:val="right"/>
        </w:pPr>
        <w:r>
          <w:t xml:space="preserve">Page | </w:t>
        </w:r>
        <w:r>
          <w:fldChar w:fldCharType="begin"/>
        </w:r>
        <w:r>
          <w:instrText xml:space="preserve"> PAGE </w:instrText>
        </w:r>
        <w:r>
          <w:fldChar w:fldCharType="separate"/>
        </w:r>
        <w:r>
          <w:t>ix</w:t>
        </w:r>
        <w:r>
          <w:fldChar w:fldCharType="end"/>
        </w:r>
        <w:r>
          <w:t xml:space="preserve"> </w:t>
        </w:r>
      </w:p>
    </w:sdtContent>
  </w:sdt>
  <w:p w14:paraId="004B0D9B" w14:textId="77777777" w:rsidR="004B4463" w:rsidRDefault="004B446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726D8" w14:textId="77777777" w:rsidR="004B4463" w:rsidRDefault="004B446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336182"/>
      <w:docPartObj>
        <w:docPartGallery w:val="Page Numbers (Bottom of Page)"/>
        <w:docPartUnique/>
      </w:docPartObj>
    </w:sdtPr>
    <w:sdtEndPr/>
    <w:sdtContent>
      <w:p w14:paraId="1A31AFEC" w14:textId="77777777" w:rsidR="004B4463" w:rsidRDefault="00F763E6">
        <w:pPr>
          <w:pStyle w:val="Footer"/>
          <w:jc w:val="right"/>
        </w:pPr>
        <w:r>
          <w:t xml:space="preserve">Page | </w:t>
        </w:r>
        <w:r>
          <w:fldChar w:fldCharType="begin"/>
        </w:r>
        <w:r>
          <w:instrText xml:space="preserve"> PAGE </w:instrText>
        </w:r>
        <w:r>
          <w:fldChar w:fldCharType="separate"/>
        </w:r>
        <w:r>
          <w:t>62</w:t>
        </w:r>
        <w:r>
          <w:fldChar w:fldCharType="end"/>
        </w:r>
        <w:r>
          <w:t xml:space="preserve"> </w:t>
        </w:r>
      </w:p>
    </w:sdtContent>
  </w:sdt>
  <w:p w14:paraId="7F36C28D" w14:textId="77777777" w:rsidR="004B4463" w:rsidRDefault="004B4463">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883871"/>
      <w:docPartObj>
        <w:docPartGallery w:val="Page Numbers (Bottom of Page)"/>
        <w:docPartUnique/>
      </w:docPartObj>
    </w:sdtPr>
    <w:sdtEndPr/>
    <w:sdtContent>
      <w:p w14:paraId="16A6DF12" w14:textId="77777777" w:rsidR="004B4463" w:rsidRDefault="00F763E6">
        <w:pPr>
          <w:pStyle w:val="Footer"/>
          <w:jc w:val="right"/>
        </w:pPr>
        <w:r>
          <w:t xml:space="preserve">Page | </w:t>
        </w:r>
        <w:r>
          <w:fldChar w:fldCharType="begin"/>
        </w:r>
        <w:r>
          <w:instrText xml:space="preserve"> PAGE </w:instrText>
        </w:r>
        <w:r>
          <w:fldChar w:fldCharType="separate"/>
        </w:r>
        <w:r>
          <w:t>62</w:t>
        </w:r>
        <w:r>
          <w:fldChar w:fldCharType="end"/>
        </w:r>
        <w:r>
          <w:t xml:space="preserve"> </w:t>
        </w:r>
      </w:p>
    </w:sdtContent>
  </w:sdt>
  <w:p w14:paraId="1AC862B9" w14:textId="77777777" w:rsidR="004B4463" w:rsidRDefault="004B4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CDF4D" w14:textId="77777777" w:rsidR="00CC58FE" w:rsidRDefault="00CC58FE">
      <w:pPr>
        <w:spacing w:after="0" w:line="240" w:lineRule="auto"/>
      </w:pPr>
      <w:r>
        <w:separator/>
      </w:r>
    </w:p>
  </w:footnote>
  <w:footnote w:type="continuationSeparator" w:id="0">
    <w:p w14:paraId="5679C6D6" w14:textId="77777777" w:rsidR="00CC58FE" w:rsidRDefault="00CC5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83634" w14:textId="77777777" w:rsidR="004D7A10" w:rsidRDefault="004D7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56A47"/>
    <w:multiLevelType w:val="multilevel"/>
    <w:tmpl w:val="0740850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242627B"/>
    <w:multiLevelType w:val="multilevel"/>
    <w:tmpl w:val="960847AC"/>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15:restartNumberingAfterBreak="0">
    <w:nsid w:val="753846EC"/>
    <w:multiLevelType w:val="multilevel"/>
    <w:tmpl w:val="25C41C1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463"/>
    <w:rsid w:val="001118BD"/>
    <w:rsid w:val="002915E8"/>
    <w:rsid w:val="003D2386"/>
    <w:rsid w:val="0044333C"/>
    <w:rsid w:val="004B3495"/>
    <w:rsid w:val="004B4463"/>
    <w:rsid w:val="004D7A10"/>
    <w:rsid w:val="00575D08"/>
    <w:rsid w:val="00624E33"/>
    <w:rsid w:val="007959CC"/>
    <w:rsid w:val="007E140B"/>
    <w:rsid w:val="00971EDF"/>
    <w:rsid w:val="00981CC7"/>
    <w:rsid w:val="009F43AA"/>
    <w:rsid w:val="00A504AC"/>
    <w:rsid w:val="00B4429C"/>
    <w:rsid w:val="00B80509"/>
    <w:rsid w:val="00C02AD6"/>
    <w:rsid w:val="00CC58FE"/>
    <w:rsid w:val="00CF2F26"/>
    <w:rsid w:val="00D471EF"/>
    <w:rsid w:val="00D57DBC"/>
    <w:rsid w:val="00D67D53"/>
    <w:rsid w:val="00D90FFE"/>
    <w:rsid w:val="00F763E6"/>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D7CCF"/>
  <w15:docId w15:val="{F5C78FD2-EFAD-492C-AE11-2BFCDD37B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1EF"/>
    <w:pPr>
      <w:spacing w:after="120" w:line="360" w:lineRule="auto"/>
      <w:jc w:val="both"/>
    </w:pPr>
    <w:rPr>
      <w:rFonts w:ascii="Arial" w:eastAsia="Times New Roman" w:hAnsi="Arial"/>
      <w:color w:val="111111"/>
      <w:sz w:val="24"/>
    </w:rPr>
  </w:style>
  <w:style w:type="paragraph" w:styleId="Heading1">
    <w:name w:val="heading 1"/>
    <w:basedOn w:val="Normal"/>
    <w:next w:val="Normal"/>
    <w:link w:val="Heading1Char"/>
    <w:uiPriority w:val="9"/>
    <w:qFormat/>
    <w:rsid w:val="00D25AB9"/>
    <w:pPr>
      <w:keepNext/>
      <w:keepLines/>
      <w:spacing w:before="240" w:after="0" w:line="480" w:lineRule="auto"/>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D25AB9"/>
    <w:pPr>
      <w:keepNext/>
      <w:keepLines/>
      <w:spacing w:before="40" w:after="0"/>
      <w:outlineLvl w:val="1"/>
    </w:pPr>
    <w:rPr>
      <w:rFonts w:eastAsiaTheme="majorEastAsia" w:cstheme="majorBidi"/>
      <w:b/>
      <w:color w:val="auto"/>
      <w:sz w:val="28"/>
      <w:szCs w:val="26"/>
    </w:rPr>
  </w:style>
  <w:style w:type="paragraph" w:styleId="Heading3">
    <w:name w:val="heading 3"/>
    <w:basedOn w:val="Normal"/>
    <w:next w:val="Normal"/>
    <w:link w:val="Heading3Char"/>
    <w:uiPriority w:val="9"/>
    <w:unhideWhenUsed/>
    <w:qFormat/>
    <w:rsid w:val="00BD6890"/>
    <w:pPr>
      <w:keepNext/>
      <w:keepLines/>
      <w:spacing w:before="40" w:after="0"/>
      <w:outlineLvl w:val="2"/>
    </w:pPr>
    <w:rPr>
      <w:rFonts w:eastAsiaTheme="majorEastAsia" w:cstheme="majorBidi"/>
      <w:b/>
      <w:color w:val="auto"/>
      <w:sz w:val="27"/>
      <w:szCs w:val="24"/>
    </w:rPr>
  </w:style>
  <w:style w:type="paragraph" w:styleId="Heading4">
    <w:name w:val="heading 4"/>
    <w:basedOn w:val="Normal"/>
    <w:next w:val="Normal"/>
    <w:link w:val="Heading4Char"/>
    <w:uiPriority w:val="9"/>
    <w:unhideWhenUsed/>
    <w:qFormat/>
    <w:rsid w:val="00EA07EB"/>
    <w:pPr>
      <w:keepNext/>
      <w:keepLines/>
      <w:spacing w:before="40" w:after="0"/>
      <w:jc w:val="center"/>
      <w:outlineLvl w:val="3"/>
    </w:pPr>
    <w:rPr>
      <w:rFonts w:eastAsiaTheme="majorEastAsia" w:cstheme="majorBidi"/>
      <w:b/>
      <w:i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D25AB9"/>
    <w:rPr>
      <w:rFonts w:ascii="Arial" w:eastAsiaTheme="majorEastAsia" w:hAnsi="Arial" w:cstheme="majorBidi"/>
      <w:b/>
      <w:sz w:val="32"/>
      <w:szCs w:val="32"/>
    </w:rPr>
  </w:style>
  <w:style w:type="character" w:customStyle="1" w:styleId="Heading2Char">
    <w:name w:val="Heading 2 Char"/>
    <w:basedOn w:val="DefaultParagraphFont"/>
    <w:link w:val="Heading2"/>
    <w:uiPriority w:val="9"/>
    <w:qFormat/>
    <w:rsid w:val="00D25AB9"/>
    <w:rPr>
      <w:rFonts w:ascii="Arial" w:eastAsiaTheme="majorEastAsia" w:hAnsi="Arial" w:cstheme="majorBidi"/>
      <w:b/>
      <w:sz w:val="28"/>
      <w:szCs w:val="26"/>
    </w:rPr>
  </w:style>
  <w:style w:type="character" w:customStyle="1" w:styleId="Heading3Char">
    <w:name w:val="Heading 3 Char"/>
    <w:basedOn w:val="DefaultParagraphFont"/>
    <w:link w:val="Heading3"/>
    <w:uiPriority w:val="9"/>
    <w:qFormat/>
    <w:rsid w:val="00BD6890"/>
    <w:rPr>
      <w:rFonts w:ascii="Arial" w:eastAsiaTheme="majorEastAsia" w:hAnsi="Arial" w:cstheme="majorBidi"/>
      <w:b/>
      <w:sz w:val="27"/>
      <w:szCs w:val="24"/>
    </w:rPr>
  </w:style>
  <w:style w:type="character" w:customStyle="1" w:styleId="Heading4Char">
    <w:name w:val="Heading 4 Char"/>
    <w:basedOn w:val="DefaultParagraphFont"/>
    <w:link w:val="Heading4"/>
    <w:uiPriority w:val="9"/>
    <w:qFormat/>
    <w:rsid w:val="00EA07EB"/>
    <w:rPr>
      <w:rFonts w:ascii="Arial" w:eastAsiaTheme="majorEastAsia" w:hAnsi="Arial" w:cstheme="majorBidi"/>
      <w:b/>
      <w:iCs/>
      <w:sz w:val="24"/>
    </w:rPr>
  </w:style>
  <w:style w:type="character" w:styleId="Hyperlink">
    <w:name w:val="Hyperlink"/>
    <w:basedOn w:val="DefaultParagraphFont"/>
    <w:uiPriority w:val="99"/>
    <w:unhideWhenUsed/>
    <w:rsid w:val="00436596"/>
    <w:rPr>
      <w:color w:val="0563C1" w:themeColor="hyperlink"/>
      <w:u w:val="single"/>
    </w:rPr>
  </w:style>
  <w:style w:type="character" w:customStyle="1" w:styleId="HeaderChar">
    <w:name w:val="Header Char"/>
    <w:basedOn w:val="DefaultParagraphFont"/>
    <w:link w:val="Header"/>
    <w:uiPriority w:val="99"/>
    <w:qFormat/>
    <w:rsid w:val="00FD21D8"/>
    <w:rPr>
      <w:rFonts w:ascii="Arial" w:eastAsia="Times New Roman" w:hAnsi="Arial"/>
      <w:color w:val="111111"/>
      <w:sz w:val="24"/>
    </w:rPr>
  </w:style>
  <w:style w:type="character" w:customStyle="1" w:styleId="FooterChar">
    <w:name w:val="Footer Char"/>
    <w:basedOn w:val="DefaultParagraphFont"/>
    <w:link w:val="Footer"/>
    <w:uiPriority w:val="99"/>
    <w:qFormat/>
    <w:rsid w:val="00FD21D8"/>
    <w:rPr>
      <w:rFonts w:ascii="Arial" w:eastAsia="Times New Roman" w:hAnsi="Arial"/>
      <w:color w:val="111111"/>
      <w:sz w:val="24"/>
    </w:rPr>
  </w:style>
  <w:style w:type="character" w:customStyle="1" w:styleId="IndexLink">
    <w:name w:val="Index Link"/>
    <w:qFormat/>
  </w:style>
  <w:style w:type="paragraph" w:customStyle="1" w:styleId="Heading">
    <w:name w:val="Heading"/>
    <w:basedOn w:val="Normal"/>
    <w:next w:val="BodyText"/>
    <w:qFormat/>
    <w:pPr>
      <w:keepNext/>
      <w:spacing w:before="24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pPr>
    <w:rPr>
      <w:rFonts w:cs="Lohit Devanagari"/>
      <w:i/>
      <w:iCs/>
      <w:szCs w:val="24"/>
    </w:rPr>
  </w:style>
  <w:style w:type="paragraph" w:customStyle="1" w:styleId="Index">
    <w:name w:val="Index"/>
    <w:basedOn w:val="Normal"/>
    <w:qFormat/>
    <w:pPr>
      <w:suppressLineNumbers/>
    </w:pPr>
    <w:rPr>
      <w:rFonts w:cs="Lohit Devanagari"/>
    </w:rPr>
  </w:style>
  <w:style w:type="paragraph" w:customStyle="1" w:styleId="TableCaption">
    <w:name w:val="Table Caption"/>
    <w:qFormat/>
    <w:rsid w:val="009815C6"/>
    <w:pPr>
      <w:keepNext/>
      <w:keepLines/>
      <w:spacing w:before="160" w:after="80" w:line="276" w:lineRule="auto"/>
    </w:pPr>
    <w:rPr>
      <w:rFonts w:ascii="Arial" w:eastAsia="Times New Roman" w:hAnsi="Arial"/>
      <w:b/>
      <w:color w:val="17365D"/>
      <w:sz w:val="20"/>
    </w:rPr>
  </w:style>
  <w:style w:type="paragraph" w:customStyle="1" w:styleId="SourceNote">
    <w:name w:val="Source Note"/>
    <w:qFormat/>
    <w:rsid w:val="009815C6"/>
    <w:pPr>
      <w:keepLines/>
      <w:spacing w:before="60" w:after="140" w:line="276" w:lineRule="auto"/>
    </w:pPr>
    <w:rPr>
      <w:rFonts w:ascii="Times New Roman" w:eastAsia="Times New Roman" w:hAnsi="Times New Roman"/>
      <w:i/>
      <w:color w:val="687386"/>
      <w:sz w:val="18"/>
    </w:rPr>
  </w:style>
  <w:style w:type="paragraph" w:customStyle="1" w:styleId="Figure">
    <w:name w:val="Figure"/>
    <w:qFormat/>
    <w:rsid w:val="00BD6890"/>
    <w:pPr>
      <w:keepNext/>
      <w:keepLines/>
      <w:spacing w:before="120" w:after="60" w:line="276" w:lineRule="auto"/>
      <w:jc w:val="center"/>
    </w:pPr>
    <w:rPr>
      <w:rFonts w:ascii="Calibri" w:eastAsiaTheme="minorEastAsia" w:hAnsi="Calibri"/>
    </w:rPr>
  </w:style>
  <w:style w:type="paragraph" w:styleId="ListParagraph">
    <w:name w:val="List Paragraph"/>
    <w:basedOn w:val="Normal"/>
    <w:uiPriority w:val="34"/>
    <w:qFormat/>
    <w:rsid w:val="00BD6890"/>
    <w:pPr>
      <w:ind w:left="720"/>
      <w:contextualSpacing/>
    </w:pPr>
  </w:style>
  <w:style w:type="paragraph" w:customStyle="1" w:styleId="FigureCaption">
    <w:name w:val="Figure Caption"/>
    <w:qFormat/>
    <w:rsid w:val="00E531E5"/>
    <w:pPr>
      <w:keepLines/>
      <w:spacing w:after="60" w:line="276" w:lineRule="auto"/>
      <w:jc w:val="center"/>
    </w:pPr>
    <w:rPr>
      <w:rFonts w:ascii="Arial" w:eastAsia="Times New Roman" w:hAnsi="Arial"/>
      <w:i/>
      <w:color w:val="3B4654"/>
      <w:sz w:val="20"/>
    </w:rPr>
  </w:style>
  <w:style w:type="paragraph" w:customStyle="1" w:styleId="Reference">
    <w:name w:val="Reference"/>
    <w:qFormat/>
    <w:rsid w:val="00436596"/>
    <w:pPr>
      <w:spacing w:after="120" w:line="276" w:lineRule="auto"/>
      <w:ind w:left="425" w:hanging="425"/>
    </w:pPr>
    <w:rPr>
      <w:rFonts w:ascii="Times New Roman" w:eastAsia="Times New Roman" w:hAnsi="Times New Roman"/>
      <w:color w:val="111111"/>
      <w:sz w:val="21"/>
    </w:rPr>
  </w:style>
  <w:style w:type="paragraph" w:customStyle="1" w:styleId="HeaderandFooter">
    <w:name w:val="Header and Footer"/>
    <w:basedOn w:val="Normal"/>
    <w:qFormat/>
  </w:style>
  <w:style w:type="paragraph" w:styleId="Header">
    <w:name w:val="header"/>
    <w:basedOn w:val="Normal"/>
    <w:link w:val="HeaderChar"/>
    <w:uiPriority w:val="99"/>
    <w:unhideWhenUsed/>
    <w:rsid w:val="00FD21D8"/>
    <w:pPr>
      <w:tabs>
        <w:tab w:val="center" w:pos="4680"/>
        <w:tab w:val="right" w:pos="9360"/>
      </w:tabs>
      <w:spacing w:after="0" w:line="240" w:lineRule="auto"/>
    </w:pPr>
  </w:style>
  <w:style w:type="paragraph" w:styleId="Footer">
    <w:name w:val="footer"/>
    <w:basedOn w:val="Normal"/>
    <w:link w:val="FooterChar"/>
    <w:uiPriority w:val="99"/>
    <w:unhideWhenUsed/>
    <w:rsid w:val="00FD21D8"/>
    <w:pPr>
      <w:tabs>
        <w:tab w:val="center" w:pos="4680"/>
        <w:tab w:val="right" w:pos="9360"/>
      </w:tabs>
      <w:spacing w:after="0" w:line="240" w:lineRule="auto"/>
    </w:pPr>
  </w:style>
  <w:style w:type="paragraph" w:customStyle="1" w:styleId="FrontMatterHeading">
    <w:name w:val="Front Matter Heading"/>
    <w:qFormat/>
    <w:rsid w:val="008943BB"/>
    <w:pPr>
      <w:keepNext/>
      <w:spacing w:after="320" w:line="276" w:lineRule="auto"/>
    </w:pPr>
    <w:rPr>
      <w:rFonts w:ascii="Times New Roman" w:eastAsia="Times New Roman" w:hAnsi="Times New Roman"/>
      <w:b/>
      <w:color w:val="17365D"/>
      <w:sz w:val="34"/>
    </w:rPr>
  </w:style>
  <w:style w:type="paragraph" w:customStyle="1" w:styleId="DeclarationBody">
    <w:name w:val="Declaration Body"/>
    <w:qFormat/>
    <w:rsid w:val="008943BB"/>
    <w:pPr>
      <w:spacing w:after="200" w:line="336" w:lineRule="auto"/>
    </w:pPr>
    <w:rPr>
      <w:rFonts w:ascii="Times New Roman" w:eastAsia="Times New Roman" w:hAnsi="Times New Roman"/>
      <w:color w:val="111111"/>
      <w:sz w:val="23"/>
    </w:rPr>
  </w:style>
  <w:style w:type="paragraph" w:styleId="IndexHeading">
    <w:name w:val="index heading"/>
    <w:basedOn w:val="Heading"/>
  </w:style>
  <w:style w:type="paragraph" w:styleId="TOCHeading">
    <w:name w:val="TOC Heading"/>
    <w:basedOn w:val="Heading1"/>
    <w:next w:val="Normal"/>
    <w:uiPriority w:val="39"/>
    <w:unhideWhenUsed/>
    <w:qFormat/>
    <w:rsid w:val="00E62B0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62B04"/>
    <w:pPr>
      <w:spacing w:after="100"/>
    </w:pPr>
  </w:style>
  <w:style w:type="paragraph" w:styleId="TOC2">
    <w:name w:val="toc 2"/>
    <w:basedOn w:val="Normal"/>
    <w:next w:val="Normal"/>
    <w:autoRedefine/>
    <w:uiPriority w:val="39"/>
    <w:unhideWhenUsed/>
    <w:rsid w:val="00E62B04"/>
    <w:pPr>
      <w:spacing w:after="100"/>
      <w:ind w:left="240"/>
    </w:pPr>
  </w:style>
  <w:style w:type="paragraph" w:styleId="TOC3">
    <w:name w:val="toc 3"/>
    <w:basedOn w:val="Normal"/>
    <w:next w:val="Normal"/>
    <w:autoRedefine/>
    <w:uiPriority w:val="39"/>
    <w:unhideWhenUsed/>
    <w:rsid w:val="00E62B0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991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780887.2020.1769238" TargetMode="External"/><Relationship Id="rId21" Type="http://schemas.openxmlformats.org/officeDocument/2006/relationships/image" Target="media/image6.png"/><Relationship Id="rId42" Type="http://schemas.openxmlformats.org/officeDocument/2006/relationships/hyperlink" Target="https://doi.org/10.2308/accr-51383" TargetMode="External"/><Relationship Id="rId47" Type="http://schemas.openxmlformats.org/officeDocument/2006/relationships/hyperlink" Target="https://www.pwc.com/gx/en/issues/c-suite-insights/voice-of-the-consumer-survey/2024.html" TargetMode="External"/><Relationship Id="rId63" Type="http://schemas.openxmlformats.org/officeDocument/2006/relationships/hyperlink" Target="https://doi.org/10.1007/s40821-024-00254-x" TargetMode="External"/><Relationship Id="rId68" Type="http://schemas.openxmlformats.org/officeDocument/2006/relationships/hyperlink" Target="https://doi.org/10.1111/fima.12413" TargetMode="External"/><Relationship Id="rId84" Type="http://schemas.openxmlformats.org/officeDocument/2006/relationships/hyperlink" Target="https://www.business-humanrights.org/en/from-us/briefings/2023-knowthechain-apparel-footwear-benchmark/" TargetMode="External"/><Relationship Id="rId89" Type="http://schemas.openxmlformats.org/officeDocument/2006/relationships/fontTable" Target="fontTable.xml"/><Relationship Id="rId16" Type="http://schemas.openxmlformats.org/officeDocument/2006/relationships/footer" Target="footer6.xml"/><Relationship Id="rId11" Type="http://schemas.openxmlformats.org/officeDocument/2006/relationships/footer" Target="footer1.xml"/><Relationship Id="rId32" Type="http://schemas.openxmlformats.org/officeDocument/2006/relationships/hyperlink" Target="https://www.deloitte.com/uk/en/Industries/consumer/perspectives/the-sustainable-consumer.html" TargetMode="External"/><Relationship Id="rId37" Type="http://schemas.openxmlformats.org/officeDocument/2006/relationships/hyperlink" Target="https://equileap.com/wp-content/uploads/2024/02/Equileap_2024_Gender_Equality_Report_Developed_Markets.pdf" TargetMode="External"/><Relationship Id="rId53" Type="http://schemas.openxmlformats.org/officeDocument/2006/relationships/hyperlink" Target="https://doi.org/10.1016/j.ribaf.2020.101192" TargetMode="External"/><Relationship Id="rId58" Type="http://schemas.openxmlformats.org/officeDocument/2006/relationships/hyperlink" Target="https://doi.org/10.1016/j.bir.2022.11.006" TargetMode="External"/><Relationship Id="rId74" Type="http://schemas.openxmlformats.org/officeDocument/2006/relationships/hyperlink" Target="https://doi.org/10.5465/amr.1995.9508080335" TargetMode="External"/><Relationship Id="rId79" Type="http://schemas.openxmlformats.org/officeDocument/2006/relationships/hyperlink" Target="https://doi.org/10.5465/amr.1995.9508080331"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footer" Target="footer4.xml"/><Relationship Id="rId22" Type="http://schemas.openxmlformats.org/officeDocument/2006/relationships/hyperlink" Target="https://doi.org/10.1093/rcfs/cfaa011" TargetMode="External"/><Relationship Id="rId27" Type="http://schemas.openxmlformats.org/officeDocument/2006/relationships/hyperlink" Target="https://doi.org/10.1016/j.frl.2020.101716" TargetMode="External"/><Relationship Id="rId30" Type="http://schemas.openxmlformats.org/officeDocument/2006/relationships/hyperlink" Target="https://doi.org/10.1007/s11142-021-09609-5" TargetMode="External"/><Relationship Id="rId35" Type="http://schemas.openxmlformats.org/officeDocument/2006/relationships/hyperlink" Target="https://doi.org/10.1016/j.jik.2024.100648" TargetMode="External"/><Relationship Id="rId43" Type="http://schemas.openxmlformats.org/officeDocument/2006/relationships/hyperlink" Target="https://www.business-humanrights.org/en/from-us/briefings/2023-knowthechain-apparel-footwear-benchmark/" TargetMode="External"/><Relationship Id="rId48" Type="http://schemas.openxmlformats.org/officeDocument/2006/relationships/hyperlink" Target="https://doi.org/10.1016/j.jfineco.2020.12.011" TargetMode="External"/><Relationship Id="rId56" Type="http://schemas.openxmlformats.org/officeDocument/2006/relationships/footer" Target="footer9.xml"/><Relationship Id="rId64" Type="http://schemas.openxmlformats.org/officeDocument/2006/relationships/hyperlink" Target="https://doi.org/10.2308/TAR-2019-0506" TargetMode="External"/><Relationship Id="rId69" Type="http://schemas.openxmlformats.org/officeDocument/2006/relationships/hyperlink" Target="https://doi.org/10.1016/j.jbusres.2022.05.010" TargetMode="External"/><Relationship Id="rId77" Type="http://schemas.openxmlformats.org/officeDocument/2006/relationships/hyperlink" Target="https://doi.org/10.1016/j.jfineco.2020.12.011" TargetMode="External"/><Relationship Id="rId8" Type="http://schemas.openxmlformats.org/officeDocument/2006/relationships/image" Target="media/image1.png"/><Relationship Id="rId51" Type="http://schemas.openxmlformats.org/officeDocument/2006/relationships/hyperlink" Target="https://www.unilever.com/investors/annual-report-and-accounts/archive-of-annual-report-and-accounts/" TargetMode="External"/><Relationship Id="rId72" Type="http://schemas.openxmlformats.org/officeDocument/2006/relationships/hyperlink" Target="https://doi.org/10.1016/j.jcorpfin.2021.101889" TargetMode="External"/><Relationship Id="rId80" Type="http://schemas.openxmlformats.org/officeDocument/2006/relationships/hyperlink" Target="https://doi.org/10.1002/bse.3692" TargetMode="External"/><Relationship Id="rId85" Type="http://schemas.openxmlformats.org/officeDocument/2006/relationships/hyperlink" Target="https://www.mckinsey.com/industries/consumer-packaged-goods/our-insights/consumers-care-about-sustainability-and-back-it-up-with-their-wallets"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2.png"/><Relationship Id="rId25" Type="http://schemas.openxmlformats.org/officeDocument/2006/relationships/hyperlink" Target="https://doi.org/10.1093/rof/rfac033" TargetMode="External"/><Relationship Id="rId33" Type="http://schemas.openxmlformats.org/officeDocument/2006/relationships/hyperlink" Target="https://www.gov.uk/government/publications/uk-sustainability-reporting-standards-uk-srs-s1-and-uk-srs-s2" TargetMode="External"/><Relationship Id="rId38" Type="http://schemas.openxmlformats.org/officeDocument/2006/relationships/hyperlink" Target="https://doi.org/10.1016/j.jbusres.2022.05.010" TargetMode="External"/><Relationship Id="rId46" Type="http://schemas.openxmlformats.org/officeDocument/2006/relationships/hyperlink" Target="https://doi.org/10.1007/s12208-025-00452-x" TargetMode="External"/><Relationship Id="rId59" Type="http://schemas.openxmlformats.org/officeDocument/2006/relationships/hyperlink" Target="https://doi.org/10.1177/014920639101700108" TargetMode="External"/><Relationship Id="rId67" Type="http://schemas.openxmlformats.org/officeDocument/2006/relationships/hyperlink" Target="https://doi.org/10.1016/j.jik.2024.100648" TargetMode="External"/><Relationship Id="rId20" Type="http://schemas.openxmlformats.org/officeDocument/2006/relationships/image" Target="media/image5.png"/><Relationship Id="rId41" Type="http://schemas.openxmlformats.org/officeDocument/2006/relationships/hyperlink" Target="https://doi.org/10.1016/j.jcorpfin.2021.101889" TargetMode="External"/><Relationship Id="rId54" Type="http://schemas.openxmlformats.org/officeDocument/2006/relationships/footer" Target="footer7.xml"/><Relationship Id="rId62" Type="http://schemas.openxmlformats.org/officeDocument/2006/relationships/hyperlink" Target="https://doi.org/10.1016/j.frl.2020.101716" TargetMode="External"/><Relationship Id="rId70" Type="http://schemas.openxmlformats.org/officeDocument/2006/relationships/hyperlink" Target="https://doi.org/10.1002/bse.2482" TargetMode="External"/><Relationship Id="rId75" Type="http://schemas.openxmlformats.org/officeDocument/2006/relationships/hyperlink" Target="https://doi.org/10.1016/j.heliyon.2023.e20974" TargetMode="External"/><Relationship Id="rId83" Type="http://schemas.openxmlformats.org/officeDocument/2006/relationships/hyperlink" Target="https://equileap.com/wp-content/uploads/2024/02/Equileap_2024_Gender_Equality_Report_Developed_Markets.pdf" TargetMode="External"/><Relationship Id="rId88"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5.xml"/><Relationship Id="rId23" Type="http://schemas.openxmlformats.org/officeDocument/2006/relationships/hyperlink" Target="https://doi.org/10.1016/j.bir.2022.11.006" TargetMode="External"/><Relationship Id="rId28" Type="http://schemas.openxmlformats.org/officeDocument/2006/relationships/hyperlink" Target="https://doi.org/10.1007/s40821-024-00254-x" TargetMode="External"/><Relationship Id="rId36" Type="http://schemas.openxmlformats.org/officeDocument/2006/relationships/hyperlink" Target="https://doi.org/10.1111/fima.12413" TargetMode="External"/><Relationship Id="rId49" Type="http://schemas.openxmlformats.org/officeDocument/2006/relationships/hyperlink" Target="https://doi.org/10.1007/s11301-023-00337-5" TargetMode="External"/><Relationship Id="rId57" Type="http://schemas.openxmlformats.org/officeDocument/2006/relationships/hyperlink" Target="https://doi.org/10.1093/rcfs/cfaa011" TargetMode="External"/><Relationship Id="rId10" Type="http://schemas.openxmlformats.org/officeDocument/2006/relationships/image" Target="media/image10.png"/><Relationship Id="rId31" Type="http://schemas.openxmlformats.org/officeDocument/2006/relationships/hyperlink" Target="https://doi.org/10.1186/s12302-020-0300-3" TargetMode="External"/><Relationship Id="rId44" Type="http://schemas.openxmlformats.org/officeDocument/2006/relationships/hyperlink" Target="https://www.mckinsey.com/industries/consumer-packaged-goods/our-insights/consumers-care-about-sustainability-and-back-it-up-with-their-wallets" TargetMode="External"/><Relationship Id="rId52" Type="http://schemas.openxmlformats.org/officeDocument/2006/relationships/hyperlink" Target="https://doi.org/10.1002/bse.3692" TargetMode="External"/><Relationship Id="rId60" Type="http://schemas.openxmlformats.org/officeDocument/2006/relationships/hyperlink" Target="https://doi.org/10.1093/rof/rfac033" TargetMode="External"/><Relationship Id="rId65" Type="http://schemas.openxmlformats.org/officeDocument/2006/relationships/hyperlink" Target="https://doi.org/10.1007/s11142-021-09609-5" TargetMode="External"/><Relationship Id="rId73" Type="http://schemas.openxmlformats.org/officeDocument/2006/relationships/hyperlink" Target="https://doi.org/10.2308/accr-51383" TargetMode="External"/><Relationship Id="rId78" Type="http://schemas.openxmlformats.org/officeDocument/2006/relationships/hyperlink" Target="https://doi.org/10.1007/s11301-023-00337-5" TargetMode="External"/><Relationship Id="rId81" Type="http://schemas.openxmlformats.org/officeDocument/2006/relationships/hyperlink" Target="https://doi.org/10.1016/j.ribaf.2020.101192" TargetMode="External"/><Relationship Id="rId86" Type="http://schemas.openxmlformats.org/officeDocument/2006/relationships/hyperlink" Target="https://www.pwc.com/gx/en/issues/c-suite-insights/voice-of-the-consumer-survey/2024.html"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footer" Target="footer3.xml"/><Relationship Id="rId18" Type="http://schemas.openxmlformats.org/officeDocument/2006/relationships/image" Target="media/image3.png"/><Relationship Id="rId39" Type="http://schemas.openxmlformats.org/officeDocument/2006/relationships/hyperlink" Target="https://doi.org/10.1002/bse.2482" TargetMode="External"/><Relationship Id="rId34" Type="http://schemas.openxmlformats.org/officeDocument/2006/relationships/hyperlink" Target="https://www.diageo.com/en/investors/results-reports-and-events/annual-reports" TargetMode="External"/><Relationship Id="rId50" Type="http://schemas.openxmlformats.org/officeDocument/2006/relationships/hyperlink" Target="https://doi.org/10.5465/amr.1995.9508080331" TargetMode="External"/><Relationship Id="rId55" Type="http://schemas.openxmlformats.org/officeDocument/2006/relationships/footer" Target="footer8.xml"/><Relationship Id="rId76" Type="http://schemas.openxmlformats.org/officeDocument/2006/relationships/hyperlink" Target="https://doi.org/10.1007/s12208-025-00452-x" TargetMode="External"/><Relationship Id="rId7" Type="http://schemas.openxmlformats.org/officeDocument/2006/relationships/endnotes" Target="endnotes.xml"/><Relationship Id="rId71" Type="http://schemas.openxmlformats.org/officeDocument/2006/relationships/hyperlink" Target="https://doi.org/10.1007/s10997-023-09683-8" TargetMode="External"/><Relationship Id="rId2" Type="http://schemas.openxmlformats.org/officeDocument/2006/relationships/numbering" Target="numbering.xml"/><Relationship Id="rId29" Type="http://schemas.openxmlformats.org/officeDocument/2006/relationships/hyperlink" Target="https://doi.org/10.2308/TAR-2019-0506" TargetMode="External"/><Relationship Id="rId24" Type="http://schemas.openxmlformats.org/officeDocument/2006/relationships/hyperlink" Target="https://doi.org/10.1177/014920639101700108" TargetMode="External"/><Relationship Id="rId40" Type="http://schemas.openxmlformats.org/officeDocument/2006/relationships/hyperlink" Target="https://doi.org/10.1007/s10997-023-09683-8" TargetMode="External"/><Relationship Id="rId45" Type="http://schemas.openxmlformats.org/officeDocument/2006/relationships/hyperlink" Target="https://doi.org/10.1016/j.heliyon.2023.e20974" TargetMode="External"/><Relationship Id="rId66" Type="http://schemas.openxmlformats.org/officeDocument/2006/relationships/hyperlink" Target="https://doi.org/10.1186/s12302-020-0300-3" TargetMode="External"/><Relationship Id="rId87" Type="http://schemas.openxmlformats.org/officeDocument/2006/relationships/hyperlink" Target="https://www.stern.nyu.edu/sites/default/files/assets/documents/NYU-RAM_ESG-Paper_2021.pdf" TargetMode="External"/><Relationship Id="rId61" Type="http://schemas.openxmlformats.org/officeDocument/2006/relationships/hyperlink" Target="https://doi.org/10.1080/14780887.2020.1769238" TargetMode="External"/><Relationship Id="rId82" Type="http://schemas.openxmlformats.org/officeDocument/2006/relationships/hyperlink" Target="https://www.deloitte.com/uk/en/Industries/consumer/perspectives/the-sustainable-consumer.html" TargetMode="External"/><Relationship Id="rId1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C2AE9-9F07-422C-A829-384F6F969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83</Pages>
  <Words>27625</Words>
  <Characters>157465</Characters>
  <Application>Microsoft Office Word</Application>
  <DocSecurity>0</DocSecurity>
  <Lines>1312</Lines>
  <Paragraphs>369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Resvy Ahmed</dc:creator>
  <cp:lastModifiedBy>..</cp:lastModifiedBy>
  <cp:revision>7</cp:revision>
  <dcterms:created xsi:type="dcterms:W3CDTF">2026-09-20T17:19:00Z</dcterms:created>
  <dcterms:modified xsi:type="dcterms:W3CDTF">2026-09-20T22:57:00Z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2026-08-28T08:13:00Z</dcterms:created>
  <dc:creator>Resvy Ahmed</dc:creator>
  <dc:description/>
  <dc:language>en-US</dc:language>
  <cp:lastModifiedBy/>
  <dcterms:modified xsi:type="dcterms:W3CDTF">2026-09-20T10:07:40Z</dcterms:modified>
  <cp:revision>7</cp:revision>
  <dc:subject/>
  <dc:title/>
</cp:coreProperties>
</file>