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4DA08" w14:textId="77777777" w:rsidR="0030146E" w:rsidRPr="00F84261" w:rsidRDefault="0030146E" w:rsidP="0030146E">
      <w:pPr>
        <w:jc w:val="both"/>
        <w:rPr>
          <w:color w:val="auto"/>
        </w:rPr>
      </w:pPr>
      <w:r w:rsidRPr="00F84261">
        <w:rPr>
          <w:rFonts w:eastAsia="Arial"/>
          <w:color w:val="auto"/>
        </w:rPr>
        <w:t xml:space="preserve">Focussing on your initial 6 months of learning and since being attested as a Police Constable, </w:t>
      </w:r>
      <w:r w:rsidRPr="00F84261">
        <w:rPr>
          <w:rFonts w:eastAsia="Arial"/>
          <w:b/>
          <w:bCs/>
          <w:color w:val="auto"/>
        </w:rPr>
        <w:t>discuss and compare</w:t>
      </w:r>
      <w:r w:rsidRPr="00F84261">
        <w:rPr>
          <w:rFonts w:eastAsia="Arial"/>
          <w:color w:val="auto"/>
        </w:rPr>
        <w:t xml:space="preserve"> the </w:t>
      </w:r>
      <w:r w:rsidRPr="00F84261">
        <w:rPr>
          <w:rFonts w:eastAsia="Arial"/>
          <w:color w:val="auto"/>
          <w:u w:val="single"/>
        </w:rPr>
        <w:t>coping strategies</w:t>
      </w:r>
      <w:r w:rsidRPr="00F84261">
        <w:rPr>
          <w:rFonts w:eastAsia="Arial"/>
          <w:color w:val="auto"/>
        </w:rPr>
        <w:t xml:space="preserve"> you have applied to develop resilience and minimise stress.</w:t>
      </w:r>
    </w:p>
    <w:p w14:paraId="7D95825F" w14:textId="77777777" w:rsidR="00AC39F4" w:rsidRDefault="00AC39F4"/>
    <w:p w14:paraId="2EA039C3" w14:textId="77777777" w:rsidR="0030146E" w:rsidRP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In this essay I will be discussing the coping strategies I have applied during my initial training to minimise stress and develop resilience. I will be reviewing several reflective models and their efficiency, which have assisted me in improving my own abilities to reflect and subsist the challenges presented by initial training. I will also be considering the causes and impacts of high stress on performance, and what tools might be used to combat this and aid with developing resilience.</w:t>
      </w:r>
    </w:p>
    <w:p w14:paraId="53D4AFED" w14:textId="77777777" w:rsidR="0030146E" w:rsidRPr="0030146E" w:rsidRDefault="0030146E" w:rsidP="0030146E">
      <w:pPr>
        <w:rPr>
          <w:rFonts w:ascii="Times New Roman" w:hAnsi="Times New Roman" w:cs="Times New Roman"/>
          <w:sz w:val="22"/>
          <w:szCs w:val="22"/>
        </w:rPr>
      </w:pPr>
    </w:p>
    <w:p w14:paraId="216DF8E2" w14:textId="77777777" w:rsidR="0030146E" w:rsidRP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During my initial training I experienced many challenges which may have caused higher levels of stress, such as: learning new material, difficult exams, and the pressure of practical assessments. Stress is both a physiological and psychological reaction to negative stimuli in the environment that may impact an individual’s functioning (Bernstein et al., 2008). The reasons employees struggle with workplace stress are multifaceted, however stress often arises when the individual does not have the tools to combat the difficulties they face (</w:t>
      </w:r>
      <w:proofErr w:type="spellStart"/>
      <w:r w:rsidRPr="0030146E">
        <w:rPr>
          <w:rFonts w:ascii="Times New Roman" w:hAnsi="Times New Roman" w:cs="Times New Roman"/>
          <w:sz w:val="22"/>
          <w:szCs w:val="22"/>
        </w:rPr>
        <w:t>Bhui</w:t>
      </w:r>
      <w:proofErr w:type="spellEnd"/>
      <w:r w:rsidRPr="0030146E">
        <w:rPr>
          <w:rFonts w:ascii="Times New Roman" w:hAnsi="Times New Roman" w:cs="Times New Roman"/>
          <w:sz w:val="22"/>
          <w:szCs w:val="22"/>
        </w:rPr>
        <w:t xml:space="preserve"> et al., 2016). </w:t>
      </w:r>
    </w:p>
    <w:p w14:paraId="12F1AB27" w14:textId="77777777" w:rsidR="0030146E" w:rsidRPr="0030146E" w:rsidRDefault="0030146E" w:rsidP="0030146E">
      <w:pPr>
        <w:rPr>
          <w:rFonts w:ascii="Times New Roman" w:hAnsi="Times New Roman" w:cs="Times New Roman"/>
          <w:sz w:val="22"/>
          <w:szCs w:val="22"/>
        </w:rPr>
      </w:pPr>
    </w:p>
    <w:p w14:paraId="5C3FC1B8" w14:textId="77777777" w:rsidR="0030146E" w:rsidRP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An individual might implement many coping strategies to mitigate the effects of stress in the workplace. I discovered that regular exercise and self-care were an effective way to manage my own stress. Exercise has a positive impact on the limbic regions of the brain by assisting in regulating dopamine and increasing positive emotions, which in turn helps eliminate stress (</w:t>
      </w:r>
      <w:proofErr w:type="spellStart"/>
      <w:r w:rsidRPr="0030146E">
        <w:rPr>
          <w:rFonts w:ascii="Times New Roman" w:hAnsi="Times New Roman" w:cs="Times New Roman"/>
          <w:sz w:val="22"/>
          <w:szCs w:val="22"/>
        </w:rPr>
        <w:t>Esch</w:t>
      </w:r>
      <w:proofErr w:type="spellEnd"/>
      <w:r w:rsidRPr="0030146E">
        <w:rPr>
          <w:rFonts w:ascii="Times New Roman" w:hAnsi="Times New Roman" w:cs="Times New Roman"/>
          <w:sz w:val="22"/>
          <w:szCs w:val="22"/>
        </w:rPr>
        <w:t xml:space="preserve"> et al., 2010). According to the American Psychology Association, self-reported surveys indicate that exercise is effective in reducing stress in up to 32% of adults. This survey used self-reported data which may be less reliable, however it offers a good insight into what people perceive as an effective coping mechanism to tackle stress. Nevertheless, the survey indicates that the majority of participants did not value exercise alone as tool to combat stress. Stults-</w:t>
      </w:r>
      <w:proofErr w:type="spellStart"/>
      <w:r w:rsidRPr="0030146E">
        <w:rPr>
          <w:rFonts w:ascii="Times New Roman" w:hAnsi="Times New Roman" w:cs="Times New Roman"/>
          <w:sz w:val="22"/>
          <w:szCs w:val="22"/>
        </w:rPr>
        <w:t>Kolehmainen</w:t>
      </w:r>
      <w:proofErr w:type="spellEnd"/>
      <w:r w:rsidRPr="0030146E">
        <w:rPr>
          <w:rFonts w:ascii="Times New Roman" w:hAnsi="Times New Roman" w:cs="Times New Roman"/>
          <w:sz w:val="22"/>
          <w:szCs w:val="22"/>
        </w:rPr>
        <w:t xml:space="preserve"> et al (2014), conducted a systematic review of stress and exercise research, concluding that stress can inhibit an individual’s motivation to partake in physical exercise, thus a combined approach of stress management programmes with exercise may be the most beneficial way to tackle stress. Although exercise may alleviate the physical impacts of stress, there are other coping methods that help with the psychological aspect of stress management. I found that using a range of tools in conjunction with one another helped maximise the benefits of stress management. </w:t>
      </w:r>
    </w:p>
    <w:p w14:paraId="14F7A5C9" w14:textId="77777777" w:rsidR="0030146E" w:rsidRPr="0030146E" w:rsidRDefault="0030146E" w:rsidP="0030146E">
      <w:pPr>
        <w:rPr>
          <w:rFonts w:ascii="Times New Roman" w:hAnsi="Times New Roman" w:cs="Times New Roman"/>
          <w:sz w:val="22"/>
          <w:szCs w:val="22"/>
        </w:rPr>
      </w:pPr>
    </w:p>
    <w:p w14:paraId="7B9FBFBF" w14:textId="77777777" w:rsidR="0030146E" w:rsidRP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 xml:space="preserve">Stress management models are used to reduce workplace stress and often involve elements of reflective practice </w:t>
      </w:r>
      <w:r w:rsidRPr="0030146E">
        <w:rPr>
          <w:rFonts w:ascii="Times New Roman" w:hAnsi="Times New Roman" w:cs="Times New Roman"/>
          <w:color w:val="auto"/>
          <w:sz w:val="22"/>
          <w:szCs w:val="22"/>
        </w:rPr>
        <w:t>(Lees et al., 1990).</w:t>
      </w:r>
      <w:r w:rsidRPr="0030146E">
        <w:rPr>
          <w:rFonts w:ascii="Times New Roman" w:hAnsi="Times New Roman" w:cs="Times New Roman"/>
          <w:color w:val="FF0000"/>
          <w:sz w:val="22"/>
          <w:szCs w:val="22"/>
        </w:rPr>
        <w:t xml:space="preserve"> </w:t>
      </w:r>
      <w:r w:rsidRPr="0030146E">
        <w:rPr>
          <w:rFonts w:ascii="Times New Roman" w:hAnsi="Times New Roman" w:cs="Times New Roman"/>
          <w:sz w:val="22"/>
          <w:szCs w:val="22"/>
        </w:rPr>
        <w:t>Reflective practice has shown to reduce stress while encouraging learning and self-awareness (Contreras et al., 2020). Reflection is considered particularly crucial to development in a training environment that uses simulation-based education (</w:t>
      </w:r>
      <w:proofErr w:type="spellStart"/>
      <w:r w:rsidRPr="0030146E">
        <w:rPr>
          <w:rFonts w:ascii="Times New Roman" w:hAnsi="Times New Roman" w:cs="Times New Roman"/>
          <w:sz w:val="22"/>
          <w:szCs w:val="22"/>
        </w:rPr>
        <w:t>Husebo</w:t>
      </w:r>
      <w:proofErr w:type="spellEnd"/>
      <w:r w:rsidRPr="0030146E">
        <w:rPr>
          <w:rFonts w:ascii="Times New Roman" w:hAnsi="Times New Roman" w:cs="Times New Roman"/>
          <w:sz w:val="22"/>
          <w:szCs w:val="22"/>
        </w:rPr>
        <w:t xml:space="preserve"> et al., 2015), such as the practical exercises I undertook as a constable in initial training. A reflective practice which worked well for reducing my stress levels was the Gibbs Reflective Cycle (GRC). The GRC is a reflective model containing 6 steps outlining a different phase of reflection that prompts the individual to ask questions to themselves. The first step is to describe the experience, the second is to consider thoughts and feelings, the third is to evaluate the experience as a whole, the fourth is to break down the experience and analyse it, the fifth is to conclude what was learned and the final stage is to create a plan in which could be done differently next time. I believe this step-by-step process of reflection helped to reduce my stress by giving me more control over the positives and negatives of my experiences, and allowing me to fully expand on the experience and make changes to avoid any negative experience in the future. Research has shown that individuals who feel a loss of control feel more stress, and those who empower themselves by regaining a level of perceived control tend to cope better with stress (Sapolsky, 1994). </w:t>
      </w:r>
    </w:p>
    <w:p w14:paraId="3A8BF747" w14:textId="77777777" w:rsidR="0030146E" w:rsidRPr="0030146E" w:rsidRDefault="0030146E" w:rsidP="0030146E">
      <w:pPr>
        <w:rPr>
          <w:rFonts w:ascii="Times New Roman" w:hAnsi="Times New Roman" w:cs="Times New Roman"/>
          <w:sz w:val="22"/>
          <w:szCs w:val="22"/>
        </w:rPr>
      </w:pPr>
    </w:p>
    <w:p w14:paraId="269A200F" w14:textId="77777777" w:rsid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 xml:space="preserve">I found that by attempting to build resilience, my stress naturally became easier to manage. The American Psychology Association describes resilience involving “behaviours, thoughts, and actions that anyone can learn and develop” (APA, 2012). Workplace stressors have the ability to either hinder or promote an individual’s resilience (Crane &amp; Searle, 2016). I found that I build resilience by effectively managing my stress and facing certain challenges with a positive attitude. I found the more I continued to challenge myself, the more I felt I could succeed, which promoted my resilience to </w:t>
      </w:r>
      <w:r w:rsidRPr="0030146E">
        <w:rPr>
          <w:rFonts w:ascii="Times New Roman" w:hAnsi="Times New Roman" w:cs="Times New Roman"/>
          <w:sz w:val="22"/>
          <w:szCs w:val="22"/>
        </w:rPr>
        <w:lastRenderedPageBreak/>
        <w:t xml:space="preserve">future challenges. Positive emotions are associated with better resilience (Cohn, Fredrickson, Brown, </w:t>
      </w:r>
      <w:proofErr w:type="spellStart"/>
      <w:r w:rsidRPr="0030146E">
        <w:rPr>
          <w:rFonts w:ascii="Times New Roman" w:hAnsi="Times New Roman" w:cs="Times New Roman"/>
          <w:sz w:val="22"/>
          <w:szCs w:val="22"/>
        </w:rPr>
        <w:t>Mikels</w:t>
      </w:r>
      <w:proofErr w:type="spellEnd"/>
      <w:r w:rsidRPr="0030146E">
        <w:rPr>
          <w:rFonts w:ascii="Times New Roman" w:hAnsi="Times New Roman" w:cs="Times New Roman"/>
          <w:sz w:val="22"/>
          <w:szCs w:val="22"/>
        </w:rPr>
        <w:t xml:space="preserve"> &amp; Conway, 2009). Using reflective practices, such as GRC helped me to focus on the positives of my experiences and feel in control of any negative aspect, meaning my overall emotional state was more positive. </w:t>
      </w:r>
    </w:p>
    <w:p w14:paraId="680FFA28" w14:textId="77777777" w:rsidR="0030146E" w:rsidRPr="0030146E" w:rsidRDefault="0030146E" w:rsidP="0030146E">
      <w:pPr>
        <w:rPr>
          <w:rFonts w:ascii="Times New Roman" w:hAnsi="Times New Roman" w:cs="Times New Roman"/>
          <w:sz w:val="22"/>
          <w:szCs w:val="22"/>
        </w:rPr>
      </w:pPr>
    </w:p>
    <w:p w14:paraId="01CC9AF2" w14:textId="77777777" w:rsidR="0030146E" w:rsidRP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 xml:space="preserve">I also found that leaning on my colleagues during times of stress enabled me to better manage this process. Research has identified that positive colleague relationships can foster resilience in the workplace (Cooke, Wang &amp; </w:t>
      </w:r>
      <w:proofErr w:type="spellStart"/>
      <w:r w:rsidRPr="0030146E">
        <w:rPr>
          <w:rFonts w:ascii="Times New Roman" w:hAnsi="Times New Roman" w:cs="Times New Roman"/>
          <w:sz w:val="22"/>
          <w:szCs w:val="22"/>
        </w:rPr>
        <w:t>Bartam</w:t>
      </w:r>
      <w:proofErr w:type="spellEnd"/>
      <w:r w:rsidRPr="0030146E">
        <w:rPr>
          <w:rFonts w:ascii="Times New Roman" w:hAnsi="Times New Roman" w:cs="Times New Roman"/>
          <w:sz w:val="22"/>
          <w:szCs w:val="22"/>
        </w:rPr>
        <w:t xml:space="preserve">, 2018). Speaking to others who were experiencing the same stressors and challenges as myself was hugely beneficial to improving my wellbeing and perception of my experiences. I felt that I could empathise with them, and I realised that many of my own worries were shared by others, and to some degree it was just a natural response to being pushed out of my comfort zone. I found this made me feel more comfortable and resilient, and the more positively I responded to challenges the better the impact it had on my colleagues and vice versa. </w:t>
      </w:r>
    </w:p>
    <w:p w14:paraId="2160F1EF" w14:textId="77777777" w:rsidR="0030146E" w:rsidRPr="0030146E" w:rsidRDefault="0030146E" w:rsidP="0030146E">
      <w:pPr>
        <w:rPr>
          <w:rFonts w:ascii="Times New Roman" w:hAnsi="Times New Roman" w:cs="Times New Roman"/>
          <w:sz w:val="22"/>
          <w:szCs w:val="22"/>
        </w:rPr>
      </w:pPr>
    </w:p>
    <w:p w14:paraId="1F2E2443" w14:textId="77777777" w:rsidR="0030146E" w:rsidRPr="0030146E" w:rsidRDefault="0030146E" w:rsidP="0030146E">
      <w:pPr>
        <w:rPr>
          <w:rFonts w:ascii="Times New Roman" w:hAnsi="Times New Roman" w:cs="Times New Roman"/>
          <w:sz w:val="22"/>
          <w:szCs w:val="22"/>
        </w:rPr>
      </w:pPr>
      <w:r w:rsidRPr="0030146E">
        <w:rPr>
          <w:rFonts w:ascii="Times New Roman" w:hAnsi="Times New Roman" w:cs="Times New Roman"/>
          <w:sz w:val="22"/>
          <w:szCs w:val="22"/>
        </w:rPr>
        <w:t>To conclude, I used many different coping strategies to develop resilience and reduce my stress while in my initial police constable training. I feel that using a combination of different approaches helped me to succeed with this and achieve the outcomes I wanted from initial training. The approaches focused on improving overall wellbeing, such as reflection, exercise and maintaining good workplace relationships. I believe that by focusing on taking positive self-care of my physical and mental wellbeing I successfully built resilience and managed my stress effectively.</w:t>
      </w:r>
    </w:p>
    <w:p w14:paraId="0016A1AE" w14:textId="77777777" w:rsidR="0030146E" w:rsidRDefault="0030146E"/>
    <w:p w14:paraId="7001A6EC" w14:textId="77777777" w:rsidR="0030146E" w:rsidRDefault="0030146E"/>
    <w:p w14:paraId="28EBF015" w14:textId="77777777" w:rsidR="0030146E" w:rsidRDefault="0030146E"/>
    <w:p w14:paraId="2DBFA83B" w14:textId="77777777" w:rsidR="0030146E" w:rsidRDefault="0030146E"/>
    <w:p w14:paraId="483F9536" w14:textId="77777777" w:rsidR="0030146E" w:rsidRDefault="0030146E"/>
    <w:p w14:paraId="6372A3EA" w14:textId="77777777" w:rsidR="0030146E" w:rsidRDefault="0030146E"/>
    <w:p w14:paraId="711CA04A" w14:textId="77777777" w:rsidR="0030146E" w:rsidRDefault="0030146E"/>
    <w:p w14:paraId="54A97D35" w14:textId="77777777" w:rsidR="0030146E" w:rsidRDefault="0030146E"/>
    <w:p w14:paraId="67C86F9C" w14:textId="77777777" w:rsidR="0030146E" w:rsidRDefault="0030146E"/>
    <w:p w14:paraId="21A49054" w14:textId="77777777" w:rsidR="0030146E" w:rsidRDefault="0030146E"/>
    <w:p w14:paraId="114102F6" w14:textId="77777777" w:rsidR="0030146E" w:rsidRDefault="0030146E"/>
    <w:p w14:paraId="5EF39F12" w14:textId="77777777" w:rsidR="0030146E" w:rsidRDefault="0030146E"/>
    <w:p w14:paraId="4D671D8B" w14:textId="77777777" w:rsidR="0030146E" w:rsidRDefault="0030146E"/>
    <w:p w14:paraId="7E74BC53" w14:textId="77777777" w:rsidR="0030146E" w:rsidRDefault="0030146E"/>
    <w:p w14:paraId="78266CE3" w14:textId="77777777" w:rsidR="0030146E" w:rsidRDefault="0030146E"/>
    <w:p w14:paraId="3B94AA7F" w14:textId="77777777" w:rsidR="0030146E" w:rsidRDefault="0030146E"/>
    <w:p w14:paraId="0D942016" w14:textId="77777777" w:rsidR="0030146E" w:rsidRDefault="0030146E"/>
    <w:p w14:paraId="350BCC63" w14:textId="77777777" w:rsidR="0030146E" w:rsidRDefault="0030146E"/>
    <w:p w14:paraId="1EBA7F07" w14:textId="77777777" w:rsidR="0030146E" w:rsidRDefault="0030146E"/>
    <w:p w14:paraId="0FCA8E4B" w14:textId="77777777" w:rsidR="0030146E" w:rsidRDefault="0030146E"/>
    <w:p w14:paraId="67148DF1" w14:textId="77777777" w:rsidR="0030146E" w:rsidRDefault="0030146E"/>
    <w:p w14:paraId="10A86889" w14:textId="77777777" w:rsidR="0030146E" w:rsidRDefault="0030146E"/>
    <w:p w14:paraId="66D24F36" w14:textId="77777777" w:rsidR="0030146E" w:rsidRDefault="0030146E"/>
    <w:p w14:paraId="0037940E" w14:textId="77777777" w:rsidR="0030146E" w:rsidRDefault="0030146E"/>
    <w:p w14:paraId="435B22D8" w14:textId="77777777" w:rsidR="0030146E" w:rsidRDefault="0030146E"/>
    <w:p w14:paraId="3C29D398" w14:textId="77777777" w:rsidR="0030146E" w:rsidRDefault="0030146E"/>
    <w:p w14:paraId="48315F67" w14:textId="77777777" w:rsidR="0030146E" w:rsidRDefault="0030146E"/>
    <w:p w14:paraId="28DD9FE0" w14:textId="77777777" w:rsidR="0030146E" w:rsidRDefault="0030146E"/>
    <w:p w14:paraId="33195296" w14:textId="77777777" w:rsidR="0030146E" w:rsidRDefault="0030146E"/>
    <w:p w14:paraId="3245C666" w14:textId="77777777" w:rsidR="0030146E" w:rsidRDefault="0030146E"/>
    <w:p w14:paraId="5655FF47" w14:textId="77777777" w:rsidR="0030146E" w:rsidRDefault="0030146E"/>
    <w:p w14:paraId="78BE649B" w14:textId="77777777" w:rsidR="0030146E" w:rsidRDefault="0030146E"/>
    <w:p w14:paraId="4E05AE11" w14:textId="77777777" w:rsidR="0030146E" w:rsidRDefault="0030146E"/>
    <w:p w14:paraId="7CDACC76" w14:textId="77777777" w:rsidR="0030146E" w:rsidRDefault="0030146E"/>
    <w:p w14:paraId="45EEB639" w14:textId="77777777" w:rsidR="0030146E" w:rsidRDefault="0030146E"/>
    <w:p w14:paraId="7548D15D" w14:textId="77777777" w:rsidR="0030146E" w:rsidRDefault="0030146E"/>
    <w:p w14:paraId="029F862D" w14:textId="77777777" w:rsidR="00924ED5" w:rsidRDefault="00924ED5" w:rsidP="0030146E"/>
    <w:p w14:paraId="77110524" w14:textId="54D8220F" w:rsidR="0030146E" w:rsidRDefault="0030146E" w:rsidP="0030146E">
      <w:r w:rsidRPr="0030146E">
        <w:lastRenderedPageBreak/>
        <w:t xml:space="preserve">You must choose </w:t>
      </w:r>
      <w:r w:rsidRPr="0030146E">
        <w:rPr>
          <w:b/>
          <w:bCs/>
          <w:u w:val="single"/>
        </w:rPr>
        <w:t>a policing incident involving conflict</w:t>
      </w:r>
      <w:r w:rsidRPr="0030146E">
        <w:t xml:space="preserve"> in which you played a significant role with an offender/service user/victim and reflect on what happened. </w:t>
      </w:r>
    </w:p>
    <w:p w14:paraId="10B0CBE5" w14:textId="77777777" w:rsidR="0030146E" w:rsidRPr="0030146E" w:rsidRDefault="0030146E" w:rsidP="0030146E"/>
    <w:p w14:paraId="62FF1FE0" w14:textId="77777777" w:rsidR="0030146E" w:rsidRDefault="0030146E" w:rsidP="0030146E">
      <w:r w:rsidRPr="0030146E">
        <w:rPr>
          <w:b/>
          <w:bCs/>
        </w:rPr>
        <w:t>Critically assess</w:t>
      </w:r>
      <w:r w:rsidRPr="0030146E">
        <w:t xml:space="preserve"> the incident including social and legislative contexts and any relevant cultural, ethnicity and language issues. </w:t>
      </w:r>
    </w:p>
    <w:p w14:paraId="0BA3C73F" w14:textId="77777777" w:rsidR="0030146E" w:rsidRPr="0030146E" w:rsidRDefault="0030146E" w:rsidP="0030146E"/>
    <w:p w14:paraId="7076C07E" w14:textId="77777777" w:rsidR="0030146E" w:rsidRDefault="0030146E" w:rsidP="0030146E">
      <w:r w:rsidRPr="0030146E">
        <w:t>Consider the use of effective communication skills that you used within the incident.</w:t>
      </w:r>
    </w:p>
    <w:p w14:paraId="40456860" w14:textId="77777777" w:rsidR="0030146E" w:rsidRPr="0030146E" w:rsidRDefault="0030146E" w:rsidP="0030146E"/>
    <w:p w14:paraId="16C3A61A" w14:textId="77777777" w:rsidR="0030146E" w:rsidRPr="001767B3" w:rsidRDefault="0030146E" w:rsidP="0030146E">
      <w:r w:rsidRPr="0030146E">
        <w:rPr>
          <w:b/>
          <w:bCs/>
        </w:rPr>
        <w:t>Reflecting</w:t>
      </w:r>
      <w:r w:rsidRPr="0030146E">
        <w:t xml:space="preserve"> upon your incident, critically evaluate any theories or models underpinning the causes of conflict within policing interventions. (Examples would include, </w:t>
      </w:r>
      <w:proofErr w:type="spellStart"/>
      <w:r w:rsidRPr="0030146E">
        <w:t>Betaris</w:t>
      </w:r>
      <w:proofErr w:type="spellEnd"/>
      <w:r w:rsidRPr="0030146E">
        <w:t xml:space="preserve"> Box, The Drama Triangle).</w:t>
      </w:r>
      <w:r w:rsidRPr="001767B3">
        <w:t xml:space="preserve"> </w:t>
      </w:r>
    </w:p>
    <w:p w14:paraId="3933FB93" w14:textId="77777777" w:rsidR="0030146E" w:rsidRDefault="0030146E"/>
    <w:p w14:paraId="4889D131" w14:textId="77777777" w:rsidR="0030146E" w:rsidRDefault="0030146E"/>
    <w:p w14:paraId="22F16070" w14:textId="77777777" w:rsidR="0030146E" w:rsidRPr="00F84261" w:rsidRDefault="0030146E" w:rsidP="0030146E">
      <w:pPr>
        <w:rPr>
          <w:rFonts w:ascii="Times New Roman" w:hAnsi="Times New Roman" w:cs="Times New Roman"/>
          <w:sz w:val="22"/>
          <w:szCs w:val="22"/>
        </w:rPr>
      </w:pPr>
      <w:r w:rsidRPr="00F84261">
        <w:rPr>
          <w:rFonts w:ascii="Times New Roman" w:hAnsi="Times New Roman" w:cs="Times New Roman"/>
          <w:sz w:val="22"/>
          <w:szCs w:val="22"/>
        </w:rPr>
        <w:t xml:space="preserve">In this essay I will discuss an incident I attended as a response police officer involving a distressed female undergoing a mental health crisis. I will reflect upon my actions during this incident and the strategies I employed to minimise the conflict involved in the situation. I will consider the relevant theories and models underpinning the causes of conflict within policing interventions, and critically assess any relevant social and legislative contexts. </w:t>
      </w:r>
    </w:p>
    <w:p w14:paraId="29E80199" w14:textId="77777777" w:rsidR="0030146E" w:rsidRPr="00F84261" w:rsidRDefault="0030146E" w:rsidP="0030146E">
      <w:pPr>
        <w:rPr>
          <w:rFonts w:ascii="Times New Roman" w:hAnsi="Times New Roman" w:cs="Times New Roman"/>
          <w:sz w:val="22"/>
          <w:szCs w:val="22"/>
        </w:rPr>
      </w:pPr>
    </w:p>
    <w:p w14:paraId="210D5FD6" w14:textId="77777777" w:rsidR="0030146E" w:rsidRPr="00F84261" w:rsidRDefault="0030146E" w:rsidP="0030146E">
      <w:pPr>
        <w:tabs>
          <w:tab w:val="left" w:pos="1400"/>
        </w:tabs>
        <w:rPr>
          <w:rFonts w:ascii="Times New Roman" w:hAnsi="Times New Roman" w:cs="Times New Roman"/>
          <w:sz w:val="22"/>
          <w:szCs w:val="22"/>
        </w:rPr>
      </w:pPr>
      <w:r w:rsidRPr="00F84261">
        <w:rPr>
          <w:rFonts w:ascii="Times New Roman" w:hAnsi="Times New Roman" w:cs="Times New Roman"/>
          <w:sz w:val="22"/>
          <w:szCs w:val="22"/>
        </w:rPr>
        <w:t>Conflict is</w:t>
      </w:r>
      <w:r w:rsidRPr="00F84261">
        <w:rPr>
          <w:sz w:val="22"/>
          <w:szCs w:val="22"/>
        </w:rPr>
        <w:t xml:space="preserve"> </w:t>
      </w:r>
      <w:r w:rsidRPr="00F84261">
        <w:rPr>
          <w:rFonts w:ascii="Times New Roman" w:hAnsi="Times New Roman" w:cs="Times New Roman"/>
          <w:sz w:val="22"/>
          <w:szCs w:val="22"/>
        </w:rPr>
        <w:t>heavily entwined in the role of a response police officer. Conflict in the context of this role encompasses a great number of different scenarios, often as a result of two conflicting ideas and objectives that come with the nature of police work. Conflict can arise suddenly and unexpectedly while policing due to the high-tension situations officers attend. Furthermore, it is best to approach each scenario involving conflict armed with a variety of techniques to diffuse any developing tension. From my short experience on response policing, I learnt that different techniques work well with some individuals and poorly with others, making it important to consistently reflect and re-assess my own behaviour and how that impacts on the individual or individuals I am approaching.</w:t>
      </w:r>
    </w:p>
    <w:p w14:paraId="3145E320" w14:textId="77777777" w:rsidR="004F6606" w:rsidRPr="00F84261" w:rsidRDefault="004F6606" w:rsidP="0030146E">
      <w:pPr>
        <w:tabs>
          <w:tab w:val="left" w:pos="1400"/>
        </w:tabs>
        <w:rPr>
          <w:rFonts w:ascii="Times New Roman" w:hAnsi="Times New Roman" w:cs="Times New Roman"/>
          <w:sz w:val="22"/>
          <w:szCs w:val="22"/>
        </w:rPr>
      </w:pPr>
    </w:p>
    <w:p w14:paraId="19226298" w14:textId="77777777" w:rsidR="0030146E" w:rsidRPr="00F84261" w:rsidRDefault="0030146E" w:rsidP="0030146E">
      <w:pPr>
        <w:tabs>
          <w:tab w:val="left" w:pos="1400"/>
        </w:tabs>
        <w:rPr>
          <w:rFonts w:ascii="Times New Roman" w:hAnsi="Times New Roman" w:cs="Times New Roman"/>
          <w:sz w:val="22"/>
          <w:szCs w:val="22"/>
        </w:rPr>
      </w:pPr>
      <w:r w:rsidRPr="00F84261">
        <w:rPr>
          <w:rFonts w:ascii="Times New Roman" w:hAnsi="Times New Roman" w:cs="Times New Roman"/>
          <w:sz w:val="22"/>
          <w:szCs w:val="22"/>
        </w:rPr>
        <w:t xml:space="preserve">The incident that I attended caught me somewhat off guard as I had attended many mental health calls previously, however I hadn’t experienced any physical conflict until this particular incident. The initial call was made by concerned family members of the female. A welfare check was requested as she had poor mental health since having her children taken into care a few days prior. We arrived double crewed and attempted to make contact with her. Her family managed to gain access through the back entrance of the property and allowed us in. We found the female in an extremely distressed, vulnerable, and agitated state in her upstairs bedroom, accompanied by her mother. The female was attempting to pack a bag so that she could flee to a nearby hotel and take a fatal overdose. It was clear her distress was elevated by our arrival and the conflict began to escalate quickly. The female began to smash items in her room while in her distressed state, and there was a possibility that she intended to throw the items at us as she began to throw them in our direction. We initially attempted to build a rapport with the female and establish the circumstances from her perspective. It was important to utilise good communication to de-escalate her behaviour and ensure that her family were confident that we were taking the appropriate measures in a way which would result in her not coming to any physical harm. </w:t>
      </w:r>
    </w:p>
    <w:p w14:paraId="30E11C6B" w14:textId="77777777" w:rsidR="004F6606" w:rsidRPr="00F84261" w:rsidRDefault="004F6606" w:rsidP="0030146E">
      <w:pPr>
        <w:tabs>
          <w:tab w:val="left" w:pos="1400"/>
        </w:tabs>
        <w:rPr>
          <w:rFonts w:ascii="Times New Roman" w:hAnsi="Times New Roman" w:cs="Times New Roman"/>
          <w:sz w:val="22"/>
          <w:szCs w:val="22"/>
        </w:rPr>
      </w:pPr>
    </w:p>
    <w:p w14:paraId="572D307E" w14:textId="77777777" w:rsidR="0030146E" w:rsidRPr="00F84261" w:rsidRDefault="0030146E" w:rsidP="0030146E">
      <w:pPr>
        <w:tabs>
          <w:tab w:val="left" w:pos="1400"/>
        </w:tabs>
        <w:rPr>
          <w:rFonts w:ascii="Times New Roman" w:hAnsi="Times New Roman" w:cs="Times New Roman"/>
          <w:sz w:val="22"/>
          <w:szCs w:val="22"/>
        </w:rPr>
      </w:pPr>
      <w:r w:rsidRPr="00F84261">
        <w:rPr>
          <w:rFonts w:ascii="Times New Roman" w:hAnsi="Times New Roman" w:cs="Times New Roman"/>
          <w:sz w:val="22"/>
          <w:szCs w:val="22"/>
        </w:rPr>
        <w:t>Research indicates that victim/service users’ satisfaction improves when officers communicate effectively (</w:t>
      </w:r>
      <w:proofErr w:type="spellStart"/>
      <w:r w:rsidRPr="00F84261">
        <w:rPr>
          <w:rFonts w:ascii="Times New Roman" w:hAnsi="Times New Roman" w:cs="Times New Roman"/>
          <w:sz w:val="22"/>
          <w:szCs w:val="22"/>
        </w:rPr>
        <w:t>Wheller</w:t>
      </w:r>
      <w:proofErr w:type="spellEnd"/>
      <w:r w:rsidRPr="00F84261">
        <w:rPr>
          <w:rFonts w:ascii="Times New Roman" w:hAnsi="Times New Roman" w:cs="Times New Roman"/>
          <w:sz w:val="22"/>
          <w:szCs w:val="22"/>
        </w:rPr>
        <w:t>, Quinton, Fides, and Mills, 2013). The College of Policing references two systematic reviews to evidence that good interpersonal communication improves behaviour change in terms of violence and aggression (The College of Policing, 2020). I used my ‘active listening’ skills to attempt to create a shared understanding between myself and the female. Active listening may include paraphrasing what was said back to the individual and using questions to establish their thoughts and feelings to ascertain more detail. Chastain (2013), describes active listening as “essential to working through conflict” as the other persons feels as though their perspective is being heard. Nevertheless, it was extremely difficult to diffuse the conflict in the scenario with communication alone due to the female’s psychological state being impaired, making it more difficult for her to comprehend what was being discussed.</w:t>
      </w:r>
    </w:p>
    <w:p w14:paraId="319230D6" w14:textId="77777777" w:rsidR="004F6606" w:rsidRPr="00F84261" w:rsidRDefault="004F6606" w:rsidP="0030146E">
      <w:pPr>
        <w:tabs>
          <w:tab w:val="left" w:pos="1400"/>
        </w:tabs>
        <w:rPr>
          <w:rFonts w:ascii="Times New Roman" w:hAnsi="Times New Roman" w:cs="Times New Roman"/>
          <w:sz w:val="22"/>
          <w:szCs w:val="22"/>
        </w:rPr>
      </w:pPr>
    </w:p>
    <w:p w14:paraId="7BAA325A" w14:textId="77777777" w:rsidR="0030146E" w:rsidRDefault="0030146E" w:rsidP="0030146E">
      <w:pPr>
        <w:tabs>
          <w:tab w:val="left" w:pos="1400"/>
        </w:tabs>
        <w:rPr>
          <w:rFonts w:ascii="Times New Roman" w:hAnsi="Times New Roman" w:cs="Times New Roman"/>
          <w:sz w:val="22"/>
          <w:szCs w:val="22"/>
        </w:rPr>
      </w:pPr>
      <w:r w:rsidRPr="00F84261">
        <w:rPr>
          <w:rFonts w:ascii="Times New Roman" w:hAnsi="Times New Roman" w:cs="Times New Roman"/>
          <w:sz w:val="22"/>
          <w:szCs w:val="22"/>
        </w:rPr>
        <w:lastRenderedPageBreak/>
        <w:t xml:space="preserve">The Thomas-Kilmann Conflict Model Instrument theorises there are five conflict-handling types of behaviour that individuals fall into when experiencing conflict, meaning that at times officer may have to adjust their strategies depending on the type of conflict behaviour they are facing. The model describes five main types of conflict behaviour: competing, collaborating, compromising, avoiding, and accommodating. The model is somewhat lacking in its ability to predict communicative strategies (Womack, 1988), however it highlights the individual differences in responses to conflict. It also suggests that perhaps officer conflict type behaviour may have a significant impact on the responses of the individual they are in conflict with. </w:t>
      </w:r>
    </w:p>
    <w:p w14:paraId="20A9F06D" w14:textId="77777777" w:rsidR="00924ED5" w:rsidRPr="00F84261" w:rsidRDefault="00924ED5" w:rsidP="0030146E">
      <w:pPr>
        <w:tabs>
          <w:tab w:val="left" w:pos="1400"/>
        </w:tabs>
        <w:rPr>
          <w:rFonts w:ascii="Times New Roman" w:hAnsi="Times New Roman" w:cs="Times New Roman"/>
          <w:sz w:val="22"/>
          <w:szCs w:val="22"/>
        </w:rPr>
      </w:pPr>
    </w:p>
    <w:p w14:paraId="4B5AAC11" w14:textId="77777777" w:rsidR="0030146E" w:rsidRPr="00F84261" w:rsidRDefault="0030146E" w:rsidP="0030146E">
      <w:pPr>
        <w:tabs>
          <w:tab w:val="left" w:pos="1400"/>
        </w:tabs>
        <w:rPr>
          <w:rFonts w:ascii="Times New Roman" w:hAnsi="Times New Roman" w:cs="Times New Roman"/>
          <w:sz w:val="22"/>
          <w:szCs w:val="22"/>
        </w:rPr>
      </w:pPr>
      <w:r w:rsidRPr="00F84261">
        <w:rPr>
          <w:rFonts w:ascii="Times New Roman" w:hAnsi="Times New Roman" w:cs="Times New Roman"/>
          <w:sz w:val="22"/>
          <w:szCs w:val="22"/>
        </w:rPr>
        <w:t xml:space="preserve">Klein (2008), uses the Recognition-Primed Decision (RPD) model to explain that in violent and high conflict situations individuals may use previous experiences to guide their decision making, meaning officers may fall into a conflict style of behaviour which is not appropriate to mitigate the escalating conflict. This indicates that it is important for officers to remember to implement the appropriate policing models and tools to make complex yet effective decisions, even when in high stress situations. This may include decision making models, such as the National Decision-Making model (NDM). The NDM is a decision model centred around the police code of ethics used by police officers to provide a framework for complex decisions, balancing the risk of the action to deem whether it is appropriate given the information and intelligence available at the time. This model encourages officers to reflect on their actions to improve any future decisions. I used the NDM in this incident to consider the most effective way to assist the female, while causing the least amount of stress to her. From the information gathered from her family and from observing the scene myself, I knew that I may need to consider my powers under section 136 of the Mental Health Act in order to detain the female to provide her with the help and support she needed, while safeguarding her and ensuring she was at no risk of harm to herself or her family. However, while considering my powers, I understood that I had no ability to detain her at her home property. I deemed the risk to her and the threat to myself, my colleague, and her family to be relatively high due to her extremely aggressive and unpredictable behaviour. With this I encountered a dilemma as I was limited in my policing powers. I used the NDM to guide me to make a decision to engage with the female, relying on my communication skills to guide her towards accepting the resources and help that I was offering to her. </w:t>
      </w:r>
    </w:p>
    <w:p w14:paraId="4F20CE34" w14:textId="77777777" w:rsidR="004F6606" w:rsidRPr="00F84261" w:rsidRDefault="004F6606" w:rsidP="0030146E">
      <w:pPr>
        <w:tabs>
          <w:tab w:val="left" w:pos="1400"/>
        </w:tabs>
        <w:rPr>
          <w:rFonts w:ascii="Times New Roman" w:hAnsi="Times New Roman" w:cs="Times New Roman"/>
          <w:sz w:val="22"/>
          <w:szCs w:val="22"/>
        </w:rPr>
      </w:pPr>
    </w:p>
    <w:p w14:paraId="7087EE4D" w14:textId="77777777" w:rsidR="0030146E" w:rsidRPr="00F84261" w:rsidRDefault="0030146E" w:rsidP="0030146E">
      <w:pPr>
        <w:tabs>
          <w:tab w:val="left" w:pos="1400"/>
        </w:tabs>
        <w:rPr>
          <w:rFonts w:ascii="Times New Roman" w:hAnsi="Times New Roman" w:cs="Times New Roman"/>
          <w:sz w:val="22"/>
          <w:szCs w:val="22"/>
        </w:rPr>
      </w:pPr>
      <w:r w:rsidRPr="00F84261">
        <w:rPr>
          <w:rFonts w:ascii="Times New Roman" w:hAnsi="Times New Roman" w:cs="Times New Roman"/>
          <w:sz w:val="22"/>
          <w:szCs w:val="22"/>
        </w:rPr>
        <w:t>It is also important for officers to attempt to minimise conflict as much as possible without using force. Research indicates those who are “treated with fairness, dignity and respect” are more likely to be compliant and cooperative (Mazerolle et al.,2013). The collaborative approach, as described by Thomas-Kilmann, is considered the most effective way to combat conflict, particularly from a professional perspective (</w:t>
      </w:r>
      <w:proofErr w:type="spellStart"/>
      <w:r w:rsidRPr="00F84261">
        <w:rPr>
          <w:rFonts w:ascii="Times New Roman" w:hAnsi="Times New Roman" w:cs="Times New Roman"/>
          <w:sz w:val="22"/>
          <w:szCs w:val="22"/>
        </w:rPr>
        <w:t>Ogunyemi</w:t>
      </w:r>
      <w:proofErr w:type="spellEnd"/>
      <w:r w:rsidRPr="00F84261">
        <w:rPr>
          <w:rFonts w:ascii="Times New Roman" w:hAnsi="Times New Roman" w:cs="Times New Roman"/>
          <w:sz w:val="22"/>
          <w:szCs w:val="22"/>
        </w:rPr>
        <w:t xml:space="preserve">, Fong, Elmore, </w:t>
      </w:r>
      <w:proofErr w:type="spellStart"/>
      <w:r w:rsidRPr="00F84261">
        <w:rPr>
          <w:rFonts w:ascii="Times New Roman" w:hAnsi="Times New Roman" w:cs="Times New Roman"/>
          <w:sz w:val="22"/>
          <w:szCs w:val="22"/>
        </w:rPr>
        <w:t>Korwin</w:t>
      </w:r>
      <w:proofErr w:type="spellEnd"/>
      <w:r w:rsidRPr="00F84261">
        <w:rPr>
          <w:rFonts w:ascii="Times New Roman" w:hAnsi="Times New Roman" w:cs="Times New Roman"/>
          <w:sz w:val="22"/>
          <w:szCs w:val="22"/>
        </w:rPr>
        <w:t xml:space="preserve">, </w:t>
      </w:r>
      <w:proofErr w:type="spellStart"/>
      <w:r w:rsidRPr="00F84261">
        <w:rPr>
          <w:rFonts w:ascii="Times New Roman" w:hAnsi="Times New Roman" w:cs="Times New Roman"/>
          <w:sz w:val="22"/>
          <w:szCs w:val="22"/>
        </w:rPr>
        <w:t>Azziz</w:t>
      </w:r>
      <w:proofErr w:type="spellEnd"/>
      <w:r w:rsidRPr="00F84261">
        <w:rPr>
          <w:rFonts w:ascii="Times New Roman" w:hAnsi="Times New Roman" w:cs="Times New Roman"/>
          <w:sz w:val="22"/>
          <w:szCs w:val="22"/>
        </w:rPr>
        <w:t>, 2010). Collaboration is a strategy that allows one to consider the contender’s perspective while attempting to find a resolution between opposing views. This allows for all to be heard, understood, and empathised with. I found that using effective communication strategies in this incident helped me diffuse conflict most effectively. Furthermore, I found that displaying empathy to the individual about their personal circumstances helped build rapport and re-direct their attention more positively, while reducing any tension posed by the conflicting intentions of myself as an officer and them as a service user. I found that using an assertive tone to gain the individual’s attention worked for a short period of time, before delivering my perspective using empathy. The female that I was responding to needed to be hospitalised for her own safety due to her mental health issues. This intervention was necessary; however, it contradicted the individual’s own desires. I focused on explaining that I understood the difficulties she must be facing due to having her children removed from her care, then I explained my reasons for my actions to help her understand my perspective.</w:t>
      </w:r>
    </w:p>
    <w:p w14:paraId="0FC667DB" w14:textId="77777777" w:rsidR="004F6606" w:rsidRPr="00F84261" w:rsidRDefault="004F6606" w:rsidP="0030146E">
      <w:pPr>
        <w:tabs>
          <w:tab w:val="left" w:pos="1400"/>
        </w:tabs>
        <w:rPr>
          <w:rFonts w:ascii="Times New Roman" w:hAnsi="Times New Roman" w:cs="Times New Roman"/>
          <w:sz w:val="22"/>
          <w:szCs w:val="22"/>
        </w:rPr>
      </w:pPr>
    </w:p>
    <w:p w14:paraId="29CDEFEB" w14:textId="77777777" w:rsidR="0030146E" w:rsidRPr="00F84261" w:rsidRDefault="0030146E" w:rsidP="0030146E">
      <w:pPr>
        <w:rPr>
          <w:rFonts w:ascii="Times New Roman" w:hAnsi="Times New Roman" w:cs="Times New Roman"/>
          <w:sz w:val="22"/>
          <w:szCs w:val="22"/>
        </w:rPr>
      </w:pPr>
      <w:r w:rsidRPr="00F84261">
        <w:rPr>
          <w:rFonts w:ascii="Times New Roman" w:hAnsi="Times New Roman" w:cs="Times New Roman"/>
          <w:sz w:val="22"/>
          <w:szCs w:val="22"/>
        </w:rPr>
        <w:t xml:space="preserve">I understood that my behaviour and actions would likely have a significant impact on the individual concerned. The </w:t>
      </w:r>
      <w:proofErr w:type="spellStart"/>
      <w:r w:rsidRPr="00F84261">
        <w:rPr>
          <w:rFonts w:ascii="Times New Roman" w:hAnsi="Times New Roman" w:cs="Times New Roman"/>
          <w:sz w:val="22"/>
          <w:szCs w:val="22"/>
        </w:rPr>
        <w:t>Betari</w:t>
      </w:r>
      <w:proofErr w:type="spellEnd"/>
      <w:r w:rsidRPr="00F84261">
        <w:rPr>
          <w:rFonts w:ascii="Times New Roman" w:hAnsi="Times New Roman" w:cs="Times New Roman"/>
          <w:sz w:val="22"/>
          <w:szCs w:val="22"/>
        </w:rPr>
        <w:t xml:space="preserve"> Box concept cited by the College of Policing in their Guidance on Conflict Management (2020), illustrates how our own behaviour has an impact on other’s attitude. This concept focuses on how our attitudes and behaviours in turn influence other’s attitudes, which then once more impacts our behaviour. This demonstrates the need to be self-aware in high stress situations, particularly those dealing with conflict as it is easy to inadvertently escalate conflict situations by feeling threatened. The College of Policing suggests that this plays a role in how </w:t>
      </w:r>
      <w:r w:rsidRPr="00F84261">
        <w:rPr>
          <w:rFonts w:ascii="Times New Roman" w:hAnsi="Times New Roman" w:cs="Times New Roman"/>
          <w:sz w:val="22"/>
          <w:szCs w:val="22"/>
        </w:rPr>
        <w:lastRenderedPageBreak/>
        <w:t>important our non-verbal behaviour is towards affecting that of another too. In this incident I evaluated my non-verbal behaviour by ensuring to keep a non-threatening stance, e.g. keeping my hand where she could see them, moving slowly as not to alarm her, and using open and relaxed gestures. This was extremely difficult at times as I had to address my own feelings and instincts in response to feeling threatened by the physical conflict the female posed, i.e., as she began to throw objects in my direction. I feel that at times I forgot to navigate my non-verbal ques, which resulted in me losing the control I had over the situation.</w:t>
      </w:r>
    </w:p>
    <w:p w14:paraId="44969C11" w14:textId="77777777" w:rsidR="0030146E" w:rsidRPr="00F84261" w:rsidRDefault="0030146E" w:rsidP="0030146E">
      <w:pPr>
        <w:rPr>
          <w:rFonts w:ascii="Times New Roman" w:hAnsi="Times New Roman" w:cs="Times New Roman"/>
          <w:sz w:val="22"/>
          <w:szCs w:val="22"/>
        </w:rPr>
      </w:pPr>
    </w:p>
    <w:p w14:paraId="5C79CC3B" w14:textId="77777777" w:rsidR="0030146E" w:rsidRPr="00F84261" w:rsidRDefault="0030146E" w:rsidP="0030146E">
      <w:pPr>
        <w:rPr>
          <w:rFonts w:ascii="Times New Roman" w:hAnsi="Times New Roman" w:cs="Times New Roman"/>
          <w:sz w:val="22"/>
          <w:szCs w:val="22"/>
        </w:rPr>
      </w:pPr>
      <w:r w:rsidRPr="00F84261">
        <w:rPr>
          <w:rFonts w:ascii="Times New Roman" w:hAnsi="Times New Roman" w:cs="Times New Roman"/>
          <w:sz w:val="22"/>
          <w:szCs w:val="22"/>
        </w:rPr>
        <w:t xml:space="preserve">The most pressing challenge presented to me in that moment was understanding what needed the priority of my attention, while diffusing any conflict that was presented by our arrival. I had to consider my duty of care towards her, the safety of her family, and the consideration of what policing powers I had to implement any positive action in the situation. I had to consider these factors under time pressures, while also recognising the impact of the individual’s mental state and wellbeing. Overall, I believe I took in to account many factors which assisted me in this incident, such as the NDM and the communication skills I have built from training and my previous career. </w:t>
      </w:r>
    </w:p>
    <w:p w14:paraId="08B3717E" w14:textId="77777777" w:rsidR="0030146E" w:rsidRPr="00F84261" w:rsidRDefault="0030146E" w:rsidP="0030146E">
      <w:pPr>
        <w:rPr>
          <w:rFonts w:ascii="Times New Roman" w:hAnsi="Times New Roman" w:cs="Times New Roman"/>
          <w:sz w:val="22"/>
          <w:szCs w:val="22"/>
        </w:rPr>
      </w:pPr>
    </w:p>
    <w:p w14:paraId="479CE6AC" w14:textId="77777777" w:rsidR="0030146E" w:rsidRPr="00F84261" w:rsidRDefault="0030146E" w:rsidP="0030146E">
      <w:pPr>
        <w:rPr>
          <w:rFonts w:ascii="Times New Roman" w:hAnsi="Times New Roman" w:cs="Times New Roman"/>
          <w:sz w:val="22"/>
          <w:szCs w:val="22"/>
        </w:rPr>
      </w:pPr>
      <w:r w:rsidRPr="00F84261">
        <w:rPr>
          <w:rFonts w:ascii="Times New Roman" w:hAnsi="Times New Roman" w:cs="Times New Roman"/>
          <w:sz w:val="22"/>
          <w:szCs w:val="22"/>
        </w:rPr>
        <w:t xml:space="preserve">In conclusion, I feel that I managed the incident to the best of my ability, without having to resort to any force or causing further unnecessary stress to the individual who needed assistance. I believe my actions resulted in the best outcome as the female agreed to be referred to the crisis team for assistance with her mental health, thereby reducing any risk of harm to her, and her aggressive behaviour de-escalated, reducing the risk of harm to myself, my colleague, and her family. We waited with her until she had been calm for a suitable amount of time and the crisis team arrived to begin their intervention. I believe that the most invaluable tool I had in this incident in reducing conflict was being able to use my communication skills to work with the individual to achieve a shared goal, thereby reducing conflict. In the future I will consider the factors I have discussed in this essay to assist me further in any endeavours to reduce conflict, in particular I will focus on improving my non-verbal ques in order to establish calm in the situation as I have learnt that it has a bigger impact on the behaviour of others that I initially realised. </w:t>
      </w:r>
    </w:p>
    <w:p w14:paraId="11F01A83" w14:textId="77777777" w:rsidR="0030146E" w:rsidRDefault="0030146E">
      <w:pPr>
        <w:rPr>
          <w:sz w:val="22"/>
          <w:szCs w:val="22"/>
        </w:rPr>
      </w:pPr>
    </w:p>
    <w:p w14:paraId="6360C211" w14:textId="77777777" w:rsidR="00F84261" w:rsidRDefault="00F84261">
      <w:pPr>
        <w:rPr>
          <w:sz w:val="22"/>
          <w:szCs w:val="22"/>
        </w:rPr>
      </w:pPr>
    </w:p>
    <w:p w14:paraId="6D26E92F" w14:textId="77777777" w:rsidR="00F84261" w:rsidRDefault="00F84261">
      <w:pPr>
        <w:rPr>
          <w:sz w:val="22"/>
          <w:szCs w:val="22"/>
        </w:rPr>
      </w:pPr>
    </w:p>
    <w:p w14:paraId="2BFE6EB9" w14:textId="77777777" w:rsidR="00F84261" w:rsidRDefault="00F84261">
      <w:pPr>
        <w:rPr>
          <w:sz w:val="22"/>
          <w:szCs w:val="22"/>
        </w:rPr>
      </w:pPr>
    </w:p>
    <w:p w14:paraId="6E51344D" w14:textId="77777777" w:rsidR="00F84261" w:rsidRDefault="00F84261">
      <w:pPr>
        <w:rPr>
          <w:sz w:val="22"/>
          <w:szCs w:val="22"/>
        </w:rPr>
      </w:pPr>
    </w:p>
    <w:p w14:paraId="7423EB94" w14:textId="77777777" w:rsidR="00F84261" w:rsidRDefault="00F84261">
      <w:pPr>
        <w:rPr>
          <w:sz w:val="22"/>
          <w:szCs w:val="22"/>
        </w:rPr>
      </w:pPr>
    </w:p>
    <w:p w14:paraId="371811E9" w14:textId="77777777" w:rsidR="00F84261" w:rsidRDefault="00F84261">
      <w:pPr>
        <w:rPr>
          <w:sz w:val="22"/>
          <w:szCs w:val="22"/>
        </w:rPr>
      </w:pPr>
    </w:p>
    <w:p w14:paraId="47B09778" w14:textId="77777777" w:rsidR="00F84261" w:rsidRDefault="00F84261">
      <w:pPr>
        <w:rPr>
          <w:sz w:val="22"/>
          <w:szCs w:val="22"/>
        </w:rPr>
      </w:pPr>
    </w:p>
    <w:p w14:paraId="5BA8BD24" w14:textId="77777777" w:rsidR="00F84261" w:rsidRDefault="00F84261">
      <w:pPr>
        <w:rPr>
          <w:sz w:val="22"/>
          <w:szCs w:val="22"/>
        </w:rPr>
      </w:pPr>
    </w:p>
    <w:p w14:paraId="35BC0084" w14:textId="77777777" w:rsidR="00F84261" w:rsidRDefault="00F84261">
      <w:pPr>
        <w:rPr>
          <w:sz w:val="22"/>
          <w:szCs w:val="22"/>
        </w:rPr>
      </w:pPr>
    </w:p>
    <w:p w14:paraId="493489AE" w14:textId="77777777" w:rsidR="00F84261" w:rsidRDefault="00F84261">
      <w:pPr>
        <w:rPr>
          <w:sz w:val="22"/>
          <w:szCs w:val="22"/>
        </w:rPr>
      </w:pPr>
    </w:p>
    <w:p w14:paraId="37D704A4" w14:textId="77777777" w:rsidR="00F84261" w:rsidRDefault="00F84261">
      <w:pPr>
        <w:rPr>
          <w:sz w:val="22"/>
          <w:szCs w:val="22"/>
        </w:rPr>
      </w:pPr>
    </w:p>
    <w:p w14:paraId="149BBAB9" w14:textId="77777777" w:rsidR="00F84261" w:rsidRDefault="00F84261">
      <w:pPr>
        <w:rPr>
          <w:sz w:val="22"/>
          <w:szCs w:val="22"/>
        </w:rPr>
      </w:pPr>
    </w:p>
    <w:p w14:paraId="66A60389" w14:textId="77777777" w:rsidR="00F84261" w:rsidRDefault="00F84261">
      <w:pPr>
        <w:rPr>
          <w:sz w:val="22"/>
          <w:szCs w:val="22"/>
        </w:rPr>
      </w:pPr>
    </w:p>
    <w:p w14:paraId="53AF2283" w14:textId="77777777" w:rsidR="00F84261" w:rsidRDefault="00F84261">
      <w:pPr>
        <w:rPr>
          <w:sz w:val="22"/>
          <w:szCs w:val="22"/>
        </w:rPr>
      </w:pPr>
    </w:p>
    <w:p w14:paraId="2637F51A" w14:textId="77777777" w:rsidR="00F84261" w:rsidRDefault="00F84261">
      <w:pPr>
        <w:rPr>
          <w:sz w:val="22"/>
          <w:szCs w:val="22"/>
        </w:rPr>
      </w:pPr>
    </w:p>
    <w:p w14:paraId="05A8B81E" w14:textId="77777777" w:rsidR="00F84261" w:rsidRDefault="00F84261">
      <w:pPr>
        <w:rPr>
          <w:sz w:val="22"/>
          <w:szCs w:val="22"/>
        </w:rPr>
      </w:pPr>
    </w:p>
    <w:p w14:paraId="44CF50CD" w14:textId="77777777" w:rsidR="00F84261" w:rsidRDefault="00F84261">
      <w:pPr>
        <w:rPr>
          <w:sz w:val="22"/>
          <w:szCs w:val="22"/>
        </w:rPr>
      </w:pPr>
    </w:p>
    <w:p w14:paraId="3540D651" w14:textId="77777777" w:rsidR="00F84261" w:rsidRDefault="00F84261">
      <w:pPr>
        <w:rPr>
          <w:sz w:val="22"/>
          <w:szCs w:val="22"/>
        </w:rPr>
      </w:pPr>
    </w:p>
    <w:p w14:paraId="7C6901DE" w14:textId="77777777" w:rsidR="00F84261" w:rsidRDefault="00F84261">
      <w:pPr>
        <w:rPr>
          <w:sz w:val="22"/>
          <w:szCs w:val="22"/>
        </w:rPr>
      </w:pPr>
    </w:p>
    <w:p w14:paraId="4DD2880A" w14:textId="77777777" w:rsidR="00F84261" w:rsidRDefault="00F84261">
      <w:pPr>
        <w:rPr>
          <w:sz w:val="22"/>
          <w:szCs w:val="22"/>
        </w:rPr>
      </w:pPr>
    </w:p>
    <w:p w14:paraId="13AA14D4" w14:textId="77777777" w:rsidR="00F84261" w:rsidRDefault="00F84261">
      <w:pPr>
        <w:rPr>
          <w:sz w:val="22"/>
          <w:szCs w:val="22"/>
        </w:rPr>
      </w:pPr>
    </w:p>
    <w:p w14:paraId="00C6E690" w14:textId="77777777" w:rsidR="00F84261" w:rsidRDefault="00F84261">
      <w:pPr>
        <w:rPr>
          <w:sz w:val="22"/>
          <w:szCs w:val="22"/>
        </w:rPr>
      </w:pPr>
    </w:p>
    <w:p w14:paraId="1A8BFEC9" w14:textId="77777777" w:rsidR="00F84261" w:rsidRDefault="00F84261">
      <w:pPr>
        <w:rPr>
          <w:sz w:val="22"/>
          <w:szCs w:val="22"/>
        </w:rPr>
      </w:pPr>
    </w:p>
    <w:p w14:paraId="088FBA38" w14:textId="77777777" w:rsidR="00F84261" w:rsidRDefault="00F84261">
      <w:pPr>
        <w:rPr>
          <w:sz w:val="22"/>
          <w:szCs w:val="22"/>
        </w:rPr>
      </w:pPr>
    </w:p>
    <w:p w14:paraId="2E3F90E7" w14:textId="77777777" w:rsidR="00F84261" w:rsidRDefault="00F84261">
      <w:pPr>
        <w:rPr>
          <w:sz w:val="22"/>
          <w:szCs w:val="22"/>
        </w:rPr>
      </w:pPr>
    </w:p>
    <w:p w14:paraId="31FCE9A9" w14:textId="77777777" w:rsidR="00F84261" w:rsidRDefault="00F84261">
      <w:pPr>
        <w:rPr>
          <w:sz w:val="22"/>
          <w:szCs w:val="22"/>
        </w:rPr>
      </w:pPr>
    </w:p>
    <w:p w14:paraId="3642C8DE" w14:textId="77777777" w:rsidR="00F84261" w:rsidRDefault="00F84261">
      <w:pPr>
        <w:rPr>
          <w:sz w:val="22"/>
          <w:szCs w:val="22"/>
        </w:rPr>
      </w:pPr>
    </w:p>
    <w:p w14:paraId="480F0885" w14:textId="77777777" w:rsidR="00F84261" w:rsidRDefault="00F84261" w:rsidP="00F84261">
      <w:pPr>
        <w:ind w:right="107"/>
        <w:jc w:val="both"/>
        <w:rPr>
          <w:sz w:val="24"/>
          <w:szCs w:val="24"/>
        </w:rPr>
      </w:pPr>
    </w:p>
    <w:p w14:paraId="04413698" w14:textId="77777777" w:rsidR="00924ED5" w:rsidRDefault="00924ED5" w:rsidP="00F84261">
      <w:pPr>
        <w:ind w:right="107"/>
        <w:jc w:val="both"/>
        <w:rPr>
          <w:color w:val="auto"/>
        </w:rPr>
      </w:pPr>
    </w:p>
    <w:p w14:paraId="145F80F0" w14:textId="4C44BE31" w:rsidR="00F84261" w:rsidRPr="00F84261" w:rsidRDefault="00F84261" w:rsidP="00F84261">
      <w:pPr>
        <w:ind w:right="107"/>
        <w:jc w:val="both"/>
        <w:rPr>
          <w:color w:val="auto"/>
        </w:rPr>
      </w:pPr>
      <w:r w:rsidRPr="00F84261">
        <w:rPr>
          <w:color w:val="auto"/>
        </w:rPr>
        <w:t xml:space="preserve">You must choose </w:t>
      </w:r>
      <w:r w:rsidRPr="00F84261">
        <w:rPr>
          <w:b/>
          <w:bCs/>
          <w:color w:val="auto"/>
          <w:u w:val="single"/>
        </w:rPr>
        <w:t>a policing incident</w:t>
      </w:r>
      <w:r w:rsidRPr="00F84261">
        <w:rPr>
          <w:b/>
          <w:bCs/>
          <w:color w:val="auto"/>
        </w:rPr>
        <w:t xml:space="preserve">  </w:t>
      </w:r>
      <w:r w:rsidRPr="00F84261">
        <w:rPr>
          <w:color w:val="auto"/>
        </w:rPr>
        <w:t>in which you played a significant role with an offender/ service</w:t>
      </w:r>
      <w:r w:rsidRPr="00F84261">
        <w:rPr>
          <w:b/>
          <w:bCs/>
          <w:color w:val="auto"/>
        </w:rPr>
        <w:t xml:space="preserve"> </w:t>
      </w:r>
      <w:r w:rsidRPr="00F84261">
        <w:rPr>
          <w:color w:val="auto"/>
        </w:rPr>
        <w:t>user/victim and reflect on what happened</w:t>
      </w:r>
    </w:p>
    <w:p w14:paraId="703DFFAE" w14:textId="77777777" w:rsidR="00F84261" w:rsidRPr="00F84261" w:rsidRDefault="00F84261">
      <w:pPr>
        <w:rPr>
          <w:color w:val="auto"/>
        </w:rPr>
      </w:pPr>
    </w:p>
    <w:p w14:paraId="6E0FDAF1" w14:textId="77777777" w:rsidR="00F84261" w:rsidRPr="00F84261" w:rsidRDefault="00F84261" w:rsidP="00F84261">
      <w:pPr>
        <w:ind w:right="107"/>
        <w:rPr>
          <w:color w:val="auto"/>
          <w:lang w:eastAsia="zh-TW"/>
        </w:rPr>
      </w:pPr>
      <w:r w:rsidRPr="00F84261">
        <w:rPr>
          <w:b/>
          <w:bCs/>
          <w:color w:val="auto"/>
          <w:lang w:eastAsia="zh-TW"/>
        </w:rPr>
        <w:t>Critically explore</w:t>
      </w:r>
      <w:r w:rsidRPr="00F84261">
        <w:rPr>
          <w:color w:val="auto"/>
          <w:lang w:eastAsia="zh-TW"/>
        </w:rPr>
        <w:t xml:space="preserve"> a policing incident that you have investigated and examine how you dealt with competing issues such as legalisation, social issues, culture and language. </w:t>
      </w:r>
    </w:p>
    <w:p w14:paraId="714F4A81" w14:textId="77777777" w:rsidR="00F84261" w:rsidRPr="00F84261" w:rsidRDefault="00F84261" w:rsidP="00F84261">
      <w:pPr>
        <w:ind w:right="107"/>
        <w:rPr>
          <w:color w:val="auto"/>
          <w:lang w:eastAsia="zh-TW"/>
        </w:rPr>
      </w:pPr>
    </w:p>
    <w:p w14:paraId="09EA39EB" w14:textId="77777777" w:rsidR="00F84261" w:rsidRPr="00F84261" w:rsidRDefault="00F84261" w:rsidP="00F84261">
      <w:pPr>
        <w:ind w:right="107"/>
        <w:rPr>
          <w:color w:val="auto"/>
          <w:lang w:eastAsia="zh-TW"/>
        </w:rPr>
      </w:pPr>
      <w:r w:rsidRPr="00F84261">
        <w:rPr>
          <w:color w:val="auto"/>
          <w:lang w:eastAsia="zh-TW"/>
        </w:rPr>
        <w:t xml:space="preserve">Consider the victims code of practice and how it was used to support your victim/witness through the criminal justice system during the investigative process. </w:t>
      </w:r>
    </w:p>
    <w:p w14:paraId="79BC9401" w14:textId="77777777" w:rsidR="00F84261" w:rsidRPr="00F84261" w:rsidRDefault="00F84261" w:rsidP="00F84261">
      <w:pPr>
        <w:ind w:right="107"/>
        <w:rPr>
          <w:color w:val="auto"/>
          <w:lang w:eastAsia="zh-TW"/>
        </w:rPr>
      </w:pPr>
      <w:r w:rsidRPr="00F84261">
        <w:rPr>
          <w:color w:val="auto"/>
          <w:lang w:eastAsia="zh-TW"/>
        </w:rPr>
        <w:t xml:space="preserve"> </w:t>
      </w:r>
    </w:p>
    <w:p w14:paraId="5286EDF0" w14:textId="77777777" w:rsidR="00F84261" w:rsidRPr="00F84261" w:rsidRDefault="00F84261" w:rsidP="00F84261">
      <w:pPr>
        <w:ind w:right="107"/>
        <w:rPr>
          <w:color w:val="auto"/>
          <w:lang w:eastAsia="zh-TW"/>
        </w:rPr>
      </w:pPr>
      <w:r w:rsidRPr="00F84261">
        <w:rPr>
          <w:color w:val="auto"/>
          <w:lang w:eastAsia="zh-TW"/>
        </w:rPr>
        <w:t>Your reflection must illustrate your understanding and application of core principles of ethics, equality, diversity and human rights.</w:t>
      </w:r>
    </w:p>
    <w:p w14:paraId="1D62E888" w14:textId="77777777" w:rsidR="00F84261" w:rsidRDefault="00F84261" w:rsidP="00F84261">
      <w:pPr>
        <w:ind w:right="107"/>
        <w:jc w:val="both"/>
        <w:rPr>
          <w:color w:val="000000" w:themeColor="text1"/>
          <w:sz w:val="24"/>
          <w:szCs w:val="24"/>
          <w:lang w:eastAsia="zh-TW"/>
        </w:rPr>
      </w:pPr>
    </w:p>
    <w:p w14:paraId="61972894"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In this essay I will be discussing two similar domestic related cases that I investigated in quick succession to one another. The cases are related to domestic incidents whereby a child under the age of 18 is the aggressor and the parents of the child are the victims. These incidents provide an interesting and complex way to critically explore competing issues, such as legal, societal, and cultural issues. In this essay I will consider how the victim’s code of practice aided me in supporting the victims in these cases through the investigative process. I believe it is pertinent to discuss both cases during my reflection of the incidents as it provides me with an opportunity to compare and contrast my actions. It will also provide an opportunity to reflect on any commonalities or differences in the complex issues that are presented in these cases and the impact the investigation had on the victims and vulnerable offenders. </w:t>
      </w:r>
    </w:p>
    <w:p w14:paraId="2F3E7684" w14:textId="77777777" w:rsidR="00F84261" w:rsidRPr="00F84261" w:rsidRDefault="00F84261" w:rsidP="00F84261">
      <w:pPr>
        <w:rPr>
          <w:rFonts w:ascii="Times New Roman" w:hAnsi="Times New Roman" w:cs="Times New Roman"/>
          <w:color w:val="auto"/>
          <w:sz w:val="22"/>
          <w:szCs w:val="22"/>
        </w:rPr>
      </w:pPr>
    </w:p>
    <w:p w14:paraId="7EFCA195"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Child and adolescent to parent violence (CAPV) is an under-reported and under-researched area of domestic abuse, with an estimated 40% of these incidents going unreported (Holt, 2012a). The victims often experiencing feelings of shame, embarrassment, and hopelessness as they struggle to control the behaviour of their child, meaning it is imperative to be empathetic and understanding with victims in these circumstances (Holt, 2011). </w:t>
      </w:r>
    </w:p>
    <w:p w14:paraId="0CD24365" w14:textId="77777777" w:rsidR="00F84261" w:rsidRPr="00F84261" w:rsidRDefault="00F84261" w:rsidP="00F84261">
      <w:pPr>
        <w:rPr>
          <w:rFonts w:ascii="Times New Roman" w:hAnsi="Times New Roman" w:cs="Times New Roman"/>
          <w:color w:val="auto"/>
          <w:sz w:val="22"/>
          <w:szCs w:val="22"/>
        </w:rPr>
      </w:pPr>
    </w:p>
    <w:p w14:paraId="3CCFDFF1"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The first case I investigated involved a 12-year-old boy, who was the offender in this case. The offender was presenting with a history increasingly aggressive and extremely physically violent behaviour towards his father and 14-year-old brother, with whom he resided with. During this incident the boy assaulted his father by punching him, made direct threats to harm his brother, and destroyed property within the home by throwing and smashing items. The father described the boy’s behaviour as increasingly unmanageable and decided to pursue with prosecution in the hope that his son may receive further support for his unpredictable and extremely violent behaviour. When communicating with the victim in these circumstances it was important to consider the specific emotional pressures they would experience as a parent bringing a complaint against their own child. I had to be particularly sensitive to the parent’s concern over the welfare of their child and provide regular and reassuring communication as to the child’s condition while in custody. </w:t>
      </w:r>
    </w:p>
    <w:p w14:paraId="62251DE6" w14:textId="77777777" w:rsidR="00F84261" w:rsidRPr="00F84261" w:rsidRDefault="00F84261" w:rsidP="00F84261">
      <w:pPr>
        <w:rPr>
          <w:rFonts w:ascii="Times New Roman" w:hAnsi="Times New Roman" w:cs="Times New Roman"/>
          <w:color w:val="auto"/>
          <w:sz w:val="22"/>
          <w:szCs w:val="22"/>
        </w:rPr>
      </w:pPr>
    </w:p>
    <w:p w14:paraId="0DCF027C"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The second case I investigated involved a 16 year old boy who made threats to kill his mother. The nature of this case was less a complex investigation than the previous, owing to the victim not supporting a prosecution. It seemed the suspect in this case was suffering from mental health issues, leading to erratic and aggressive behaviour. Although I did not support the victim in this case through the Criminal Justice System, I initially had significant contact with the victim at the beginning of the investigation through providing safeguarding measures and advice. Supporting the victim in this scenario was particularly challenging as I had to support her through navigating a balance between supporting her 16-year-old child with his mental health issues and safeguarding her other young children who lived with her. </w:t>
      </w:r>
    </w:p>
    <w:p w14:paraId="1E2934F7" w14:textId="77777777" w:rsidR="00F84261" w:rsidRPr="00F84261" w:rsidRDefault="00F84261" w:rsidP="00F84261">
      <w:pPr>
        <w:rPr>
          <w:rFonts w:ascii="Times New Roman" w:hAnsi="Times New Roman" w:cs="Times New Roman"/>
          <w:color w:val="auto"/>
          <w:sz w:val="22"/>
          <w:szCs w:val="22"/>
        </w:rPr>
      </w:pPr>
    </w:p>
    <w:p w14:paraId="599F1208"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The factor that had the most impact on how the victims were supported was the ages of the children as suspects. The Children Act (1989) defines a child as “a persons under the age of 18 years old”. </w:t>
      </w:r>
      <w:r w:rsidRPr="00F84261">
        <w:rPr>
          <w:rFonts w:ascii="Times New Roman" w:hAnsi="Times New Roman" w:cs="Times New Roman"/>
          <w:color w:val="auto"/>
          <w:sz w:val="22"/>
          <w:szCs w:val="22"/>
        </w:rPr>
        <w:lastRenderedPageBreak/>
        <w:t xml:space="preserve">However, for domestic related incidents only a child over the age of 16 may be considered a ‘domestic abuser’ as outlined by the Domestic Abuse Act (2021). This means that when supporting the victims in these cases, only the parent of the 16-year-old would be entitled to further support relating to a DV case, such as being provided with an enhanced service as outlined by The Victim’s Code of Practice (VCP). The VCP was introduced in 2006 by the Domestic Violence, Crime and Victims Act (2004) with the purpose of ensuring that victims receive a minimum standard in the services provided by the police and other criminal justice agencies. The VCP were updated in 2021 to outline 12 fundamental rights to victims and outline those entitled to an enhanced service. Victims of domestic violence are considered to be affected by ‘serious crime’ and therefore have a right to an enhanced service under the VCP. Those who receive an enhanced service must be updated on any progression in their case within 24 hrs, which is sooner than those not eligible. They are also entitled to special protective measures to help support them through the court case. Those who meet the threshold for being vulnerable, intimidated and persistently targeted are also eligible for the enhanced service. I attempted to support the victim of the 16 year old suspect by carefully explaining their rights under these services, and reassuring them of continued police support should she wish to continue with prosecution. </w:t>
      </w:r>
    </w:p>
    <w:p w14:paraId="42C71508" w14:textId="77777777" w:rsidR="00F84261" w:rsidRPr="00F84261" w:rsidRDefault="00F84261" w:rsidP="00F84261">
      <w:pPr>
        <w:rPr>
          <w:rFonts w:ascii="Times New Roman" w:hAnsi="Times New Roman" w:cs="Times New Roman"/>
          <w:color w:val="auto"/>
          <w:sz w:val="22"/>
          <w:szCs w:val="22"/>
        </w:rPr>
      </w:pPr>
    </w:p>
    <w:p w14:paraId="4683A595"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Research indicates that services to victims may have improved in some areas since the introduction of the updated VCP. Prior to the updated codes, there were serious issues highlighted with regard to how victims felt they were treated during police investigations and the Criminal Justice process. A survey published by the Victim’s commissioner in 2021 showed that only 43% of victims would report a crime again and only 50% were willing to attend court again. It was also found that those from ethnic minority backgrounds had significantly lower confidence in the Criminal Justice System, a worrying statistic given that minorities are more likely to experience being a victim of crime (GOV.uk, 2021). However, it could be argued that since attention was drawn to these issues, attempts at improvements have been made to victim services in several areas. A Rape Review was commissioned in – with the aim of placing the focus of the investigation on the suspect and improving focus on the rights and needs of the victim, this resulted in a “demonstrated increase in victim confidence” (GOV.uk, 2023). Although the Victim’s Commissioner for England and Wales described the supposed improvements as a “step in the right direction” (Victims Commissioner, 2021), it appears there is limited evidence yet as to how the updated VCP has influenced the experiences of victims. </w:t>
      </w:r>
    </w:p>
    <w:p w14:paraId="165E26C6" w14:textId="77777777" w:rsidR="00F84261" w:rsidRPr="00F84261" w:rsidRDefault="00F84261" w:rsidP="00F84261">
      <w:pPr>
        <w:rPr>
          <w:rFonts w:ascii="Times New Roman" w:hAnsi="Times New Roman" w:cs="Times New Roman"/>
          <w:color w:val="auto"/>
          <w:sz w:val="22"/>
          <w:szCs w:val="22"/>
        </w:rPr>
      </w:pPr>
    </w:p>
    <w:p w14:paraId="43741574"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Although I found the victim codes can be extremely helpful in providing structure in guiding me in how to approach the victims, in the case of the 12 year old boy, I felt the victim needed additional support, despite not meeting the threshold for enhanced service. I decided to use my own discretion when it came to updating the victim under these circumstances, and I updated the victim as if they were receiving an enhanced service to reduce any possible stress. The VCP were quite helpful in this instance as it set out a template for how to deliver a good service to the victim. For instance, the father/victim was from China and English was not his first language. The VCP outlines the importance of communicating with the victim in a way in which they will best understand the process. Although the victim declined a translator, the VCP reminded me to avoid certain abbreviations and to speak in plain language to avoid any confusion. I feel this was of huge benefit to the victim as I was also working in conjunction with social services, which somewhat complicated what information was being provided. Keeping in regular contact with the victim in these circumstances proved vital as I found that they had been provided with conflicting advice from other services, and it allowed me to oversee any safeguarding concerns that arose.  </w:t>
      </w:r>
    </w:p>
    <w:p w14:paraId="2EA34B51" w14:textId="77777777" w:rsidR="00F84261" w:rsidRPr="00F84261" w:rsidRDefault="00F84261" w:rsidP="00F84261">
      <w:pPr>
        <w:rPr>
          <w:rFonts w:ascii="Times New Roman" w:hAnsi="Times New Roman" w:cs="Times New Roman"/>
          <w:color w:val="auto"/>
          <w:sz w:val="22"/>
          <w:szCs w:val="22"/>
        </w:rPr>
      </w:pPr>
    </w:p>
    <w:p w14:paraId="5767D230"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In both cases another great difficulty was the housing situation of both suspects following their release from custody. This experience highlighted to me the complexity that can come with a multi-agency approach when communication between agencies and victims break down. Given that both victims in these cases had parental responsibility over the children who were suspects, it proved challenging to provide the most appropriate safeguarding procedures that would consider the needs of both the victims and the suspects who are classified as ‘vulnerable’ due to their age. </w:t>
      </w:r>
    </w:p>
    <w:p w14:paraId="4A5F0D99" w14:textId="77777777" w:rsidR="00F84261" w:rsidRPr="00F84261" w:rsidRDefault="00F84261" w:rsidP="00F84261">
      <w:pPr>
        <w:rPr>
          <w:rFonts w:ascii="Times New Roman" w:hAnsi="Times New Roman" w:cs="Times New Roman"/>
          <w:color w:val="auto"/>
          <w:sz w:val="22"/>
          <w:szCs w:val="22"/>
        </w:rPr>
      </w:pPr>
    </w:p>
    <w:p w14:paraId="44F76D7A"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lastRenderedPageBreak/>
        <w:t xml:space="preserve">While arranging bail conditions for the 12-year-old suspect, I contacted the father to suggest the appropriate conditions and to consider his opinion on the matter. I discovered that after speaking with social services, the victim felt pressured to take his son home after being in custody and that he had been told social services had nowhere to house him. The victim was extremely anxious and described how he would not want to see his son ‘on the street’. I also found this to be the case with the 16 year old suspect. The mother was told by social services she could not have her son return to the address as she had other young children living with her who would be considered at risk. It was also of my opinion that the child was too dangerous to return to his mother’s address, nevertheless it presented an ethical dilemma as to where the child should be house post his release. </w:t>
      </w:r>
    </w:p>
    <w:p w14:paraId="0CDA6A26" w14:textId="77777777" w:rsidR="00F84261" w:rsidRPr="00F84261" w:rsidRDefault="00F84261" w:rsidP="00F84261">
      <w:pPr>
        <w:rPr>
          <w:rFonts w:ascii="Times New Roman" w:hAnsi="Times New Roman" w:cs="Times New Roman"/>
          <w:color w:val="auto"/>
          <w:sz w:val="22"/>
          <w:szCs w:val="22"/>
        </w:rPr>
      </w:pPr>
    </w:p>
    <w:p w14:paraId="632FCCB1"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There were two different outcomes for the victims in these cases; one I feel was positive and one negative. I feel that I made the correct choice by remaining in close contact with the father of the 12-year-old child, and this was imperative to the outcome. Through good communication I established his true wishes when it came to where his son would be housed and ensured that I made every effort to provide this information to social services. Having no other family members, the child in this case was placed under Police Protection for up to 24 hrs, meaning that the child was under the care of officers until social services could find somewhere suitable for him to live. I made sure to contact the father with updates at every stage, ensuring that he was comfortable with the decisions made and to keep him updated on how his child was coping. </w:t>
      </w:r>
    </w:p>
    <w:p w14:paraId="19FC4166" w14:textId="77777777" w:rsidR="00F84261" w:rsidRPr="00F84261" w:rsidRDefault="00F84261" w:rsidP="00F84261">
      <w:pPr>
        <w:rPr>
          <w:rFonts w:ascii="Times New Roman" w:hAnsi="Times New Roman" w:cs="Times New Roman"/>
          <w:color w:val="auto"/>
          <w:sz w:val="22"/>
          <w:szCs w:val="22"/>
        </w:rPr>
      </w:pPr>
    </w:p>
    <w:p w14:paraId="3BCC874E" w14:textId="77777777"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The VCP were adhered to with an enhanced service, I feel that the support did not go far enough in this instance. Social services would not house the boy as he was 16 years old and not a looked after child. The boy had no other family other than a father who had warning markers for domestic abuse. The final option was to obtain emergency housing for him in a local hostel after his release from custody, however due to the vulnerabilities of his age and mental state this would pose a significant risk to him due to the issues of violence and drug issues in the hostel. I had spoken to his mother, and under no circumstances did she wish for him to be house with his father. I attempted to further liaise with social-services and I updated the log to reflect the victim’s wishes and to note that officers should update the victim with any update as my shift was ending. I discovered when I </w:t>
      </w:r>
      <w:proofErr w:type="spellStart"/>
      <w:r w:rsidRPr="00F84261">
        <w:rPr>
          <w:rFonts w:ascii="Times New Roman" w:hAnsi="Times New Roman" w:cs="Times New Roman"/>
          <w:color w:val="auto"/>
          <w:sz w:val="22"/>
          <w:szCs w:val="22"/>
        </w:rPr>
        <w:t>retuned</w:t>
      </w:r>
      <w:proofErr w:type="spellEnd"/>
      <w:r w:rsidRPr="00F84261">
        <w:rPr>
          <w:rFonts w:ascii="Times New Roman" w:hAnsi="Times New Roman" w:cs="Times New Roman"/>
          <w:color w:val="auto"/>
          <w:sz w:val="22"/>
          <w:szCs w:val="22"/>
        </w:rPr>
        <w:t xml:space="preserve"> to duty in the morning that the child had been placed with his father that evening, however the victim was not updated of this by the police and found out through the father in the morning. The victim subsequently made a complaint, which I feel would have been avoided if she had been promptly updated. </w:t>
      </w:r>
    </w:p>
    <w:p w14:paraId="407D2886" w14:textId="77777777" w:rsidR="00F84261" w:rsidRPr="00F84261" w:rsidRDefault="00F84261" w:rsidP="00F84261">
      <w:pPr>
        <w:rPr>
          <w:rFonts w:ascii="Times New Roman" w:hAnsi="Times New Roman" w:cs="Times New Roman"/>
          <w:color w:val="auto"/>
          <w:sz w:val="22"/>
          <w:szCs w:val="22"/>
        </w:rPr>
      </w:pPr>
    </w:p>
    <w:p w14:paraId="306F8F7B" w14:textId="74A293B0" w:rsidR="00F84261" w:rsidRPr="00F84261" w:rsidRDefault="00F84261" w:rsidP="00F84261">
      <w:pPr>
        <w:rPr>
          <w:rFonts w:ascii="Times New Roman" w:hAnsi="Times New Roman" w:cs="Times New Roman"/>
          <w:color w:val="auto"/>
          <w:sz w:val="22"/>
          <w:szCs w:val="22"/>
        </w:rPr>
      </w:pPr>
      <w:r w:rsidRPr="00F84261">
        <w:rPr>
          <w:rFonts w:ascii="Times New Roman" w:hAnsi="Times New Roman" w:cs="Times New Roman"/>
          <w:color w:val="auto"/>
          <w:sz w:val="22"/>
          <w:szCs w:val="22"/>
        </w:rPr>
        <w:t xml:space="preserve">Though I feel I took every action I could to support the victims in these cases, the nature of the very challenging situations meant it that victims were not always effectively supported through the investigation. I feel that the VCP are a helpful standard for officers to follow, however they could do with improvement to sections focusing on the victim’s wishes in the investigation. For example, I feel that although the VCP outlines that officer have 24 hrs to update or notify the victim, some victim needed to be updated sooner than this. Nevertheless, I am happy with the way I supported the victims in these cases overall. </w:t>
      </w:r>
    </w:p>
    <w:p w14:paraId="7BC9214F" w14:textId="0FFE318F" w:rsidR="00F84261" w:rsidRDefault="00F84261" w:rsidP="00F84261">
      <w:pPr>
        <w:rPr>
          <w:sz w:val="22"/>
          <w:szCs w:val="22"/>
        </w:rPr>
      </w:pPr>
    </w:p>
    <w:p w14:paraId="149A1890" w14:textId="77777777" w:rsidR="00C508A2" w:rsidRDefault="00C508A2" w:rsidP="00F84261">
      <w:pPr>
        <w:rPr>
          <w:sz w:val="22"/>
          <w:szCs w:val="22"/>
        </w:rPr>
      </w:pPr>
    </w:p>
    <w:p w14:paraId="666D7396" w14:textId="77777777" w:rsidR="00C508A2" w:rsidRDefault="00C508A2" w:rsidP="00F84261">
      <w:pPr>
        <w:rPr>
          <w:sz w:val="22"/>
          <w:szCs w:val="22"/>
        </w:rPr>
      </w:pPr>
    </w:p>
    <w:p w14:paraId="3FC9B4AF" w14:textId="77777777" w:rsidR="00C508A2" w:rsidRDefault="00C508A2" w:rsidP="00F84261">
      <w:pPr>
        <w:rPr>
          <w:sz w:val="22"/>
          <w:szCs w:val="22"/>
        </w:rPr>
      </w:pPr>
    </w:p>
    <w:p w14:paraId="10A22C56" w14:textId="77777777" w:rsidR="00C508A2" w:rsidRDefault="00C508A2" w:rsidP="00F84261">
      <w:pPr>
        <w:rPr>
          <w:sz w:val="22"/>
          <w:szCs w:val="22"/>
        </w:rPr>
      </w:pPr>
    </w:p>
    <w:p w14:paraId="61204521" w14:textId="77777777" w:rsidR="00C508A2" w:rsidRDefault="00C508A2" w:rsidP="00F84261">
      <w:pPr>
        <w:rPr>
          <w:sz w:val="22"/>
          <w:szCs w:val="22"/>
        </w:rPr>
      </w:pPr>
    </w:p>
    <w:p w14:paraId="28931A15" w14:textId="77777777" w:rsidR="00C508A2" w:rsidRDefault="00C508A2" w:rsidP="00F84261">
      <w:pPr>
        <w:rPr>
          <w:sz w:val="22"/>
          <w:szCs w:val="22"/>
        </w:rPr>
      </w:pPr>
    </w:p>
    <w:p w14:paraId="27358B69" w14:textId="77777777" w:rsidR="00C508A2" w:rsidRDefault="00C508A2" w:rsidP="00F84261">
      <w:pPr>
        <w:rPr>
          <w:sz w:val="22"/>
          <w:szCs w:val="22"/>
        </w:rPr>
      </w:pPr>
    </w:p>
    <w:p w14:paraId="374225E5" w14:textId="77777777" w:rsidR="00C508A2" w:rsidRDefault="00C508A2" w:rsidP="00F84261">
      <w:pPr>
        <w:rPr>
          <w:sz w:val="22"/>
          <w:szCs w:val="22"/>
        </w:rPr>
      </w:pPr>
    </w:p>
    <w:p w14:paraId="4C09D0A7" w14:textId="77777777" w:rsidR="00C508A2" w:rsidRDefault="00C508A2" w:rsidP="00F84261">
      <w:pPr>
        <w:rPr>
          <w:sz w:val="22"/>
          <w:szCs w:val="22"/>
        </w:rPr>
      </w:pPr>
    </w:p>
    <w:p w14:paraId="374A9536" w14:textId="77777777" w:rsidR="00C508A2" w:rsidRDefault="00C508A2" w:rsidP="00F84261">
      <w:pPr>
        <w:rPr>
          <w:sz w:val="22"/>
          <w:szCs w:val="22"/>
        </w:rPr>
      </w:pPr>
    </w:p>
    <w:p w14:paraId="331E1805" w14:textId="77777777" w:rsidR="00C508A2" w:rsidRDefault="00C508A2" w:rsidP="00F84261">
      <w:pPr>
        <w:rPr>
          <w:sz w:val="22"/>
          <w:szCs w:val="22"/>
        </w:rPr>
      </w:pPr>
    </w:p>
    <w:p w14:paraId="358472F2" w14:textId="77777777" w:rsidR="00C508A2" w:rsidRDefault="00C508A2" w:rsidP="00F84261">
      <w:pPr>
        <w:rPr>
          <w:sz w:val="22"/>
          <w:szCs w:val="22"/>
        </w:rPr>
      </w:pPr>
    </w:p>
    <w:p w14:paraId="252E15A4" w14:textId="77777777" w:rsidR="00924ED5" w:rsidRPr="00924ED5" w:rsidRDefault="00924ED5" w:rsidP="00924ED5">
      <w:pPr>
        <w:ind w:right="107"/>
        <w:jc w:val="both"/>
        <w:rPr>
          <w:color w:val="auto"/>
        </w:rPr>
      </w:pPr>
      <w:r w:rsidRPr="00924ED5">
        <w:rPr>
          <w:color w:val="auto"/>
        </w:rPr>
        <w:lastRenderedPageBreak/>
        <w:t xml:space="preserve">You must choose </w:t>
      </w:r>
      <w:r w:rsidRPr="00924ED5">
        <w:rPr>
          <w:b/>
          <w:bCs/>
          <w:color w:val="auto"/>
          <w:u w:val="single"/>
        </w:rPr>
        <w:t>a policing incident</w:t>
      </w:r>
      <w:r w:rsidRPr="00924ED5">
        <w:rPr>
          <w:b/>
          <w:bCs/>
          <w:color w:val="auto"/>
        </w:rPr>
        <w:t xml:space="preserve"> </w:t>
      </w:r>
      <w:r w:rsidRPr="00924ED5">
        <w:rPr>
          <w:color w:val="auto"/>
        </w:rPr>
        <w:t>which you played a significant role with an offender/service</w:t>
      </w:r>
      <w:r w:rsidRPr="00924ED5">
        <w:rPr>
          <w:b/>
          <w:color w:val="auto"/>
        </w:rPr>
        <w:t xml:space="preserve"> </w:t>
      </w:r>
      <w:r w:rsidRPr="00924ED5">
        <w:rPr>
          <w:color w:val="auto"/>
        </w:rPr>
        <w:t xml:space="preserve">user/victim and reflect on what happened. </w:t>
      </w:r>
    </w:p>
    <w:p w14:paraId="7E581D09" w14:textId="77777777" w:rsidR="00924ED5" w:rsidRPr="00924ED5" w:rsidRDefault="00924ED5" w:rsidP="00924ED5">
      <w:pPr>
        <w:pStyle w:val="TableParagraph"/>
        <w:tabs>
          <w:tab w:val="left" w:pos="355"/>
        </w:tabs>
        <w:ind w:left="0" w:right="107"/>
        <w:rPr>
          <w:rFonts w:eastAsia="Times New Roman"/>
          <w:sz w:val="20"/>
          <w:szCs w:val="20"/>
          <w:lang w:eastAsia="zh-TW" w:bidi="ar-SA"/>
        </w:rPr>
      </w:pPr>
    </w:p>
    <w:p w14:paraId="155EDFA1" w14:textId="77777777" w:rsidR="00924ED5" w:rsidRPr="00924ED5" w:rsidRDefault="00924ED5" w:rsidP="00924ED5">
      <w:pPr>
        <w:ind w:right="107"/>
        <w:rPr>
          <w:color w:val="auto"/>
          <w:lang w:eastAsia="zh-TW"/>
        </w:rPr>
      </w:pPr>
      <w:r w:rsidRPr="00924ED5">
        <w:rPr>
          <w:b/>
          <w:bCs/>
          <w:color w:val="auto"/>
          <w:lang w:eastAsia="zh-TW"/>
        </w:rPr>
        <w:t xml:space="preserve">Critically assess </w:t>
      </w:r>
      <w:r w:rsidRPr="00924ED5">
        <w:rPr>
          <w:color w:val="auto"/>
          <w:lang w:eastAsia="zh-TW"/>
        </w:rPr>
        <w:t>your role during a</w:t>
      </w:r>
      <w:r w:rsidRPr="00924ED5">
        <w:rPr>
          <w:b/>
          <w:bCs/>
          <w:color w:val="auto"/>
          <w:lang w:eastAsia="zh-TW"/>
        </w:rPr>
        <w:t xml:space="preserve"> </w:t>
      </w:r>
      <w:r w:rsidRPr="00924ED5">
        <w:rPr>
          <w:color w:val="auto"/>
          <w:lang w:eastAsia="zh-TW"/>
        </w:rPr>
        <w:t xml:space="preserve">police investigation where you played a significant part with an offender/victim and reflect upon what happened. </w:t>
      </w:r>
    </w:p>
    <w:p w14:paraId="73B5D29E" w14:textId="77777777" w:rsidR="00924ED5" w:rsidRPr="00924ED5" w:rsidRDefault="00924ED5" w:rsidP="00924ED5">
      <w:pPr>
        <w:ind w:right="107"/>
        <w:rPr>
          <w:color w:val="auto"/>
          <w:lang w:eastAsia="zh-TW"/>
        </w:rPr>
      </w:pPr>
    </w:p>
    <w:p w14:paraId="215DDAE8" w14:textId="77777777" w:rsidR="00924ED5" w:rsidRPr="00924ED5" w:rsidRDefault="00924ED5" w:rsidP="00924ED5">
      <w:pPr>
        <w:ind w:right="107"/>
        <w:rPr>
          <w:color w:val="auto"/>
          <w:lang w:eastAsia="zh-TW"/>
        </w:rPr>
      </w:pPr>
      <w:r w:rsidRPr="00924ED5">
        <w:rPr>
          <w:b/>
          <w:bCs/>
          <w:color w:val="auto"/>
          <w:lang w:eastAsia="zh-TW"/>
        </w:rPr>
        <w:t xml:space="preserve">Reflect </w:t>
      </w:r>
      <w:r w:rsidRPr="00924ED5">
        <w:rPr>
          <w:color w:val="auto"/>
          <w:lang w:eastAsia="zh-TW"/>
        </w:rPr>
        <w:t xml:space="preserve">upon your use of the National Decision-Making Model and the Code of Ethics and review how this impacted upon your decision making and use of discretion within the investigation. </w:t>
      </w:r>
    </w:p>
    <w:p w14:paraId="28A3B227" w14:textId="77777777" w:rsidR="00924ED5" w:rsidRPr="00924ED5" w:rsidRDefault="00924ED5" w:rsidP="00924ED5">
      <w:pPr>
        <w:ind w:right="107"/>
        <w:rPr>
          <w:color w:val="auto"/>
          <w:lang w:eastAsia="zh-TW"/>
        </w:rPr>
      </w:pPr>
    </w:p>
    <w:p w14:paraId="2AF63AAA" w14:textId="77777777" w:rsidR="00924ED5" w:rsidRPr="00924ED5" w:rsidRDefault="00924ED5" w:rsidP="00924ED5">
      <w:pPr>
        <w:ind w:right="107"/>
        <w:rPr>
          <w:color w:val="auto"/>
          <w:lang w:eastAsia="zh-TW"/>
        </w:rPr>
      </w:pPr>
      <w:r w:rsidRPr="00924ED5">
        <w:rPr>
          <w:b/>
          <w:bCs/>
          <w:color w:val="auto"/>
          <w:lang w:eastAsia="zh-TW"/>
        </w:rPr>
        <w:t>Critically review</w:t>
      </w:r>
      <w:r w:rsidRPr="00924ED5">
        <w:rPr>
          <w:color w:val="auto"/>
          <w:lang w:eastAsia="zh-TW"/>
        </w:rPr>
        <w:t xml:space="preserve"> your responsibilities regarding the provision of CPIA when conducting this investigation. </w:t>
      </w:r>
    </w:p>
    <w:p w14:paraId="433563F3" w14:textId="77777777" w:rsidR="00924ED5" w:rsidRDefault="00924ED5" w:rsidP="00924ED5">
      <w:pPr>
        <w:ind w:right="107"/>
        <w:rPr>
          <w:color w:val="000000" w:themeColor="text1"/>
          <w:sz w:val="24"/>
          <w:szCs w:val="24"/>
          <w:lang w:eastAsia="zh-TW"/>
        </w:rPr>
      </w:pPr>
    </w:p>
    <w:p w14:paraId="72483319" w14:textId="77777777" w:rsidR="00924ED5" w:rsidRDefault="00924ED5" w:rsidP="00924ED5">
      <w:pPr>
        <w:ind w:right="107"/>
        <w:rPr>
          <w:color w:val="000000" w:themeColor="text1"/>
          <w:sz w:val="24"/>
          <w:szCs w:val="24"/>
          <w:lang w:eastAsia="zh-TW"/>
        </w:rPr>
      </w:pPr>
    </w:p>
    <w:p w14:paraId="75283E6F"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In this essay I will discuss an investigation of the offence of Theft of a Motor Vehicle. I will explore and critically assess my actions relating to the investigation of this offence and I will reflect upon my decision making and use of discretion within the investigation. I will focus my reflection in particular on my use of the National Decision Making Model (NDM) and the Code of ethics and how this had an impact upon my decision making throughout the investigation. I will also critically review my provision of my responsibilities regarding the Criminal Procedure and Investigations Act 1996 (CPIA) while I conduced this investigation. </w:t>
      </w:r>
    </w:p>
    <w:p w14:paraId="23F017BF" w14:textId="77777777" w:rsidR="00924ED5" w:rsidRPr="00924ED5" w:rsidRDefault="00924ED5" w:rsidP="00924ED5">
      <w:pPr>
        <w:rPr>
          <w:rFonts w:ascii="Times New Roman" w:hAnsi="Times New Roman" w:cs="Times New Roman"/>
        </w:rPr>
      </w:pPr>
    </w:p>
    <w:p w14:paraId="4CCBB1C2"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This case appeared to be straightforward initially, however there were several evidential components to consider which added complexity. Namely, there were some identification issues around the identity of the suspect. I had to be cautious when explaining my rational using the evidence available to legitimately and objectively prove that the suspect was the one responsible for the offence. The theft had taken place some months before and I was tasked as OIC to investigate this offence as a possible suspect had been arrested and detained in custody. </w:t>
      </w:r>
    </w:p>
    <w:p w14:paraId="3D6F423C" w14:textId="77777777" w:rsidR="00924ED5" w:rsidRPr="00924ED5" w:rsidRDefault="00924ED5" w:rsidP="00924ED5">
      <w:pPr>
        <w:rPr>
          <w:rFonts w:ascii="Times New Roman" w:hAnsi="Times New Roman" w:cs="Times New Roman"/>
          <w:sz w:val="22"/>
          <w:szCs w:val="22"/>
        </w:rPr>
      </w:pPr>
    </w:p>
    <w:p w14:paraId="704CBAB5"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The victim in this case wished to sell his motorbike on Facebook marketplace. He was contacted by an unknown interested party via a social media account. The victim and a friend of his arranged to meet them approximately 50 miles away on a designated street to sell and deliver the bike. The victim and his friend arrived at the location and allowed the suspect to test the motorbike up and down the street before purchase. However, the suspect drove away with the vehicle and did not return to the location. There were witnesses on the street who saw the offence take place and who identified the suspect involved, due to him being well known in the area. The victim noted that the social media profile used by the suspect was under an alias name and that the picture linked was similar to the suspect but was also a fake picture. The victim used the name provided by the witnesses to search for the suspect on social media and identified a profile linked to a picture that he identified as the suspect. He then reported the offence to the police. </w:t>
      </w:r>
    </w:p>
    <w:p w14:paraId="4AA39376" w14:textId="77777777" w:rsidR="00924ED5" w:rsidRPr="00924ED5" w:rsidRDefault="00924ED5" w:rsidP="00924ED5">
      <w:pPr>
        <w:rPr>
          <w:rFonts w:ascii="Times New Roman" w:hAnsi="Times New Roman" w:cs="Times New Roman"/>
          <w:sz w:val="22"/>
          <w:szCs w:val="22"/>
        </w:rPr>
      </w:pPr>
    </w:p>
    <w:p w14:paraId="005CEA51"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It was simple to prove the offence of theft had taken place from a legislative perspective. The owner of the vehicle gave consent to the suspect to drive the vehicle, upon the expectation it would be returned prior to payment. The Theft Act (1968) outlines that it is an offence to obtain property belonging to another by deception. The suspect “dishonestly appropriated” the property when he made false promises of payment to the owner, without any intention of providing payment. The suspect proved that he intended to “permanently deprive” the victim of his property when he rode off on the bike and failed to return to the location after some time, indicating he had no intention of returning the bike to the owner. The suspect also ignored phone calls and messages from the victim requesting payment, eventually blocking his number, indicating that he was aware that he had appropriated the bike dishonestly and had no intention of returning it. </w:t>
      </w:r>
    </w:p>
    <w:p w14:paraId="0795CDBE" w14:textId="77777777" w:rsidR="00924ED5" w:rsidRPr="00924ED5" w:rsidRDefault="00924ED5" w:rsidP="00924ED5">
      <w:pPr>
        <w:rPr>
          <w:rFonts w:ascii="Times New Roman" w:hAnsi="Times New Roman" w:cs="Times New Roman"/>
          <w:sz w:val="22"/>
          <w:szCs w:val="22"/>
        </w:rPr>
      </w:pPr>
    </w:p>
    <w:p w14:paraId="19029ADD"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Though the threshold for the offence were met, there were several pieces of evidence that I had to consider when linking the male in custody to the suspect in the case. </w:t>
      </w:r>
      <w:r w:rsidRPr="00924ED5">
        <w:rPr>
          <w:rFonts w:ascii="Times New Roman" w:hAnsi="Times New Roman" w:cs="Times New Roman"/>
          <w:color w:val="auto"/>
          <w:sz w:val="22"/>
          <w:szCs w:val="22"/>
        </w:rPr>
        <w:t xml:space="preserve">For the purposes of this essay, I will refer to the suspect in custody under the pseudonym of ‘Robby’ to protect his identity. </w:t>
      </w:r>
      <w:r w:rsidRPr="00924ED5">
        <w:rPr>
          <w:rFonts w:ascii="Times New Roman" w:hAnsi="Times New Roman" w:cs="Times New Roman"/>
          <w:sz w:val="22"/>
          <w:szCs w:val="22"/>
        </w:rPr>
        <w:t xml:space="preserve">As outlined by the Criminal Procedure and Investigations Act (1996) (CPIA), it was important for me to consider all the evidence in an unbiased and objective manner, ensuring that all findings linking </w:t>
      </w:r>
      <w:r w:rsidRPr="00924ED5">
        <w:rPr>
          <w:rFonts w:ascii="Times New Roman" w:hAnsi="Times New Roman" w:cs="Times New Roman"/>
          <w:sz w:val="22"/>
          <w:szCs w:val="22"/>
        </w:rPr>
        <w:lastRenderedPageBreak/>
        <w:t xml:space="preserve">Robby to and away from the case were considered and disclosed to the Criminal Prosecution Service (CPS) during the course of the investigation. </w:t>
      </w:r>
    </w:p>
    <w:p w14:paraId="13FBD1EA" w14:textId="77777777" w:rsidR="00924ED5" w:rsidRPr="00924ED5" w:rsidRDefault="00924ED5" w:rsidP="00924ED5">
      <w:pPr>
        <w:rPr>
          <w:rFonts w:ascii="Times New Roman" w:hAnsi="Times New Roman" w:cs="Times New Roman"/>
          <w:sz w:val="22"/>
          <w:szCs w:val="22"/>
        </w:rPr>
      </w:pPr>
    </w:p>
    <w:p w14:paraId="3EB0CD18" w14:textId="77777777" w:rsidR="00924ED5" w:rsidRPr="00924ED5" w:rsidRDefault="00924ED5" w:rsidP="00924ED5">
      <w:pPr>
        <w:rPr>
          <w:rFonts w:ascii="Times New Roman" w:hAnsi="Times New Roman" w:cs="Times New Roman"/>
          <w:color w:val="040C28"/>
          <w:sz w:val="22"/>
          <w:szCs w:val="22"/>
        </w:rPr>
      </w:pPr>
      <w:r w:rsidRPr="00924ED5">
        <w:rPr>
          <w:rFonts w:ascii="Times New Roman" w:hAnsi="Times New Roman" w:cs="Times New Roman"/>
          <w:sz w:val="22"/>
          <w:szCs w:val="22"/>
        </w:rPr>
        <w:t>The CPIA was introduced in 1996 to outline standards and expectations around criminal investigations. This act seeks to regulate what material is documented and disclosed throughout a criminal investigation, stating that all material must be categorised using the guidance of ‘</w:t>
      </w:r>
      <w:r w:rsidRPr="00924ED5">
        <w:rPr>
          <w:rFonts w:ascii="Times New Roman" w:hAnsi="Times New Roman" w:cs="Times New Roman"/>
          <w:color w:val="040C28"/>
          <w:sz w:val="22"/>
          <w:szCs w:val="22"/>
        </w:rPr>
        <w:t xml:space="preserve">Relevant, Retain, Record, Review, Respond &amp; Reveal’. The most recent update to the code of practice introduced the standard of ‘rebuttable presumption’, which states that most material will be considered disclosable unless it does not meet the threshold for the presumption. These updates were necessary due to issues surrounding evidence and material not being disclosed and material potentially aiding the defence being left out of disclosure, leading to an unfair and bias Criminal Justice System. Cases such as R v Allen, 2017, highlight the necessity for adhering to the new CPIA guidelines (CPS, 2017). This case was a rape trial against Allen whereby text messages that hugely undermined the prosecution’s case, suggesting consensual sexual intercourse had been arranged, was left undisclosed prior to the beginning of the trial. </w:t>
      </w:r>
    </w:p>
    <w:p w14:paraId="1FB8F410" w14:textId="77777777" w:rsidR="00924ED5" w:rsidRPr="00924ED5" w:rsidRDefault="00924ED5" w:rsidP="00924ED5">
      <w:pPr>
        <w:rPr>
          <w:rFonts w:ascii="Times New Roman" w:hAnsi="Times New Roman" w:cs="Times New Roman"/>
          <w:color w:val="040C28"/>
          <w:sz w:val="22"/>
          <w:szCs w:val="22"/>
        </w:rPr>
      </w:pPr>
    </w:p>
    <w:p w14:paraId="1577DFFC"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As outlined in the Code of Ethics (College of Policing, 2014), it is imperative to remain impartial throughout a police investigation. The Code of Ethics provides guidelines on the “exemplary standards of behaviour” that is expected in all aspects of policing and investigations. It defines these as 10 specific behaviours: ‘honesty and integrity; authority, respect and courtesy; equality and diversity; use of force; orders and instructions; duties and responsibilities; confidentiality; fitness for work and challenging and reporting improper conduct’. I believe that during my investigation it was particularly pertinent to focus on certain elements to achieve a fair and thorough investigation, namely: honesty and integrity. I believe this as I have considered that it may be easy to fall into a bias approach in an investigation, due to always desiring the best outcome for victims, however it is essential to approach an investigation from an objective standpoint to facilitate a fair and just process.</w:t>
      </w:r>
    </w:p>
    <w:p w14:paraId="32D875AE" w14:textId="77777777" w:rsidR="00924ED5" w:rsidRPr="00924ED5" w:rsidRDefault="00924ED5" w:rsidP="00924ED5">
      <w:pPr>
        <w:rPr>
          <w:rFonts w:ascii="Times New Roman" w:hAnsi="Times New Roman" w:cs="Times New Roman"/>
          <w:color w:val="040C28"/>
          <w:sz w:val="22"/>
          <w:szCs w:val="22"/>
        </w:rPr>
      </w:pPr>
    </w:p>
    <w:p w14:paraId="3527515A" w14:textId="77777777" w:rsidR="00924ED5" w:rsidRPr="00924ED5" w:rsidRDefault="00924ED5" w:rsidP="00924ED5">
      <w:pPr>
        <w:rPr>
          <w:rFonts w:ascii="Times New Roman" w:hAnsi="Times New Roman" w:cs="Times New Roman"/>
          <w:color w:val="040C28"/>
          <w:sz w:val="22"/>
          <w:szCs w:val="22"/>
        </w:rPr>
      </w:pPr>
      <w:r w:rsidRPr="00924ED5">
        <w:rPr>
          <w:rFonts w:ascii="Times New Roman" w:hAnsi="Times New Roman" w:cs="Times New Roman"/>
          <w:color w:val="040C28"/>
          <w:sz w:val="22"/>
          <w:szCs w:val="22"/>
        </w:rPr>
        <w:t xml:space="preserve">During my investigation of this case, I discovered that there were several pieces of evidence possibly linking Robby as the suspect. Although the suspect had used a social media profile to communicate with the victim, they had also asked for the victim’s phone number so they may text one another. I made a note of this number and checked the database to establish if a person was linked to the number on the system. I found that ‘Robby’ was linked to the number used to contact the victim. Furthermore, an officer independent to the case who spoke with ‘Robby’ on this phone number regarding a separate incident, provided a witness statement to confirm that ‘Robby’ identified himself on the phone call. The victim had no prior knowledge of ‘Robby’s’ real identity, and as could be seen through the social media messages, only obtained his number after it was offered by the suspect under the false name. With 2 independent eyewitness statements also confirming the identity of ‘Robby’, it was satisfactory to assume that ‘Robby’ was indeed the suspect in this case given all the corroborating evidence. </w:t>
      </w:r>
    </w:p>
    <w:p w14:paraId="4068CBED" w14:textId="77777777" w:rsidR="00924ED5" w:rsidRPr="00924ED5" w:rsidRDefault="00924ED5" w:rsidP="00924ED5">
      <w:pPr>
        <w:rPr>
          <w:rFonts w:ascii="Times New Roman" w:hAnsi="Times New Roman" w:cs="Times New Roman"/>
          <w:color w:val="040C28"/>
          <w:sz w:val="22"/>
          <w:szCs w:val="22"/>
        </w:rPr>
      </w:pPr>
    </w:p>
    <w:p w14:paraId="0F6421F6"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I made use of the National Decision-Making Model (NDM) to aid me in providing my rational for charging ‘Robby’ with Theft of a Motor vehicle. The NDM provides a structured way of making decisions and encouraging learning from previous decision-making processes. The NDM is founded on the code of ethics and the professional standards of policing and sets out a five step cycle of decision making in policing. Firstly, to gather information and intelligence; secondly, to assess threat, risk and develop a working strategy; thirdly, to consider powers and policy; fourthly, to identify options and contingencies; fifthly, to take action and review what happened. Firstly, I considered all the evidence I had in the case and considered the impact of that evidence. I found the second element of the NDM to be less useful in this situation as there was no direct threat or risk in that moment of investigation, however I developed my interview strategy to algin with the evidence that I had. I then considered policy such as the CPIA and what might need to be disclosed. Following interview I reviewed the options I had to proceed with the suspect, concluding that a charge and release on bail for CPS review was the most appropriate outcome. After this I reviewed my actions and asked for feedback from my supervisor to aid my future decision making. </w:t>
      </w:r>
    </w:p>
    <w:p w14:paraId="0F778C33" w14:textId="77777777" w:rsidR="00924ED5" w:rsidRPr="00924ED5" w:rsidRDefault="00924ED5" w:rsidP="00924ED5">
      <w:pPr>
        <w:rPr>
          <w:rFonts w:ascii="Times New Roman" w:hAnsi="Times New Roman" w:cs="Times New Roman"/>
          <w:sz w:val="22"/>
          <w:szCs w:val="22"/>
        </w:rPr>
      </w:pPr>
    </w:p>
    <w:p w14:paraId="784A2BFC"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lastRenderedPageBreak/>
        <w:t>When considering my responsibilities as an investigator with regard to the CPIA I ensured that I also used my discretion and provided any undermining factors in the case in my write up. I believe this was an important part of my rational as it certified that I had conducted myself as a competent investigator, taking into account the evidence from a bigger picture perspective. I noted that there were possible biases in the eyewitness accounts. Given that ‘Robby’ was a known offender in the area, with many having a personal agenda against him, it may have been possible that the eyewitnesses decided to name ‘Robby’ as the suspect as a form of retribution. It was not clear how these eyewitnesses knew ‘Robby’ in their statements, and so I highlighted this issue. Furthermore, a formal identification process had not taken place, meaning that the victim has not formally identified the male who stole his motorbike as ‘Robby’. It was straightforward to consider the evidence that needed to be disclosed under the provision of the CPIA as all evidence met the ‘rebuttable presumption’, and I feel that I didn’t need to follow my discretion in this instance as I followed the guidance as set out in the CPIA.</w:t>
      </w:r>
    </w:p>
    <w:p w14:paraId="508649DF" w14:textId="77777777" w:rsidR="00924ED5" w:rsidRPr="00924ED5" w:rsidRDefault="00924ED5" w:rsidP="00924ED5">
      <w:pPr>
        <w:rPr>
          <w:rFonts w:ascii="Times New Roman" w:hAnsi="Times New Roman" w:cs="Times New Roman"/>
          <w:sz w:val="22"/>
          <w:szCs w:val="22"/>
        </w:rPr>
      </w:pPr>
    </w:p>
    <w:p w14:paraId="4ACCDC6F" w14:textId="77777777" w:rsidR="00924ED5" w:rsidRPr="00924ED5" w:rsidRDefault="00924ED5" w:rsidP="00924ED5">
      <w:pPr>
        <w:rPr>
          <w:rFonts w:ascii="Times New Roman" w:hAnsi="Times New Roman" w:cs="Times New Roman"/>
          <w:sz w:val="22"/>
          <w:szCs w:val="22"/>
        </w:rPr>
      </w:pPr>
      <w:r w:rsidRPr="00924ED5">
        <w:rPr>
          <w:rFonts w:ascii="Times New Roman" w:hAnsi="Times New Roman" w:cs="Times New Roman"/>
          <w:sz w:val="22"/>
          <w:szCs w:val="22"/>
        </w:rPr>
        <w:t xml:space="preserve">To conclude, I believe I conducted myself in a professional and competent manner in this investigation and I was pleased with the outcome of the case. The defendant plead guilty in court, highlighting that my decision making and reasoning while using tools such as the NDM was an effective way to manage my investigations and the evidence I had to consider in the case. I considered the elements of the CPIA throughout, from reflection I believe I fully understood my responsibilities and objectives in this investigation and managed them effectively. </w:t>
      </w:r>
    </w:p>
    <w:p w14:paraId="56DD2D68" w14:textId="77777777" w:rsidR="00924ED5" w:rsidRPr="00924ED5" w:rsidRDefault="00924ED5" w:rsidP="00924ED5">
      <w:pPr>
        <w:ind w:right="107"/>
        <w:rPr>
          <w:rFonts w:ascii="Times New Roman" w:hAnsi="Times New Roman" w:cs="Times New Roman"/>
          <w:sz w:val="24"/>
          <w:szCs w:val="24"/>
          <w:lang w:eastAsia="zh-TW"/>
        </w:rPr>
      </w:pPr>
    </w:p>
    <w:p w14:paraId="6C5C6D83" w14:textId="68E209BF" w:rsidR="00C508A2" w:rsidRDefault="00C508A2" w:rsidP="00924ED5">
      <w:pPr>
        <w:rPr>
          <w:rFonts w:ascii="Times New Roman" w:hAnsi="Times New Roman" w:cs="Times New Roman"/>
          <w:sz w:val="22"/>
          <w:szCs w:val="22"/>
        </w:rPr>
      </w:pPr>
    </w:p>
    <w:p w14:paraId="6FEE4462" w14:textId="77777777" w:rsidR="00924ED5" w:rsidRDefault="00924ED5" w:rsidP="00924ED5">
      <w:pPr>
        <w:rPr>
          <w:rFonts w:ascii="Times New Roman" w:hAnsi="Times New Roman" w:cs="Times New Roman"/>
          <w:sz w:val="22"/>
          <w:szCs w:val="22"/>
        </w:rPr>
      </w:pPr>
    </w:p>
    <w:p w14:paraId="176A3CED" w14:textId="77777777" w:rsidR="00924ED5" w:rsidRDefault="00924ED5" w:rsidP="00924ED5">
      <w:pPr>
        <w:rPr>
          <w:rFonts w:ascii="Times New Roman" w:hAnsi="Times New Roman" w:cs="Times New Roman"/>
          <w:sz w:val="22"/>
          <w:szCs w:val="22"/>
        </w:rPr>
      </w:pPr>
    </w:p>
    <w:p w14:paraId="3B06F33C" w14:textId="77777777" w:rsidR="00924ED5" w:rsidRDefault="00924ED5" w:rsidP="00924ED5">
      <w:pPr>
        <w:rPr>
          <w:rFonts w:ascii="Times New Roman" w:hAnsi="Times New Roman" w:cs="Times New Roman"/>
          <w:sz w:val="22"/>
          <w:szCs w:val="22"/>
        </w:rPr>
      </w:pPr>
    </w:p>
    <w:p w14:paraId="770B02AF" w14:textId="77777777" w:rsidR="00924ED5" w:rsidRDefault="00924ED5" w:rsidP="00924ED5">
      <w:pPr>
        <w:rPr>
          <w:rFonts w:ascii="Times New Roman" w:hAnsi="Times New Roman" w:cs="Times New Roman"/>
          <w:sz w:val="22"/>
          <w:szCs w:val="22"/>
        </w:rPr>
      </w:pPr>
    </w:p>
    <w:p w14:paraId="61ED8061" w14:textId="77777777" w:rsidR="00924ED5" w:rsidRDefault="00924ED5" w:rsidP="00924ED5">
      <w:pPr>
        <w:rPr>
          <w:rFonts w:ascii="Times New Roman" w:hAnsi="Times New Roman" w:cs="Times New Roman"/>
          <w:sz w:val="22"/>
          <w:szCs w:val="22"/>
        </w:rPr>
      </w:pPr>
    </w:p>
    <w:p w14:paraId="42322AF8" w14:textId="77777777" w:rsidR="00924ED5" w:rsidRDefault="00924ED5" w:rsidP="00924ED5">
      <w:pPr>
        <w:rPr>
          <w:rFonts w:ascii="Times New Roman" w:hAnsi="Times New Roman" w:cs="Times New Roman"/>
          <w:sz w:val="22"/>
          <w:szCs w:val="22"/>
        </w:rPr>
      </w:pPr>
    </w:p>
    <w:p w14:paraId="40CB3827" w14:textId="77777777" w:rsidR="00924ED5" w:rsidRDefault="00924ED5" w:rsidP="00924ED5">
      <w:pPr>
        <w:rPr>
          <w:rFonts w:ascii="Times New Roman" w:hAnsi="Times New Roman" w:cs="Times New Roman"/>
          <w:sz w:val="22"/>
          <w:szCs w:val="22"/>
        </w:rPr>
      </w:pPr>
    </w:p>
    <w:p w14:paraId="665609F7" w14:textId="77777777" w:rsidR="00924ED5" w:rsidRDefault="00924ED5" w:rsidP="00924ED5">
      <w:pPr>
        <w:rPr>
          <w:rFonts w:ascii="Times New Roman" w:hAnsi="Times New Roman" w:cs="Times New Roman"/>
          <w:sz w:val="22"/>
          <w:szCs w:val="22"/>
        </w:rPr>
      </w:pPr>
    </w:p>
    <w:p w14:paraId="7DA3CEA2" w14:textId="77777777" w:rsidR="00924ED5" w:rsidRDefault="00924ED5" w:rsidP="00924ED5">
      <w:pPr>
        <w:rPr>
          <w:rFonts w:ascii="Times New Roman" w:hAnsi="Times New Roman" w:cs="Times New Roman"/>
          <w:sz w:val="22"/>
          <w:szCs w:val="22"/>
        </w:rPr>
      </w:pPr>
    </w:p>
    <w:p w14:paraId="438959DB" w14:textId="77777777" w:rsidR="00924ED5" w:rsidRDefault="00924ED5" w:rsidP="00924ED5">
      <w:pPr>
        <w:rPr>
          <w:rFonts w:ascii="Times New Roman" w:hAnsi="Times New Roman" w:cs="Times New Roman"/>
          <w:sz w:val="22"/>
          <w:szCs w:val="22"/>
        </w:rPr>
      </w:pPr>
    </w:p>
    <w:p w14:paraId="15340B27" w14:textId="77777777" w:rsidR="00924ED5" w:rsidRDefault="00924ED5" w:rsidP="00924ED5">
      <w:pPr>
        <w:rPr>
          <w:rFonts w:ascii="Times New Roman" w:hAnsi="Times New Roman" w:cs="Times New Roman"/>
          <w:sz w:val="22"/>
          <w:szCs w:val="22"/>
        </w:rPr>
      </w:pPr>
    </w:p>
    <w:p w14:paraId="7C2023D6" w14:textId="77777777" w:rsidR="00924ED5" w:rsidRDefault="00924ED5" w:rsidP="00924ED5">
      <w:pPr>
        <w:rPr>
          <w:rFonts w:ascii="Times New Roman" w:hAnsi="Times New Roman" w:cs="Times New Roman"/>
          <w:sz w:val="22"/>
          <w:szCs w:val="22"/>
        </w:rPr>
      </w:pPr>
    </w:p>
    <w:p w14:paraId="78D50A50" w14:textId="77777777" w:rsidR="00924ED5" w:rsidRDefault="00924ED5" w:rsidP="00924ED5">
      <w:pPr>
        <w:rPr>
          <w:rFonts w:ascii="Times New Roman" w:hAnsi="Times New Roman" w:cs="Times New Roman"/>
          <w:sz w:val="22"/>
          <w:szCs w:val="22"/>
        </w:rPr>
      </w:pPr>
    </w:p>
    <w:p w14:paraId="4648C67C" w14:textId="77777777" w:rsidR="00924ED5" w:rsidRDefault="00924ED5" w:rsidP="00924ED5">
      <w:pPr>
        <w:rPr>
          <w:rFonts w:ascii="Times New Roman" w:hAnsi="Times New Roman" w:cs="Times New Roman"/>
          <w:sz w:val="22"/>
          <w:szCs w:val="22"/>
        </w:rPr>
      </w:pPr>
    </w:p>
    <w:p w14:paraId="436A6032" w14:textId="77777777" w:rsidR="00924ED5" w:rsidRDefault="00924ED5" w:rsidP="00924ED5">
      <w:pPr>
        <w:rPr>
          <w:rFonts w:ascii="Times New Roman" w:hAnsi="Times New Roman" w:cs="Times New Roman"/>
          <w:sz w:val="22"/>
          <w:szCs w:val="22"/>
        </w:rPr>
      </w:pPr>
    </w:p>
    <w:p w14:paraId="1013F6F3" w14:textId="77777777" w:rsidR="00924ED5" w:rsidRDefault="00924ED5" w:rsidP="00924ED5">
      <w:pPr>
        <w:rPr>
          <w:rFonts w:ascii="Times New Roman" w:hAnsi="Times New Roman" w:cs="Times New Roman"/>
          <w:sz w:val="22"/>
          <w:szCs w:val="22"/>
        </w:rPr>
      </w:pPr>
    </w:p>
    <w:p w14:paraId="2D73E2F5" w14:textId="77777777" w:rsidR="00924ED5" w:rsidRDefault="00924ED5" w:rsidP="00924ED5">
      <w:pPr>
        <w:rPr>
          <w:rFonts w:ascii="Times New Roman" w:hAnsi="Times New Roman" w:cs="Times New Roman"/>
          <w:sz w:val="22"/>
          <w:szCs w:val="22"/>
        </w:rPr>
      </w:pPr>
    </w:p>
    <w:p w14:paraId="32623DC8" w14:textId="77777777" w:rsidR="00924ED5" w:rsidRDefault="00924ED5" w:rsidP="00924ED5">
      <w:pPr>
        <w:rPr>
          <w:rFonts w:ascii="Times New Roman" w:hAnsi="Times New Roman" w:cs="Times New Roman"/>
          <w:sz w:val="22"/>
          <w:szCs w:val="22"/>
        </w:rPr>
      </w:pPr>
    </w:p>
    <w:p w14:paraId="6C0B1F91" w14:textId="77777777" w:rsidR="00924ED5" w:rsidRDefault="00924ED5" w:rsidP="00924ED5">
      <w:pPr>
        <w:rPr>
          <w:rFonts w:ascii="Times New Roman" w:hAnsi="Times New Roman" w:cs="Times New Roman"/>
          <w:sz w:val="22"/>
          <w:szCs w:val="22"/>
        </w:rPr>
      </w:pPr>
    </w:p>
    <w:p w14:paraId="4970F936" w14:textId="77777777" w:rsidR="00924ED5" w:rsidRDefault="00924ED5" w:rsidP="00924ED5">
      <w:pPr>
        <w:rPr>
          <w:rFonts w:ascii="Times New Roman" w:hAnsi="Times New Roman" w:cs="Times New Roman"/>
          <w:sz w:val="22"/>
          <w:szCs w:val="22"/>
        </w:rPr>
      </w:pPr>
    </w:p>
    <w:p w14:paraId="64A12F58" w14:textId="77777777" w:rsidR="00924ED5" w:rsidRDefault="00924ED5" w:rsidP="00924ED5">
      <w:pPr>
        <w:rPr>
          <w:rFonts w:ascii="Times New Roman" w:hAnsi="Times New Roman" w:cs="Times New Roman"/>
          <w:sz w:val="22"/>
          <w:szCs w:val="22"/>
        </w:rPr>
      </w:pPr>
    </w:p>
    <w:p w14:paraId="654076F9" w14:textId="77777777" w:rsidR="00924ED5" w:rsidRDefault="00924ED5" w:rsidP="00924ED5">
      <w:pPr>
        <w:rPr>
          <w:rFonts w:ascii="Times New Roman" w:hAnsi="Times New Roman" w:cs="Times New Roman"/>
          <w:sz w:val="22"/>
          <w:szCs w:val="22"/>
        </w:rPr>
      </w:pPr>
    </w:p>
    <w:p w14:paraId="0FE3564D" w14:textId="77777777" w:rsidR="00924ED5" w:rsidRDefault="00924ED5" w:rsidP="00924ED5">
      <w:pPr>
        <w:rPr>
          <w:rFonts w:ascii="Times New Roman" w:hAnsi="Times New Roman" w:cs="Times New Roman"/>
          <w:sz w:val="22"/>
          <w:szCs w:val="22"/>
        </w:rPr>
      </w:pPr>
    </w:p>
    <w:p w14:paraId="070AB00A" w14:textId="77777777" w:rsidR="00924ED5" w:rsidRDefault="00924ED5" w:rsidP="00924ED5">
      <w:pPr>
        <w:rPr>
          <w:rFonts w:ascii="Times New Roman" w:hAnsi="Times New Roman" w:cs="Times New Roman"/>
          <w:sz w:val="22"/>
          <w:szCs w:val="22"/>
        </w:rPr>
      </w:pPr>
    </w:p>
    <w:p w14:paraId="44429050" w14:textId="77777777" w:rsidR="00924ED5" w:rsidRDefault="00924ED5" w:rsidP="00924ED5">
      <w:pPr>
        <w:rPr>
          <w:rFonts w:ascii="Times New Roman" w:hAnsi="Times New Roman" w:cs="Times New Roman"/>
          <w:sz w:val="22"/>
          <w:szCs w:val="22"/>
        </w:rPr>
      </w:pPr>
    </w:p>
    <w:p w14:paraId="4E83C97D" w14:textId="77777777" w:rsidR="00924ED5" w:rsidRDefault="00924ED5" w:rsidP="00924ED5">
      <w:pPr>
        <w:rPr>
          <w:rFonts w:ascii="Times New Roman" w:hAnsi="Times New Roman" w:cs="Times New Roman"/>
          <w:sz w:val="22"/>
          <w:szCs w:val="22"/>
        </w:rPr>
      </w:pPr>
    </w:p>
    <w:p w14:paraId="0CCDA376" w14:textId="77777777" w:rsidR="00924ED5" w:rsidRDefault="00924ED5" w:rsidP="00924ED5">
      <w:pPr>
        <w:rPr>
          <w:rFonts w:ascii="Times New Roman" w:hAnsi="Times New Roman" w:cs="Times New Roman"/>
          <w:sz w:val="22"/>
          <w:szCs w:val="22"/>
        </w:rPr>
      </w:pPr>
    </w:p>
    <w:p w14:paraId="73EE9177" w14:textId="77777777" w:rsidR="00924ED5" w:rsidRDefault="00924ED5" w:rsidP="00924ED5">
      <w:pPr>
        <w:rPr>
          <w:rFonts w:ascii="Times New Roman" w:hAnsi="Times New Roman" w:cs="Times New Roman"/>
          <w:sz w:val="22"/>
          <w:szCs w:val="22"/>
        </w:rPr>
      </w:pPr>
    </w:p>
    <w:p w14:paraId="5D858281" w14:textId="77777777" w:rsidR="00924ED5" w:rsidRDefault="00924ED5" w:rsidP="00924ED5">
      <w:pPr>
        <w:rPr>
          <w:rFonts w:ascii="Times New Roman" w:hAnsi="Times New Roman" w:cs="Times New Roman"/>
          <w:sz w:val="22"/>
          <w:szCs w:val="22"/>
        </w:rPr>
      </w:pPr>
    </w:p>
    <w:p w14:paraId="3A4B699F" w14:textId="77777777" w:rsidR="00924ED5" w:rsidRDefault="00924ED5" w:rsidP="00924ED5">
      <w:pPr>
        <w:rPr>
          <w:rFonts w:ascii="Times New Roman" w:hAnsi="Times New Roman" w:cs="Times New Roman"/>
          <w:sz w:val="22"/>
          <w:szCs w:val="22"/>
        </w:rPr>
      </w:pPr>
    </w:p>
    <w:p w14:paraId="32B6C5EB" w14:textId="77777777" w:rsidR="00924ED5" w:rsidRDefault="00924ED5" w:rsidP="00924ED5">
      <w:pPr>
        <w:rPr>
          <w:rFonts w:ascii="Times New Roman" w:hAnsi="Times New Roman" w:cs="Times New Roman"/>
          <w:sz w:val="22"/>
          <w:szCs w:val="22"/>
        </w:rPr>
      </w:pPr>
    </w:p>
    <w:p w14:paraId="59A107AF" w14:textId="77777777" w:rsidR="00924ED5" w:rsidRDefault="00924ED5" w:rsidP="00924ED5">
      <w:pPr>
        <w:rPr>
          <w:rFonts w:ascii="Times New Roman" w:hAnsi="Times New Roman" w:cs="Times New Roman"/>
          <w:sz w:val="22"/>
          <w:szCs w:val="22"/>
        </w:rPr>
      </w:pPr>
    </w:p>
    <w:p w14:paraId="4368EFC3" w14:textId="77777777" w:rsidR="00924ED5" w:rsidRDefault="00924ED5" w:rsidP="00924ED5">
      <w:pPr>
        <w:rPr>
          <w:rFonts w:ascii="Times New Roman" w:hAnsi="Times New Roman" w:cs="Times New Roman"/>
          <w:sz w:val="22"/>
          <w:szCs w:val="22"/>
        </w:rPr>
      </w:pPr>
    </w:p>
    <w:p w14:paraId="4B462E86" w14:textId="11579D5D" w:rsidR="00924ED5" w:rsidRDefault="00924ED5" w:rsidP="00924ED5">
      <w:pPr>
        <w:rPr>
          <w:rFonts w:ascii="Times New Roman" w:hAnsi="Times New Roman" w:cs="Times New Roman"/>
          <w:sz w:val="22"/>
          <w:szCs w:val="22"/>
        </w:rPr>
      </w:pPr>
      <w:r>
        <w:rPr>
          <w:rFonts w:ascii="Times New Roman" w:hAnsi="Times New Roman" w:cs="Times New Roman"/>
          <w:sz w:val="22"/>
          <w:szCs w:val="22"/>
        </w:rPr>
        <w:lastRenderedPageBreak/>
        <w:t xml:space="preserve">Bibliography: </w:t>
      </w:r>
    </w:p>
    <w:p w14:paraId="3FCF2595" w14:textId="77777777" w:rsidR="001902F5" w:rsidRPr="00A30135" w:rsidRDefault="001902F5" w:rsidP="001902F5">
      <w:pPr>
        <w:pStyle w:val="NormalWeb"/>
        <w:spacing w:before="0" w:beforeAutospacing="0" w:after="0" w:afterAutospacing="0" w:line="360" w:lineRule="atLeast"/>
        <w:rPr>
          <w:color w:val="000000"/>
          <w:sz w:val="22"/>
          <w:szCs w:val="22"/>
        </w:rPr>
      </w:pPr>
    </w:p>
    <w:p w14:paraId="08E1912F" w14:textId="77777777" w:rsidR="001902F5" w:rsidRPr="00A3013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w:t>
      </w:r>
      <w:proofErr w:type="spellStart"/>
      <w:r w:rsidRPr="00A30135">
        <w:rPr>
          <w:color w:val="000000"/>
          <w:sz w:val="22"/>
          <w:szCs w:val="22"/>
        </w:rPr>
        <w:t>Bhui</w:t>
      </w:r>
      <w:proofErr w:type="spellEnd"/>
      <w:r w:rsidRPr="00A30135">
        <w:rPr>
          <w:color w:val="000000"/>
          <w:sz w:val="22"/>
          <w:szCs w:val="22"/>
        </w:rPr>
        <w:t>, K., Dinos, S., Galant-</w:t>
      </w:r>
      <w:proofErr w:type="spellStart"/>
      <w:r w:rsidRPr="00A30135">
        <w:rPr>
          <w:color w:val="000000"/>
          <w:sz w:val="22"/>
          <w:szCs w:val="22"/>
        </w:rPr>
        <w:t>Miecznikowska</w:t>
      </w:r>
      <w:proofErr w:type="spellEnd"/>
      <w:r w:rsidRPr="00A30135">
        <w:rPr>
          <w:color w:val="000000"/>
          <w:sz w:val="22"/>
          <w:szCs w:val="22"/>
        </w:rPr>
        <w:t xml:space="preserve">, M., de Jongh, B. and </w:t>
      </w:r>
      <w:proofErr w:type="spellStart"/>
      <w:r w:rsidRPr="00A30135">
        <w:rPr>
          <w:color w:val="000000"/>
          <w:sz w:val="22"/>
          <w:szCs w:val="22"/>
        </w:rPr>
        <w:t>Stansfeld</w:t>
      </w:r>
      <w:proofErr w:type="spellEnd"/>
      <w:r w:rsidRPr="00A30135">
        <w:rPr>
          <w:color w:val="000000"/>
          <w:sz w:val="22"/>
          <w:szCs w:val="22"/>
        </w:rPr>
        <w:t>, S. (2016). Perceptions of Work Stress Causes and Effective Interventions in Employees Working in public, Private and non-governmental organisations: a Qualitative Study. </w:t>
      </w:r>
      <w:proofErr w:type="spellStart"/>
      <w:r w:rsidRPr="00A30135">
        <w:rPr>
          <w:i/>
          <w:iCs/>
          <w:color w:val="000000"/>
          <w:sz w:val="22"/>
          <w:szCs w:val="22"/>
        </w:rPr>
        <w:t>BJPsych</w:t>
      </w:r>
      <w:proofErr w:type="spellEnd"/>
      <w:r w:rsidRPr="00A30135">
        <w:rPr>
          <w:i/>
          <w:iCs/>
          <w:color w:val="000000"/>
          <w:sz w:val="22"/>
          <w:szCs w:val="22"/>
        </w:rPr>
        <w:t xml:space="preserve"> Bulletin</w:t>
      </w:r>
      <w:r w:rsidRPr="00A30135">
        <w:rPr>
          <w:color w:val="000000"/>
          <w:sz w:val="22"/>
          <w:szCs w:val="22"/>
        </w:rPr>
        <w:t xml:space="preserve">, 40(6), pp.318–325. </w:t>
      </w:r>
      <w:proofErr w:type="spellStart"/>
      <w:r w:rsidRPr="00A30135">
        <w:rPr>
          <w:color w:val="000000"/>
          <w:sz w:val="22"/>
          <w:szCs w:val="22"/>
        </w:rPr>
        <w:t>doi:https</w:t>
      </w:r>
      <w:proofErr w:type="spellEnd"/>
      <w:r w:rsidRPr="00A30135">
        <w:rPr>
          <w:color w:val="000000"/>
          <w:sz w:val="22"/>
          <w:szCs w:val="22"/>
        </w:rPr>
        <w:t>://doi.org/10.1192/pb.bp.115.050823.</w:t>
      </w:r>
    </w:p>
    <w:p w14:paraId="0E557123" w14:textId="77777777" w:rsidR="001902F5" w:rsidRDefault="001902F5" w:rsidP="001902F5">
      <w:pPr>
        <w:pStyle w:val="NormalWeb"/>
        <w:spacing w:before="0" w:beforeAutospacing="0" w:after="0" w:afterAutospacing="0" w:line="360" w:lineRule="atLeast"/>
        <w:rPr>
          <w:color w:val="000000"/>
          <w:sz w:val="22"/>
          <w:szCs w:val="22"/>
        </w:rPr>
      </w:pPr>
    </w:p>
    <w:p w14:paraId="3410BEF3" w14:textId="2E90D121" w:rsidR="00C77D6D" w:rsidRDefault="00C77D6D" w:rsidP="001902F5">
      <w:pPr>
        <w:pStyle w:val="NormalWeb"/>
        <w:spacing w:before="0" w:beforeAutospacing="0" w:after="0" w:afterAutospacing="0" w:line="360" w:lineRule="atLeast"/>
        <w:rPr>
          <w:color w:val="000000"/>
          <w:sz w:val="22"/>
          <w:szCs w:val="22"/>
        </w:rPr>
      </w:pPr>
      <w:r w:rsidRPr="00C77D6D">
        <w:rPr>
          <w:color w:val="000000"/>
          <w:sz w:val="22"/>
          <w:szCs w:val="22"/>
        </w:rPr>
        <w:t>Building your resilience (2020) American Psychological Association. Available at: https://www.apa.org/topics/resilience/building-your-resilience (Accessed: 07 August 2023).</w:t>
      </w:r>
    </w:p>
    <w:p w14:paraId="0497D8C8" w14:textId="77777777" w:rsidR="00C77D6D" w:rsidRDefault="00C77D6D" w:rsidP="001902F5">
      <w:pPr>
        <w:pStyle w:val="NormalWeb"/>
        <w:spacing w:before="0" w:beforeAutospacing="0" w:after="0" w:afterAutospacing="0" w:line="360" w:lineRule="atLeast"/>
        <w:rPr>
          <w:color w:val="000000"/>
          <w:sz w:val="22"/>
          <w:szCs w:val="22"/>
        </w:rPr>
      </w:pPr>
    </w:p>
    <w:p w14:paraId="1D5994CC" w14:textId="77777777" w:rsidR="00C77D6D" w:rsidRPr="00A30135" w:rsidRDefault="00C77D6D" w:rsidP="00C77D6D">
      <w:pPr>
        <w:pStyle w:val="NormalWeb"/>
        <w:spacing w:before="0" w:beforeAutospacing="0" w:after="0" w:afterAutospacing="0" w:line="360" w:lineRule="atLeast"/>
        <w:rPr>
          <w:color w:val="000000"/>
          <w:sz w:val="22"/>
          <w:szCs w:val="22"/>
        </w:rPr>
      </w:pPr>
      <w:r w:rsidRPr="00A30135">
        <w:rPr>
          <w:color w:val="000000"/>
          <w:sz w:val="22"/>
          <w:szCs w:val="22"/>
        </w:rPr>
        <w:t>Contreras, J.A., Edwards‐Maddox, S., Hall, A. and Lee, M.A. (2020). Effects of Reflective Practice on Baccalaureate Nursing Students’ stress, Anxiety and competency: an Integrative Review. </w:t>
      </w:r>
      <w:r w:rsidRPr="00A30135">
        <w:rPr>
          <w:i/>
          <w:iCs/>
          <w:color w:val="000000"/>
          <w:sz w:val="22"/>
          <w:szCs w:val="22"/>
        </w:rPr>
        <w:t>Worldviews on Evidence-Based Nursing</w:t>
      </w:r>
      <w:r w:rsidRPr="00A30135">
        <w:rPr>
          <w:color w:val="000000"/>
          <w:sz w:val="22"/>
          <w:szCs w:val="22"/>
        </w:rPr>
        <w:t xml:space="preserve">, [online] 17(3), pp.239–245. </w:t>
      </w:r>
      <w:proofErr w:type="spellStart"/>
      <w:r w:rsidRPr="00A30135">
        <w:rPr>
          <w:color w:val="000000"/>
          <w:sz w:val="22"/>
          <w:szCs w:val="22"/>
        </w:rPr>
        <w:t>doi:https</w:t>
      </w:r>
      <w:proofErr w:type="spellEnd"/>
      <w:r w:rsidRPr="00A30135">
        <w:rPr>
          <w:color w:val="000000"/>
          <w:sz w:val="22"/>
          <w:szCs w:val="22"/>
        </w:rPr>
        <w:t>://doi.org/10.1111/wvn.12438.</w:t>
      </w:r>
    </w:p>
    <w:p w14:paraId="39917C47" w14:textId="77777777" w:rsidR="00C77D6D" w:rsidRDefault="00C77D6D" w:rsidP="001902F5">
      <w:pPr>
        <w:pStyle w:val="NormalWeb"/>
        <w:spacing w:before="0" w:beforeAutospacing="0" w:after="0" w:afterAutospacing="0" w:line="360" w:lineRule="atLeast"/>
        <w:rPr>
          <w:color w:val="000000"/>
          <w:sz w:val="22"/>
          <w:szCs w:val="22"/>
        </w:rPr>
      </w:pPr>
    </w:p>
    <w:p w14:paraId="05A2F015" w14:textId="77777777" w:rsidR="00C77D6D" w:rsidRPr="00A30135" w:rsidRDefault="00C77D6D" w:rsidP="00C77D6D">
      <w:pPr>
        <w:pStyle w:val="NormalWeb"/>
        <w:spacing w:before="0" w:beforeAutospacing="0" w:after="0" w:afterAutospacing="0" w:line="360" w:lineRule="atLeast"/>
        <w:rPr>
          <w:color w:val="000000"/>
          <w:sz w:val="22"/>
          <w:szCs w:val="22"/>
        </w:rPr>
      </w:pPr>
      <w:r w:rsidRPr="00A30135">
        <w:rPr>
          <w:color w:val="000000"/>
          <w:sz w:val="22"/>
          <w:szCs w:val="22"/>
        </w:rPr>
        <w:t>college.cengage.com. (n.d.). </w:t>
      </w:r>
      <w:r w:rsidRPr="00A30135">
        <w:rPr>
          <w:i/>
          <w:iCs/>
          <w:color w:val="000000"/>
          <w:sz w:val="22"/>
          <w:szCs w:val="22"/>
        </w:rPr>
        <w:t>Bernstein et al., Psychology, 6/e - Chapter Outlines</w:t>
      </w:r>
      <w:r w:rsidRPr="00A30135">
        <w:rPr>
          <w:color w:val="000000"/>
          <w:sz w:val="22"/>
          <w:szCs w:val="22"/>
        </w:rPr>
        <w:t>. [online] Available at: https://college.cengage.com/psychology/bernstein/psychology/6e/students/chapter_outlines.html [Accessed 3 Jul. 2023].</w:t>
      </w:r>
    </w:p>
    <w:p w14:paraId="06C52B52" w14:textId="77777777" w:rsidR="00C77D6D" w:rsidRDefault="00C77D6D" w:rsidP="001902F5">
      <w:pPr>
        <w:pStyle w:val="NormalWeb"/>
        <w:spacing w:before="0" w:beforeAutospacing="0" w:after="0" w:afterAutospacing="0" w:line="360" w:lineRule="atLeast"/>
        <w:rPr>
          <w:color w:val="000000"/>
          <w:sz w:val="22"/>
          <w:szCs w:val="22"/>
        </w:rPr>
      </w:pPr>
    </w:p>
    <w:p w14:paraId="7B320159" w14:textId="77777777" w:rsidR="00C77D6D" w:rsidRDefault="00C77D6D" w:rsidP="00C77D6D">
      <w:pPr>
        <w:pStyle w:val="NormalWeb"/>
        <w:spacing w:before="0" w:beforeAutospacing="0" w:after="0" w:afterAutospacing="0" w:line="360" w:lineRule="atLeast"/>
        <w:rPr>
          <w:color w:val="000000"/>
          <w:sz w:val="22"/>
          <w:szCs w:val="22"/>
        </w:rPr>
      </w:pPr>
      <w:r w:rsidRPr="000E0363">
        <w:rPr>
          <w:color w:val="000000"/>
          <w:sz w:val="22"/>
          <w:szCs w:val="22"/>
        </w:rPr>
        <w:t>College of Policing. (2021). </w:t>
      </w:r>
      <w:r w:rsidRPr="000E0363">
        <w:rPr>
          <w:i/>
          <w:iCs/>
          <w:color w:val="000000"/>
          <w:sz w:val="22"/>
          <w:szCs w:val="22"/>
        </w:rPr>
        <w:t>Victims’ Code for policing</w:t>
      </w:r>
      <w:r w:rsidRPr="000E0363">
        <w:rPr>
          <w:color w:val="000000"/>
          <w:sz w:val="22"/>
          <w:szCs w:val="22"/>
        </w:rPr>
        <w:t>. [online] Available at: https://www.college.police.uk/guidance/victims-code/victims-rights-policing#:~:text=The%20Code%20sets%20out%20the [Accessed 7 Aug. 2023].</w:t>
      </w:r>
    </w:p>
    <w:p w14:paraId="486A9C02" w14:textId="77777777" w:rsidR="00C77D6D" w:rsidRPr="00C77D6D" w:rsidRDefault="00C77D6D" w:rsidP="00C77D6D">
      <w:pPr>
        <w:pStyle w:val="NormalWeb"/>
        <w:spacing w:before="0" w:beforeAutospacing="0" w:after="0" w:afterAutospacing="0" w:line="360" w:lineRule="atLeast"/>
        <w:rPr>
          <w:color w:val="000000"/>
          <w:sz w:val="22"/>
          <w:szCs w:val="22"/>
        </w:rPr>
      </w:pPr>
    </w:p>
    <w:p w14:paraId="3CEFC920" w14:textId="77777777" w:rsidR="00C77D6D" w:rsidRDefault="00C77D6D" w:rsidP="00C77D6D">
      <w:pPr>
        <w:pStyle w:val="NormalWeb"/>
        <w:spacing w:before="0" w:beforeAutospacing="0" w:after="0" w:afterAutospacing="0" w:line="360" w:lineRule="atLeast"/>
        <w:rPr>
          <w:color w:val="000000"/>
          <w:sz w:val="22"/>
          <w:szCs w:val="22"/>
        </w:rPr>
      </w:pPr>
      <w:r w:rsidRPr="000E0363">
        <w:rPr>
          <w:color w:val="000000"/>
          <w:sz w:val="22"/>
          <w:szCs w:val="22"/>
        </w:rPr>
        <w:t>CPS (2018). </w:t>
      </w:r>
      <w:r w:rsidRPr="000E0363">
        <w:rPr>
          <w:i/>
          <w:iCs/>
          <w:color w:val="000000"/>
          <w:sz w:val="22"/>
          <w:szCs w:val="22"/>
        </w:rPr>
        <w:t>Joint review of the disclosure process in the case of R v Allan | The Crown Prosecution Service</w:t>
      </w:r>
      <w:r w:rsidRPr="000E0363">
        <w:rPr>
          <w:color w:val="000000"/>
          <w:sz w:val="22"/>
          <w:szCs w:val="22"/>
        </w:rPr>
        <w:t xml:space="preserve">. [online] www.cps.gov.uk. Available at: </w:t>
      </w:r>
      <w:hyperlink r:id="rId4" w:history="1">
        <w:r w:rsidRPr="00EB79D6">
          <w:rPr>
            <w:rStyle w:val="Hyperlink"/>
            <w:sz w:val="22"/>
            <w:szCs w:val="22"/>
          </w:rPr>
          <w:t>https://www.cps.gov.uk/publication/joint-review-disclosure-process-case-r-v-allan</w:t>
        </w:r>
      </w:hyperlink>
      <w:r w:rsidRPr="000E0363">
        <w:rPr>
          <w:color w:val="000000"/>
          <w:sz w:val="22"/>
          <w:szCs w:val="22"/>
        </w:rPr>
        <w:t>.</w:t>
      </w:r>
    </w:p>
    <w:p w14:paraId="5603A6A4" w14:textId="77777777" w:rsidR="00C77D6D" w:rsidRPr="00C77D6D" w:rsidRDefault="00C77D6D" w:rsidP="00C77D6D">
      <w:pPr>
        <w:pStyle w:val="NormalWeb"/>
        <w:spacing w:before="0" w:beforeAutospacing="0" w:after="0" w:afterAutospacing="0" w:line="360" w:lineRule="atLeast"/>
        <w:rPr>
          <w:color w:val="000000"/>
          <w:sz w:val="22"/>
          <w:szCs w:val="22"/>
        </w:rPr>
      </w:pPr>
    </w:p>
    <w:p w14:paraId="651CCF7F" w14:textId="77777777" w:rsidR="00C77D6D" w:rsidRPr="000E0363" w:rsidRDefault="00C77D6D" w:rsidP="00C77D6D">
      <w:pPr>
        <w:pStyle w:val="NormalWeb"/>
        <w:spacing w:before="0" w:beforeAutospacing="0" w:after="0" w:afterAutospacing="0" w:line="360" w:lineRule="atLeast"/>
        <w:rPr>
          <w:color w:val="000000"/>
          <w:sz w:val="22"/>
          <w:szCs w:val="22"/>
        </w:rPr>
      </w:pPr>
      <w:r w:rsidRPr="000E0363">
        <w:rPr>
          <w:color w:val="000000"/>
          <w:sz w:val="22"/>
          <w:szCs w:val="22"/>
        </w:rPr>
        <w:t>College of Policing (2014). </w:t>
      </w:r>
      <w:r w:rsidRPr="000E0363">
        <w:rPr>
          <w:i/>
          <w:iCs/>
          <w:color w:val="000000"/>
          <w:sz w:val="22"/>
          <w:szCs w:val="22"/>
        </w:rPr>
        <w:t>Code of Ethics</w:t>
      </w:r>
      <w:r w:rsidRPr="000E0363">
        <w:rPr>
          <w:color w:val="000000"/>
          <w:sz w:val="22"/>
          <w:szCs w:val="22"/>
        </w:rPr>
        <w:t>. [online] College of Policing. Available at: https://www.college.police.uk/ethics/code-of-ethics.</w:t>
      </w:r>
    </w:p>
    <w:p w14:paraId="2137F801" w14:textId="77777777" w:rsidR="00C77D6D" w:rsidRDefault="00C77D6D" w:rsidP="001902F5">
      <w:pPr>
        <w:pStyle w:val="NormalWeb"/>
        <w:spacing w:before="0" w:beforeAutospacing="0" w:after="0" w:afterAutospacing="0" w:line="360" w:lineRule="atLeast"/>
        <w:rPr>
          <w:color w:val="000000"/>
          <w:sz w:val="22"/>
          <w:szCs w:val="22"/>
        </w:rPr>
      </w:pPr>
    </w:p>
    <w:p w14:paraId="05A6D93A" w14:textId="77777777" w:rsidR="00C77D6D" w:rsidRDefault="00C77D6D" w:rsidP="00C77D6D">
      <w:pPr>
        <w:pStyle w:val="NormalWeb"/>
        <w:spacing w:before="0" w:beforeAutospacing="0" w:after="0" w:afterAutospacing="0" w:line="360" w:lineRule="atLeast"/>
        <w:rPr>
          <w:color w:val="000000"/>
          <w:sz w:val="22"/>
          <w:szCs w:val="22"/>
        </w:rPr>
      </w:pPr>
      <w:r w:rsidRPr="00D50A09">
        <w:rPr>
          <w:color w:val="000000"/>
          <w:sz w:val="22"/>
          <w:szCs w:val="22"/>
        </w:rPr>
        <w:t>Crane, M.F. and Searle, B.J. (2016). Building resilience through exposure to stressors: The effects of challenges versus hindrances. </w:t>
      </w:r>
      <w:r w:rsidRPr="00D50A09">
        <w:rPr>
          <w:i/>
          <w:iCs/>
          <w:color w:val="000000"/>
          <w:sz w:val="22"/>
          <w:szCs w:val="22"/>
        </w:rPr>
        <w:t>Journal of Occupational Health Psychology</w:t>
      </w:r>
      <w:r w:rsidRPr="00D50A09">
        <w:rPr>
          <w:color w:val="000000"/>
          <w:sz w:val="22"/>
          <w:szCs w:val="22"/>
        </w:rPr>
        <w:t xml:space="preserve">, 21(4), pp.468–479. </w:t>
      </w:r>
      <w:proofErr w:type="spellStart"/>
      <w:r w:rsidRPr="00D50A09">
        <w:rPr>
          <w:color w:val="000000"/>
          <w:sz w:val="22"/>
          <w:szCs w:val="22"/>
        </w:rPr>
        <w:t>doi:https</w:t>
      </w:r>
      <w:proofErr w:type="spellEnd"/>
      <w:r w:rsidRPr="00D50A09">
        <w:rPr>
          <w:color w:val="000000"/>
          <w:sz w:val="22"/>
          <w:szCs w:val="22"/>
        </w:rPr>
        <w:t>://doi.org/10.1037/a0040064.</w:t>
      </w:r>
    </w:p>
    <w:p w14:paraId="6CE83892" w14:textId="77777777" w:rsidR="00C77D6D" w:rsidRPr="00D50A09" w:rsidRDefault="00C77D6D" w:rsidP="00C77D6D">
      <w:pPr>
        <w:pStyle w:val="NormalWeb"/>
        <w:spacing w:before="0" w:beforeAutospacing="0" w:after="0" w:afterAutospacing="0" w:line="360" w:lineRule="atLeast"/>
        <w:rPr>
          <w:color w:val="000000"/>
          <w:sz w:val="22"/>
          <w:szCs w:val="22"/>
        </w:rPr>
      </w:pPr>
    </w:p>
    <w:p w14:paraId="23CF2337" w14:textId="77777777" w:rsidR="00C77D6D" w:rsidRDefault="00C77D6D" w:rsidP="00C77D6D">
      <w:pPr>
        <w:pStyle w:val="NormalWeb"/>
        <w:spacing w:before="0" w:beforeAutospacing="0" w:after="0" w:afterAutospacing="0" w:line="360" w:lineRule="atLeast"/>
        <w:rPr>
          <w:color w:val="000000"/>
          <w:sz w:val="22"/>
          <w:szCs w:val="22"/>
        </w:rPr>
      </w:pPr>
      <w:r w:rsidRPr="00D50A09">
        <w:rPr>
          <w:color w:val="000000"/>
          <w:sz w:val="22"/>
          <w:szCs w:val="22"/>
        </w:rPr>
        <w:t xml:space="preserve">Cohn, M.A., Fredrickson, B.L., Brown, S.L., </w:t>
      </w:r>
      <w:proofErr w:type="spellStart"/>
      <w:r w:rsidRPr="00D50A09">
        <w:rPr>
          <w:color w:val="000000"/>
          <w:sz w:val="22"/>
          <w:szCs w:val="22"/>
        </w:rPr>
        <w:t>Mikels</w:t>
      </w:r>
      <w:proofErr w:type="spellEnd"/>
      <w:r w:rsidRPr="00D50A09">
        <w:rPr>
          <w:color w:val="000000"/>
          <w:sz w:val="22"/>
          <w:szCs w:val="22"/>
        </w:rPr>
        <w:t>, J.A. and Conway, A.M. (2009). Happiness unpacked: Positive emotions increase life satisfaction by building resilience. </w:t>
      </w:r>
      <w:r w:rsidRPr="00D50A09">
        <w:rPr>
          <w:i/>
          <w:iCs/>
          <w:color w:val="000000"/>
          <w:sz w:val="22"/>
          <w:szCs w:val="22"/>
        </w:rPr>
        <w:t>Emotion</w:t>
      </w:r>
      <w:r w:rsidRPr="00D50A09">
        <w:rPr>
          <w:color w:val="000000"/>
          <w:sz w:val="22"/>
          <w:szCs w:val="22"/>
        </w:rPr>
        <w:t xml:space="preserve">, 9(3), pp.361–368. </w:t>
      </w:r>
      <w:proofErr w:type="spellStart"/>
      <w:r w:rsidRPr="00D50A09">
        <w:rPr>
          <w:color w:val="000000"/>
          <w:sz w:val="22"/>
          <w:szCs w:val="22"/>
        </w:rPr>
        <w:t>doi:https</w:t>
      </w:r>
      <w:proofErr w:type="spellEnd"/>
      <w:r w:rsidRPr="00D50A09">
        <w:rPr>
          <w:color w:val="000000"/>
          <w:sz w:val="22"/>
          <w:szCs w:val="22"/>
        </w:rPr>
        <w:t>://doi.org/10.1037/a0015952.</w:t>
      </w:r>
    </w:p>
    <w:p w14:paraId="5C86B74A" w14:textId="77777777" w:rsidR="00C77D6D" w:rsidRPr="00D50A09" w:rsidRDefault="00C77D6D" w:rsidP="00C77D6D">
      <w:pPr>
        <w:pStyle w:val="NormalWeb"/>
        <w:spacing w:before="0" w:beforeAutospacing="0" w:after="0" w:afterAutospacing="0" w:line="360" w:lineRule="atLeast"/>
        <w:rPr>
          <w:color w:val="000000"/>
          <w:sz w:val="22"/>
          <w:szCs w:val="22"/>
        </w:rPr>
      </w:pPr>
    </w:p>
    <w:p w14:paraId="37328892" w14:textId="77777777" w:rsidR="00C77D6D" w:rsidRDefault="00C77D6D" w:rsidP="00C77D6D">
      <w:pPr>
        <w:pStyle w:val="NormalWeb"/>
        <w:spacing w:before="0" w:beforeAutospacing="0" w:after="0" w:afterAutospacing="0" w:line="360" w:lineRule="atLeast"/>
        <w:rPr>
          <w:color w:val="000000"/>
          <w:sz w:val="22"/>
          <w:szCs w:val="22"/>
        </w:rPr>
      </w:pPr>
      <w:r w:rsidRPr="004C6C51">
        <w:rPr>
          <w:color w:val="000000"/>
          <w:sz w:val="22"/>
          <w:szCs w:val="22"/>
        </w:rPr>
        <w:lastRenderedPageBreak/>
        <w:t>‌Cooke, F.L., Wang, J. and Bartram, T. (2019). Can a Supportive Workplace Impact Employee Resilience in a High Pressure Performance Environment? An Investigation of the Chinese Banking Industry. </w:t>
      </w:r>
      <w:r w:rsidRPr="004C6C51">
        <w:rPr>
          <w:i/>
          <w:iCs/>
          <w:color w:val="000000"/>
          <w:sz w:val="22"/>
          <w:szCs w:val="22"/>
        </w:rPr>
        <w:t>Applied Psychology</w:t>
      </w:r>
      <w:r w:rsidRPr="004C6C51">
        <w:rPr>
          <w:color w:val="000000"/>
          <w:sz w:val="22"/>
          <w:szCs w:val="22"/>
        </w:rPr>
        <w:t xml:space="preserve">, 68(4), pp.695–718. </w:t>
      </w:r>
      <w:proofErr w:type="spellStart"/>
      <w:r w:rsidRPr="004C6C51">
        <w:rPr>
          <w:color w:val="000000"/>
          <w:sz w:val="22"/>
          <w:szCs w:val="22"/>
        </w:rPr>
        <w:t>doi:https</w:t>
      </w:r>
      <w:proofErr w:type="spellEnd"/>
      <w:r w:rsidRPr="004C6C51">
        <w:rPr>
          <w:color w:val="000000"/>
          <w:sz w:val="22"/>
          <w:szCs w:val="22"/>
        </w:rPr>
        <w:t>://doi.org/10.1111/apps.12184.</w:t>
      </w:r>
    </w:p>
    <w:p w14:paraId="61B55C67" w14:textId="77777777" w:rsidR="00C77D6D" w:rsidRDefault="00C77D6D" w:rsidP="001902F5">
      <w:pPr>
        <w:pStyle w:val="NormalWeb"/>
        <w:spacing w:before="0" w:beforeAutospacing="0" w:after="0" w:afterAutospacing="0" w:line="360" w:lineRule="atLeast"/>
        <w:rPr>
          <w:color w:val="000000"/>
          <w:sz w:val="22"/>
          <w:szCs w:val="22"/>
        </w:rPr>
      </w:pPr>
    </w:p>
    <w:p w14:paraId="7CE918A4" w14:textId="35A904A0" w:rsidR="00C77D6D" w:rsidRDefault="00F23B13" w:rsidP="001902F5">
      <w:pPr>
        <w:pStyle w:val="NormalWeb"/>
        <w:spacing w:before="0" w:beforeAutospacing="0" w:after="0" w:afterAutospacing="0" w:line="360" w:lineRule="atLeast"/>
        <w:rPr>
          <w:color w:val="000000"/>
          <w:sz w:val="22"/>
          <w:szCs w:val="22"/>
        </w:rPr>
      </w:pPr>
      <w:r w:rsidRPr="000E0363">
        <w:rPr>
          <w:color w:val="000000"/>
          <w:sz w:val="22"/>
          <w:szCs w:val="22"/>
        </w:rPr>
        <w:t>Domestic Abuse Act 2021 (2021). </w:t>
      </w:r>
      <w:r w:rsidRPr="000E0363">
        <w:rPr>
          <w:i/>
          <w:iCs/>
          <w:color w:val="000000"/>
          <w:sz w:val="22"/>
          <w:szCs w:val="22"/>
        </w:rPr>
        <w:t>Domestic Abuse Act 2021</w:t>
      </w:r>
      <w:r w:rsidRPr="000E0363">
        <w:rPr>
          <w:color w:val="000000"/>
          <w:sz w:val="22"/>
          <w:szCs w:val="22"/>
        </w:rPr>
        <w:t xml:space="preserve">. [online] Legislation.gov.uk. Available at: </w:t>
      </w:r>
      <w:hyperlink r:id="rId5" w:history="1">
        <w:r w:rsidRPr="00EB79D6">
          <w:rPr>
            <w:rStyle w:val="Hyperlink"/>
            <w:sz w:val="22"/>
            <w:szCs w:val="22"/>
          </w:rPr>
          <w:t>https://www.legislation.gov.uk/ukpga/2021/17/contents/enacted</w:t>
        </w:r>
      </w:hyperlink>
      <w:r w:rsidRPr="000E0363">
        <w:rPr>
          <w:color w:val="000000"/>
          <w:sz w:val="22"/>
          <w:szCs w:val="22"/>
        </w:rPr>
        <w:t>.</w:t>
      </w:r>
    </w:p>
    <w:p w14:paraId="24B417CA" w14:textId="77777777" w:rsidR="00F23B13" w:rsidRPr="00A30135" w:rsidRDefault="00F23B13" w:rsidP="001902F5">
      <w:pPr>
        <w:pStyle w:val="NormalWeb"/>
        <w:spacing w:before="0" w:beforeAutospacing="0" w:after="0" w:afterAutospacing="0" w:line="360" w:lineRule="atLeast"/>
        <w:rPr>
          <w:color w:val="000000"/>
          <w:sz w:val="22"/>
          <w:szCs w:val="22"/>
        </w:rPr>
      </w:pPr>
    </w:p>
    <w:p w14:paraId="7EE21345" w14:textId="77777777" w:rsidR="001902F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w:t>
      </w:r>
      <w:proofErr w:type="spellStart"/>
      <w:r w:rsidRPr="00A30135">
        <w:rPr>
          <w:color w:val="000000"/>
          <w:sz w:val="22"/>
          <w:szCs w:val="22"/>
        </w:rPr>
        <w:t>Esch</w:t>
      </w:r>
      <w:proofErr w:type="spellEnd"/>
      <w:r w:rsidRPr="00A30135">
        <w:rPr>
          <w:color w:val="000000"/>
          <w:sz w:val="22"/>
          <w:szCs w:val="22"/>
        </w:rPr>
        <w:t>, T. and Stefano, G.B. (2010). Endogenous reward mechanisms and their importance in stress reduction, exercise and the brain. </w:t>
      </w:r>
      <w:r w:rsidRPr="00A30135">
        <w:rPr>
          <w:i/>
          <w:iCs/>
          <w:color w:val="000000"/>
          <w:sz w:val="22"/>
          <w:szCs w:val="22"/>
        </w:rPr>
        <w:t>Archives of Medical Science</w:t>
      </w:r>
      <w:r w:rsidRPr="00A30135">
        <w:rPr>
          <w:color w:val="000000"/>
          <w:sz w:val="22"/>
          <w:szCs w:val="22"/>
        </w:rPr>
        <w:t xml:space="preserve">, [online] 3, pp.447–455. </w:t>
      </w:r>
      <w:proofErr w:type="spellStart"/>
      <w:r w:rsidRPr="00A30135">
        <w:rPr>
          <w:color w:val="000000"/>
          <w:sz w:val="22"/>
          <w:szCs w:val="22"/>
        </w:rPr>
        <w:t>doi:https</w:t>
      </w:r>
      <w:proofErr w:type="spellEnd"/>
      <w:r w:rsidRPr="00A30135">
        <w:rPr>
          <w:color w:val="000000"/>
          <w:sz w:val="22"/>
          <w:szCs w:val="22"/>
        </w:rPr>
        <w:t>://doi.org/10.5114/aoms.2010.14269.</w:t>
      </w:r>
    </w:p>
    <w:p w14:paraId="18E1F16E" w14:textId="77777777" w:rsidR="00F23B13" w:rsidRDefault="00F23B13" w:rsidP="001902F5">
      <w:pPr>
        <w:pStyle w:val="NormalWeb"/>
        <w:spacing w:before="0" w:beforeAutospacing="0" w:after="0" w:afterAutospacing="0" w:line="360" w:lineRule="atLeast"/>
        <w:rPr>
          <w:color w:val="000000"/>
          <w:sz w:val="22"/>
          <w:szCs w:val="22"/>
        </w:rPr>
      </w:pPr>
    </w:p>
    <w:p w14:paraId="480F77BE" w14:textId="77777777" w:rsidR="00F23B13" w:rsidRDefault="00F23B13" w:rsidP="00F23B13">
      <w:pPr>
        <w:pStyle w:val="NormalWeb"/>
        <w:spacing w:before="0" w:beforeAutospacing="0" w:after="0" w:afterAutospacing="0" w:line="360" w:lineRule="atLeast"/>
        <w:rPr>
          <w:color w:val="000000"/>
          <w:sz w:val="22"/>
          <w:szCs w:val="22"/>
        </w:rPr>
      </w:pPr>
      <w:r w:rsidRPr="000E0363">
        <w:rPr>
          <w:color w:val="000000"/>
          <w:sz w:val="22"/>
          <w:szCs w:val="22"/>
        </w:rPr>
        <w:t>GOV.uk (1989). </w:t>
      </w:r>
      <w:r w:rsidRPr="000E0363">
        <w:rPr>
          <w:i/>
          <w:iCs/>
          <w:color w:val="000000"/>
          <w:sz w:val="22"/>
          <w:szCs w:val="22"/>
        </w:rPr>
        <w:t>Children Act 1989</w:t>
      </w:r>
      <w:r w:rsidRPr="000E0363">
        <w:rPr>
          <w:color w:val="000000"/>
          <w:sz w:val="22"/>
          <w:szCs w:val="22"/>
        </w:rPr>
        <w:t xml:space="preserve">. [online] legislation.gov.uk. Available at: </w:t>
      </w:r>
      <w:hyperlink r:id="rId6" w:history="1">
        <w:r w:rsidRPr="00EB79D6">
          <w:rPr>
            <w:rStyle w:val="Hyperlink"/>
            <w:sz w:val="22"/>
            <w:szCs w:val="22"/>
          </w:rPr>
          <w:t>https://www.legislation.gov.uk/ukpga/1989/41/contents</w:t>
        </w:r>
      </w:hyperlink>
      <w:r w:rsidRPr="000E0363">
        <w:rPr>
          <w:color w:val="000000"/>
          <w:sz w:val="22"/>
          <w:szCs w:val="22"/>
        </w:rPr>
        <w:t>.</w:t>
      </w:r>
    </w:p>
    <w:p w14:paraId="14718493" w14:textId="77777777" w:rsidR="00F23B13" w:rsidRPr="000E0363" w:rsidRDefault="00F23B13" w:rsidP="00F23B13">
      <w:pPr>
        <w:pStyle w:val="NormalWeb"/>
        <w:spacing w:before="0" w:beforeAutospacing="0" w:after="0" w:afterAutospacing="0" w:line="360" w:lineRule="atLeast"/>
        <w:rPr>
          <w:color w:val="000000"/>
          <w:sz w:val="22"/>
          <w:szCs w:val="22"/>
        </w:rPr>
      </w:pPr>
    </w:p>
    <w:p w14:paraId="61F7B8FE" w14:textId="77777777" w:rsidR="00F23B13" w:rsidRPr="000E0363" w:rsidRDefault="00F23B13" w:rsidP="00F23B13">
      <w:pPr>
        <w:pStyle w:val="NormalWeb"/>
        <w:spacing w:before="0" w:beforeAutospacing="0" w:after="0" w:afterAutospacing="0" w:line="360" w:lineRule="atLeast"/>
        <w:rPr>
          <w:color w:val="000000"/>
          <w:sz w:val="22"/>
          <w:szCs w:val="22"/>
        </w:rPr>
      </w:pPr>
    </w:p>
    <w:p w14:paraId="7780CDF3" w14:textId="5710CB40" w:rsidR="00F23B13" w:rsidRDefault="00F23B13" w:rsidP="00F23B13">
      <w:pPr>
        <w:pStyle w:val="NormalWeb"/>
        <w:spacing w:before="0" w:beforeAutospacing="0" w:after="0" w:afterAutospacing="0" w:line="360" w:lineRule="atLeast"/>
        <w:rPr>
          <w:color w:val="000000"/>
          <w:sz w:val="22"/>
          <w:szCs w:val="22"/>
        </w:rPr>
      </w:pPr>
      <w:r w:rsidRPr="000E0363">
        <w:rPr>
          <w:color w:val="000000"/>
          <w:sz w:val="22"/>
          <w:szCs w:val="22"/>
        </w:rPr>
        <w:t>Gov.UK (2004). </w:t>
      </w:r>
      <w:r w:rsidRPr="000E0363">
        <w:rPr>
          <w:i/>
          <w:iCs/>
          <w:color w:val="000000"/>
          <w:sz w:val="22"/>
          <w:szCs w:val="22"/>
        </w:rPr>
        <w:t>Domestic Violence, Crime and Victims Act 2004</w:t>
      </w:r>
      <w:r w:rsidRPr="000E0363">
        <w:rPr>
          <w:color w:val="000000"/>
          <w:sz w:val="22"/>
          <w:szCs w:val="22"/>
        </w:rPr>
        <w:t xml:space="preserve">. [online] www.legislation.gov.uk. Available at: </w:t>
      </w:r>
      <w:hyperlink r:id="rId7" w:history="1">
        <w:r w:rsidRPr="00EB79D6">
          <w:rPr>
            <w:rStyle w:val="Hyperlink"/>
            <w:sz w:val="22"/>
            <w:szCs w:val="22"/>
          </w:rPr>
          <w:t>https://www.legislation.gov.uk/ukpga/2004/28/contents</w:t>
        </w:r>
      </w:hyperlink>
      <w:r w:rsidRPr="000E0363">
        <w:rPr>
          <w:color w:val="000000"/>
          <w:sz w:val="22"/>
          <w:szCs w:val="22"/>
        </w:rPr>
        <w:t>.</w:t>
      </w:r>
    </w:p>
    <w:p w14:paraId="26582E35" w14:textId="77777777" w:rsidR="00F23B13" w:rsidRDefault="00F23B13" w:rsidP="00F23B13">
      <w:pPr>
        <w:pStyle w:val="NormalWeb"/>
        <w:spacing w:before="0" w:beforeAutospacing="0" w:after="0" w:afterAutospacing="0" w:line="360" w:lineRule="atLeast"/>
        <w:rPr>
          <w:color w:val="000000"/>
          <w:sz w:val="22"/>
          <w:szCs w:val="22"/>
        </w:rPr>
      </w:pPr>
    </w:p>
    <w:p w14:paraId="375E0B28" w14:textId="77777777" w:rsidR="00F23B13" w:rsidRDefault="00F23B13" w:rsidP="00F23B13">
      <w:pPr>
        <w:pStyle w:val="NormalWeb"/>
        <w:spacing w:before="0" w:beforeAutospacing="0" w:after="0" w:afterAutospacing="0" w:line="360" w:lineRule="atLeast"/>
        <w:rPr>
          <w:color w:val="000000"/>
          <w:sz w:val="22"/>
          <w:szCs w:val="22"/>
        </w:rPr>
      </w:pPr>
      <w:r w:rsidRPr="000E0363">
        <w:rPr>
          <w:color w:val="000000"/>
          <w:sz w:val="22"/>
          <w:szCs w:val="22"/>
        </w:rPr>
        <w:t>‌GOV.UK. (2023). </w:t>
      </w:r>
      <w:r w:rsidRPr="000E0363">
        <w:rPr>
          <w:i/>
          <w:iCs/>
          <w:color w:val="000000"/>
          <w:sz w:val="22"/>
          <w:szCs w:val="22"/>
        </w:rPr>
        <w:t>Overhaul of criminal justice system delivers significant improvement for rape victims</w:t>
      </w:r>
      <w:r w:rsidRPr="000E0363">
        <w:rPr>
          <w:color w:val="000000"/>
          <w:sz w:val="22"/>
          <w:szCs w:val="22"/>
        </w:rPr>
        <w:t>. [online] Available at: https://www.gov.uk/government/news/overhaul-of-criminal-justice-system-delivers-significant-improvement-for-rape-victims [Accessed 7 Aug. 2023].</w:t>
      </w:r>
    </w:p>
    <w:p w14:paraId="4BB344AA" w14:textId="77777777" w:rsidR="00F23B13" w:rsidRPr="000E0363" w:rsidRDefault="00F23B13" w:rsidP="00F23B13">
      <w:pPr>
        <w:pStyle w:val="NormalWeb"/>
        <w:spacing w:before="0" w:beforeAutospacing="0" w:after="0" w:afterAutospacing="0" w:line="360" w:lineRule="atLeast"/>
        <w:rPr>
          <w:color w:val="000000"/>
          <w:sz w:val="22"/>
          <w:szCs w:val="22"/>
        </w:rPr>
      </w:pPr>
    </w:p>
    <w:p w14:paraId="73636B12" w14:textId="587D8EBE" w:rsidR="00F23B13" w:rsidRDefault="00F23B13" w:rsidP="001902F5">
      <w:pPr>
        <w:pStyle w:val="NormalWeb"/>
        <w:spacing w:before="0" w:beforeAutospacing="0" w:after="0" w:afterAutospacing="0" w:line="360" w:lineRule="atLeast"/>
        <w:rPr>
          <w:color w:val="000000"/>
          <w:sz w:val="22"/>
          <w:szCs w:val="22"/>
        </w:rPr>
      </w:pPr>
      <w:r w:rsidRPr="00963344">
        <w:rPr>
          <w:color w:val="000000"/>
          <w:sz w:val="22"/>
          <w:szCs w:val="22"/>
        </w:rPr>
        <w:t>GOV.UK (2018). </w:t>
      </w:r>
      <w:r w:rsidRPr="00963344">
        <w:rPr>
          <w:i/>
          <w:iCs/>
          <w:color w:val="000000"/>
          <w:sz w:val="22"/>
          <w:szCs w:val="22"/>
        </w:rPr>
        <w:t>Victims of Crime</w:t>
      </w:r>
      <w:r w:rsidRPr="00963344">
        <w:rPr>
          <w:color w:val="000000"/>
          <w:sz w:val="22"/>
          <w:szCs w:val="22"/>
        </w:rPr>
        <w:t>. [online] Service.gov.uk. Available at: https://www.ethnicity-facts-figures.service.gov.uk/crime-justice-and-the-law/crime-and-reoffending/victims-of-crime/latest.</w:t>
      </w:r>
    </w:p>
    <w:p w14:paraId="420A29D0" w14:textId="77777777" w:rsidR="001902F5" w:rsidRDefault="001902F5" w:rsidP="001902F5">
      <w:pPr>
        <w:pStyle w:val="NormalWeb"/>
        <w:spacing w:before="0" w:beforeAutospacing="0" w:after="0" w:afterAutospacing="0" w:line="360" w:lineRule="atLeast"/>
        <w:rPr>
          <w:color w:val="000000"/>
          <w:sz w:val="22"/>
          <w:szCs w:val="22"/>
        </w:rPr>
      </w:pPr>
    </w:p>
    <w:p w14:paraId="1AF2F232" w14:textId="77777777" w:rsidR="001902F5" w:rsidRPr="00A3013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Gibbs, G. (1988). Teaching Innovation Weeks. </w:t>
      </w:r>
      <w:r w:rsidRPr="00A30135">
        <w:rPr>
          <w:i/>
          <w:iCs/>
          <w:color w:val="000000"/>
          <w:sz w:val="22"/>
          <w:szCs w:val="22"/>
        </w:rPr>
        <w:t>PLET: Programmed Learning &amp; Educational Technology</w:t>
      </w:r>
      <w:r w:rsidRPr="00A30135">
        <w:rPr>
          <w:color w:val="000000"/>
          <w:sz w:val="22"/>
          <w:szCs w:val="22"/>
        </w:rPr>
        <w:t>, 25(2), pp.118–121.</w:t>
      </w:r>
    </w:p>
    <w:p w14:paraId="754235A3" w14:textId="77777777" w:rsidR="001902F5" w:rsidRDefault="001902F5" w:rsidP="001902F5">
      <w:pPr>
        <w:pStyle w:val="NormalWeb"/>
        <w:spacing w:before="0" w:beforeAutospacing="0" w:after="0" w:afterAutospacing="0" w:line="360" w:lineRule="atLeast"/>
        <w:rPr>
          <w:color w:val="000000"/>
          <w:sz w:val="22"/>
          <w:szCs w:val="22"/>
        </w:rPr>
      </w:pPr>
    </w:p>
    <w:p w14:paraId="0810A761" w14:textId="77777777" w:rsidR="001902F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w:t>
      </w:r>
      <w:proofErr w:type="spellStart"/>
      <w:r w:rsidRPr="00A30135">
        <w:rPr>
          <w:color w:val="000000"/>
          <w:sz w:val="22"/>
          <w:szCs w:val="22"/>
        </w:rPr>
        <w:t>Husebø</w:t>
      </w:r>
      <w:proofErr w:type="spellEnd"/>
      <w:r w:rsidRPr="00A30135">
        <w:rPr>
          <w:color w:val="000000"/>
          <w:sz w:val="22"/>
          <w:szCs w:val="22"/>
        </w:rPr>
        <w:t xml:space="preserve">, S.E., </w:t>
      </w:r>
      <w:proofErr w:type="spellStart"/>
      <w:r w:rsidRPr="00A30135">
        <w:rPr>
          <w:color w:val="000000"/>
          <w:sz w:val="22"/>
          <w:szCs w:val="22"/>
        </w:rPr>
        <w:t>O’Regan</w:t>
      </w:r>
      <w:proofErr w:type="spellEnd"/>
      <w:r w:rsidRPr="00A30135">
        <w:rPr>
          <w:color w:val="000000"/>
          <w:sz w:val="22"/>
          <w:szCs w:val="22"/>
        </w:rPr>
        <w:t xml:space="preserve">, S. and </w:t>
      </w:r>
      <w:proofErr w:type="spellStart"/>
      <w:r w:rsidRPr="00A30135">
        <w:rPr>
          <w:color w:val="000000"/>
          <w:sz w:val="22"/>
          <w:szCs w:val="22"/>
        </w:rPr>
        <w:t>Nestel</w:t>
      </w:r>
      <w:proofErr w:type="spellEnd"/>
      <w:r w:rsidRPr="00A30135">
        <w:rPr>
          <w:color w:val="000000"/>
          <w:sz w:val="22"/>
          <w:szCs w:val="22"/>
        </w:rPr>
        <w:t>, D. (2015). Reflective Practice and Its Role in Simulation. </w:t>
      </w:r>
      <w:r w:rsidRPr="00A30135">
        <w:rPr>
          <w:i/>
          <w:iCs/>
          <w:color w:val="000000"/>
          <w:sz w:val="22"/>
          <w:szCs w:val="22"/>
        </w:rPr>
        <w:t>Clinical Simulation in Nursing</w:t>
      </w:r>
      <w:r w:rsidRPr="00A30135">
        <w:rPr>
          <w:color w:val="000000"/>
          <w:sz w:val="22"/>
          <w:szCs w:val="22"/>
        </w:rPr>
        <w:t xml:space="preserve">, [online] 11(8), pp.368–375. </w:t>
      </w:r>
      <w:proofErr w:type="spellStart"/>
      <w:r w:rsidRPr="00A30135">
        <w:rPr>
          <w:color w:val="000000"/>
          <w:sz w:val="22"/>
          <w:szCs w:val="22"/>
        </w:rPr>
        <w:t>doi:https</w:t>
      </w:r>
      <w:proofErr w:type="spellEnd"/>
      <w:r w:rsidRPr="00A30135">
        <w:rPr>
          <w:color w:val="000000"/>
          <w:sz w:val="22"/>
          <w:szCs w:val="22"/>
        </w:rPr>
        <w:t>://doi.org/10.1016/j.ecns.2015.04.005.</w:t>
      </w:r>
    </w:p>
    <w:p w14:paraId="01F1DCC7" w14:textId="77777777" w:rsidR="001902F5" w:rsidRDefault="001902F5" w:rsidP="001902F5">
      <w:pPr>
        <w:pStyle w:val="NormalWeb"/>
        <w:spacing w:before="0" w:beforeAutospacing="0" w:after="0" w:afterAutospacing="0" w:line="360" w:lineRule="atLeast"/>
        <w:rPr>
          <w:color w:val="000000"/>
          <w:sz w:val="22"/>
          <w:szCs w:val="22"/>
        </w:rPr>
      </w:pPr>
    </w:p>
    <w:p w14:paraId="36AF7C09" w14:textId="77777777" w:rsidR="001902F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‌Lees, S. and Ellis, N. (1990). The design of a stress-management programme for nursing personnel. </w:t>
      </w:r>
      <w:r w:rsidRPr="00A30135">
        <w:rPr>
          <w:i/>
          <w:iCs/>
          <w:color w:val="000000"/>
          <w:sz w:val="22"/>
          <w:szCs w:val="22"/>
        </w:rPr>
        <w:t>Journal of Advanced Nursing</w:t>
      </w:r>
      <w:r w:rsidRPr="00A30135">
        <w:rPr>
          <w:color w:val="000000"/>
          <w:sz w:val="22"/>
          <w:szCs w:val="22"/>
        </w:rPr>
        <w:t xml:space="preserve">, 15(8), pp.946–961. </w:t>
      </w:r>
      <w:proofErr w:type="spellStart"/>
      <w:r w:rsidRPr="00A30135">
        <w:rPr>
          <w:color w:val="000000"/>
          <w:sz w:val="22"/>
          <w:szCs w:val="22"/>
        </w:rPr>
        <w:t>doi:https</w:t>
      </w:r>
      <w:proofErr w:type="spellEnd"/>
      <w:r w:rsidRPr="00A30135">
        <w:rPr>
          <w:color w:val="000000"/>
          <w:sz w:val="22"/>
          <w:szCs w:val="22"/>
        </w:rPr>
        <w:t>://doi.org/10.1111/j.1365-2648.1990.tb01951.x.</w:t>
      </w:r>
    </w:p>
    <w:p w14:paraId="05363287" w14:textId="77777777" w:rsidR="001902F5" w:rsidRPr="00A30135" w:rsidRDefault="001902F5" w:rsidP="001902F5">
      <w:pPr>
        <w:pStyle w:val="NormalWeb"/>
        <w:spacing w:before="0" w:beforeAutospacing="0" w:after="0" w:afterAutospacing="0" w:line="360" w:lineRule="atLeast"/>
        <w:rPr>
          <w:color w:val="000000"/>
          <w:sz w:val="22"/>
          <w:szCs w:val="22"/>
        </w:rPr>
      </w:pPr>
    </w:p>
    <w:p w14:paraId="0B3D1394" w14:textId="77777777" w:rsidR="001902F5" w:rsidRPr="00A3013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 xml:space="preserve">‌Sharma, A., </w:t>
      </w:r>
      <w:proofErr w:type="spellStart"/>
      <w:r w:rsidRPr="00A30135">
        <w:rPr>
          <w:color w:val="000000"/>
          <w:sz w:val="22"/>
          <w:szCs w:val="22"/>
        </w:rPr>
        <w:t>Madaan</w:t>
      </w:r>
      <w:proofErr w:type="spellEnd"/>
      <w:r w:rsidRPr="00A30135">
        <w:rPr>
          <w:color w:val="000000"/>
          <w:sz w:val="22"/>
          <w:szCs w:val="22"/>
        </w:rPr>
        <w:t>, V. and Petty, F.D. (2006). Exercise for Mental Health. </w:t>
      </w:r>
      <w:r w:rsidRPr="00A30135">
        <w:rPr>
          <w:i/>
          <w:iCs/>
          <w:color w:val="000000"/>
          <w:sz w:val="22"/>
          <w:szCs w:val="22"/>
        </w:rPr>
        <w:t>Primary Care Companion to The Journal of Clinical Psychiatry</w:t>
      </w:r>
      <w:r w:rsidRPr="00A30135">
        <w:rPr>
          <w:color w:val="000000"/>
          <w:sz w:val="22"/>
          <w:szCs w:val="22"/>
        </w:rPr>
        <w:t xml:space="preserve">, [online] 8(2), p.106. Available at: </w:t>
      </w:r>
      <w:hyperlink r:id="rId8" w:anchor=":~:text=Aerobic%20exercises%2C%20including%20jogging%2C%20swimming%2C%20cycling%2C%20walking%2C%20gardening%2C" w:history="1">
        <w:r w:rsidRPr="00A30135">
          <w:rPr>
            <w:rStyle w:val="Hyperlink"/>
            <w:sz w:val="22"/>
            <w:szCs w:val="22"/>
          </w:rPr>
          <w:t>https://www.ncbi.nlm.nih.gov/pmc/articles/PMC1470658/#:~:text=Aerobic%20exercises%2C%20including%20jogging%2C%20swimming%2C%20cycling%2C%20walking%2C%20gardening%2C</w:t>
        </w:r>
      </w:hyperlink>
      <w:r w:rsidRPr="00A30135">
        <w:rPr>
          <w:color w:val="000000"/>
          <w:sz w:val="22"/>
          <w:szCs w:val="22"/>
        </w:rPr>
        <w:t>.</w:t>
      </w:r>
    </w:p>
    <w:p w14:paraId="4124C086" w14:textId="77777777" w:rsidR="001902F5" w:rsidRPr="00A30135" w:rsidRDefault="001902F5" w:rsidP="001902F5">
      <w:pPr>
        <w:pStyle w:val="NormalWeb"/>
        <w:spacing w:before="0" w:beforeAutospacing="0" w:after="0" w:afterAutospacing="0" w:line="360" w:lineRule="atLeast"/>
        <w:rPr>
          <w:color w:val="000000"/>
          <w:sz w:val="22"/>
          <w:szCs w:val="22"/>
        </w:rPr>
      </w:pPr>
    </w:p>
    <w:p w14:paraId="39FAB184" w14:textId="77777777" w:rsidR="001902F5" w:rsidRPr="00A30135" w:rsidRDefault="001902F5" w:rsidP="001902F5">
      <w:pPr>
        <w:pStyle w:val="NormalWeb"/>
        <w:spacing w:before="0" w:beforeAutospacing="0" w:after="0" w:afterAutospacing="0" w:line="360" w:lineRule="atLeast"/>
        <w:rPr>
          <w:color w:val="000000"/>
          <w:sz w:val="22"/>
          <w:szCs w:val="22"/>
        </w:rPr>
      </w:pPr>
      <w:r w:rsidRPr="00A30135">
        <w:rPr>
          <w:color w:val="000000"/>
          <w:sz w:val="22"/>
          <w:szCs w:val="22"/>
        </w:rPr>
        <w:t>‌Stults-</w:t>
      </w:r>
      <w:proofErr w:type="spellStart"/>
      <w:r w:rsidRPr="00A30135">
        <w:rPr>
          <w:color w:val="000000"/>
          <w:sz w:val="22"/>
          <w:szCs w:val="22"/>
        </w:rPr>
        <w:t>Kolehmainen</w:t>
      </w:r>
      <w:proofErr w:type="spellEnd"/>
      <w:r w:rsidRPr="00A30135">
        <w:rPr>
          <w:color w:val="000000"/>
          <w:sz w:val="22"/>
          <w:szCs w:val="22"/>
        </w:rPr>
        <w:t>, M.A. and Sinha, R. (2013). The Effects of Stress on Physical Activity and Exercise. </w:t>
      </w:r>
      <w:r w:rsidRPr="00A30135">
        <w:rPr>
          <w:i/>
          <w:iCs/>
          <w:color w:val="000000"/>
          <w:sz w:val="22"/>
          <w:szCs w:val="22"/>
        </w:rPr>
        <w:t>Sports Medicine</w:t>
      </w:r>
      <w:r w:rsidRPr="00A30135">
        <w:rPr>
          <w:color w:val="000000"/>
          <w:sz w:val="22"/>
          <w:szCs w:val="22"/>
        </w:rPr>
        <w:t xml:space="preserve">, [online] 44(1), pp.81–121. </w:t>
      </w:r>
      <w:proofErr w:type="spellStart"/>
      <w:r w:rsidRPr="00A30135">
        <w:rPr>
          <w:color w:val="000000"/>
          <w:sz w:val="22"/>
          <w:szCs w:val="22"/>
        </w:rPr>
        <w:t>doi:https</w:t>
      </w:r>
      <w:proofErr w:type="spellEnd"/>
      <w:r w:rsidRPr="00A30135">
        <w:rPr>
          <w:color w:val="000000"/>
          <w:sz w:val="22"/>
          <w:szCs w:val="22"/>
        </w:rPr>
        <w:t>://doi.org/10.1007/s40279-013-0090-5.</w:t>
      </w:r>
    </w:p>
    <w:p w14:paraId="0E540329" w14:textId="77777777" w:rsidR="001902F5" w:rsidRDefault="001902F5" w:rsidP="00924ED5">
      <w:pPr>
        <w:rPr>
          <w:rFonts w:ascii="Times New Roman" w:hAnsi="Times New Roman" w:cs="Times New Roman"/>
          <w:sz w:val="22"/>
          <w:szCs w:val="22"/>
        </w:rPr>
      </w:pPr>
    </w:p>
    <w:p w14:paraId="2F093B19" w14:textId="77777777" w:rsidR="00D50A09" w:rsidRPr="00D50A09" w:rsidRDefault="00D50A09" w:rsidP="00D50A09">
      <w:pPr>
        <w:rPr>
          <w:rFonts w:ascii="Times New Roman" w:hAnsi="Times New Roman" w:cs="Times New Roman"/>
          <w:sz w:val="22"/>
          <w:szCs w:val="22"/>
        </w:rPr>
      </w:pPr>
      <w:r w:rsidRPr="00D50A09">
        <w:rPr>
          <w:rFonts w:ascii="Times New Roman" w:hAnsi="Times New Roman" w:cs="Times New Roman"/>
          <w:sz w:val="22"/>
          <w:szCs w:val="22"/>
        </w:rPr>
        <w:t xml:space="preserve">‘Stress response’ (2020) </w:t>
      </w:r>
      <w:proofErr w:type="spellStart"/>
      <w:r w:rsidRPr="00D50A09">
        <w:rPr>
          <w:rFonts w:ascii="Times New Roman" w:hAnsi="Times New Roman" w:cs="Times New Roman"/>
          <w:i/>
          <w:iCs/>
          <w:sz w:val="22"/>
          <w:szCs w:val="22"/>
        </w:rPr>
        <w:t>Encyclopedia</w:t>
      </w:r>
      <w:proofErr w:type="spellEnd"/>
      <w:r w:rsidRPr="00D50A09">
        <w:rPr>
          <w:rFonts w:ascii="Times New Roman" w:hAnsi="Times New Roman" w:cs="Times New Roman"/>
          <w:i/>
          <w:iCs/>
          <w:sz w:val="22"/>
          <w:szCs w:val="22"/>
        </w:rPr>
        <w:t xml:space="preserve"> of Personality and Individual Differences</w:t>
      </w:r>
      <w:r w:rsidRPr="00D50A09">
        <w:rPr>
          <w:rFonts w:ascii="Times New Roman" w:hAnsi="Times New Roman" w:cs="Times New Roman"/>
          <w:sz w:val="22"/>
          <w:szCs w:val="22"/>
        </w:rPr>
        <w:t xml:space="preserve">, pp. 5244–5244. doi:10.1007/978-3-319-24612-3_302622. </w:t>
      </w:r>
    </w:p>
    <w:p w14:paraId="65712969" w14:textId="77777777" w:rsidR="001902F5" w:rsidRDefault="001902F5" w:rsidP="00924ED5">
      <w:pPr>
        <w:rPr>
          <w:rFonts w:ascii="Times New Roman" w:hAnsi="Times New Roman" w:cs="Times New Roman"/>
          <w:sz w:val="22"/>
          <w:szCs w:val="22"/>
        </w:rPr>
      </w:pPr>
    </w:p>
    <w:p w14:paraId="4952ABCE" w14:textId="77777777" w:rsidR="00F23B13" w:rsidRDefault="00F23B13" w:rsidP="00F23B13">
      <w:pPr>
        <w:pStyle w:val="NormalWeb"/>
        <w:spacing w:before="0" w:beforeAutospacing="0" w:after="0" w:afterAutospacing="0" w:line="360" w:lineRule="atLeast"/>
        <w:rPr>
          <w:color w:val="000000"/>
          <w:sz w:val="22"/>
          <w:szCs w:val="22"/>
        </w:rPr>
      </w:pPr>
      <w:r>
        <w:rPr>
          <w:color w:val="000000"/>
          <w:sz w:val="22"/>
          <w:szCs w:val="22"/>
        </w:rPr>
        <w:t>T</w:t>
      </w:r>
      <w:r w:rsidRPr="000E0363">
        <w:rPr>
          <w:color w:val="000000"/>
          <w:sz w:val="22"/>
          <w:szCs w:val="22"/>
        </w:rPr>
        <w:t>he Guardian. (2022). </w:t>
      </w:r>
      <w:r w:rsidRPr="000E0363">
        <w:rPr>
          <w:i/>
          <w:iCs/>
          <w:color w:val="000000"/>
          <w:sz w:val="22"/>
          <w:szCs w:val="22"/>
        </w:rPr>
        <w:t>At least 40% of child-to-parent violence in UK unreported, study finds</w:t>
      </w:r>
      <w:r w:rsidRPr="000E0363">
        <w:rPr>
          <w:color w:val="000000"/>
          <w:sz w:val="22"/>
          <w:szCs w:val="22"/>
        </w:rPr>
        <w:t xml:space="preserve">. [online] Available at: </w:t>
      </w:r>
      <w:hyperlink r:id="rId9" w:history="1">
        <w:r w:rsidRPr="00EB79D6">
          <w:rPr>
            <w:rStyle w:val="Hyperlink"/>
            <w:sz w:val="22"/>
            <w:szCs w:val="22"/>
          </w:rPr>
          <w:t>https://www.theguardian.com/society/2022/apr/12/at-least-40-of-child-to-parent-violence-in-uk-unreported-study-finds</w:t>
        </w:r>
      </w:hyperlink>
      <w:r w:rsidRPr="000E0363">
        <w:rPr>
          <w:color w:val="000000"/>
          <w:sz w:val="22"/>
          <w:szCs w:val="22"/>
        </w:rPr>
        <w:t>.</w:t>
      </w:r>
    </w:p>
    <w:p w14:paraId="6020B220" w14:textId="77777777" w:rsidR="00963344" w:rsidRDefault="00963344" w:rsidP="00963344">
      <w:pPr>
        <w:pStyle w:val="NormalWeb"/>
        <w:spacing w:before="0" w:beforeAutospacing="0" w:after="0" w:afterAutospacing="0" w:line="360" w:lineRule="atLeast"/>
        <w:rPr>
          <w:rFonts w:ascii="Calibri" w:hAnsi="Calibri" w:cs="Calibri"/>
          <w:color w:val="000000"/>
          <w:sz w:val="27"/>
          <w:szCs w:val="27"/>
        </w:rPr>
      </w:pPr>
    </w:p>
    <w:p w14:paraId="4B4257B0" w14:textId="71E3867A" w:rsidR="00963344" w:rsidRDefault="00963344" w:rsidP="00963344">
      <w:pPr>
        <w:pStyle w:val="NormalWeb"/>
        <w:spacing w:before="0" w:beforeAutospacing="0" w:after="0" w:afterAutospacing="0" w:line="360" w:lineRule="atLeast"/>
        <w:rPr>
          <w:color w:val="000000"/>
          <w:sz w:val="22"/>
          <w:szCs w:val="22"/>
        </w:rPr>
      </w:pPr>
      <w:r w:rsidRPr="00963344">
        <w:rPr>
          <w:color w:val="000000"/>
          <w:sz w:val="22"/>
          <w:szCs w:val="22"/>
        </w:rPr>
        <w:t>Victims Commissioner. (2021). </w:t>
      </w:r>
      <w:r w:rsidRPr="00963344">
        <w:rPr>
          <w:i/>
          <w:iCs/>
          <w:color w:val="000000"/>
          <w:sz w:val="22"/>
          <w:szCs w:val="22"/>
        </w:rPr>
        <w:t>New survey reveals low victim confidence, as Victims’ Commissioner warns victims remain an ‘afterthought’</w:t>
      </w:r>
      <w:r w:rsidRPr="00963344">
        <w:rPr>
          <w:color w:val="000000"/>
          <w:sz w:val="22"/>
          <w:szCs w:val="22"/>
        </w:rPr>
        <w:t xml:space="preserve">. [online] Available at: </w:t>
      </w:r>
      <w:hyperlink r:id="rId10" w:history="1">
        <w:r w:rsidR="000E0363" w:rsidRPr="00EB79D6">
          <w:rPr>
            <w:rStyle w:val="Hyperlink"/>
            <w:sz w:val="22"/>
            <w:szCs w:val="22"/>
          </w:rPr>
          <w:t>https://victimscommissioner.org.uk/news/2021-victim-survey/#:~:text=Victims%20are%20losing%20faith%20in%20the%20criminal%20justice</w:t>
        </w:r>
      </w:hyperlink>
      <w:r w:rsidRPr="00963344">
        <w:rPr>
          <w:color w:val="000000"/>
          <w:sz w:val="22"/>
          <w:szCs w:val="22"/>
        </w:rPr>
        <w:t>.</w:t>
      </w:r>
    </w:p>
    <w:p w14:paraId="277BEBC6" w14:textId="77777777" w:rsidR="00F23B13" w:rsidRDefault="00F23B13" w:rsidP="00963344">
      <w:pPr>
        <w:pStyle w:val="NormalWeb"/>
        <w:spacing w:before="0" w:beforeAutospacing="0" w:after="0" w:afterAutospacing="0" w:line="360" w:lineRule="atLeast"/>
        <w:rPr>
          <w:color w:val="000000"/>
          <w:sz w:val="22"/>
          <w:szCs w:val="22"/>
        </w:rPr>
      </w:pPr>
    </w:p>
    <w:p w14:paraId="1E475487" w14:textId="77777777" w:rsidR="00F23B13" w:rsidRPr="00F23B13" w:rsidRDefault="00F23B13" w:rsidP="00F23B13">
      <w:pPr>
        <w:pStyle w:val="NormalWeb"/>
        <w:spacing w:before="0" w:beforeAutospacing="0" w:after="0" w:afterAutospacing="0" w:line="360" w:lineRule="atLeast"/>
        <w:rPr>
          <w:sz w:val="22"/>
          <w:szCs w:val="22"/>
        </w:rPr>
      </w:pPr>
      <w:r w:rsidRPr="00F23B13">
        <w:rPr>
          <w:sz w:val="22"/>
          <w:szCs w:val="22"/>
        </w:rPr>
        <w:t>‌Victims Commissioner. (2021). </w:t>
      </w:r>
      <w:r w:rsidRPr="00F23B13">
        <w:rPr>
          <w:i/>
          <w:iCs/>
          <w:sz w:val="22"/>
          <w:szCs w:val="22"/>
        </w:rPr>
        <w:t>New Victims’ Code comes into force – ‘a positive step forward for victims’</w:t>
      </w:r>
      <w:r w:rsidRPr="00F23B13">
        <w:rPr>
          <w:sz w:val="22"/>
          <w:szCs w:val="22"/>
        </w:rPr>
        <w:t>. [online] Available at: https://victimscommissioner.org.uk/news/new-victims-code/#:~:text=The%20Victims%27%20Code%20sets%20out%20the%20services%20and%20information%20victims [Accessed 7 Aug. 2023].</w:t>
      </w:r>
    </w:p>
    <w:p w14:paraId="5B912F0F" w14:textId="77777777" w:rsidR="000E0363" w:rsidRPr="000E0363" w:rsidRDefault="000E0363" w:rsidP="000E0363">
      <w:pPr>
        <w:pStyle w:val="NormalWeb"/>
        <w:spacing w:before="0" w:beforeAutospacing="0" w:after="0" w:afterAutospacing="0" w:line="360" w:lineRule="atLeast"/>
        <w:rPr>
          <w:color w:val="000000"/>
          <w:sz w:val="22"/>
          <w:szCs w:val="22"/>
        </w:rPr>
      </w:pPr>
    </w:p>
    <w:p w14:paraId="21F6B4C6" w14:textId="6C2675A3" w:rsidR="000E0363" w:rsidRDefault="000E0363" w:rsidP="000E0363">
      <w:pPr>
        <w:pStyle w:val="NormalWeb"/>
        <w:spacing w:before="0" w:beforeAutospacing="0" w:after="0" w:afterAutospacing="0" w:line="360" w:lineRule="atLeast"/>
        <w:rPr>
          <w:color w:val="000000"/>
          <w:sz w:val="22"/>
          <w:szCs w:val="22"/>
        </w:rPr>
      </w:pPr>
      <w:r w:rsidRPr="000E0363">
        <w:rPr>
          <w:color w:val="000000"/>
          <w:sz w:val="22"/>
          <w:szCs w:val="22"/>
        </w:rPr>
        <w:t>www.ox.ac.uk. (n.d.). </w:t>
      </w:r>
      <w:r w:rsidRPr="000E0363">
        <w:rPr>
          <w:i/>
          <w:iCs/>
          <w:color w:val="000000"/>
          <w:sz w:val="22"/>
          <w:szCs w:val="22"/>
        </w:rPr>
        <w:t>‘Significant increase’ in child-to-parent violence during lockdown: study | University of Oxford</w:t>
      </w:r>
      <w:r w:rsidRPr="000E0363">
        <w:rPr>
          <w:color w:val="000000"/>
          <w:sz w:val="22"/>
          <w:szCs w:val="22"/>
        </w:rPr>
        <w:t xml:space="preserve">. [online] Available at: </w:t>
      </w:r>
      <w:hyperlink r:id="rId11" w:history="1">
        <w:r w:rsidR="00F23B13" w:rsidRPr="00EB79D6">
          <w:rPr>
            <w:rStyle w:val="Hyperlink"/>
            <w:sz w:val="22"/>
            <w:szCs w:val="22"/>
          </w:rPr>
          <w:t>https://www.ox.ac.uk/news/2020-08-19-significant-increase-child-parent-violence-during-lockdown-study</w:t>
        </w:r>
      </w:hyperlink>
      <w:r w:rsidRPr="000E0363">
        <w:rPr>
          <w:color w:val="000000"/>
          <w:sz w:val="22"/>
          <w:szCs w:val="22"/>
        </w:rPr>
        <w:t>.</w:t>
      </w:r>
    </w:p>
    <w:p w14:paraId="5337DEFA" w14:textId="77777777" w:rsidR="00F23B13" w:rsidRPr="000E0363" w:rsidRDefault="00F23B13" w:rsidP="000E0363">
      <w:pPr>
        <w:pStyle w:val="NormalWeb"/>
        <w:spacing w:before="0" w:beforeAutospacing="0" w:after="0" w:afterAutospacing="0" w:line="360" w:lineRule="atLeast"/>
        <w:rPr>
          <w:color w:val="000000"/>
          <w:sz w:val="22"/>
          <w:szCs w:val="22"/>
        </w:rPr>
      </w:pPr>
    </w:p>
    <w:p w14:paraId="28D601F3" w14:textId="77777777" w:rsidR="000E0363" w:rsidRPr="000E0363" w:rsidRDefault="000E0363" w:rsidP="000E0363">
      <w:pPr>
        <w:pStyle w:val="NormalWeb"/>
        <w:spacing w:before="0" w:beforeAutospacing="0" w:after="0" w:afterAutospacing="0" w:line="360" w:lineRule="atLeast"/>
        <w:rPr>
          <w:color w:val="000000"/>
          <w:sz w:val="22"/>
          <w:szCs w:val="22"/>
        </w:rPr>
      </w:pPr>
    </w:p>
    <w:p w14:paraId="2F72EA0B" w14:textId="77777777" w:rsidR="000E0363" w:rsidRDefault="000E0363" w:rsidP="000E0363">
      <w:pPr>
        <w:pStyle w:val="NormalWeb"/>
        <w:rPr>
          <w:rFonts w:ascii="Calibri" w:hAnsi="Calibri" w:cs="Calibri"/>
          <w:color w:val="000000"/>
          <w:sz w:val="27"/>
          <w:szCs w:val="27"/>
        </w:rPr>
      </w:pPr>
      <w:r>
        <w:rPr>
          <w:rFonts w:ascii="Calibri" w:hAnsi="Calibri" w:cs="Calibri"/>
          <w:color w:val="000000"/>
          <w:sz w:val="27"/>
          <w:szCs w:val="27"/>
        </w:rPr>
        <w:t>‌</w:t>
      </w:r>
    </w:p>
    <w:p w14:paraId="0F8D4EEF" w14:textId="77777777" w:rsidR="000E0363" w:rsidRDefault="000E0363" w:rsidP="000E0363">
      <w:pPr>
        <w:pStyle w:val="NormalWeb"/>
        <w:rPr>
          <w:rFonts w:ascii="Calibri" w:hAnsi="Calibri" w:cs="Calibri"/>
          <w:color w:val="000000"/>
          <w:sz w:val="27"/>
          <w:szCs w:val="27"/>
        </w:rPr>
      </w:pPr>
    </w:p>
    <w:p w14:paraId="04A66CF9" w14:textId="77777777" w:rsidR="000E0363" w:rsidRDefault="000E0363" w:rsidP="000E0363">
      <w:pPr>
        <w:pStyle w:val="NormalWeb"/>
        <w:rPr>
          <w:rFonts w:ascii="Calibri" w:hAnsi="Calibri" w:cs="Calibri"/>
          <w:color w:val="000000"/>
          <w:sz w:val="27"/>
          <w:szCs w:val="27"/>
        </w:rPr>
      </w:pPr>
    </w:p>
    <w:p w14:paraId="6673005D" w14:textId="7F5D3B0A" w:rsidR="000E0363" w:rsidRDefault="000E0363" w:rsidP="000E0363">
      <w:pPr>
        <w:pStyle w:val="NormalWeb"/>
        <w:rPr>
          <w:rFonts w:ascii="Calibri" w:hAnsi="Calibri" w:cs="Calibri"/>
          <w:color w:val="000000"/>
          <w:sz w:val="27"/>
          <w:szCs w:val="27"/>
        </w:rPr>
      </w:pPr>
    </w:p>
    <w:p w14:paraId="291295CF" w14:textId="77777777" w:rsidR="000E0363" w:rsidRDefault="000E0363" w:rsidP="000E0363">
      <w:pPr>
        <w:pStyle w:val="NormalWeb"/>
        <w:rPr>
          <w:rFonts w:ascii="Calibri" w:hAnsi="Calibri" w:cs="Calibri"/>
          <w:color w:val="000000"/>
          <w:sz w:val="27"/>
          <w:szCs w:val="27"/>
        </w:rPr>
      </w:pPr>
    </w:p>
    <w:p w14:paraId="43CB9E6F" w14:textId="77777777" w:rsidR="000E0363" w:rsidRDefault="000E0363" w:rsidP="000E0363">
      <w:pPr>
        <w:pStyle w:val="NormalWeb"/>
        <w:rPr>
          <w:rFonts w:ascii="Calibri" w:hAnsi="Calibri" w:cs="Calibri"/>
          <w:color w:val="000000"/>
          <w:sz w:val="27"/>
          <w:szCs w:val="27"/>
        </w:rPr>
      </w:pPr>
    </w:p>
    <w:p w14:paraId="622FE33F" w14:textId="77777777" w:rsidR="000E0363" w:rsidRDefault="000E0363" w:rsidP="000E0363">
      <w:pPr>
        <w:pStyle w:val="NormalWeb"/>
        <w:rPr>
          <w:rFonts w:ascii="Calibri" w:hAnsi="Calibri" w:cs="Calibri"/>
          <w:color w:val="000000"/>
          <w:sz w:val="27"/>
          <w:szCs w:val="27"/>
        </w:rPr>
      </w:pPr>
    </w:p>
    <w:p w14:paraId="4B2AE7E2" w14:textId="63C18858" w:rsidR="00963344" w:rsidRDefault="00963344" w:rsidP="00963344">
      <w:pPr>
        <w:pStyle w:val="NormalWeb"/>
        <w:rPr>
          <w:rFonts w:ascii="Calibri" w:hAnsi="Calibri" w:cs="Calibri"/>
          <w:color w:val="000000"/>
          <w:sz w:val="27"/>
          <w:szCs w:val="27"/>
        </w:rPr>
      </w:pPr>
    </w:p>
    <w:p w14:paraId="7738511A" w14:textId="77777777" w:rsidR="00963344" w:rsidRDefault="00963344" w:rsidP="00963344">
      <w:pPr>
        <w:pStyle w:val="NormalWeb"/>
        <w:rPr>
          <w:rFonts w:ascii="Calibri" w:hAnsi="Calibri" w:cs="Calibri"/>
          <w:color w:val="000000"/>
          <w:sz w:val="27"/>
          <w:szCs w:val="27"/>
        </w:rPr>
      </w:pPr>
    </w:p>
    <w:p w14:paraId="6BF694B3" w14:textId="77777777" w:rsidR="00963344" w:rsidRDefault="00963344" w:rsidP="00963344">
      <w:pPr>
        <w:pStyle w:val="NormalWeb"/>
        <w:rPr>
          <w:rFonts w:ascii="Calibri" w:hAnsi="Calibri" w:cs="Calibri"/>
          <w:color w:val="000000"/>
          <w:sz w:val="27"/>
          <w:szCs w:val="27"/>
        </w:rPr>
      </w:pPr>
    </w:p>
    <w:p w14:paraId="4F8A081B" w14:textId="2FD02A35" w:rsidR="004C6C51" w:rsidRDefault="004C6C51" w:rsidP="004C6C51">
      <w:pPr>
        <w:pStyle w:val="NormalWeb"/>
        <w:rPr>
          <w:rFonts w:ascii="Calibri" w:hAnsi="Calibri" w:cs="Calibri"/>
          <w:color w:val="000000"/>
          <w:sz w:val="27"/>
          <w:szCs w:val="27"/>
        </w:rPr>
      </w:pPr>
    </w:p>
    <w:p w14:paraId="71CA456A" w14:textId="7D65CCAC" w:rsidR="004C6C51" w:rsidRDefault="004C6C51" w:rsidP="00D50A09">
      <w:pPr>
        <w:pStyle w:val="NormalWeb"/>
        <w:rPr>
          <w:rFonts w:ascii="Calibri" w:hAnsi="Calibri" w:cs="Calibri"/>
          <w:color w:val="000000"/>
          <w:sz w:val="27"/>
          <w:szCs w:val="27"/>
        </w:rPr>
      </w:pPr>
    </w:p>
    <w:p w14:paraId="29359B14" w14:textId="77777777" w:rsidR="00D50A09" w:rsidRDefault="00D50A09" w:rsidP="00D50A09">
      <w:pPr>
        <w:pStyle w:val="NormalWeb"/>
        <w:rPr>
          <w:rFonts w:ascii="Calibri" w:hAnsi="Calibri" w:cs="Calibri"/>
          <w:color w:val="000000"/>
          <w:sz w:val="27"/>
          <w:szCs w:val="27"/>
        </w:rPr>
      </w:pPr>
    </w:p>
    <w:p w14:paraId="069FA559" w14:textId="77777777" w:rsidR="00D50A09" w:rsidRDefault="00D50A09" w:rsidP="00D50A09">
      <w:pPr>
        <w:pStyle w:val="NormalWeb"/>
        <w:rPr>
          <w:rFonts w:ascii="Calibri" w:hAnsi="Calibri" w:cs="Calibri"/>
          <w:color w:val="000000"/>
          <w:sz w:val="27"/>
          <w:szCs w:val="27"/>
        </w:rPr>
      </w:pPr>
    </w:p>
    <w:p w14:paraId="667BC599" w14:textId="77777777" w:rsidR="00D50A09" w:rsidRDefault="00D50A09" w:rsidP="00D50A09">
      <w:pPr>
        <w:pStyle w:val="NormalWeb"/>
        <w:ind w:left="567" w:hanging="567"/>
      </w:pPr>
    </w:p>
    <w:p w14:paraId="1A9B0985" w14:textId="77777777" w:rsidR="00D50A09" w:rsidRDefault="00D50A09" w:rsidP="00D50A09">
      <w:pPr>
        <w:pStyle w:val="NormalWeb"/>
        <w:ind w:left="567" w:hanging="567"/>
      </w:pPr>
    </w:p>
    <w:p w14:paraId="6CA34827" w14:textId="77777777" w:rsidR="00D50A09" w:rsidRPr="00924ED5" w:rsidRDefault="00D50A09" w:rsidP="00924ED5">
      <w:pPr>
        <w:rPr>
          <w:rFonts w:ascii="Times New Roman" w:hAnsi="Times New Roman" w:cs="Times New Roman"/>
          <w:sz w:val="22"/>
          <w:szCs w:val="22"/>
        </w:rPr>
      </w:pPr>
    </w:p>
    <w:sectPr w:rsidR="00D50A09" w:rsidRPr="00924E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894"/>
    <w:rsid w:val="000E0363"/>
    <w:rsid w:val="001902F5"/>
    <w:rsid w:val="0030146E"/>
    <w:rsid w:val="004C6C51"/>
    <w:rsid w:val="004F6606"/>
    <w:rsid w:val="00924ED5"/>
    <w:rsid w:val="00963344"/>
    <w:rsid w:val="00AC39F4"/>
    <w:rsid w:val="00AF2894"/>
    <w:rsid w:val="00C508A2"/>
    <w:rsid w:val="00C77D6D"/>
    <w:rsid w:val="00D50A09"/>
    <w:rsid w:val="00F23B13"/>
    <w:rsid w:val="00F84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3E7F"/>
  <w15:chartTrackingRefBased/>
  <w15:docId w15:val="{52FA0193-5A9F-4977-9FC7-6689C30FD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46E"/>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924ED5"/>
    <w:pPr>
      <w:widowControl w:val="0"/>
      <w:overflowPunct/>
      <w:adjustRightInd/>
      <w:ind w:left="108"/>
    </w:pPr>
    <w:rPr>
      <w:rFonts w:eastAsia="Arial"/>
      <w:color w:val="auto"/>
      <w:sz w:val="22"/>
      <w:szCs w:val="22"/>
      <w:lang w:bidi="en-GB"/>
    </w:rPr>
  </w:style>
  <w:style w:type="character" w:styleId="Hyperlink">
    <w:name w:val="Hyperlink"/>
    <w:basedOn w:val="DefaultParagraphFont"/>
    <w:uiPriority w:val="99"/>
    <w:unhideWhenUsed/>
    <w:rsid w:val="001902F5"/>
    <w:rPr>
      <w:color w:val="0563C1" w:themeColor="hyperlink"/>
      <w:u w:val="single"/>
    </w:rPr>
  </w:style>
  <w:style w:type="paragraph" w:styleId="NormalWeb">
    <w:name w:val="Normal (Web)"/>
    <w:basedOn w:val="Normal"/>
    <w:uiPriority w:val="99"/>
    <w:unhideWhenUsed/>
    <w:rsid w:val="001902F5"/>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E03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241137">
      <w:bodyDiv w:val="1"/>
      <w:marLeft w:val="0"/>
      <w:marRight w:val="0"/>
      <w:marTop w:val="0"/>
      <w:marBottom w:val="0"/>
      <w:divBdr>
        <w:top w:val="none" w:sz="0" w:space="0" w:color="auto"/>
        <w:left w:val="none" w:sz="0" w:space="0" w:color="auto"/>
        <w:bottom w:val="none" w:sz="0" w:space="0" w:color="auto"/>
        <w:right w:val="none" w:sz="0" w:space="0" w:color="auto"/>
      </w:divBdr>
    </w:div>
    <w:div w:id="279726778">
      <w:bodyDiv w:val="1"/>
      <w:marLeft w:val="0"/>
      <w:marRight w:val="0"/>
      <w:marTop w:val="0"/>
      <w:marBottom w:val="0"/>
      <w:divBdr>
        <w:top w:val="none" w:sz="0" w:space="0" w:color="auto"/>
        <w:left w:val="none" w:sz="0" w:space="0" w:color="auto"/>
        <w:bottom w:val="none" w:sz="0" w:space="0" w:color="auto"/>
        <w:right w:val="none" w:sz="0" w:space="0" w:color="auto"/>
      </w:divBdr>
    </w:div>
    <w:div w:id="516895955">
      <w:bodyDiv w:val="1"/>
      <w:marLeft w:val="0"/>
      <w:marRight w:val="0"/>
      <w:marTop w:val="0"/>
      <w:marBottom w:val="0"/>
      <w:divBdr>
        <w:top w:val="none" w:sz="0" w:space="0" w:color="auto"/>
        <w:left w:val="none" w:sz="0" w:space="0" w:color="auto"/>
        <w:bottom w:val="none" w:sz="0" w:space="0" w:color="auto"/>
        <w:right w:val="none" w:sz="0" w:space="0" w:color="auto"/>
      </w:divBdr>
    </w:div>
    <w:div w:id="525289390">
      <w:bodyDiv w:val="1"/>
      <w:marLeft w:val="0"/>
      <w:marRight w:val="0"/>
      <w:marTop w:val="0"/>
      <w:marBottom w:val="0"/>
      <w:divBdr>
        <w:top w:val="none" w:sz="0" w:space="0" w:color="auto"/>
        <w:left w:val="none" w:sz="0" w:space="0" w:color="auto"/>
        <w:bottom w:val="none" w:sz="0" w:space="0" w:color="auto"/>
        <w:right w:val="none" w:sz="0" w:space="0" w:color="auto"/>
      </w:divBdr>
    </w:div>
    <w:div w:id="679160011">
      <w:bodyDiv w:val="1"/>
      <w:marLeft w:val="0"/>
      <w:marRight w:val="0"/>
      <w:marTop w:val="0"/>
      <w:marBottom w:val="0"/>
      <w:divBdr>
        <w:top w:val="none" w:sz="0" w:space="0" w:color="auto"/>
        <w:left w:val="none" w:sz="0" w:space="0" w:color="auto"/>
        <w:bottom w:val="none" w:sz="0" w:space="0" w:color="auto"/>
        <w:right w:val="none" w:sz="0" w:space="0" w:color="auto"/>
      </w:divBdr>
    </w:div>
    <w:div w:id="680010772">
      <w:bodyDiv w:val="1"/>
      <w:marLeft w:val="0"/>
      <w:marRight w:val="0"/>
      <w:marTop w:val="0"/>
      <w:marBottom w:val="0"/>
      <w:divBdr>
        <w:top w:val="none" w:sz="0" w:space="0" w:color="auto"/>
        <w:left w:val="none" w:sz="0" w:space="0" w:color="auto"/>
        <w:bottom w:val="none" w:sz="0" w:space="0" w:color="auto"/>
        <w:right w:val="none" w:sz="0" w:space="0" w:color="auto"/>
      </w:divBdr>
    </w:div>
    <w:div w:id="891960322">
      <w:bodyDiv w:val="1"/>
      <w:marLeft w:val="0"/>
      <w:marRight w:val="0"/>
      <w:marTop w:val="0"/>
      <w:marBottom w:val="0"/>
      <w:divBdr>
        <w:top w:val="none" w:sz="0" w:space="0" w:color="auto"/>
        <w:left w:val="none" w:sz="0" w:space="0" w:color="auto"/>
        <w:bottom w:val="none" w:sz="0" w:space="0" w:color="auto"/>
        <w:right w:val="none" w:sz="0" w:space="0" w:color="auto"/>
      </w:divBdr>
    </w:div>
    <w:div w:id="935821124">
      <w:bodyDiv w:val="1"/>
      <w:marLeft w:val="0"/>
      <w:marRight w:val="0"/>
      <w:marTop w:val="0"/>
      <w:marBottom w:val="0"/>
      <w:divBdr>
        <w:top w:val="none" w:sz="0" w:space="0" w:color="auto"/>
        <w:left w:val="none" w:sz="0" w:space="0" w:color="auto"/>
        <w:bottom w:val="none" w:sz="0" w:space="0" w:color="auto"/>
        <w:right w:val="none" w:sz="0" w:space="0" w:color="auto"/>
      </w:divBdr>
    </w:div>
    <w:div w:id="1046833752">
      <w:bodyDiv w:val="1"/>
      <w:marLeft w:val="0"/>
      <w:marRight w:val="0"/>
      <w:marTop w:val="0"/>
      <w:marBottom w:val="0"/>
      <w:divBdr>
        <w:top w:val="none" w:sz="0" w:space="0" w:color="auto"/>
        <w:left w:val="none" w:sz="0" w:space="0" w:color="auto"/>
        <w:bottom w:val="none" w:sz="0" w:space="0" w:color="auto"/>
        <w:right w:val="none" w:sz="0" w:space="0" w:color="auto"/>
      </w:divBdr>
    </w:div>
    <w:div w:id="1086414637">
      <w:bodyDiv w:val="1"/>
      <w:marLeft w:val="0"/>
      <w:marRight w:val="0"/>
      <w:marTop w:val="0"/>
      <w:marBottom w:val="0"/>
      <w:divBdr>
        <w:top w:val="none" w:sz="0" w:space="0" w:color="auto"/>
        <w:left w:val="none" w:sz="0" w:space="0" w:color="auto"/>
        <w:bottom w:val="none" w:sz="0" w:space="0" w:color="auto"/>
        <w:right w:val="none" w:sz="0" w:space="0" w:color="auto"/>
      </w:divBdr>
    </w:div>
    <w:div w:id="1092092802">
      <w:bodyDiv w:val="1"/>
      <w:marLeft w:val="0"/>
      <w:marRight w:val="0"/>
      <w:marTop w:val="0"/>
      <w:marBottom w:val="0"/>
      <w:divBdr>
        <w:top w:val="none" w:sz="0" w:space="0" w:color="auto"/>
        <w:left w:val="none" w:sz="0" w:space="0" w:color="auto"/>
        <w:bottom w:val="none" w:sz="0" w:space="0" w:color="auto"/>
        <w:right w:val="none" w:sz="0" w:space="0" w:color="auto"/>
      </w:divBdr>
    </w:div>
    <w:div w:id="1121149584">
      <w:bodyDiv w:val="1"/>
      <w:marLeft w:val="0"/>
      <w:marRight w:val="0"/>
      <w:marTop w:val="0"/>
      <w:marBottom w:val="0"/>
      <w:divBdr>
        <w:top w:val="none" w:sz="0" w:space="0" w:color="auto"/>
        <w:left w:val="none" w:sz="0" w:space="0" w:color="auto"/>
        <w:bottom w:val="none" w:sz="0" w:space="0" w:color="auto"/>
        <w:right w:val="none" w:sz="0" w:space="0" w:color="auto"/>
      </w:divBdr>
    </w:div>
    <w:div w:id="1228034850">
      <w:bodyDiv w:val="1"/>
      <w:marLeft w:val="0"/>
      <w:marRight w:val="0"/>
      <w:marTop w:val="0"/>
      <w:marBottom w:val="0"/>
      <w:divBdr>
        <w:top w:val="none" w:sz="0" w:space="0" w:color="auto"/>
        <w:left w:val="none" w:sz="0" w:space="0" w:color="auto"/>
        <w:bottom w:val="none" w:sz="0" w:space="0" w:color="auto"/>
        <w:right w:val="none" w:sz="0" w:space="0" w:color="auto"/>
      </w:divBdr>
    </w:div>
    <w:div w:id="1399014818">
      <w:bodyDiv w:val="1"/>
      <w:marLeft w:val="0"/>
      <w:marRight w:val="0"/>
      <w:marTop w:val="0"/>
      <w:marBottom w:val="0"/>
      <w:divBdr>
        <w:top w:val="none" w:sz="0" w:space="0" w:color="auto"/>
        <w:left w:val="none" w:sz="0" w:space="0" w:color="auto"/>
        <w:bottom w:val="none" w:sz="0" w:space="0" w:color="auto"/>
        <w:right w:val="none" w:sz="0" w:space="0" w:color="auto"/>
      </w:divBdr>
    </w:div>
    <w:div w:id="1460874239">
      <w:bodyDiv w:val="1"/>
      <w:marLeft w:val="0"/>
      <w:marRight w:val="0"/>
      <w:marTop w:val="0"/>
      <w:marBottom w:val="0"/>
      <w:divBdr>
        <w:top w:val="none" w:sz="0" w:space="0" w:color="auto"/>
        <w:left w:val="none" w:sz="0" w:space="0" w:color="auto"/>
        <w:bottom w:val="none" w:sz="0" w:space="0" w:color="auto"/>
        <w:right w:val="none" w:sz="0" w:space="0" w:color="auto"/>
      </w:divBdr>
    </w:div>
    <w:div w:id="1741563829">
      <w:bodyDiv w:val="1"/>
      <w:marLeft w:val="0"/>
      <w:marRight w:val="0"/>
      <w:marTop w:val="0"/>
      <w:marBottom w:val="0"/>
      <w:divBdr>
        <w:top w:val="none" w:sz="0" w:space="0" w:color="auto"/>
        <w:left w:val="none" w:sz="0" w:space="0" w:color="auto"/>
        <w:bottom w:val="none" w:sz="0" w:space="0" w:color="auto"/>
        <w:right w:val="none" w:sz="0" w:space="0" w:color="auto"/>
      </w:divBdr>
    </w:div>
    <w:div w:id="1819880435">
      <w:bodyDiv w:val="1"/>
      <w:marLeft w:val="0"/>
      <w:marRight w:val="0"/>
      <w:marTop w:val="0"/>
      <w:marBottom w:val="0"/>
      <w:divBdr>
        <w:top w:val="none" w:sz="0" w:space="0" w:color="auto"/>
        <w:left w:val="none" w:sz="0" w:space="0" w:color="auto"/>
        <w:bottom w:val="none" w:sz="0" w:space="0" w:color="auto"/>
        <w:right w:val="none" w:sz="0" w:space="0" w:color="auto"/>
      </w:divBdr>
    </w:div>
    <w:div w:id="1829201138">
      <w:bodyDiv w:val="1"/>
      <w:marLeft w:val="0"/>
      <w:marRight w:val="0"/>
      <w:marTop w:val="0"/>
      <w:marBottom w:val="0"/>
      <w:divBdr>
        <w:top w:val="none" w:sz="0" w:space="0" w:color="auto"/>
        <w:left w:val="none" w:sz="0" w:space="0" w:color="auto"/>
        <w:bottom w:val="none" w:sz="0" w:space="0" w:color="auto"/>
        <w:right w:val="none" w:sz="0" w:space="0" w:color="auto"/>
      </w:divBdr>
    </w:div>
    <w:div w:id="198076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47065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2004/28/conten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89/41/contents" TargetMode="External"/><Relationship Id="rId11" Type="http://schemas.openxmlformats.org/officeDocument/2006/relationships/hyperlink" Target="https://www.ox.ac.uk/news/2020-08-19-significant-increase-child-parent-violence-during-lockdown-study" TargetMode="External"/><Relationship Id="rId5" Type="http://schemas.openxmlformats.org/officeDocument/2006/relationships/hyperlink" Target="https://www.legislation.gov.uk/ukpga/2021/17/contents/enacted" TargetMode="External"/><Relationship Id="rId10" Type="http://schemas.openxmlformats.org/officeDocument/2006/relationships/hyperlink" Target="https://victimscommissioner.org.uk/news/2021-victim-survey/#:~:text=Victims%20are%20losing%20faith%20in%20the%20criminal%20justice" TargetMode="External"/><Relationship Id="rId4" Type="http://schemas.openxmlformats.org/officeDocument/2006/relationships/hyperlink" Target="https://www.cps.gov.uk/publication/joint-review-disclosure-process-case-r-v-allan" TargetMode="External"/><Relationship Id="rId9" Type="http://schemas.openxmlformats.org/officeDocument/2006/relationships/hyperlink" Target="https://www.theguardian.com/society/2022/apr/12/at-least-40-of-child-to-parent-violence-in-uk-unreported-study-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15</Pages>
  <Words>7226</Words>
  <Characters>41193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Pendlington-Bowen,Elin swp8481</dc:creator>
  <cp:keywords/>
  <dc:description/>
  <cp:lastModifiedBy>Pendlington-Bowen,Elin swp8481</cp:lastModifiedBy>
  <cp:revision>8</cp:revision>
  <dcterms:created xsi:type="dcterms:W3CDTF">2023-08-07T21:50:00Z</dcterms:created>
  <dcterms:modified xsi:type="dcterms:W3CDTF">2023-08-07T22:48:00Z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2023-08-07T21:50:45Z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3e483852-a3ad-4c96-89e5-018fae161f43</vt:lpwstr>
  </property>
  <property fmtid="{D5CDD505-2E9C-101B-9397-08002B2CF9AE}" pid="8" name="MSIP_Label_66cf8fe5-b7b7-4df7-b38d-1c61ac2f6639_ContentBits">
    <vt:lpwstr>0</vt:lpwstr>
  </property>
</Properties>
</file>